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19"/>
        <w:spacing w:line="480" w:lineRule="exact"/>
        <w:textAlignment w:val="top"/>
        <w:rPr>
          <w:rFonts w:hint="eastAsia" w:eastAsia="黑体"/>
          <w:b/>
          <w:color w:val="F79646"/>
          <w:sz w:val="36"/>
        </w:rPr>
      </w:pPr>
    </w:p>
    <w:p>
      <w:pPr>
        <w:pStyle w:val="19"/>
        <w:keepNext w:val="0"/>
        <w:keepLines w:val="0"/>
        <w:pageBreakBefore w:val="0"/>
        <w:widowControl/>
        <w:kinsoku/>
        <w:wordWrap/>
        <w:overflowPunct/>
        <w:topLinePunct w:val="0"/>
        <w:autoSpaceDE/>
        <w:autoSpaceDN/>
        <w:bidi w:val="0"/>
        <w:adjustRightInd/>
        <w:snapToGrid/>
        <w:spacing w:line="400" w:lineRule="exact"/>
        <w:ind w:firstLine="5250" w:firstLineChars="1750"/>
        <w:textAlignment w:val="top"/>
        <w:rPr>
          <w:rFonts w:hint="eastAsia" w:eastAsia="楷体_GB2312"/>
          <w:color w:val="F79646"/>
          <w:sz w:val="30"/>
          <w:szCs w:val="30"/>
        </w:rPr>
      </w:pPr>
    </w:p>
    <w:p>
      <w:pPr>
        <w:pStyle w:val="19"/>
        <w:spacing w:line="320" w:lineRule="exact"/>
        <w:ind w:firstLine="5250" w:firstLineChars="1750"/>
        <w:textAlignment w:val="top"/>
        <w:rPr>
          <w:rFonts w:hint="eastAsia" w:eastAsia="楷体_GB2312"/>
          <w:color w:val="F79646"/>
          <w:sz w:val="30"/>
          <w:szCs w:val="30"/>
        </w:rPr>
      </w:pPr>
    </w:p>
    <w:p>
      <w:pPr>
        <w:pStyle w:val="19"/>
        <w:spacing w:line="400" w:lineRule="exact"/>
        <w:jc w:val="both"/>
        <w:textAlignment w:val="top"/>
        <w:rPr>
          <w:rFonts w:hint="eastAsia" w:eastAsia="楷体_GB2312"/>
          <w:color w:val="F79646"/>
          <w:sz w:val="30"/>
          <w:szCs w:val="30"/>
        </w:rPr>
      </w:pPr>
    </w:p>
    <w:p>
      <w:pPr>
        <w:pStyle w:val="19"/>
        <w:spacing w:after="156" w:afterLines="50" w:line="400" w:lineRule="exact"/>
        <w:jc w:val="right"/>
        <w:textAlignment w:val="top"/>
        <w:rPr>
          <w:rFonts w:hint="eastAsia" w:ascii="仿宋" w:hAnsi="仿宋" w:eastAsia="仿宋" w:cs="宋体"/>
          <w:color w:val="auto"/>
          <w:sz w:val="32"/>
          <w:szCs w:val="32"/>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ascii="仿宋" w:hAnsi="仿宋" w:eastAsia="仿宋" w:cs="宋体"/>
          <w:color w:val="auto"/>
          <w:sz w:val="32"/>
          <w:szCs w:val="32"/>
          <w:lang w:val="en-US" w:eastAsia="zh-CN" w:bidi="ar-SA"/>
        </w:rPr>
        <w:t>岳环评</w:t>
      </w:r>
      <w:r>
        <w:rPr>
          <w:rFonts w:hint="eastAsia" w:ascii="仿宋" w:hAnsi="仿宋" w:eastAsia="仿宋" w:cs="仿宋"/>
          <w:color w:val="auto"/>
          <w:sz w:val="32"/>
          <w:szCs w:val="32"/>
          <w:lang w:val="en-US" w:eastAsia="zh-CN" w:bidi="ar-SA"/>
        </w:rPr>
        <w:t>〔</w:t>
      </w:r>
      <w:r>
        <w:rPr>
          <w:rFonts w:hint="eastAsia" w:ascii="仿宋" w:hAnsi="仿宋" w:eastAsia="仿宋" w:cs="宋体"/>
          <w:color w:val="auto"/>
          <w:sz w:val="32"/>
          <w:szCs w:val="32"/>
          <w:lang w:val="en-US" w:eastAsia="zh-CN" w:bidi="ar-SA"/>
        </w:rPr>
        <w:t>2022</w:t>
      </w:r>
      <w:r>
        <w:rPr>
          <w:rFonts w:hint="eastAsia" w:ascii="仿宋" w:hAnsi="仿宋" w:eastAsia="仿宋" w:cs="仿宋"/>
          <w:color w:val="auto"/>
          <w:sz w:val="32"/>
          <w:szCs w:val="32"/>
          <w:lang w:val="en-US" w:eastAsia="zh-CN" w:bidi="ar-SA"/>
        </w:rPr>
        <w:t>〕83</w:t>
      </w:r>
      <w:r>
        <w:rPr>
          <w:rFonts w:hint="eastAsia" w:ascii="仿宋" w:hAnsi="仿宋" w:eastAsia="仿宋" w:cs="宋体"/>
          <w:color w:val="auto"/>
          <w:sz w:val="32"/>
          <w:szCs w:val="32"/>
          <w:lang w:val="en-US" w:eastAsia="zh-CN" w:bidi="ar-SA"/>
        </w:rPr>
        <w:t>号</w:t>
      </w:r>
    </w:p>
    <w:p>
      <w:pPr>
        <w:widowControl/>
        <w:spacing w:line="495" w:lineRule="atLeast"/>
        <w:ind w:firstLine="0" w:firstLineChars="0"/>
        <w:jc w:val="center"/>
        <w:rPr>
          <w:rFonts w:hint="eastAsia" w:ascii="宋体" w:hAnsi="宋体" w:eastAsia="宋体"/>
          <w:b/>
          <w:color w:val="auto"/>
          <w:sz w:val="28"/>
          <w:szCs w:val="28"/>
          <w:lang w:bidi="ar"/>
        </w:rPr>
      </w:pPr>
      <w:r>
        <w:rPr>
          <w:rFonts w:hint="eastAsia" w:ascii="黑体" w:hAnsi="黑体" w:eastAsia="黑体" w:cs="黑体"/>
          <w:b/>
          <w:color w:val="auto"/>
          <w:sz w:val="36"/>
          <w:szCs w:val="36"/>
        </w:rPr>
        <w:t>关于</w:t>
      </w:r>
      <w:r>
        <w:rPr>
          <w:rFonts w:hint="eastAsia" w:ascii="黑体" w:hAnsi="黑体" w:eastAsia="黑体" w:cs="黑体"/>
          <w:b/>
          <w:color w:val="auto"/>
          <w:sz w:val="36"/>
          <w:szCs w:val="36"/>
          <w:lang w:eastAsia="zh-CN"/>
        </w:rPr>
        <w:t>岳阳港道仁矶码头工程</w:t>
      </w:r>
      <w:r>
        <w:rPr>
          <w:rFonts w:hint="eastAsia" w:ascii="黑体" w:hAnsi="黑体" w:eastAsia="黑体" w:cs="黑体"/>
          <w:b/>
          <w:color w:val="auto"/>
          <w:sz w:val="36"/>
          <w:szCs w:val="36"/>
        </w:rPr>
        <w:t>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rPr>
      </w:pPr>
    </w:p>
    <w:p>
      <w:pPr>
        <w:pStyle w:val="8"/>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74" w:lineRule="exact"/>
        <w:ind w:left="0" w:leftChars="0" w:right="0" w:firstLine="0" w:firstLineChars="0"/>
        <w:jc w:val="both"/>
        <w:textAlignment w:val="auto"/>
        <w:rPr>
          <w:rFonts w:hint="eastAsia" w:ascii="仿宋" w:hAnsi="仿宋" w:eastAsia="仿宋" w:cs="仿宋"/>
          <w:sz w:val="32"/>
          <w:szCs w:val="32"/>
          <w:u w:val="none"/>
          <w:lang w:val="en-US"/>
        </w:rPr>
      </w:pPr>
      <w:r>
        <w:rPr>
          <w:rFonts w:hint="eastAsia" w:ascii="仿宋" w:hAnsi="仿宋" w:eastAsia="仿宋" w:cs="仿宋"/>
          <w:sz w:val="32"/>
          <w:szCs w:val="32"/>
          <w:highlight w:val="none"/>
          <w:lang w:eastAsia="zh-CN"/>
        </w:rPr>
        <w:t>湖南省港务集团有限公司</w:t>
      </w:r>
      <w:r>
        <w:rPr>
          <w:rFonts w:hint="eastAsia" w:ascii="仿宋" w:hAnsi="仿宋" w:eastAsia="仿宋" w:cs="仿宋"/>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474"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你公司《</w:t>
      </w:r>
      <w:r>
        <w:rPr>
          <w:rFonts w:hint="eastAsia" w:ascii="仿宋" w:hAnsi="仿宋" w:eastAsia="仿宋" w:cs="仿宋"/>
          <w:sz w:val="32"/>
          <w:szCs w:val="32"/>
          <w:highlight w:val="none"/>
          <w:u w:val="none"/>
          <w:lang w:val="en-US" w:eastAsia="zh-CN"/>
        </w:rPr>
        <w:t>建设项目</w:t>
      </w:r>
      <w:r>
        <w:rPr>
          <w:rFonts w:hint="eastAsia" w:ascii="仿宋" w:hAnsi="仿宋" w:eastAsia="仿宋" w:cs="仿宋"/>
          <w:sz w:val="32"/>
          <w:szCs w:val="32"/>
          <w:u w:val="none"/>
        </w:rPr>
        <w:t>环境影响报告书</w:t>
      </w:r>
      <w:r>
        <w:rPr>
          <w:rFonts w:hint="eastAsia" w:ascii="仿宋" w:hAnsi="仿宋" w:eastAsia="仿宋" w:cs="仿宋"/>
          <w:sz w:val="32"/>
          <w:szCs w:val="32"/>
          <w:u w:val="none"/>
          <w:lang w:val="en-US" w:eastAsia="zh-CN"/>
        </w:rPr>
        <w:t>报批</w:t>
      </w:r>
      <w:r>
        <w:rPr>
          <w:rFonts w:hint="eastAsia" w:ascii="仿宋" w:hAnsi="仿宋" w:eastAsia="仿宋" w:cs="仿宋"/>
          <w:sz w:val="32"/>
          <w:szCs w:val="32"/>
          <w:u w:val="none"/>
        </w:rPr>
        <w:t>申请</w:t>
      </w:r>
      <w:r>
        <w:rPr>
          <w:rFonts w:hint="eastAsia" w:ascii="仿宋" w:hAnsi="仿宋" w:eastAsia="仿宋" w:cs="仿宋"/>
          <w:sz w:val="32"/>
          <w:szCs w:val="32"/>
          <w:u w:val="none"/>
          <w:lang w:val="en-US" w:eastAsia="zh-CN"/>
        </w:rPr>
        <w:t>函</w:t>
      </w:r>
      <w:r>
        <w:rPr>
          <w:rFonts w:hint="eastAsia" w:ascii="仿宋" w:hAnsi="仿宋" w:eastAsia="仿宋" w:cs="仿宋"/>
          <w:kern w:val="2"/>
          <w:sz w:val="32"/>
          <w:szCs w:val="32"/>
          <w:u w:val="none"/>
          <w:lang w:val="en-US" w:eastAsia="zh-CN" w:bidi="ar"/>
        </w:rPr>
        <w:t>》、</w:t>
      </w:r>
      <w:r>
        <w:rPr>
          <w:rFonts w:hint="eastAsia" w:ascii="仿宋" w:hAnsi="仿宋" w:eastAsia="仿宋" w:cs="仿宋"/>
          <w:color w:val="000000"/>
          <w:kern w:val="2"/>
          <w:sz w:val="32"/>
          <w:szCs w:val="32"/>
          <w:u w:val="none"/>
          <w:lang w:val="en-US" w:eastAsia="zh-CN" w:bidi="ar"/>
        </w:rPr>
        <w:t>岳阳市生态环境事务中心《</w:t>
      </w:r>
      <w:r>
        <w:rPr>
          <w:rFonts w:hint="eastAsia" w:ascii="仿宋" w:hAnsi="仿宋" w:eastAsia="仿宋" w:cs="仿宋"/>
          <w:sz w:val="32"/>
          <w:szCs w:val="32"/>
          <w:highlight w:val="none"/>
          <w:u w:val="none"/>
          <w:lang w:eastAsia="zh-CN"/>
        </w:rPr>
        <w:t>岳阳港道仁矶码头工程项目</w:t>
      </w:r>
      <w:r>
        <w:rPr>
          <w:rFonts w:hint="eastAsia" w:ascii="仿宋" w:hAnsi="仿宋" w:eastAsia="仿宋" w:cs="仿宋"/>
          <w:color w:val="000000"/>
          <w:kern w:val="2"/>
          <w:sz w:val="32"/>
          <w:szCs w:val="32"/>
          <w:u w:val="none"/>
          <w:lang w:val="en-US" w:eastAsia="zh-CN" w:bidi="ar"/>
        </w:rPr>
        <w:t>环境影响报告书技术评估报告》（岳环事评估〔2022〕56号）、</w:t>
      </w:r>
      <w:r>
        <w:rPr>
          <w:rFonts w:hint="eastAsia" w:ascii="仿宋" w:hAnsi="仿宋" w:eastAsia="仿宋" w:cs="仿宋"/>
          <w:kern w:val="2"/>
          <w:sz w:val="32"/>
          <w:szCs w:val="32"/>
          <w:u w:val="none"/>
          <w:lang w:val="en-US" w:eastAsia="zh-CN" w:bidi="ar"/>
        </w:rPr>
        <w:t>岳阳市生态环境局云溪分局的预审意见及有关附件收悉。经研究，批复如下：</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74"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一、为完善</w:t>
      </w:r>
      <w:r>
        <w:rPr>
          <w:rFonts w:hint="eastAsia" w:ascii="仿宋" w:hAnsi="仿宋" w:eastAsia="仿宋" w:cs="仿宋"/>
          <w:sz w:val="32"/>
          <w:szCs w:val="32"/>
          <w:highlight w:val="none"/>
          <w:u w:val="none"/>
          <w:lang w:val="en-US" w:eastAsia="zh-CN"/>
        </w:rPr>
        <w:t>岳阳港功能布局</w:t>
      </w:r>
      <w:r>
        <w:rPr>
          <w:rFonts w:hint="eastAsia" w:ascii="仿宋" w:hAnsi="仿宋" w:eastAsia="仿宋" w:cs="仿宋"/>
          <w:kern w:val="2"/>
          <w:sz w:val="32"/>
          <w:szCs w:val="32"/>
          <w:u w:val="none"/>
          <w:lang w:val="en-US" w:eastAsia="zh-CN" w:bidi="ar"/>
        </w:rPr>
        <w:t>，</w:t>
      </w:r>
      <w:r>
        <w:rPr>
          <w:rFonts w:hint="eastAsia" w:ascii="仿宋" w:hAnsi="仿宋" w:eastAsia="仿宋" w:cs="仿宋"/>
          <w:sz w:val="32"/>
          <w:szCs w:val="32"/>
          <w:highlight w:val="none"/>
          <w:u w:val="none"/>
          <w:lang w:val="en-US" w:eastAsia="zh-CN"/>
        </w:rPr>
        <w:t>保障散货中转服务需要，</w:t>
      </w:r>
      <w:r>
        <w:rPr>
          <w:rFonts w:hint="eastAsia" w:ascii="仿宋" w:hAnsi="仿宋" w:eastAsia="仿宋" w:cs="仿宋"/>
          <w:kern w:val="2"/>
          <w:sz w:val="32"/>
          <w:szCs w:val="32"/>
          <w:u w:val="none"/>
          <w:lang w:val="en-US" w:eastAsia="zh-CN" w:bidi="ar"/>
        </w:rPr>
        <w:t>你公司拟投资</w:t>
      </w:r>
      <w:r>
        <w:rPr>
          <w:rFonts w:hint="eastAsia" w:ascii="仿宋" w:hAnsi="仿宋" w:eastAsia="仿宋" w:cs="仿宋"/>
          <w:sz w:val="32"/>
          <w:szCs w:val="32"/>
          <w:u w:val="none"/>
          <w:lang w:val="en-US" w:eastAsia="zh-CN"/>
        </w:rPr>
        <w:t>124725.11</w:t>
      </w:r>
      <w:r>
        <w:rPr>
          <w:rFonts w:hint="eastAsia" w:ascii="仿宋" w:hAnsi="仿宋" w:eastAsia="仿宋" w:cs="仿宋"/>
          <w:sz w:val="32"/>
          <w:szCs w:val="32"/>
          <w:u w:val="none"/>
        </w:rPr>
        <w:t>万</w:t>
      </w:r>
      <w:r>
        <w:rPr>
          <w:rFonts w:hint="eastAsia" w:ascii="仿宋" w:hAnsi="仿宋" w:eastAsia="仿宋" w:cs="仿宋"/>
          <w:kern w:val="2"/>
          <w:sz w:val="32"/>
          <w:szCs w:val="32"/>
          <w:u w:val="none"/>
          <w:lang w:val="en-US" w:eastAsia="zh-CN" w:bidi="ar"/>
        </w:rPr>
        <w:t>元（其中环保投资1025万元）</w:t>
      </w:r>
      <w:r>
        <w:rPr>
          <w:rFonts w:hint="eastAsia" w:ascii="仿宋" w:hAnsi="仿宋" w:eastAsia="仿宋" w:cs="仿宋"/>
          <w:sz w:val="32"/>
          <w:szCs w:val="32"/>
          <w:u w:val="none"/>
        </w:rPr>
        <w:t>建设</w:t>
      </w:r>
      <w:r>
        <w:rPr>
          <w:rFonts w:hint="eastAsia" w:ascii="仿宋" w:hAnsi="仿宋" w:eastAsia="仿宋" w:cs="仿宋"/>
          <w:sz w:val="32"/>
          <w:szCs w:val="32"/>
          <w:highlight w:val="none"/>
          <w:u w:val="none"/>
          <w:lang w:eastAsia="zh-CN"/>
        </w:rPr>
        <w:t>岳阳港道仁矶码头工程</w:t>
      </w:r>
      <w:r>
        <w:rPr>
          <w:rFonts w:hint="eastAsia" w:ascii="仿宋" w:hAnsi="仿宋" w:eastAsia="仿宋" w:cs="仿宋"/>
          <w:kern w:val="2"/>
          <w:sz w:val="32"/>
          <w:szCs w:val="32"/>
          <w:u w:val="none"/>
          <w:lang w:val="en-US" w:eastAsia="zh-CN" w:bidi="ar"/>
        </w:rPr>
        <w:t>。港址</w:t>
      </w:r>
      <w:r>
        <w:rPr>
          <w:rFonts w:hint="eastAsia" w:ascii="仿宋" w:hAnsi="仿宋" w:eastAsia="仿宋" w:cs="仿宋"/>
          <w:snapToGrid w:val="0"/>
          <w:kern w:val="0"/>
          <w:sz w:val="32"/>
          <w:szCs w:val="32"/>
          <w:highlight w:val="none"/>
          <w:lang w:val="en-US" w:eastAsia="zh-CN"/>
        </w:rPr>
        <w:t>位于</w:t>
      </w:r>
      <w:r>
        <w:rPr>
          <w:rFonts w:hint="eastAsia" w:ascii="仿宋" w:hAnsi="仿宋" w:eastAsia="仿宋" w:cs="仿宋"/>
          <w:sz w:val="32"/>
          <w:szCs w:val="32"/>
          <w:highlight w:val="none"/>
          <w:lang w:val="en-US" w:eastAsia="zh-CN"/>
        </w:rPr>
        <w:t>《岳阳港总体规划（2035年）》中规划的</w:t>
      </w:r>
      <w:r>
        <w:rPr>
          <w:rFonts w:hint="eastAsia" w:ascii="仿宋" w:hAnsi="仿宋" w:eastAsia="仿宋" w:cs="仿宋"/>
          <w:snapToGrid w:val="0"/>
          <w:kern w:val="0"/>
          <w:sz w:val="32"/>
          <w:szCs w:val="32"/>
          <w:highlight w:val="none"/>
        </w:rPr>
        <w:t>道仁矶作业区散货泊位一区</w:t>
      </w:r>
      <w:r>
        <w:rPr>
          <w:rFonts w:hint="eastAsia" w:ascii="仿宋" w:hAnsi="仿宋" w:eastAsia="仿宋" w:cs="仿宋"/>
          <w:snapToGrid w:val="0"/>
          <w:kern w:val="0"/>
          <w:sz w:val="32"/>
          <w:szCs w:val="32"/>
          <w:highlight w:val="none"/>
          <w:lang w:eastAsia="zh-CN"/>
        </w:rPr>
        <w:t>（</w:t>
      </w:r>
      <w:r>
        <w:rPr>
          <w:rFonts w:hint="eastAsia" w:ascii="仿宋" w:hAnsi="仿宋" w:eastAsia="仿宋" w:cs="仿宋"/>
          <w:snapToGrid w:val="0"/>
          <w:kern w:val="0"/>
          <w:sz w:val="32"/>
          <w:szCs w:val="32"/>
          <w:highlight w:val="none"/>
        </w:rPr>
        <w:t>云溪区道仁矶镇荆岳长江大桥上游约1.5km</w:t>
      </w:r>
      <w:r>
        <w:rPr>
          <w:rFonts w:hint="eastAsia" w:ascii="仿宋" w:hAnsi="仿宋" w:eastAsia="仿宋" w:cs="仿宋"/>
          <w:snapToGrid w:val="0"/>
          <w:kern w:val="0"/>
          <w:sz w:val="32"/>
          <w:szCs w:val="32"/>
          <w:highlight w:val="none"/>
          <w:lang w:val="en-US" w:eastAsia="zh-CN"/>
        </w:rPr>
        <w:t>处，</w:t>
      </w:r>
      <w:r>
        <w:rPr>
          <w:rFonts w:hint="eastAsia" w:ascii="仿宋" w:hAnsi="仿宋" w:eastAsia="仿宋" w:cs="仿宋"/>
          <w:snapToGrid w:val="0"/>
          <w:kern w:val="0"/>
          <w:sz w:val="32"/>
          <w:szCs w:val="32"/>
          <w:highlight w:val="none"/>
          <w:lang w:eastAsia="zh-CN"/>
        </w:rPr>
        <w:t>经度：113°16'22.48"</w:t>
      </w:r>
      <w:r>
        <w:rPr>
          <w:rFonts w:hint="eastAsia" w:ascii="仿宋" w:hAnsi="仿宋" w:eastAsia="仿宋" w:cs="仿宋"/>
          <w:snapToGrid w:val="0"/>
          <w:kern w:val="0"/>
          <w:sz w:val="32"/>
          <w:szCs w:val="32"/>
          <w:highlight w:val="none"/>
          <w:lang w:val="en-US" w:eastAsia="zh-CN"/>
        </w:rPr>
        <w:t xml:space="preserve"> 纬度29°33'51.21"</w:t>
      </w:r>
      <w:r>
        <w:rPr>
          <w:rFonts w:hint="eastAsia" w:ascii="仿宋" w:hAnsi="仿宋" w:eastAsia="仿宋" w:cs="仿宋"/>
          <w:snapToGrid w:val="0"/>
          <w:kern w:val="0"/>
          <w:sz w:val="32"/>
          <w:szCs w:val="32"/>
          <w:highlight w:val="none"/>
          <w:lang w:eastAsia="zh-CN"/>
        </w:rPr>
        <w:t>）。</w:t>
      </w:r>
      <w:r>
        <w:rPr>
          <w:rFonts w:hint="eastAsia" w:ascii="仿宋" w:hAnsi="仿宋" w:eastAsia="仿宋" w:cs="仿宋"/>
          <w:sz w:val="32"/>
          <w:szCs w:val="32"/>
          <w:highlight w:val="none"/>
        </w:rPr>
        <w:t>工程占地面积</w:t>
      </w:r>
      <w:r>
        <w:rPr>
          <w:rFonts w:hint="eastAsia" w:ascii="仿宋" w:hAnsi="仿宋" w:eastAsia="仿宋" w:cs="仿宋"/>
          <w:sz w:val="32"/>
          <w:szCs w:val="32"/>
          <w:highlight w:val="none"/>
          <w:lang w:val="en-US" w:eastAsia="zh-CN"/>
        </w:rPr>
        <w:t>288.3</w:t>
      </w:r>
      <w:r>
        <w:rPr>
          <w:rFonts w:hint="eastAsia" w:ascii="仿宋" w:hAnsi="仿宋" w:eastAsia="仿宋" w:cs="仿宋"/>
          <w:sz w:val="32"/>
          <w:szCs w:val="32"/>
          <w:highlight w:val="none"/>
        </w:rPr>
        <w:t>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占用长江岸线长度840m。</w:t>
      </w:r>
      <w:r>
        <w:rPr>
          <w:rFonts w:hint="eastAsia" w:ascii="仿宋" w:hAnsi="仿宋" w:eastAsia="仿宋" w:cs="仿宋"/>
          <w:kern w:val="2"/>
          <w:sz w:val="32"/>
          <w:szCs w:val="32"/>
          <w:u w:val="none"/>
          <w:lang w:val="en-US" w:eastAsia="zh-CN" w:bidi="ar"/>
        </w:rPr>
        <w:t>主要建设内容为：</w:t>
      </w:r>
      <w:r>
        <w:rPr>
          <w:rFonts w:hint="eastAsia" w:ascii="仿宋" w:hAnsi="仿宋" w:eastAsia="仿宋" w:cs="仿宋"/>
          <w:sz w:val="32"/>
          <w:szCs w:val="32"/>
          <w:u w:val="none"/>
        </w:rPr>
        <w:t>新建</w:t>
      </w:r>
      <w:r>
        <w:rPr>
          <w:rFonts w:hint="eastAsia" w:ascii="仿宋" w:hAnsi="仿宋" w:eastAsia="仿宋" w:cs="仿宋"/>
          <w:sz w:val="32"/>
          <w:szCs w:val="32"/>
          <w:highlight w:val="none"/>
          <w:u w:val="none"/>
        </w:rPr>
        <w:t>6个泊位及相应的配套设施，水工建筑物包括码头平台、</w:t>
      </w:r>
      <w:r>
        <w:rPr>
          <w:rFonts w:hint="eastAsia" w:ascii="仿宋" w:hAnsi="仿宋" w:eastAsia="仿宋" w:cs="仿宋"/>
          <w:sz w:val="32"/>
          <w:szCs w:val="32"/>
          <w:highlight w:val="none"/>
          <w:u w:val="none"/>
          <w:lang w:val="en-US" w:eastAsia="zh-CN"/>
        </w:rPr>
        <w:t>行车</w:t>
      </w:r>
      <w:r>
        <w:rPr>
          <w:rFonts w:hint="eastAsia" w:ascii="仿宋" w:hAnsi="仿宋" w:eastAsia="仿宋" w:cs="仿宋"/>
          <w:sz w:val="32"/>
          <w:szCs w:val="32"/>
          <w:highlight w:val="none"/>
          <w:u w:val="none"/>
        </w:rPr>
        <w:t>引桥</w:t>
      </w:r>
      <w:r>
        <w:rPr>
          <w:rFonts w:hint="eastAsia" w:ascii="仿宋" w:hAnsi="仿宋" w:eastAsia="仿宋" w:cs="仿宋"/>
          <w:sz w:val="32"/>
          <w:szCs w:val="32"/>
          <w:highlight w:val="none"/>
        </w:rPr>
        <w:t>及皮带机廊道等，陆域布置散货仓库、堆场、综合楼等辅助设置。1</w:t>
      </w:r>
      <w:r>
        <w:rPr>
          <w:rFonts w:hint="eastAsia" w:ascii="仿宋" w:hAnsi="仿宋" w:eastAsia="仿宋" w:cs="仿宋"/>
          <w:sz w:val="32"/>
          <w:szCs w:val="32"/>
          <w:highlight w:val="none"/>
          <w:vertAlign w:val="superscript"/>
        </w:rPr>
        <w:t>#</w:t>
      </w:r>
      <w:r>
        <w:rPr>
          <w:rFonts w:hint="default" w:ascii="Traditional Arabic" w:hAnsi="Traditional Arabic" w:eastAsia="仿宋" w:cs="Traditional Arabic"/>
          <w:sz w:val="32"/>
          <w:szCs w:val="32"/>
          <w:highlight w:val="none"/>
        </w:rPr>
        <w:t>~</w:t>
      </w:r>
      <w:r>
        <w:rPr>
          <w:rFonts w:hint="eastAsia" w:ascii="仿宋" w:hAnsi="仿宋" w:eastAsia="仿宋" w:cs="仿宋"/>
          <w:sz w:val="32"/>
          <w:szCs w:val="32"/>
          <w:highlight w:val="none"/>
        </w:rPr>
        <w:t>5</w:t>
      </w:r>
      <w:r>
        <w:rPr>
          <w:rFonts w:hint="eastAsia" w:ascii="仿宋" w:hAnsi="仿宋" w:eastAsia="仿宋" w:cs="仿宋"/>
          <w:sz w:val="32"/>
          <w:szCs w:val="32"/>
          <w:highlight w:val="none"/>
          <w:vertAlign w:val="superscript"/>
        </w:rPr>
        <w:t>#</w:t>
      </w:r>
      <w:r>
        <w:rPr>
          <w:rFonts w:hint="eastAsia" w:ascii="仿宋" w:hAnsi="仿宋" w:eastAsia="仿宋" w:cs="仿宋"/>
          <w:sz w:val="32"/>
          <w:szCs w:val="32"/>
          <w:highlight w:val="none"/>
        </w:rPr>
        <w:t>泊位为10000吨级泊位，6</w:t>
      </w:r>
      <w:r>
        <w:rPr>
          <w:rFonts w:hint="eastAsia" w:ascii="仿宋" w:hAnsi="仿宋" w:eastAsia="仿宋" w:cs="仿宋"/>
          <w:sz w:val="32"/>
          <w:szCs w:val="32"/>
          <w:highlight w:val="none"/>
          <w:vertAlign w:val="superscript"/>
        </w:rPr>
        <w:t>#</w:t>
      </w:r>
      <w:r>
        <w:rPr>
          <w:rFonts w:hint="eastAsia" w:ascii="仿宋" w:hAnsi="仿宋" w:eastAsia="仿宋" w:cs="仿宋"/>
          <w:sz w:val="32"/>
          <w:szCs w:val="32"/>
          <w:highlight w:val="none"/>
        </w:rPr>
        <w:t>泊位为5000吨级泊位，水工结构均按靠泊15000吨级船舶设计。</w:t>
      </w:r>
      <w:r>
        <w:rPr>
          <w:rFonts w:hint="eastAsia" w:ascii="仿宋" w:hAnsi="仿宋" w:eastAsia="仿宋" w:cs="仿宋"/>
          <w:sz w:val="32"/>
          <w:szCs w:val="32"/>
          <w:highlight w:val="none"/>
          <w:lang w:val="en-US" w:eastAsia="zh-CN"/>
        </w:rPr>
        <w:t>码头平台通过 5 座行车引桥和 3 座皮带机廊道桥与后方陆域连接。陆域用地范围分</w:t>
      </w:r>
      <w:r>
        <w:rPr>
          <w:rFonts w:hint="default" w:ascii="仿宋" w:hAnsi="仿宋" w:eastAsia="仿宋" w:cs="仿宋"/>
          <w:sz w:val="32"/>
          <w:szCs w:val="32"/>
          <w:highlight w:val="none"/>
          <w:lang w:val="en-US" w:eastAsia="zh-CN"/>
        </w:rPr>
        <w:t>AB</w:t>
      </w:r>
      <w:r>
        <w:rPr>
          <w:rFonts w:hint="eastAsia" w:ascii="仿宋" w:hAnsi="仿宋" w:eastAsia="仿宋" w:cs="仿宋"/>
          <w:sz w:val="32"/>
          <w:szCs w:val="32"/>
          <w:highlight w:val="none"/>
          <w:lang w:val="en-US" w:eastAsia="zh-CN"/>
        </w:rPr>
        <w:t>两块地布置，地块</w:t>
      </w:r>
      <w:r>
        <w:rPr>
          <w:rFonts w:hint="default" w:ascii="仿宋" w:hAnsi="仿宋" w:eastAsia="仿宋" w:cs="仿宋"/>
          <w:sz w:val="32"/>
          <w:szCs w:val="32"/>
          <w:highlight w:val="none"/>
          <w:lang w:val="en-US" w:eastAsia="zh-CN"/>
        </w:rPr>
        <w:t>A</w:t>
      </w:r>
      <w:r>
        <w:rPr>
          <w:rFonts w:hint="eastAsia" w:ascii="仿宋" w:hAnsi="仿宋" w:eastAsia="仿宋" w:cs="仿宋"/>
          <w:sz w:val="32"/>
          <w:szCs w:val="32"/>
          <w:highlight w:val="none"/>
          <w:lang w:val="en-US" w:eastAsia="zh-CN"/>
        </w:rPr>
        <w:t>位于长江大堤与</w:t>
      </w:r>
      <w:r>
        <w:rPr>
          <w:rFonts w:hint="default" w:ascii="仿宋" w:hAnsi="仿宋" w:eastAsia="仿宋" w:cs="仿宋"/>
          <w:sz w:val="32"/>
          <w:szCs w:val="32"/>
          <w:highlight w:val="none"/>
          <w:lang w:val="en-US" w:eastAsia="zh-CN"/>
        </w:rPr>
        <w:t>S208</w:t>
      </w:r>
      <w:r>
        <w:rPr>
          <w:rFonts w:hint="eastAsia" w:ascii="仿宋" w:hAnsi="仿宋" w:eastAsia="仿宋" w:cs="仿宋"/>
          <w:sz w:val="32"/>
          <w:szCs w:val="32"/>
          <w:highlight w:val="none"/>
          <w:lang w:val="en-US" w:eastAsia="zh-CN"/>
        </w:rPr>
        <w:t>省道之间，主要布置港内停车场及防汛物质堆场；地块</w:t>
      </w:r>
      <w:r>
        <w:rPr>
          <w:rFonts w:hint="default" w:ascii="仿宋" w:hAnsi="仿宋" w:eastAsia="仿宋" w:cs="仿宋"/>
          <w:sz w:val="32"/>
          <w:szCs w:val="32"/>
          <w:highlight w:val="none"/>
          <w:lang w:val="en-US" w:eastAsia="zh-CN"/>
        </w:rPr>
        <w:t>B</w:t>
      </w:r>
      <w:r>
        <w:rPr>
          <w:rFonts w:hint="eastAsia" w:ascii="仿宋" w:hAnsi="仿宋" w:eastAsia="仿宋" w:cs="仿宋"/>
          <w:sz w:val="32"/>
          <w:szCs w:val="32"/>
          <w:highlight w:val="none"/>
          <w:lang w:val="en-US" w:eastAsia="zh-CN"/>
        </w:rPr>
        <w:t>位于省道</w:t>
      </w:r>
      <w:r>
        <w:rPr>
          <w:rFonts w:hint="default" w:ascii="仿宋" w:hAnsi="仿宋" w:eastAsia="仿宋" w:cs="仿宋"/>
          <w:sz w:val="32"/>
          <w:szCs w:val="32"/>
          <w:highlight w:val="none"/>
          <w:lang w:val="en-US" w:eastAsia="zh-CN"/>
        </w:rPr>
        <w:t>S208</w:t>
      </w:r>
      <w:r>
        <w:rPr>
          <w:rFonts w:hint="eastAsia" w:ascii="仿宋" w:hAnsi="仿宋" w:eastAsia="仿宋" w:cs="仿宋"/>
          <w:sz w:val="32"/>
          <w:szCs w:val="32"/>
          <w:highlight w:val="none"/>
          <w:lang w:val="en-US" w:eastAsia="zh-CN"/>
        </w:rPr>
        <w:t>东侧，现有兴长路南侧，主要布置生产辅助建筑物以及散货仓库，辅助建筑包括综合楼、 泵房及消防水池、污水处理池、变电所等。配套建设供电照明、给排水、消防、通信、控制、助导航等公辅工程和废水、废气、固废处理、风险防范等环保工程。项目航道利用现有长江航道；工程待港锚地依托荆岳长江大桥上游规划新建的道仁矶公用锚地；疏港道路依托已有的S208省道；主要设备修理和日常故障维修均委托处理。码头运输货物种类主要为砂石、铁矿石、水泥、非金属矿石、其他散货及防汛物资等，</w:t>
      </w:r>
      <w:r>
        <w:rPr>
          <w:rFonts w:hint="eastAsia" w:ascii="仿宋" w:hAnsi="仿宋" w:eastAsia="仿宋" w:cs="Times New Roman"/>
          <w:sz w:val="32"/>
          <w:szCs w:val="32"/>
          <w:highlight w:val="none"/>
        </w:rPr>
        <w:t>不涉及易燃易爆品、有毒物品的运输、装卸。</w:t>
      </w:r>
      <w:r>
        <w:rPr>
          <w:rFonts w:hint="eastAsia" w:ascii="仿宋" w:hAnsi="仿宋" w:eastAsia="仿宋" w:cs="仿宋"/>
          <w:sz w:val="32"/>
          <w:szCs w:val="32"/>
          <w:highlight w:val="none"/>
        </w:rPr>
        <w:t>设计货物年吞吐量为1660万吨，其中散货进口1200万吨，散货出口450万吨，防汛物资（件杂货）10万吨</w:t>
      </w:r>
      <w:r>
        <w:rPr>
          <w:rFonts w:hint="eastAsia" w:ascii="仿宋" w:hAnsi="仿宋" w:eastAsia="仿宋" w:cs="仿宋"/>
          <w:sz w:val="32"/>
          <w:szCs w:val="32"/>
          <w:highlight w:val="none"/>
          <w:lang w:eastAsia="zh-CN"/>
        </w:rPr>
        <w:t>。</w:t>
      </w:r>
      <w:r>
        <w:rPr>
          <w:rFonts w:hint="eastAsia" w:ascii="仿宋" w:hAnsi="仿宋" w:eastAsia="仿宋" w:cs="仿宋"/>
          <w:kern w:val="2"/>
          <w:sz w:val="32"/>
          <w:szCs w:val="32"/>
          <w:u w:val="none"/>
          <w:lang w:val="en-US" w:eastAsia="zh-CN" w:bidi="ar"/>
        </w:rPr>
        <w:t>根据武汉市伊美净科技发展有限公司编制的《</w:t>
      </w:r>
      <w:r>
        <w:rPr>
          <w:rFonts w:hint="eastAsia" w:ascii="仿宋" w:hAnsi="仿宋" w:eastAsia="仿宋" w:cs="仿宋"/>
          <w:sz w:val="32"/>
          <w:szCs w:val="32"/>
          <w:highlight w:val="none"/>
          <w:u w:val="none"/>
          <w:lang w:eastAsia="zh-CN"/>
        </w:rPr>
        <w:t>岳阳港道仁矶码头工程</w:t>
      </w:r>
      <w:r>
        <w:rPr>
          <w:rFonts w:hint="eastAsia" w:ascii="仿宋" w:hAnsi="仿宋" w:eastAsia="仿宋" w:cs="仿宋"/>
          <w:kern w:val="2"/>
          <w:sz w:val="32"/>
          <w:szCs w:val="32"/>
          <w:u w:val="none"/>
          <w:lang w:val="en-US" w:eastAsia="zh-CN" w:bidi="ar"/>
        </w:rPr>
        <w:t>环境影响报告书》（报批稿）基本内容、结论、专家评审意见和</w:t>
      </w:r>
      <w:r>
        <w:rPr>
          <w:rFonts w:hint="eastAsia" w:ascii="仿宋" w:hAnsi="仿宋" w:eastAsia="仿宋" w:cs="仿宋"/>
          <w:color w:val="000000"/>
          <w:kern w:val="2"/>
          <w:sz w:val="32"/>
          <w:szCs w:val="32"/>
          <w:u w:val="none"/>
          <w:lang w:val="en-US" w:eastAsia="zh-CN" w:bidi="ar"/>
        </w:rPr>
        <w:t>岳阳市生态环境事务中心《</w:t>
      </w:r>
      <w:r>
        <w:rPr>
          <w:rFonts w:hint="eastAsia" w:ascii="仿宋" w:hAnsi="仿宋" w:eastAsia="仿宋" w:cs="仿宋"/>
          <w:sz w:val="32"/>
          <w:szCs w:val="32"/>
          <w:highlight w:val="none"/>
          <w:u w:val="none"/>
          <w:lang w:eastAsia="zh-CN"/>
        </w:rPr>
        <w:t>岳阳港道仁矶码头工程</w:t>
      </w:r>
      <w:r>
        <w:rPr>
          <w:rFonts w:hint="eastAsia" w:ascii="仿宋" w:hAnsi="仿宋" w:eastAsia="仿宋" w:cs="仿宋"/>
          <w:sz w:val="32"/>
          <w:szCs w:val="32"/>
          <w:highlight w:val="none"/>
          <w:u w:val="none"/>
          <w:lang w:val="en-US" w:eastAsia="zh-CN"/>
        </w:rPr>
        <w:t>项目</w:t>
      </w:r>
      <w:r>
        <w:rPr>
          <w:rFonts w:hint="eastAsia" w:ascii="仿宋" w:hAnsi="仿宋" w:eastAsia="仿宋" w:cs="仿宋"/>
          <w:color w:val="000000"/>
          <w:kern w:val="2"/>
          <w:sz w:val="32"/>
          <w:szCs w:val="32"/>
          <w:u w:val="none"/>
          <w:lang w:val="en-US" w:eastAsia="zh-CN" w:bidi="ar"/>
        </w:rPr>
        <w:t>环境影响报告书技术评估报告》以</w:t>
      </w:r>
      <w:r>
        <w:rPr>
          <w:rFonts w:hint="eastAsia" w:ascii="仿宋" w:hAnsi="仿宋" w:eastAsia="仿宋" w:cs="仿宋"/>
          <w:kern w:val="2"/>
          <w:sz w:val="32"/>
          <w:szCs w:val="32"/>
          <w:u w:val="none"/>
          <w:lang w:val="en-US" w:eastAsia="zh-CN" w:bidi="ar"/>
        </w:rPr>
        <w:t>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74"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二、项目建设和运营必须全面落实环境影响报告书提出的各项环保措施，并着重做好以下工作：</w:t>
      </w:r>
    </w:p>
    <w:p>
      <w:pPr>
        <w:keepNext w:val="0"/>
        <w:keepLines w:val="0"/>
        <w:pageBreakBefore w:val="0"/>
        <w:widowControl w:val="0"/>
        <w:suppressLineNumbers w:val="0"/>
        <w:kinsoku/>
        <w:wordWrap/>
        <w:overflowPunct/>
        <w:topLinePunct w:val="0"/>
        <w:bidi w:val="0"/>
        <w:snapToGrid/>
        <w:spacing w:before="0" w:beforeAutospacing="0" w:after="0" w:afterAutospacing="0" w:line="474" w:lineRule="exact"/>
        <w:ind w:left="0" w:leftChars="0" w:right="0" w:firstLine="640" w:firstLineChars="200"/>
        <w:jc w:val="both"/>
        <w:textAlignment w:val="auto"/>
        <w:rPr>
          <w:rFonts w:hint="eastAsia" w:ascii="仿宋" w:hAnsi="仿宋" w:eastAsia="仿宋" w:cs="仿宋"/>
          <w:kern w:val="0"/>
          <w:sz w:val="32"/>
          <w:szCs w:val="32"/>
          <w:u w:val="single"/>
          <w:lang w:val="en-US"/>
        </w:rPr>
      </w:pPr>
      <w:bookmarkStart w:id="0" w:name="OLE_LINK8"/>
      <w:bookmarkEnd w:id="0"/>
      <w:bookmarkStart w:id="1" w:name="OLE_LINK3"/>
      <w:r>
        <w:rPr>
          <w:rFonts w:hint="eastAsia" w:ascii="仿宋" w:hAnsi="仿宋" w:eastAsia="仿宋" w:cs="仿宋"/>
          <w:kern w:val="2"/>
          <w:sz w:val="32"/>
          <w:szCs w:val="32"/>
          <w:u w:val="none"/>
          <w:lang w:val="en-US" w:eastAsia="zh-CN" w:bidi="ar"/>
        </w:rPr>
        <w:t>（一）</w:t>
      </w:r>
      <w:bookmarkEnd w:id="1"/>
      <w:r>
        <w:rPr>
          <w:rFonts w:hint="eastAsia" w:ascii="仿宋" w:hAnsi="仿宋" w:eastAsia="仿宋" w:cs="仿宋"/>
          <w:kern w:val="2"/>
          <w:sz w:val="32"/>
          <w:szCs w:val="32"/>
          <w:u w:val="none"/>
          <w:lang w:val="en-US" w:eastAsia="zh-CN" w:bidi="ar"/>
        </w:rPr>
        <w:t>施工期环境管理工作。加强施工期环境管理，优化施工工艺、方案，科学施工，严格落实报告书中提出各项施工扬尘、噪声、废水、弃渣的防治措施，减少施工期对长江岳阳江段及周边环境的影响。加强涉水工程施工的水环境保护工作。涉水施工作业依法依规落实各项水生态保护措施，避开水生动物活动高峰期，并尽量缩短施工期，减少对水生生物的影响；施工场地设置截水沟，施工废水经沉淀处理后回用，施工人员生活污水就近依托现有设施。各类废水不得排入周边水体。</w:t>
      </w:r>
      <w:r>
        <w:rPr>
          <w:rFonts w:hint="eastAsia" w:ascii="仿宋" w:hAnsi="仿宋" w:eastAsia="仿宋" w:cs="仿宋"/>
          <w:bCs/>
          <w:snapToGrid w:val="0"/>
          <w:kern w:val="0"/>
          <w:sz w:val="32"/>
          <w:szCs w:val="32"/>
          <w:highlight w:val="none"/>
          <w:lang w:eastAsia="zh-CN"/>
        </w:rPr>
        <w:t>疏浚淤泥产生的泥浆水经处理后，上清液回用于生产，其余用</w:t>
      </w:r>
      <w:r>
        <w:rPr>
          <w:rFonts w:hint="eastAsia" w:ascii="仿宋" w:hAnsi="仿宋" w:eastAsia="仿宋" w:cs="仿宋"/>
          <w:bCs/>
          <w:snapToGrid w:val="0"/>
          <w:kern w:val="0"/>
          <w:sz w:val="32"/>
          <w:szCs w:val="32"/>
          <w:highlight w:val="none"/>
          <w:lang w:val="en-US" w:eastAsia="zh-CN"/>
        </w:rPr>
        <w:t>罐车运至湖南城陵矶临港产业新区污水处理厂达标处理。</w:t>
      </w:r>
      <w:r>
        <w:rPr>
          <w:rFonts w:hint="eastAsia" w:ascii="仿宋" w:hAnsi="仿宋" w:eastAsia="仿宋" w:cs="仿宋"/>
          <w:kern w:val="2"/>
          <w:sz w:val="32"/>
          <w:szCs w:val="32"/>
          <w:u w:val="none"/>
          <w:lang w:val="en-US" w:eastAsia="zh-CN" w:bidi="ar"/>
        </w:rPr>
        <w:t>强化施工扬尘防治措施，采取洒水抑尘、围挡、覆盖等措施，加强土石运输污染控制，土石等易产尘物料密闭运输。选用低噪声设备，合理安排施工时间和运输路线，确保施工噪声满足《建筑施工场界环境噪声排放标准》（GB12523-2011）要求。</w:t>
      </w:r>
      <w:r>
        <w:rPr>
          <w:rFonts w:hint="eastAsia" w:ascii="仿宋" w:hAnsi="仿宋" w:eastAsia="仿宋"/>
          <w:sz w:val="32"/>
          <w:szCs w:val="32"/>
          <w:highlight w:val="none"/>
        </w:rPr>
        <w:t>港池疏浚污泥经脱水后，用于陆域的回填土。</w:t>
      </w:r>
      <w:r>
        <w:rPr>
          <w:rFonts w:hint="eastAsia" w:ascii="仿宋" w:hAnsi="仿宋" w:eastAsia="仿宋" w:cs="仿宋"/>
          <w:kern w:val="2"/>
          <w:sz w:val="32"/>
          <w:szCs w:val="32"/>
          <w:u w:val="none"/>
          <w:lang w:val="en-US" w:eastAsia="zh-CN" w:bidi="ar"/>
        </w:rPr>
        <w:t>建筑垃圾收集后交相关部门统一处理。施工完毕及时按要求做好区域内的生态补偿与修复工作。</w:t>
      </w:r>
    </w:p>
    <w:p>
      <w:pPr>
        <w:keepNext w:val="0"/>
        <w:keepLines w:val="0"/>
        <w:pageBreakBefore w:val="0"/>
        <w:widowControl w:val="0"/>
        <w:kinsoku/>
        <w:wordWrap/>
        <w:overflowPunct/>
        <w:topLinePunct w:val="0"/>
        <w:bidi w:val="0"/>
        <w:snapToGrid/>
        <w:spacing w:line="474"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kern w:val="2"/>
          <w:sz w:val="32"/>
          <w:szCs w:val="32"/>
          <w:u w:val="none"/>
          <w:lang w:val="en-US" w:eastAsia="zh-CN" w:bidi="ar"/>
        </w:rPr>
        <w:t>（二）废气污染防治工作。严格落实报告书提出的各项废气防治措施，港区装卸机械均采用电为能源，码头配备</w:t>
      </w:r>
      <w:r>
        <w:rPr>
          <w:rFonts w:hint="eastAsia" w:ascii="仿宋" w:hAnsi="仿宋" w:eastAsia="仿宋" w:cs="Times New Roman"/>
          <w:color w:val="auto"/>
          <w:kern w:val="2"/>
          <w:sz w:val="32"/>
          <w:szCs w:val="32"/>
          <w:highlight w:val="none"/>
          <w:lang w:bidi="ar"/>
        </w:rPr>
        <w:t>岸电设施</w:t>
      </w:r>
      <w:r>
        <w:rPr>
          <w:rFonts w:hint="eastAsia" w:ascii="仿宋" w:hAnsi="仿宋" w:eastAsia="仿宋" w:cs="Times New Roman"/>
          <w:color w:val="auto"/>
          <w:kern w:val="2"/>
          <w:sz w:val="32"/>
          <w:szCs w:val="32"/>
          <w:highlight w:val="none"/>
          <w:lang w:eastAsia="zh-CN" w:bidi="ar"/>
        </w:rPr>
        <w:t>，船舶靠泊后关闭所有主辅机，使用岸电。</w:t>
      </w:r>
      <w:r>
        <w:rPr>
          <w:rFonts w:hint="eastAsia" w:ascii="仿宋" w:hAnsi="仿宋" w:eastAsia="仿宋" w:cs="仿宋"/>
          <w:bCs/>
          <w:snapToGrid w:val="0"/>
          <w:kern w:val="0"/>
          <w:sz w:val="32"/>
          <w:szCs w:val="32"/>
          <w:highlight w:val="none"/>
          <w:lang w:val="en-US" w:eastAsia="zh-CN"/>
        </w:rPr>
        <w:t>输送系统均</w:t>
      </w:r>
      <w:r>
        <w:rPr>
          <w:rFonts w:hint="eastAsia" w:ascii="仿宋" w:hAnsi="仿宋" w:eastAsia="仿宋" w:cs="仿宋"/>
          <w:kern w:val="2"/>
          <w:sz w:val="32"/>
          <w:szCs w:val="32"/>
          <w:u w:val="none"/>
          <w:lang w:val="en-US" w:eastAsia="zh-CN" w:bidi="ar"/>
        </w:rPr>
        <w:t>采取密闭输送和</w:t>
      </w:r>
      <w:r>
        <w:rPr>
          <w:rFonts w:hint="eastAsia" w:ascii="仿宋" w:hAnsi="仿宋" w:eastAsia="仿宋" w:cs="仿宋"/>
          <w:bCs/>
          <w:snapToGrid w:val="0"/>
          <w:kern w:val="0"/>
          <w:sz w:val="32"/>
          <w:szCs w:val="32"/>
          <w:highlight w:val="none"/>
          <w:lang w:val="en-US" w:eastAsia="zh-CN"/>
        </w:rPr>
        <w:t>微雾抑尘工艺。码头前沿不能封闭处皮带两侧</w:t>
      </w:r>
      <w:r>
        <w:rPr>
          <w:rFonts w:hint="eastAsia" w:ascii="仿宋" w:hAnsi="仿宋" w:eastAsia="仿宋" w:cs="仿宋"/>
          <w:kern w:val="2"/>
          <w:sz w:val="32"/>
          <w:szCs w:val="32"/>
          <w:u w:val="none"/>
          <w:lang w:val="en-US" w:eastAsia="zh-CN" w:bidi="ar"/>
        </w:rPr>
        <w:t>配置挡风板、</w:t>
      </w:r>
      <w:r>
        <w:rPr>
          <w:rFonts w:hint="eastAsia" w:ascii="仿宋" w:hAnsi="仿宋" w:eastAsia="仿宋" w:cs="仿宋"/>
          <w:bCs/>
          <w:snapToGrid w:val="0"/>
          <w:kern w:val="0"/>
          <w:sz w:val="32"/>
          <w:szCs w:val="32"/>
          <w:highlight w:val="none"/>
          <w:lang w:val="en-US" w:eastAsia="zh-CN"/>
        </w:rPr>
        <w:t>转接点处以及卸车点均配置</w:t>
      </w:r>
      <w:r>
        <w:rPr>
          <w:rFonts w:hint="eastAsia" w:ascii="仿宋" w:hAnsi="仿宋" w:eastAsia="仿宋" w:cs="仿宋"/>
          <w:kern w:val="2"/>
          <w:sz w:val="32"/>
          <w:szCs w:val="32"/>
          <w:u w:val="none"/>
          <w:lang w:val="en-US" w:eastAsia="zh-CN" w:bidi="ar"/>
        </w:rPr>
        <w:t>抑尘设备。码头装船采用干雾除尘，水泥卸船采用螺旋卸船机，装船机设置装船溜筒，卸船机配套除尘设备。</w:t>
      </w:r>
      <w:r>
        <w:rPr>
          <w:rFonts w:hint="eastAsia" w:ascii="仿宋" w:hAnsi="仿宋" w:eastAsia="仿宋" w:cs="Times New Roman"/>
          <w:color w:val="auto"/>
          <w:kern w:val="2"/>
          <w:sz w:val="32"/>
          <w:szCs w:val="32"/>
          <w:highlight w:val="none"/>
          <w:lang w:eastAsia="zh-CN" w:bidi="ar"/>
        </w:rPr>
        <w:t>加强散货装卸规范作业管理，</w:t>
      </w:r>
      <w:r>
        <w:rPr>
          <w:rFonts w:hint="eastAsia" w:ascii="仿宋" w:hAnsi="仿宋" w:eastAsia="仿宋" w:cs="仿宋"/>
          <w:kern w:val="2"/>
          <w:sz w:val="32"/>
          <w:szCs w:val="32"/>
          <w:u w:val="none"/>
          <w:lang w:val="en-US" w:eastAsia="zh-CN" w:bidi="ar"/>
        </w:rPr>
        <w:t>堆场全封闭作业并配备洒水喷雾系统。港区配备洒水辅清扫车。</w:t>
      </w:r>
      <w:r>
        <w:rPr>
          <w:rFonts w:hint="eastAsia" w:ascii="仿宋" w:hAnsi="仿宋" w:eastAsia="仿宋" w:cs="仿宋"/>
          <w:sz w:val="32"/>
          <w:szCs w:val="32"/>
          <w:u w:val="none"/>
        </w:rPr>
        <w:t>加强</w:t>
      </w:r>
      <w:r>
        <w:rPr>
          <w:rFonts w:hint="eastAsia" w:ascii="仿宋" w:hAnsi="仿宋" w:eastAsia="仿宋" w:cs="仿宋"/>
          <w:sz w:val="32"/>
          <w:szCs w:val="32"/>
          <w:u w:val="none"/>
          <w:lang w:eastAsia="zh-CN"/>
        </w:rPr>
        <w:t>现场</w:t>
      </w:r>
      <w:r>
        <w:rPr>
          <w:rFonts w:hint="eastAsia" w:ascii="仿宋" w:hAnsi="仿宋" w:eastAsia="仿宋" w:cs="仿宋"/>
          <w:sz w:val="32"/>
          <w:szCs w:val="32"/>
          <w:u w:val="none"/>
        </w:rPr>
        <w:t>日常</w:t>
      </w:r>
      <w:r>
        <w:rPr>
          <w:rFonts w:hint="eastAsia" w:ascii="仿宋" w:hAnsi="仿宋" w:eastAsia="仿宋" w:cs="仿宋"/>
          <w:sz w:val="32"/>
          <w:szCs w:val="32"/>
          <w:u w:val="none"/>
          <w:lang w:eastAsia="zh-CN"/>
        </w:rPr>
        <w:t>管理维护</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确保营运期各类废气满足</w:t>
      </w:r>
      <w:r>
        <w:rPr>
          <w:rFonts w:hint="eastAsia" w:ascii="仿宋" w:hAnsi="仿宋" w:eastAsia="仿宋" w:cs="仿宋"/>
          <w:color w:val="auto"/>
          <w:kern w:val="2"/>
          <w:sz w:val="32"/>
          <w:szCs w:val="32"/>
          <w:u w:val="none"/>
          <w:lang w:val="en-US" w:eastAsia="zh-CN" w:bidi="ar"/>
        </w:rPr>
        <w:t>《大气污染物综合排放标准》（GB16297-1996）表2中标准</w:t>
      </w:r>
      <w:r>
        <w:rPr>
          <w:rFonts w:hint="eastAsia" w:ascii="仿宋" w:hAnsi="仿宋" w:eastAsia="仿宋" w:cs="仿宋"/>
          <w:sz w:val="32"/>
          <w:szCs w:val="32"/>
          <w:u w:val="none"/>
        </w:rPr>
        <w:t>。</w:t>
      </w:r>
    </w:p>
    <w:p>
      <w:pPr>
        <w:pStyle w:val="9"/>
        <w:keepNext w:val="0"/>
        <w:keepLines w:val="0"/>
        <w:pageBreakBefore w:val="0"/>
        <w:widowControl w:val="0"/>
        <w:kinsoku/>
        <w:wordWrap/>
        <w:overflowPunct/>
        <w:topLinePunct w:val="0"/>
        <w:bidi w:val="0"/>
        <w:snapToGrid/>
        <w:spacing w:after="0" w:line="474" w:lineRule="exact"/>
        <w:ind w:firstLine="640" w:firstLineChars="200"/>
        <w:jc w:val="both"/>
        <w:textAlignment w:val="auto"/>
        <w:rPr>
          <w:rFonts w:hint="default" w:ascii="仿宋" w:hAnsi="仿宋" w:eastAsia="仿宋" w:cs="仿宋"/>
          <w:bCs/>
          <w:snapToGrid w:val="0"/>
          <w:kern w:val="0"/>
          <w:sz w:val="32"/>
          <w:szCs w:val="32"/>
          <w:highlight w:val="none"/>
          <w:lang w:val="en-US" w:eastAsia="zh-CN"/>
        </w:rPr>
      </w:pPr>
      <w:r>
        <w:rPr>
          <w:rFonts w:hint="eastAsia" w:ascii="仿宋" w:hAnsi="仿宋" w:eastAsia="仿宋" w:cs="仿宋"/>
          <w:kern w:val="2"/>
          <w:sz w:val="32"/>
          <w:szCs w:val="32"/>
          <w:u w:val="none"/>
          <w:lang w:val="en-US" w:eastAsia="zh-CN" w:bidi="ar"/>
        </w:rPr>
        <w:t>（三）废水污染防治工作。</w:t>
      </w:r>
      <w:r>
        <w:rPr>
          <w:rFonts w:hint="eastAsia" w:ascii="仿宋" w:hAnsi="仿宋" w:eastAsia="仿宋" w:cs="仿宋"/>
          <w:sz w:val="32"/>
          <w:szCs w:val="32"/>
          <w:u w:val="none"/>
        </w:rPr>
        <w:t>严格按照“雨污分流、清污分流、污污分流”的原则</w:t>
      </w:r>
      <w:r>
        <w:rPr>
          <w:rFonts w:hint="eastAsia" w:ascii="仿宋" w:hAnsi="仿宋" w:eastAsia="仿宋" w:cs="仿宋"/>
          <w:sz w:val="32"/>
          <w:szCs w:val="32"/>
          <w:u w:val="none"/>
          <w:lang w:eastAsia="zh-CN"/>
        </w:rPr>
        <w:t>建设</w:t>
      </w:r>
      <w:r>
        <w:rPr>
          <w:rFonts w:hint="eastAsia" w:ascii="仿宋" w:hAnsi="仿宋" w:eastAsia="仿宋" w:cs="仿宋"/>
          <w:sz w:val="32"/>
          <w:szCs w:val="32"/>
          <w:u w:val="none"/>
          <w:lang w:val="en-US" w:eastAsia="zh-CN"/>
        </w:rPr>
        <w:t>码头</w:t>
      </w:r>
      <w:r>
        <w:rPr>
          <w:rFonts w:hint="eastAsia" w:ascii="仿宋" w:hAnsi="仿宋" w:eastAsia="仿宋" w:cs="仿宋"/>
          <w:sz w:val="32"/>
          <w:szCs w:val="32"/>
          <w:u w:val="none"/>
        </w:rPr>
        <w:t>污水</w:t>
      </w:r>
      <w:r>
        <w:rPr>
          <w:rFonts w:hint="eastAsia" w:ascii="仿宋" w:hAnsi="仿宋" w:eastAsia="仿宋" w:cs="仿宋"/>
          <w:sz w:val="32"/>
          <w:szCs w:val="32"/>
          <w:u w:val="none"/>
          <w:lang w:val="en-US" w:eastAsia="zh-CN"/>
        </w:rPr>
        <w:t>收集</w:t>
      </w:r>
      <w:r>
        <w:rPr>
          <w:rFonts w:hint="eastAsia" w:ascii="仿宋" w:hAnsi="仿宋" w:eastAsia="仿宋" w:cs="仿宋"/>
          <w:sz w:val="32"/>
          <w:szCs w:val="32"/>
          <w:u w:val="none"/>
        </w:rPr>
        <w:t>管网。</w:t>
      </w:r>
      <w:r>
        <w:rPr>
          <w:rFonts w:hint="eastAsia" w:ascii="仿宋" w:hAnsi="仿宋" w:eastAsia="仿宋" w:cs="仿宋"/>
          <w:sz w:val="32"/>
          <w:szCs w:val="32"/>
          <w:u w:val="none"/>
          <w:lang w:val="en-US" w:eastAsia="zh-CN"/>
        </w:rPr>
        <w:t>加强到港船舶管理，</w:t>
      </w:r>
      <w:r>
        <w:rPr>
          <w:rFonts w:hint="eastAsia" w:ascii="仿宋" w:hAnsi="仿宋" w:eastAsia="仿宋" w:cs="仿宋"/>
          <w:sz w:val="32"/>
          <w:szCs w:val="32"/>
          <w:u w:val="none"/>
          <w:lang w:val="en-US" w:eastAsia="zh-CN"/>
        </w:rPr>
        <w:t>船舶废水执行</w:t>
      </w:r>
      <w:r>
        <w:rPr>
          <w:rFonts w:hint="eastAsia" w:ascii="仿宋" w:hAnsi="仿宋" w:eastAsia="仿宋" w:cs="仿宋"/>
          <w:sz w:val="32"/>
          <w:szCs w:val="32"/>
          <w:u w:val="none"/>
        </w:rPr>
        <w:t>《船舶水污染物排放标准》（GB3552-2018）</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严禁到港船舶往港区江段排放污水，严禁码头各类废水排入周边水域。</w:t>
      </w:r>
      <w:r>
        <w:rPr>
          <w:rFonts w:hint="eastAsia" w:ascii="仿宋" w:hAnsi="仿宋" w:eastAsia="仿宋" w:cs="仿宋"/>
          <w:bCs/>
          <w:snapToGrid w:val="0"/>
          <w:kern w:val="0"/>
          <w:sz w:val="32"/>
          <w:szCs w:val="32"/>
          <w:highlight w:val="none"/>
          <w:lang w:val="en-US" w:eastAsia="zh-CN"/>
        </w:rPr>
        <w:t>到港船舶</w:t>
      </w:r>
      <w:r>
        <w:rPr>
          <w:rFonts w:hint="eastAsia" w:ascii="仿宋" w:hAnsi="仿宋" w:eastAsia="仿宋" w:cs="仿宋"/>
          <w:bCs/>
          <w:snapToGrid w:val="0"/>
          <w:kern w:val="0"/>
          <w:sz w:val="32"/>
          <w:szCs w:val="32"/>
          <w:highlight w:val="none"/>
          <w:lang w:eastAsia="zh-CN"/>
        </w:rPr>
        <w:t>舱底</w:t>
      </w:r>
      <w:r>
        <w:rPr>
          <w:rFonts w:hint="eastAsia" w:ascii="仿宋" w:hAnsi="仿宋" w:eastAsia="仿宋" w:cs="仿宋"/>
          <w:bCs/>
          <w:snapToGrid w:val="0"/>
          <w:kern w:val="0"/>
          <w:sz w:val="32"/>
          <w:szCs w:val="32"/>
          <w:highlight w:val="none"/>
          <w:lang w:val="en-US" w:eastAsia="zh-CN"/>
        </w:rPr>
        <w:t>油污水经管道输送至码头面的船舶油污水储存箱，再定期由船舶油污水收集船送往有处理资质的船舶油污水处理单位达标处理。船舶生活污水经管道进入船舶生活污水储存箱，再定期由港区生活污水罐车转运至临港污水处理厂达标处理。</w:t>
      </w:r>
      <w:r>
        <w:rPr>
          <w:rFonts w:hint="eastAsia" w:ascii="仿宋" w:hAnsi="仿宋" w:eastAsia="仿宋" w:cs="仿宋"/>
          <w:sz w:val="32"/>
          <w:szCs w:val="32"/>
          <w:u w:val="none"/>
          <w:lang w:val="en-US" w:eastAsia="zh-CN"/>
        </w:rPr>
        <w:t>加强</w:t>
      </w:r>
      <w:r>
        <w:rPr>
          <w:rFonts w:hint="eastAsia" w:ascii="仿宋" w:hAnsi="仿宋" w:eastAsia="仿宋" w:cs="仿宋"/>
          <w:sz w:val="32"/>
          <w:szCs w:val="32"/>
          <w:u w:val="none"/>
        </w:rPr>
        <w:t>槽</w:t>
      </w:r>
      <w:r>
        <w:rPr>
          <w:rFonts w:hint="eastAsia" w:ascii="仿宋" w:hAnsi="仿宋" w:eastAsia="仿宋" w:cs="仿宋"/>
          <w:sz w:val="32"/>
          <w:szCs w:val="32"/>
          <w:u w:val="none"/>
          <w:lang w:val="en-US" w:eastAsia="zh-CN"/>
        </w:rPr>
        <w:t>罐</w:t>
      </w:r>
      <w:r>
        <w:rPr>
          <w:rFonts w:hint="eastAsia" w:ascii="仿宋" w:hAnsi="仿宋" w:eastAsia="仿宋" w:cs="仿宋"/>
          <w:sz w:val="32"/>
          <w:szCs w:val="32"/>
          <w:u w:val="none"/>
        </w:rPr>
        <w:t>车</w:t>
      </w:r>
      <w:r>
        <w:rPr>
          <w:rFonts w:hint="eastAsia" w:ascii="仿宋" w:hAnsi="仿宋" w:eastAsia="仿宋" w:cs="仿宋"/>
          <w:sz w:val="32"/>
          <w:szCs w:val="32"/>
          <w:u w:val="none"/>
          <w:lang w:val="en-US" w:eastAsia="zh-CN"/>
        </w:rPr>
        <w:t>运输过程管理，避免发生污水泄漏。码头作业产生的机械冲洗废水经油水分离预处理后进入自建的含尘污水处理间预处理，码头面</w:t>
      </w:r>
      <w:r>
        <w:rPr>
          <w:rFonts w:hint="eastAsia" w:ascii="仿宋" w:hAnsi="仿宋" w:eastAsia="仿宋" w:cs="仿宋"/>
          <w:bCs/>
          <w:snapToGrid w:val="0"/>
          <w:kern w:val="0"/>
          <w:sz w:val="32"/>
          <w:szCs w:val="32"/>
          <w:highlight w:val="none"/>
          <w:lang w:val="en-US" w:eastAsia="zh-CN"/>
        </w:rPr>
        <w:t>和引桥冲洗废水和初期雨水与陆域冲洗废水和初期雨水经调节沉淀池沉淀处理后，均回用于散货堆场和仓库洒水抑</w:t>
      </w:r>
      <w:r>
        <w:rPr>
          <w:rFonts w:hint="eastAsia" w:ascii="仿宋" w:hAnsi="仿宋" w:eastAsia="仿宋" w:cs="仿宋"/>
          <w:bCs/>
          <w:snapToGrid w:val="0"/>
          <w:kern w:val="0"/>
          <w:sz w:val="32"/>
          <w:szCs w:val="32"/>
          <w:highlight w:val="none"/>
          <w:u w:val="none"/>
          <w:lang w:val="en-US" w:eastAsia="zh-CN"/>
        </w:rPr>
        <w:t>尘，盈余废水经管网排入城</w:t>
      </w:r>
      <w:r>
        <w:rPr>
          <w:rFonts w:hint="eastAsia" w:ascii="仿宋" w:hAnsi="仿宋" w:eastAsia="仿宋" w:cs="仿宋"/>
          <w:bCs/>
          <w:snapToGrid w:val="0"/>
          <w:kern w:val="0"/>
          <w:sz w:val="32"/>
          <w:szCs w:val="32"/>
          <w:highlight w:val="none"/>
          <w:lang w:val="en-US" w:eastAsia="zh-CN"/>
        </w:rPr>
        <w:t>陵矶临港产业新区污水处理厂达标处理</w:t>
      </w:r>
      <w:r>
        <w:rPr>
          <w:rFonts w:hint="eastAsia" w:ascii="仿宋" w:hAnsi="仿宋" w:eastAsia="仿宋" w:cs="仿宋"/>
          <w:bCs/>
          <w:snapToGrid w:val="0"/>
          <w:kern w:val="0"/>
          <w:sz w:val="32"/>
          <w:szCs w:val="32"/>
          <w:highlight w:val="none"/>
          <w:u w:val="none"/>
          <w:lang w:val="en-US" w:eastAsia="zh-CN"/>
        </w:rPr>
        <w:t>；</w:t>
      </w:r>
      <w:r>
        <w:rPr>
          <w:rFonts w:hint="eastAsia" w:ascii="仿宋" w:hAnsi="仿宋" w:eastAsia="仿宋" w:cs="仿宋"/>
          <w:bCs/>
          <w:snapToGrid w:val="0"/>
          <w:kern w:val="0"/>
          <w:sz w:val="32"/>
          <w:szCs w:val="32"/>
          <w:highlight w:val="none"/>
          <w:lang w:val="en-US" w:eastAsia="zh-CN"/>
        </w:rPr>
        <w:t>员工生活污水经统一收集，经化粪池预处理，满</w:t>
      </w:r>
      <w:r>
        <w:rPr>
          <w:rFonts w:hint="eastAsia" w:ascii="仿宋" w:hAnsi="仿宋" w:eastAsia="仿宋" w:cs="仿宋"/>
          <w:bCs/>
          <w:color w:val="000000"/>
          <w:kern w:val="2"/>
          <w:sz w:val="32"/>
          <w:szCs w:val="32"/>
          <w:u w:val="none"/>
          <w:lang w:val="en-US" w:eastAsia="zh-CN" w:bidi="ar"/>
        </w:rPr>
        <w:t>足《污水综合排放标》(GB8978-1996)表4中三级标准要求后（氨氮参照执行《污水排入城镇下水道水质标准》（GB/T31962-2015）B级标准），</w:t>
      </w:r>
      <w:r>
        <w:rPr>
          <w:rFonts w:hint="eastAsia" w:ascii="仿宋" w:hAnsi="仿宋" w:eastAsia="仿宋" w:cs="仿宋"/>
          <w:bCs/>
          <w:snapToGrid w:val="0"/>
          <w:kern w:val="0"/>
          <w:sz w:val="32"/>
          <w:szCs w:val="32"/>
          <w:highlight w:val="none"/>
          <w:lang w:val="en-US" w:eastAsia="zh-CN"/>
        </w:rPr>
        <w:t>经市政污水管网排入城陵矶临港产业新区污水处理厂进一步达标处理。项目建成投运后如管网未碰通，则生活污水须由罐车运至城陵矶临港产业新区污水处理厂处理。</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74" w:lineRule="exact"/>
        <w:ind w:left="0" w:right="0" w:firstLine="640"/>
        <w:jc w:val="both"/>
        <w:textAlignment w:val="auto"/>
        <w:rPr>
          <w:rFonts w:hint="eastAsia" w:ascii="仿宋" w:hAnsi="仿宋" w:eastAsia="仿宋" w:cs="仿宋"/>
          <w:bCs/>
          <w:color w:val="000000"/>
          <w:sz w:val="32"/>
          <w:szCs w:val="32"/>
          <w:u w:val="none"/>
          <w:lang w:val="en-US"/>
        </w:rPr>
      </w:pPr>
      <w:r>
        <w:rPr>
          <w:rFonts w:hint="eastAsia" w:ascii="仿宋" w:hAnsi="仿宋" w:eastAsia="仿宋" w:cs="仿宋"/>
          <w:kern w:val="2"/>
          <w:sz w:val="32"/>
          <w:szCs w:val="32"/>
          <w:u w:val="none"/>
          <w:lang w:val="en-US" w:eastAsia="zh-CN" w:bidi="ar"/>
        </w:rPr>
        <w:t>（四）</w:t>
      </w:r>
      <w:r>
        <w:rPr>
          <w:rFonts w:hint="eastAsia" w:ascii="仿宋" w:hAnsi="仿宋" w:eastAsia="仿宋" w:cs="仿宋"/>
          <w:bCs/>
          <w:color w:val="000000"/>
          <w:kern w:val="2"/>
          <w:sz w:val="32"/>
          <w:szCs w:val="32"/>
          <w:u w:val="none"/>
          <w:lang w:val="en-US" w:eastAsia="zh-CN" w:bidi="ar"/>
        </w:rPr>
        <w:t>地下水污染防治工作。按照“源头控制、分区防治、污染监控、应急响应”相结合的原则，严格落实报告书提出的地下水污染防治措施，</w:t>
      </w:r>
      <w:r>
        <w:rPr>
          <w:rFonts w:hint="eastAsia" w:ascii="仿宋" w:hAnsi="仿宋" w:eastAsia="仿宋" w:cs="仿宋"/>
          <w:bCs/>
          <w:color w:val="000000"/>
          <w:kern w:val="2"/>
          <w:sz w:val="32"/>
          <w:szCs w:val="32"/>
          <w:u w:val="single"/>
          <w:lang w:val="en-US" w:eastAsia="zh-CN" w:bidi="ar"/>
        </w:rPr>
        <w:t>做</w:t>
      </w:r>
      <w:r>
        <w:rPr>
          <w:rFonts w:hint="eastAsia" w:ascii="仿宋" w:hAnsi="仿宋" w:eastAsia="仿宋" w:cs="仿宋"/>
          <w:bCs/>
          <w:color w:val="000000"/>
          <w:kern w:val="2"/>
          <w:sz w:val="32"/>
          <w:szCs w:val="32"/>
          <w:u w:val="none"/>
          <w:lang w:val="en-US" w:eastAsia="zh-CN" w:bidi="ar"/>
        </w:rPr>
        <w:t>好项目危险废物暂存间、污水池等构筑物和污水管道等区域的防腐、防渗工作，按相关规范要求做好跟踪监测工作，确保地下水环境安全。</w:t>
      </w:r>
    </w:p>
    <w:p>
      <w:pPr>
        <w:pStyle w:val="8"/>
        <w:keepNext w:val="0"/>
        <w:keepLines w:val="0"/>
        <w:pageBreakBefore w:val="0"/>
        <w:widowControl w:val="0"/>
        <w:suppressLineNumbers w:val="0"/>
        <w:kinsoku/>
        <w:wordWrap/>
        <w:overflowPunct/>
        <w:topLinePunct w:val="0"/>
        <w:bidi w:val="0"/>
        <w:snapToGrid/>
        <w:spacing w:before="0" w:beforeAutospacing="0" w:after="0" w:afterAutospacing="0" w:line="474" w:lineRule="exact"/>
        <w:ind w:left="0" w:right="0" w:firstLine="640" w:firstLineChars="200"/>
        <w:jc w:val="both"/>
        <w:textAlignment w:val="auto"/>
        <w:rPr>
          <w:rFonts w:hint="eastAsia" w:ascii="仿宋" w:hAnsi="仿宋" w:eastAsia="仿宋" w:cs="仿宋"/>
          <w:color w:val="auto"/>
          <w:kern w:val="2"/>
          <w:sz w:val="32"/>
          <w:szCs w:val="32"/>
          <w:u w:val="none"/>
          <w:lang w:val="en-US" w:eastAsia="zh-CN" w:bidi="ar"/>
        </w:rPr>
      </w:pPr>
      <w:r>
        <w:rPr>
          <w:rFonts w:hint="eastAsia" w:ascii="仿宋" w:hAnsi="仿宋" w:eastAsia="仿宋" w:cs="仿宋"/>
          <w:color w:val="auto"/>
          <w:kern w:val="2"/>
          <w:sz w:val="32"/>
          <w:szCs w:val="32"/>
          <w:u w:val="none"/>
          <w:lang w:val="en-US" w:eastAsia="zh-CN" w:bidi="ar"/>
        </w:rPr>
        <w:t>（五）噪声防治工作。采用低噪声设备，船舶规范鸣笛，进出港区及装卸规范操作，加强对船舶及各设施设备的维护保养，对噪声产生设施设备采取隔声、减震、消声等措施，确保营运期靠近长江侧边界噪声满足《工业企业厂界环境噪声排放标准》（GB12348-2008）4类标准要求，其他厂界噪声满足《工业企业厂界环境噪声排放标准》(GB12348-2008)中的3类标准要求。</w:t>
      </w:r>
    </w:p>
    <w:p>
      <w:pPr>
        <w:keepNext w:val="0"/>
        <w:keepLines w:val="0"/>
        <w:pageBreakBefore w:val="0"/>
        <w:widowControl w:val="0"/>
        <w:suppressLineNumbers w:val="0"/>
        <w:kinsoku/>
        <w:wordWrap/>
        <w:overflowPunct/>
        <w:topLinePunct w:val="0"/>
        <w:bidi w:val="0"/>
        <w:snapToGrid/>
        <w:spacing w:before="0" w:beforeAutospacing="0" w:after="0" w:afterAutospacing="0" w:line="474" w:lineRule="exact"/>
        <w:ind w:left="0" w:right="0" w:firstLine="640"/>
        <w:jc w:val="left"/>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六）固体废物管理工作。按“无害化、减量化、资源化”原则，严格落实《船舶水污染物排放标准》（GB3552-2018）要求，到港船舶垃圾由海事部门认可的船舶污染物接收单位统一处理。按照《危险废物贮存污染控制标准（GB18597-2001）》及其2013年修改单和《</w:t>
      </w:r>
      <w:r>
        <w:rPr>
          <w:rFonts w:hint="eastAsia" w:ascii="仿宋" w:hAnsi="仿宋" w:eastAsia="仿宋" w:cs="仿宋"/>
          <w:kern w:val="2"/>
          <w:sz w:val="32"/>
          <w:szCs w:val="32"/>
          <w:u w:val="none"/>
          <w:lang w:val="en-US" w:eastAsia="zh-CN" w:bidi="ar"/>
        </w:rPr>
        <w:fldChar w:fldCharType="begin"/>
      </w:r>
      <w:r>
        <w:rPr>
          <w:rFonts w:hint="eastAsia" w:ascii="仿宋" w:hAnsi="仿宋" w:eastAsia="仿宋" w:cs="仿宋"/>
          <w:kern w:val="2"/>
          <w:sz w:val="32"/>
          <w:szCs w:val="32"/>
          <w:u w:val="none"/>
          <w:lang w:val="en-US" w:eastAsia="zh-CN" w:bidi="ar"/>
        </w:rPr>
        <w:instrText xml:space="preserve"> HYPERLINK "http://www.mee.gov.cn/ywgz/fgbz/bz/bzwb/gthw/gtfwwrkzbz/202012/W020201218695845325455.pdf" </w:instrText>
      </w:r>
      <w:r>
        <w:rPr>
          <w:rFonts w:hint="eastAsia" w:ascii="仿宋" w:hAnsi="仿宋" w:eastAsia="仿宋" w:cs="仿宋"/>
          <w:kern w:val="2"/>
          <w:sz w:val="32"/>
          <w:szCs w:val="32"/>
          <w:u w:val="none"/>
          <w:lang w:val="en-US" w:eastAsia="zh-CN" w:bidi="ar"/>
        </w:rPr>
        <w:fldChar w:fldCharType="separate"/>
      </w:r>
      <w:r>
        <w:rPr>
          <w:rStyle w:val="12"/>
          <w:rFonts w:hint="eastAsia" w:ascii="仿宋" w:hAnsi="仿宋" w:eastAsia="仿宋" w:cs="仿宋"/>
          <w:color w:val="auto"/>
          <w:sz w:val="32"/>
          <w:szCs w:val="32"/>
          <w:u w:val="none"/>
          <w:lang w:val="en-US"/>
        </w:rPr>
        <w:t>一般工业固体废物贮存和填埋污染控制标准（GB18599-2020）</w:t>
      </w:r>
      <w:r>
        <w:rPr>
          <w:rFonts w:hint="eastAsia" w:ascii="仿宋" w:hAnsi="仿宋" w:eastAsia="仿宋" w:cs="仿宋"/>
          <w:kern w:val="2"/>
          <w:sz w:val="32"/>
          <w:szCs w:val="32"/>
          <w:u w:val="none"/>
          <w:lang w:val="en-US" w:eastAsia="zh-CN" w:bidi="ar"/>
        </w:rPr>
        <w:fldChar w:fldCharType="end"/>
      </w:r>
      <w:r>
        <w:rPr>
          <w:rFonts w:hint="eastAsia" w:ascii="仿宋" w:hAnsi="仿宋" w:eastAsia="仿宋" w:cs="仿宋"/>
          <w:kern w:val="2"/>
          <w:sz w:val="32"/>
          <w:szCs w:val="32"/>
          <w:u w:val="none"/>
          <w:lang w:val="en-US" w:eastAsia="zh-CN" w:bidi="ar"/>
        </w:rPr>
        <w:t>》相关标准和规定要求，规范建设危险废物暂存间和一般工业固体废物暂存区，做好固体分类收集、暂存工作，建立健全固体废物产生、转运、处置管理台帐。项目运营产生的含油抹布、废油等危险废物经收集后交有资质的单位安全处置并严格执行转移联单制度；污水收集池污泥经收集后规范处理；码头员工生活垃圾交由环卫部门统一清运。</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74"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七）环境管理和风险防范工作。设置专门环保机构，配备专职环保管理人员，加强日常监管，落实好水域、码头区、陆域区的各项生态保护措施。加强对到港船只的管理，加强运营日常监管，落实好巡检维护工作，确保各污染防治设施的正常运行，各类污染物稳定达标排放。</w:t>
      </w:r>
      <w:r>
        <w:rPr>
          <w:rFonts w:hint="eastAsia" w:ascii="仿宋" w:hAnsi="仿宋" w:eastAsia="仿宋" w:cs="仿宋"/>
          <w:sz w:val="32"/>
          <w:szCs w:val="32"/>
          <w:highlight w:val="none"/>
        </w:rPr>
        <w:t>建立工程运行水生态保护协调沟通机制，加强与</w:t>
      </w:r>
      <w:r>
        <w:rPr>
          <w:rFonts w:hint="eastAsia" w:ascii="仿宋" w:hAnsi="仿宋" w:eastAsia="仿宋" w:cs="仿宋"/>
          <w:sz w:val="32"/>
          <w:szCs w:val="32"/>
          <w:highlight w:val="none"/>
          <w:lang w:eastAsia="zh-CN"/>
        </w:rPr>
        <w:t>交通、海事</w:t>
      </w:r>
      <w:r>
        <w:rPr>
          <w:rFonts w:hint="eastAsia" w:ascii="仿宋" w:hAnsi="仿宋" w:eastAsia="仿宋" w:cs="仿宋"/>
          <w:sz w:val="32"/>
          <w:szCs w:val="32"/>
          <w:highlight w:val="none"/>
        </w:rPr>
        <w:t>管理机构、当地渔业主管部门的</w:t>
      </w:r>
      <w:r>
        <w:rPr>
          <w:rFonts w:hint="eastAsia" w:ascii="仿宋" w:hAnsi="仿宋" w:eastAsia="仿宋" w:cs="仿宋"/>
          <w:sz w:val="32"/>
          <w:szCs w:val="32"/>
          <w:highlight w:val="none"/>
          <w:lang w:eastAsia="zh-CN"/>
        </w:rPr>
        <w:t>联系</w:t>
      </w:r>
      <w:r>
        <w:rPr>
          <w:rFonts w:hint="eastAsia" w:ascii="仿宋" w:hAnsi="仿宋" w:eastAsia="仿宋" w:cs="仿宋"/>
          <w:sz w:val="32"/>
          <w:szCs w:val="32"/>
          <w:highlight w:val="none"/>
        </w:rPr>
        <w:t>，共同维护</w:t>
      </w:r>
      <w:r>
        <w:rPr>
          <w:rFonts w:hint="eastAsia" w:ascii="仿宋" w:hAnsi="仿宋" w:eastAsia="仿宋" w:cs="仿宋"/>
          <w:sz w:val="32"/>
          <w:szCs w:val="32"/>
          <w:highlight w:val="none"/>
          <w:lang w:eastAsia="zh-CN"/>
        </w:rPr>
        <w:t>好</w:t>
      </w:r>
      <w:r>
        <w:rPr>
          <w:rFonts w:hint="eastAsia" w:ascii="仿宋" w:hAnsi="仿宋" w:eastAsia="仿宋" w:cs="仿宋"/>
          <w:sz w:val="32"/>
          <w:szCs w:val="32"/>
          <w:highlight w:val="none"/>
        </w:rPr>
        <w:t>保护区水生态</w:t>
      </w:r>
      <w:r>
        <w:rPr>
          <w:rFonts w:hint="eastAsia" w:ascii="仿宋" w:hAnsi="仿宋" w:eastAsia="仿宋" w:cs="仿宋"/>
          <w:sz w:val="32"/>
          <w:szCs w:val="32"/>
          <w:highlight w:val="none"/>
          <w:lang w:eastAsia="zh-CN"/>
        </w:rPr>
        <w:t>环境。</w:t>
      </w:r>
      <w:r>
        <w:rPr>
          <w:rFonts w:hint="eastAsia" w:ascii="仿宋" w:hAnsi="仿宋" w:eastAsia="仿宋" w:cs="仿宋"/>
          <w:kern w:val="2"/>
          <w:sz w:val="32"/>
          <w:szCs w:val="32"/>
          <w:u w:val="none"/>
          <w:lang w:val="en-US" w:eastAsia="zh-CN" w:bidi="ar"/>
        </w:rPr>
        <w:t>加强环境风险管理，按照《突发环境事件应急管理办法》制订突发环境事件应急预案，严格落实报告书提出的各项环境风险防范措施，按主管部门要求规范配齐各类泄漏检测预警和监控通信、应急设施设备，规范设置溢油应急措施，成立专职应急处理队伍，规范储备风险应急设备及物资并定期组织演练，杜绝环境风险事故发生，确保周边环境安全。</w:t>
      </w:r>
    </w:p>
    <w:p>
      <w:pPr>
        <w:keepNext w:val="0"/>
        <w:keepLines w:val="0"/>
        <w:pageBreakBefore w:val="0"/>
        <w:widowControl w:val="0"/>
        <w:suppressLineNumbers w:val="0"/>
        <w:kinsoku/>
        <w:wordWrap/>
        <w:overflowPunct/>
        <w:topLinePunct w:val="0"/>
        <w:bidi w:val="0"/>
        <w:snapToGrid/>
        <w:spacing w:before="0" w:beforeAutospacing="0" w:after="0" w:afterAutospacing="0" w:line="474"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三、你公司应在收到本批复后15个工作日内，将批复及批准的环评报告文本送至岳阳市生态环境局云溪分局、武汉市伊美净科技发展有限公司。</w:t>
      </w:r>
    </w:p>
    <w:p>
      <w:pPr>
        <w:keepNext w:val="0"/>
        <w:keepLines w:val="0"/>
        <w:pageBreakBefore w:val="0"/>
        <w:widowControl w:val="0"/>
        <w:suppressLineNumbers w:val="0"/>
        <w:kinsoku/>
        <w:wordWrap/>
        <w:overflowPunct/>
        <w:topLinePunct w:val="0"/>
        <w:bidi w:val="0"/>
        <w:snapToGrid/>
        <w:spacing w:before="0" w:beforeAutospacing="0" w:after="0" w:afterAutospacing="0" w:line="474" w:lineRule="exact"/>
        <w:ind w:left="0" w:right="0" w:firstLine="64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四、请岳阳市生态环境局云溪分局负责项目建设和运营期的日常环境监管。</w:t>
      </w:r>
    </w:p>
    <w:p>
      <w:pPr>
        <w:pStyle w:val="3"/>
        <w:rPr>
          <w:rFonts w:hint="eastAsia" w:ascii="仿宋" w:hAnsi="仿宋" w:eastAsia="仿宋" w:cs="仿宋"/>
          <w:sz w:val="32"/>
          <w:szCs w:val="32"/>
          <w:u w:val="single"/>
          <w:lang w:val="en-US" w:eastAsia="zh-CN"/>
        </w:rPr>
      </w:pPr>
    </w:p>
    <w:p>
      <w:pPr>
        <w:pStyle w:val="3"/>
        <w:rPr>
          <w:rFonts w:hint="eastAsia" w:ascii="仿宋" w:hAnsi="仿宋" w:eastAsia="仿宋" w:cs="仿宋"/>
          <w:sz w:val="32"/>
          <w:szCs w:val="32"/>
          <w:u w:val="single"/>
          <w:lang w:val="en-US" w:eastAsia="zh-CN"/>
        </w:rPr>
      </w:pPr>
    </w:p>
    <w:p>
      <w:pPr>
        <w:pStyle w:val="3"/>
        <w:rPr>
          <w:rFonts w:hint="eastAsia" w:ascii="仿宋" w:hAnsi="仿宋" w:eastAsia="仿宋" w:cs="仿宋"/>
          <w:sz w:val="32"/>
          <w:szCs w:val="32"/>
          <w:u w:val="single"/>
          <w:lang w:val="en-US" w:eastAsia="zh-CN"/>
        </w:rPr>
      </w:pPr>
    </w:p>
    <w:p>
      <w:pPr>
        <w:pStyle w:val="3"/>
        <w:rPr>
          <w:rFonts w:hint="eastAsia" w:ascii="仿宋" w:hAnsi="仿宋" w:eastAsia="仿宋" w:cs="仿宋"/>
          <w:sz w:val="32"/>
          <w:szCs w:val="32"/>
          <w:u w:val="single"/>
        </w:rPr>
      </w:pPr>
    </w:p>
    <w:p>
      <w:pPr>
        <w:spacing w:line="460" w:lineRule="exact"/>
        <w:ind w:firstLine="4800" w:firstLineChars="15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岳阳市生态环境局</w:t>
      </w:r>
    </w:p>
    <w:p>
      <w:pPr>
        <w:spacing w:line="460" w:lineRule="exact"/>
        <w:ind w:firstLine="64" w:firstLineChars="2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                              202</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12</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29</w:t>
      </w:r>
      <w:r>
        <w:rPr>
          <w:rFonts w:hint="eastAsia" w:ascii="仿宋" w:hAnsi="仿宋" w:eastAsia="仿宋" w:cs="仿宋"/>
          <w:color w:val="auto"/>
          <w:sz w:val="32"/>
          <w:szCs w:val="32"/>
          <w:u w:val="none"/>
        </w:rPr>
        <w:t>日</w:t>
      </w:r>
    </w:p>
    <w:p>
      <w:pPr>
        <w:ind w:firstLine="0" w:firstLineChars="0"/>
        <w:rPr>
          <w:rFonts w:hint="eastAsia" w:ascii="仿宋" w:hAnsi="仿宋" w:eastAsia="仿宋" w:cs="仿宋"/>
          <w:color w:val="F79646"/>
          <w:sz w:val="32"/>
          <w:szCs w:val="32"/>
          <w:u w:val="none"/>
        </w:rPr>
      </w:pPr>
      <w:bookmarkStart w:id="2" w:name="_GoBack"/>
      <w:bookmarkEnd w:id="2"/>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raditional Arabic">
    <w:altName w:val="Times New Roman"/>
    <w:panose1 w:val="02020603050405020304"/>
    <w:charset w:val="00"/>
    <w:family w:val="auto"/>
    <w:pitch w:val="default"/>
    <w:sig w:usb0="00000000" w:usb1="0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2</w:t>
    </w:r>
    <w: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1079C4"/>
    <w:rsid w:val="001A5241"/>
    <w:rsid w:val="001C31CD"/>
    <w:rsid w:val="002A39DE"/>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F11053"/>
    <w:rsid w:val="00FE58FE"/>
    <w:rsid w:val="015224BD"/>
    <w:rsid w:val="01891285"/>
    <w:rsid w:val="01B0D7D3"/>
    <w:rsid w:val="028A44CD"/>
    <w:rsid w:val="02DD4630"/>
    <w:rsid w:val="033169AF"/>
    <w:rsid w:val="041A2636"/>
    <w:rsid w:val="04B02432"/>
    <w:rsid w:val="051C64AB"/>
    <w:rsid w:val="05C60FBA"/>
    <w:rsid w:val="06125F58"/>
    <w:rsid w:val="067A7CA7"/>
    <w:rsid w:val="06CB2A85"/>
    <w:rsid w:val="06E758F6"/>
    <w:rsid w:val="06EB2968"/>
    <w:rsid w:val="08381375"/>
    <w:rsid w:val="086F61D4"/>
    <w:rsid w:val="08D764E3"/>
    <w:rsid w:val="08E21B49"/>
    <w:rsid w:val="096E1B37"/>
    <w:rsid w:val="0AD77DB8"/>
    <w:rsid w:val="0D040868"/>
    <w:rsid w:val="0D5D626B"/>
    <w:rsid w:val="0E5D61F2"/>
    <w:rsid w:val="0EF3390B"/>
    <w:rsid w:val="100D774C"/>
    <w:rsid w:val="1073CCF6"/>
    <w:rsid w:val="10A5534F"/>
    <w:rsid w:val="119F4A7B"/>
    <w:rsid w:val="14C63CC0"/>
    <w:rsid w:val="14D202B4"/>
    <w:rsid w:val="15455939"/>
    <w:rsid w:val="16A164D9"/>
    <w:rsid w:val="171F00EF"/>
    <w:rsid w:val="17301CE7"/>
    <w:rsid w:val="17DC26EE"/>
    <w:rsid w:val="188C3E91"/>
    <w:rsid w:val="196953A5"/>
    <w:rsid w:val="19EC2E96"/>
    <w:rsid w:val="19FA7936"/>
    <w:rsid w:val="1A23645B"/>
    <w:rsid w:val="1B2A2304"/>
    <w:rsid w:val="1BDE770D"/>
    <w:rsid w:val="1D6D3C7F"/>
    <w:rsid w:val="1E242A34"/>
    <w:rsid w:val="203C3DDD"/>
    <w:rsid w:val="20605D1D"/>
    <w:rsid w:val="20E01AC9"/>
    <w:rsid w:val="22455B39"/>
    <w:rsid w:val="22EE048C"/>
    <w:rsid w:val="2425BFD6"/>
    <w:rsid w:val="245D260E"/>
    <w:rsid w:val="27AEFAF6"/>
    <w:rsid w:val="29F6041F"/>
    <w:rsid w:val="2AF552B4"/>
    <w:rsid w:val="2BAD5B8F"/>
    <w:rsid w:val="2C156E34"/>
    <w:rsid w:val="2D3E0DCC"/>
    <w:rsid w:val="2D450E8A"/>
    <w:rsid w:val="2DC7541F"/>
    <w:rsid w:val="2E243CBA"/>
    <w:rsid w:val="2E620EB2"/>
    <w:rsid w:val="2FA74602"/>
    <w:rsid w:val="2FBC6DA7"/>
    <w:rsid w:val="33F11A54"/>
    <w:rsid w:val="352B4C2C"/>
    <w:rsid w:val="35556D3E"/>
    <w:rsid w:val="36750FCA"/>
    <w:rsid w:val="369C209D"/>
    <w:rsid w:val="37111565"/>
    <w:rsid w:val="37CF1C23"/>
    <w:rsid w:val="387009C5"/>
    <w:rsid w:val="388724AA"/>
    <w:rsid w:val="394748FE"/>
    <w:rsid w:val="3983357B"/>
    <w:rsid w:val="39924689"/>
    <w:rsid w:val="39DD195D"/>
    <w:rsid w:val="3A347D5A"/>
    <w:rsid w:val="3A374274"/>
    <w:rsid w:val="3AD44EE6"/>
    <w:rsid w:val="3B4EB73D"/>
    <w:rsid w:val="3E0C2FCD"/>
    <w:rsid w:val="3E7167B7"/>
    <w:rsid w:val="3F2E34FD"/>
    <w:rsid w:val="3F5B1078"/>
    <w:rsid w:val="42E61FBC"/>
    <w:rsid w:val="44D3620E"/>
    <w:rsid w:val="44F62D5B"/>
    <w:rsid w:val="45057278"/>
    <w:rsid w:val="45222FEE"/>
    <w:rsid w:val="456606EF"/>
    <w:rsid w:val="45752376"/>
    <w:rsid w:val="463D0684"/>
    <w:rsid w:val="488501FF"/>
    <w:rsid w:val="48945CB4"/>
    <w:rsid w:val="4BF673A4"/>
    <w:rsid w:val="4CC90714"/>
    <w:rsid w:val="4CF4811B"/>
    <w:rsid w:val="4D144A97"/>
    <w:rsid w:val="4D58B1EE"/>
    <w:rsid w:val="4DA34F38"/>
    <w:rsid w:val="4E688D3F"/>
    <w:rsid w:val="4E710BC7"/>
    <w:rsid w:val="503E2640"/>
    <w:rsid w:val="51BC0040"/>
    <w:rsid w:val="52521775"/>
    <w:rsid w:val="53CE7F9E"/>
    <w:rsid w:val="54AB6860"/>
    <w:rsid w:val="54CF2159"/>
    <w:rsid w:val="56A641D2"/>
    <w:rsid w:val="56C4B182"/>
    <w:rsid w:val="57160908"/>
    <w:rsid w:val="574F20E5"/>
    <w:rsid w:val="576E079A"/>
    <w:rsid w:val="57865553"/>
    <w:rsid w:val="58415EB1"/>
    <w:rsid w:val="593740D0"/>
    <w:rsid w:val="59C3875F"/>
    <w:rsid w:val="5ADC59C5"/>
    <w:rsid w:val="5B1C2265"/>
    <w:rsid w:val="5B33135D"/>
    <w:rsid w:val="5DA06CA0"/>
    <w:rsid w:val="5EB95FC1"/>
    <w:rsid w:val="5ED32983"/>
    <w:rsid w:val="5F19481B"/>
    <w:rsid w:val="5F8D3732"/>
    <w:rsid w:val="600BACD0"/>
    <w:rsid w:val="61025870"/>
    <w:rsid w:val="615B2711"/>
    <w:rsid w:val="62486A56"/>
    <w:rsid w:val="645390CB"/>
    <w:rsid w:val="64BC3905"/>
    <w:rsid w:val="64BE25DF"/>
    <w:rsid w:val="650224CC"/>
    <w:rsid w:val="669B46FA"/>
    <w:rsid w:val="67957627"/>
    <w:rsid w:val="6984AC29"/>
    <w:rsid w:val="6A5937C3"/>
    <w:rsid w:val="6A794491"/>
    <w:rsid w:val="6AA84AAF"/>
    <w:rsid w:val="6B1747F7"/>
    <w:rsid w:val="6C2C6FA8"/>
    <w:rsid w:val="6C5117E7"/>
    <w:rsid w:val="6CB31985"/>
    <w:rsid w:val="6D9D190F"/>
    <w:rsid w:val="6E9B4AF8"/>
    <w:rsid w:val="6EC00FFC"/>
    <w:rsid w:val="6F2DCDBF"/>
    <w:rsid w:val="6FF1DE50"/>
    <w:rsid w:val="70626A59"/>
    <w:rsid w:val="70661847"/>
    <w:rsid w:val="712F0C92"/>
    <w:rsid w:val="72126810"/>
    <w:rsid w:val="73442398"/>
    <w:rsid w:val="734E92DB"/>
    <w:rsid w:val="736D08BC"/>
    <w:rsid w:val="7512B24F"/>
    <w:rsid w:val="753D0121"/>
    <w:rsid w:val="765E32DA"/>
    <w:rsid w:val="76B63116"/>
    <w:rsid w:val="76F123A0"/>
    <w:rsid w:val="772324C5"/>
    <w:rsid w:val="77D36B62"/>
    <w:rsid w:val="790E62D1"/>
    <w:rsid w:val="79905EA0"/>
    <w:rsid w:val="7A6C39F7"/>
    <w:rsid w:val="7AAA3570"/>
    <w:rsid w:val="7AD17C0A"/>
    <w:rsid w:val="7B644EB3"/>
    <w:rsid w:val="7C5232BC"/>
    <w:rsid w:val="7CA64316"/>
    <w:rsid w:val="7DEC1BF7"/>
    <w:rsid w:val="7E6416AA"/>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ind w:firstLine="21" w:firstLineChars="200"/>
    </w:pPr>
    <w:rPr>
      <w:rFonts w:ascii="Times New Roman" w:hAnsi="Times New Roman" w:eastAsia="微软雅黑" w:cs="宋体"/>
      <w:lang w:val="en-US" w:eastAsia="zh-CN" w:bidi="ar-SA"/>
    </w:rPr>
  </w:style>
  <w:style w:type="character" w:default="1" w:styleId="11">
    <w:name w:val="Default Paragraph Font"/>
    <w:qFormat/>
    <w:uiPriority w:val="0"/>
    <w:rPr>
      <w:rFonts w:ascii="Calibri" w:hAnsi="Calibri" w:eastAsia="微软雅黑" w:cs="宋体"/>
    </w:rPr>
  </w:style>
  <w:style w:type="table" w:default="1" w:styleId="10">
    <w:name w:val="Normal Table"/>
    <w:qFormat/>
    <w:uiPriority w:val="0"/>
    <w:rPr>
      <w:rFonts w:ascii="Calibri" w:hAnsi="Calibri" w:eastAsia="微软雅黑" w:cs="宋体"/>
    </w:rPr>
    <w:tblPr>
      <w:tblCellMar>
        <w:top w:w="0" w:type="dxa"/>
        <w:left w:w="108" w:type="dxa"/>
        <w:bottom w:w="0" w:type="dxa"/>
        <w:right w:w="108" w:type="dxa"/>
      </w:tblCellMar>
    </w:tblPr>
  </w:style>
  <w:style w:type="paragraph" w:styleId="2">
    <w:name w:val="Body Text 2"/>
    <w:basedOn w:val="1"/>
    <w:qFormat/>
    <w:uiPriority w:val="0"/>
    <w:pPr>
      <w:spacing w:line="240" w:lineRule="auto"/>
      <w:jc w:val="center"/>
    </w:pPr>
    <w:rPr>
      <w:color w:val="000000"/>
      <w:szCs w:val="20"/>
    </w:rPr>
  </w:style>
  <w:style w:type="paragraph" w:styleId="3">
    <w:name w:val="Body Text"/>
    <w:basedOn w:val="1"/>
    <w:next w:val="4"/>
    <w:qFormat/>
    <w:uiPriority w:val="0"/>
    <w:pPr>
      <w:spacing w:after="120"/>
    </w:pPr>
  </w:style>
  <w:style w:type="paragraph" w:customStyle="1" w:styleId="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Indent 2"/>
    <w:basedOn w:val="1"/>
    <w:next w:val="1"/>
    <w:qFormat/>
    <w:uiPriority w:val="0"/>
    <w:pPr>
      <w:spacing w:after="120" w:line="480" w:lineRule="auto"/>
      <w:ind w:left="420" w:leftChars="200"/>
    </w:pPr>
    <w:rPr>
      <w:rFonts w:eastAsia="宋体"/>
      <w:szCs w:val="24"/>
    </w:rPr>
  </w:style>
  <w:style w:type="paragraph" w:styleId="6">
    <w:name w:val="footer"/>
    <w:basedOn w:val="1"/>
    <w:link w:val="15"/>
    <w:qFormat/>
    <w:uiPriority w:val="0"/>
    <w:pPr>
      <w:tabs>
        <w:tab w:val="center" w:pos="4153"/>
        <w:tab w:val="right" w:pos="8306"/>
      </w:tabs>
      <w:snapToGrid w:val="0"/>
      <w:jc w:val="left"/>
    </w:pPr>
    <w:rPr>
      <w:rFonts w:ascii="Calibri" w:hAnsi="Calibri" w:eastAsia="微软雅黑" w:cs="宋体"/>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8">
    <w:name w:val="Normal (Web)"/>
    <w:basedOn w:val="1"/>
    <w:qFormat/>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paragraph" w:styleId="9">
    <w:name w:val="Body Text First Indent"/>
    <w:basedOn w:val="3"/>
    <w:next w:val="1"/>
    <w:qFormat/>
    <w:uiPriority w:val="0"/>
    <w:pPr>
      <w:spacing w:after="120"/>
      <w:ind w:firstLine="420" w:firstLineChars="100"/>
      <w:jc w:val="both"/>
    </w:pPr>
    <w:rPr>
      <w:sz w:val="21"/>
    </w:rPr>
  </w:style>
  <w:style w:type="character" w:styleId="12">
    <w:name w:val="Hyperlink"/>
    <w:basedOn w:val="11"/>
    <w:qFormat/>
    <w:uiPriority w:val="0"/>
    <w:rPr>
      <w:color w:val="0000FF"/>
      <w:u w:val="single"/>
    </w:rPr>
  </w:style>
  <w:style w:type="paragraph" w:customStyle="1" w:styleId="13">
    <w:name w:val="Default2"/>
    <w:next w:val="14"/>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14">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character" w:customStyle="1" w:styleId="15">
    <w:name w:val="页脚 Char"/>
    <w:link w:val="6"/>
    <w:qFormat/>
    <w:uiPriority w:val="0"/>
    <w:rPr>
      <w:rFonts w:ascii="Calibri" w:hAnsi="Calibri" w:eastAsia="微软雅黑" w:cs="宋体"/>
      <w:sz w:val="18"/>
      <w:szCs w:val="18"/>
    </w:rPr>
  </w:style>
  <w:style w:type="character" w:customStyle="1" w:styleId="16">
    <w:name w:val="页眉 Char"/>
    <w:link w:val="7"/>
    <w:qFormat/>
    <w:uiPriority w:val="0"/>
    <w:rPr>
      <w:rFonts w:ascii="Calibri" w:hAnsi="Calibri" w:eastAsia="微软雅黑" w:cs="宋体"/>
      <w:sz w:val="18"/>
      <w:szCs w:val="18"/>
    </w:rPr>
  </w:style>
  <w:style w:type="paragraph" w:customStyle="1" w:styleId="17">
    <w:name w:val="0"/>
    <w:basedOn w:val="1"/>
    <w:qFormat/>
    <w:uiPriority w:val="0"/>
    <w:pPr>
      <w:widowControl/>
      <w:snapToGrid w:val="0"/>
      <w:spacing w:line="365" w:lineRule="atLeast"/>
      <w:ind w:left="1"/>
      <w:textAlignment w:val="bottom"/>
    </w:pPr>
    <w:rPr>
      <w:rFonts w:ascii="Calibri" w:hAnsi="Calibri" w:eastAsia="微软雅黑" w:cs="宋体"/>
    </w:rPr>
  </w:style>
  <w:style w:type="paragraph" w:customStyle="1" w:styleId="18">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19">
    <w:name w:val="WPS Plain"/>
    <w:qFormat/>
    <w:uiPriority w:val="0"/>
    <w:rPr>
      <w:rFonts w:ascii="Times New Roman" w:hAnsi="Times New Roman" w:eastAsia="微软雅黑" w:cs="宋体"/>
      <w:lang w:val="en-US" w:eastAsia="zh-CN" w:bidi="ar-SA"/>
    </w:rPr>
  </w:style>
  <w:style w:type="paragraph" w:customStyle="1" w:styleId="20">
    <w:name w:val="T正文"/>
    <w:basedOn w:val="1"/>
    <w:qFormat/>
    <w:uiPriority w:val="0"/>
    <w:pPr>
      <w:spacing w:beforeLines="0" w:afterLines="0" w:line="440" w:lineRule="exact"/>
      <w:ind w:firstLine="600" w:firstLineChars="200"/>
      <w:jc w:val="both"/>
    </w:pPr>
    <w:rPr>
      <w:rFonts w:hint="default" w:ascii="Times New Roman"/>
      <w:color w:val="F7964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3166</Words>
  <Characters>3374</Characters>
  <Lines>13</Lines>
  <Paragraphs>3</Paragraphs>
  <TotalTime>3</TotalTime>
  <ScaleCrop>false</ScaleCrop>
  <LinksUpToDate>false</LinksUpToDate>
  <CharactersWithSpaces>3494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2022-07-22T14:58:00Z</cp:lastPrinted>
  <dcterms:modified xsi:type="dcterms:W3CDTF">2023-01-03T03:29:32Z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FB154FB68F77493491117C7004D87E10</vt:lpwstr>
  </property>
</Properties>
</file>