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overflowPunct/>
        <w:topLinePunct w:val="0"/>
        <w:bidi w:val="0"/>
        <w:spacing w:before="120" w:beforeLines="50" w:beforeAutospacing="0" w:after="120" w:afterLines="50" w:afterAutospacing="0" w:line="460" w:lineRule="exact"/>
        <w:ind w:left="0" w:right="317"/>
        <w:jc w:val="right"/>
        <w:textAlignment w:val="auto"/>
        <w:rPr>
          <w:rFonts w:hint="eastAsia" w:ascii="仿宋" w:hAnsi="仿宋" w:eastAsia="仿宋" w:cs="仿宋"/>
          <w:sz w:val="30"/>
          <w:szCs w:val="30"/>
          <w:lang w:eastAsia="zh-CN"/>
        </w:rPr>
      </w:pPr>
    </w:p>
    <w:p>
      <w:pPr>
        <w:pStyle w:val="4"/>
        <w:keepNext w:val="0"/>
        <w:keepLines w:val="0"/>
        <w:pageBreakBefore w:val="0"/>
        <w:widowControl/>
        <w:kinsoku/>
        <w:overflowPunct/>
        <w:topLinePunct w:val="0"/>
        <w:bidi w:val="0"/>
        <w:spacing w:before="120" w:beforeLines="50" w:beforeAutospacing="0" w:after="120" w:afterLines="50" w:afterAutospacing="0" w:line="460" w:lineRule="exact"/>
        <w:ind w:left="0" w:right="317"/>
        <w:jc w:val="right"/>
        <w:textAlignment w:val="auto"/>
        <w:rPr>
          <w:rFonts w:hint="eastAsia" w:ascii="仿宋" w:hAnsi="仿宋" w:eastAsia="仿宋" w:cs="仿宋"/>
          <w:sz w:val="30"/>
          <w:szCs w:val="30"/>
          <w:lang w:eastAsia="zh-CN"/>
        </w:rPr>
      </w:pPr>
    </w:p>
    <w:p>
      <w:pPr>
        <w:pStyle w:val="4"/>
        <w:keepNext w:val="0"/>
        <w:keepLines w:val="0"/>
        <w:pageBreakBefore w:val="0"/>
        <w:widowControl/>
        <w:kinsoku/>
        <w:overflowPunct/>
        <w:topLinePunct w:val="0"/>
        <w:bidi w:val="0"/>
        <w:spacing w:before="120" w:beforeLines="50" w:beforeAutospacing="0" w:after="120" w:afterLines="50" w:afterAutospacing="0" w:line="460" w:lineRule="exact"/>
        <w:ind w:left="0" w:right="317"/>
        <w:jc w:val="right"/>
        <w:textAlignment w:val="auto"/>
        <w:rPr>
          <w:rFonts w:hint="eastAsia" w:ascii="仿宋" w:hAnsi="仿宋" w:eastAsia="仿宋" w:cs="仿宋"/>
          <w:sz w:val="30"/>
          <w:szCs w:val="30"/>
          <w:lang w:eastAsia="zh-CN"/>
        </w:rPr>
      </w:pPr>
    </w:p>
    <w:p>
      <w:pPr>
        <w:pStyle w:val="4"/>
        <w:keepNext w:val="0"/>
        <w:keepLines w:val="0"/>
        <w:pageBreakBefore w:val="0"/>
        <w:widowControl/>
        <w:kinsoku/>
        <w:overflowPunct/>
        <w:topLinePunct w:val="0"/>
        <w:bidi w:val="0"/>
        <w:spacing w:before="120" w:beforeLines="50" w:beforeAutospacing="0" w:after="120" w:afterLines="50" w:afterAutospacing="0" w:line="460" w:lineRule="exact"/>
        <w:ind w:left="0" w:right="317"/>
        <w:jc w:val="right"/>
        <w:textAlignment w:val="auto"/>
        <w:rPr>
          <w:rFonts w:hint="eastAsia" w:ascii="仿宋" w:hAnsi="仿宋" w:eastAsia="仿宋" w:cs="仿宋"/>
          <w:kern w:val="2"/>
          <w:sz w:val="30"/>
          <w:szCs w:val="30"/>
          <w:lang w:val="en-US"/>
        </w:rPr>
      </w:pPr>
      <w:r>
        <w:rPr>
          <w:rFonts w:hint="eastAsia" w:ascii="仿宋" w:hAnsi="仿宋" w:eastAsia="仿宋" w:cs="仿宋"/>
          <w:sz w:val="30"/>
          <w:szCs w:val="30"/>
          <w:lang w:eastAsia="zh-CN"/>
        </w:rPr>
        <w:t>岳环评〔</w:t>
      </w:r>
      <w:r>
        <w:rPr>
          <w:rFonts w:hint="eastAsia" w:ascii="仿宋" w:hAnsi="仿宋" w:eastAsia="仿宋" w:cs="仿宋"/>
          <w:sz w:val="30"/>
          <w:szCs w:val="30"/>
          <w:lang w:val="en-US"/>
        </w:rPr>
        <w:t>2023</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bookmarkStart w:id="0" w:name="_GoBack"/>
      <w:bookmarkEnd w:id="0"/>
      <w:r>
        <w:rPr>
          <w:rFonts w:hint="eastAsia" w:ascii="仿宋" w:hAnsi="仿宋" w:eastAsia="仿宋" w:cs="仿宋"/>
          <w:sz w:val="30"/>
          <w:szCs w:val="30"/>
          <w:lang w:eastAsia="zh-CN"/>
        </w:rPr>
        <w:t>号</w:t>
      </w:r>
    </w:p>
    <w:p>
      <w:pPr>
        <w:keepNext w:val="0"/>
        <w:keepLines w:val="0"/>
        <w:pageBreakBefore w:val="0"/>
        <w:widowControl w:val="0"/>
        <w:suppressLineNumbers w:val="0"/>
        <w:kinsoku/>
        <w:overflowPunct/>
        <w:topLinePunct w:val="0"/>
        <w:bidi w:val="0"/>
        <w:spacing w:before="0" w:beforeAutospacing="0" w:after="120" w:afterLines="50" w:afterAutospacing="0" w:line="460" w:lineRule="exact"/>
        <w:ind w:left="0" w:right="0"/>
        <w:jc w:val="center"/>
        <w:textAlignment w:val="auto"/>
        <w:rPr>
          <w:rFonts w:hint="eastAsia" w:ascii="仿宋" w:hAnsi="仿宋" w:eastAsia="仿宋" w:cs="仿宋"/>
          <w:b/>
          <w:bCs/>
          <w:spacing w:val="-20"/>
          <w:sz w:val="36"/>
          <w:szCs w:val="36"/>
          <w:lang w:val="en-US"/>
        </w:rPr>
      </w:pPr>
      <w:r>
        <w:rPr>
          <w:rFonts w:hint="eastAsia" w:ascii="仿宋" w:hAnsi="仿宋" w:eastAsia="仿宋" w:cs="仿宋"/>
          <w:b/>
          <w:bCs/>
          <w:spacing w:val="-20"/>
          <w:w w:val="98"/>
          <w:kern w:val="0"/>
          <w:sz w:val="36"/>
          <w:szCs w:val="36"/>
          <w:lang w:val="en-US" w:eastAsia="zh-CN" w:bidi="ar"/>
        </w:rPr>
        <w:t>关于</w:t>
      </w:r>
      <w:r>
        <w:rPr>
          <w:rFonts w:hint="eastAsia" w:ascii="仿宋" w:hAnsi="仿宋" w:eastAsia="仿宋" w:cs="仿宋"/>
          <w:b/>
          <w:bCs/>
          <w:spacing w:val="-20"/>
          <w:kern w:val="2"/>
          <w:sz w:val="36"/>
          <w:szCs w:val="36"/>
          <w:lang w:val="en-US" w:eastAsia="zh-CN" w:bidi="ar"/>
        </w:rPr>
        <w:t>汽车零部件及工程机械液压元件项目环境影响报告书</w:t>
      </w:r>
      <w:r>
        <w:rPr>
          <w:rFonts w:hint="eastAsia" w:ascii="仿宋" w:hAnsi="仿宋" w:eastAsia="仿宋" w:cs="仿宋"/>
          <w:b/>
          <w:bCs/>
          <w:spacing w:val="-20"/>
          <w:w w:val="98"/>
          <w:kern w:val="0"/>
          <w:sz w:val="36"/>
          <w:szCs w:val="36"/>
          <w:lang w:val="en-US" w:eastAsia="zh-CN" w:bidi="ar"/>
        </w:rPr>
        <w:t>的批复</w:t>
      </w:r>
    </w:p>
    <w:p>
      <w:pPr>
        <w:keepNext w:val="0"/>
        <w:keepLines w:val="0"/>
        <w:pageBreakBefore w:val="0"/>
        <w:widowControl w:val="0"/>
        <w:suppressLineNumbers w:val="0"/>
        <w:kinsoku/>
        <w:overflowPunct/>
        <w:topLinePunct w:val="0"/>
        <w:bidi w:val="0"/>
        <w:adjustRightInd w:val="0"/>
        <w:spacing w:before="0" w:beforeAutospacing="0" w:after="0" w:afterAutospacing="0" w:line="460" w:lineRule="exact"/>
        <w:ind w:left="0" w:right="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湖南佳进精密机械有限公司：</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你公司《申请报告》、岳阳市生态环境事务中心《湖南佳进精密机械有限公司汽车零部件及工程机械液压元件项目</w:t>
      </w:r>
      <w:r>
        <w:rPr>
          <w:rFonts w:hint="eastAsia" w:ascii="仿宋" w:hAnsi="仿宋" w:eastAsia="仿宋" w:cs="仿宋"/>
          <w:spacing w:val="-20"/>
          <w:kern w:val="2"/>
          <w:sz w:val="32"/>
          <w:szCs w:val="32"/>
          <w:lang w:val="en-US" w:eastAsia="zh-CN" w:bidi="ar"/>
        </w:rPr>
        <w:t>环境影响报告书技术评估报告</w:t>
      </w:r>
      <w:r>
        <w:rPr>
          <w:rFonts w:hint="eastAsia" w:ascii="仿宋" w:hAnsi="仿宋" w:eastAsia="仿宋" w:cs="仿宋"/>
          <w:kern w:val="2"/>
          <w:sz w:val="32"/>
          <w:szCs w:val="32"/>
          <w:lang w:val="en-US" w:eastAsia="zh-CN" w:bidi="ar"/>
        </w:rPr>
        <w:t>》（岳环事评估〔2022〕64号）、岳阳市生态环境局汨罗分局预审意见及有关附件收悉。经研究，批复如下：</w:t>
      </w:r>
    </w:p>
    <w:p>
      <w:pPr>
        <w:keepNext w:val="0"/>
        <w:keepLines w:val="0"/>
        <w:pageBreakBefore w:val="0"/>
        <w:widowControl w:val="0"/>
        <w:suppressLineNumbers w:val="0"/>
        <w:kinsoku/>
        <w:wordWrap w:val="0"/>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汽车零部件及工程机械液压元件项目选址于湖南省岳阳市汨罗市弼时镇塾塘路南侧湖南工程机械配件产业园上元标准厂房2栋，总投资3200万元，其中环保投资193.5万，总占地面积约2100㎡，总建筑面积约2770㎡。主要建设内容为：新建喷漆车间(用于布置喷漆工件毛坯放置区、喷漆烘干生产线、喷漆烘干后工件放置区、危废暂存间）、机加工车间（用于布置机加工区、机加工件临时放置区、防锈包装区）及配套储运工程、辅助工程和环保工程，其中食堂及宿舍、公用工程依托园区现有。主要原辅料：缸盖缸体铸件、主轴承盖铸件、液压元件铸件、油性</w:t>
      </w:r>
      <w:r>
        <w:rPr>
          <w:rFonts w:hint="eastAsia" w:ascii="仿宋" w:hAnsi="仿宋" w:eastAsia="仿宋" w:cs="仿宋"/>
          <w:color w:val="000000"/>
          <w:kern w:val="0"/>
          <w:sz w:val="32"/>
          <w:szCs w:val="32"/>
          <w:lang w:val="en-US" w:eastAsia="zh-CN" w:bidi="ar"/>
        </w:rPr>
        <w:t>环氧底漆、</w:t>
      </w:r>
      <w:r>
        <w:rPr>
          <w:rFonts w:hint="eastAsia" w:ascii="仿宋" w:hAnsi="仿宋" w:eastAsia="仿宋" w:cs="仿宋"/>
          <w:kern w:val="2"/>
          <w:sz w:val="32"/>
          <w:szCs w:val="32"/>
          <w:lang w:val="en-US" w:eastAsia="zh-CN" w:bidi="ar"/>
        </w:rPr>
        <w:t>油性漆固化剂、油性漆稀释剂、水性</w:t>
      </w:r>
      <w:r>
        <w:rPr>
          <w:rFonts w:hint="eastAsia" w:ascii="仿宋" w:hAnsi="仿宋" w:eastAsia="仿宋" w:cs="仿宋"/>
          <w:color w:val="000000"/>
          <w:kern w:val="0"/>
          <w:sz w:val="32"/>
          <w:szCs w:val="32"/>
          <w:lang w:val="en-US" w:eastAsia="zh-CN" w:bidi="ar"/>
        </w:rPr>
        <w:t>环氧底漆、</w:t>
      </w:r>
      <w:r>
        <w:rPr>
          <w:rFonts w:hint="eastAsia" w:ascii="仿宋" w:hAnsi="仿宋" w:eastAsia="仿宋" w:cs="仿宋"/>
          <w:kern w:val="2"/>
          <w:sz w:val="32"/>
          <w:szCs w:val="32"/>
          <w:lang w:val="en-US" w:eastAsia="zh-CN" w:bidi="ar"/>
        </w:rPr>
        <w:t>水性漆固化剂等为主要原辅料。主要生产工艺为：1、主轴承盖和液压元件经铸件毛坯入库、机加工、防锈处理、检验包装出库工序等工序最终得到产品主轴承盖400000件/a、液压元件60000件/a；2、缸盖缸体产品经铸件毛坯入库、喷漆、机加工、检验出库等工序最终得到产品缸盖缸体120000件/a。根据湖南佳蓝检测技术有限公司编制的《汽车零部件及工程机械液压元件项目环境影响报告书》（报批稿）基本内容、结论和专家评审意见及岳阳市生态环境局汨罗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overflowPunct/>
        <w:topLinePunct w:val="0"/>
        <w:bidi w:val="0"/>
        <w:adjustRightInd w:val="0"/>
        <w:snapToGrid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二、认真落实专家及环境影响报告书中提出的各项污染防治措施，并应着重注意以下问题：</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落实施工期污染防治措施。加强运输车辆进出道路和装修区域地面洒水、装修垃圾运输车辆应采用封闭式运输车、施工机械应使用清洁能源等措施减少扬尘污染；选用低噪声施工设备,合理选择施工时间及加强施工期噪声管理等措施控制声环境影响；建筑垃圾及生活垃圾倾倒在指定地点、妥善处置；施工期生活污水经化粪池处理后排入长沙经开区汨罗产业园污水处理厂处理。</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废气污染防治工作。采取封闭式喷漆烘干生产线+封闭喷漆车间、对机加工粉尘采取喷淋切削液或密闭收集+高效除尘器除尘，加强车间管理和日常监管及废气收集，定期对设备、管道、阀门等进行维护和管理，杜绝生产过程中的跑、冒、滴、漏，最大限度减少生产过程中的废气无组织排放,确保厂界</w:t>
      </w:r>
      <w:r>
        <w:rPr>
          <w:rFonts w:hint="eastAsia" w:ascii="仿宋" w:hAnsi="仿宋" w:eastAsia="仿宋" w:cs="仿宋"/>
          <w:spacing w:val="6"/>
          <w:kern w:val="2"/>
          <w:sz w:val="32"/>
          <w:szCs w:val="32"/>
          <w:lang w:val="en-US" w:eastAsia="zh-CN" w:bidi="ar"/>
        </w:rPr>
        <w:t>颗粒物满足《大气污染物综合排放标准》（GB16297-1996）无组织排放浓度限值要求,T</w:t>
      </w:r>
      <w:r>
        <w:rPr>
          <w:rFonts w:hint="eastAsia" w:ascii="仿宋" w:hAnsi="仿宋" w:eastAsia="仿宋" w:cs="仿宋"/>
          <w:kern w:val="2"/>
          <w:sz w:val="32"/>
          <w:szCs w:val="32"/>
          <w:lang w:val="en-US" w:eastAsia="zh-CN" w:bidi="ar"/>
        </w:rPr>
        <w:t>VOC、二甲苯满足湖南省地方标准《表面涂装（汽车制造及维修）挥发性有机物、镍排放标准》（DB43/1356-2017）无组织</w:t>
      </w:r>
      <w:r>
        <w:rPr>
          <w:rFonts w:hint="eastAsia" w:ascii="仿宋" w:hAnsi="仿宋" w:eastAsia="仿宋" w:cs="仿宋"/>
          <w:spacing w:val="6"/>
          <w:kern w:val="2"/>
          <w:sz w:val="32"/>
          <w:szCs w:val="32"/>
          <w:lang w:val="en-US" w:eastAsia="zh-CN" w:bidi="ar"/>
        </w:rPr>
        <w:t>排放浓度限值要求</w:t>
      </w:r>
      <w:r>
        <w:rPr>
          <w:rFonts w:hint="eastAsia" w:ascii="仿宋" w:hAnsi="仿宋" w:eastAsia="仿宋" w:cs="仿宋"/>
          <w:kern w:val="2"/>
          <w:sz w:val="32"/>
          <w:szCs w:val="32"/>
          <w:lang w:val="en-US" w:eastAsia="zh-CN" w:bidi="ar"/>
        </w:rPr>
        <w:t>，臭气浓度</w:t>
      </w:r>
      <w:r>
        <w:rPr>
          <w:rFonts w:hint="eastAsia" w:ascii="仿宋" w:hAnsi="仿宋" w:eastAsia="仿宋" w:cs="仿宋"/>
          <w:spacing w:val="6"/>
          <w:kern w:val="2"/>
          <w:sz w:val="32"/>
          <w:szCs w:val="32"/>
          <w:lang w:val="en-US" w:eastAsia="zh-CN" w:bidi="ar"/>
        </w:rPr>
        <w:t>满足《恶臭污染物排放标准》（GB14554-93）表1恶臭污染物厂界标准值二级新扩改建要求</w:t>
      </w:r>
      <w:r>
        <w:rPr>
          <w:rFonts w:hint="eastAsia" w:ascii="仿宋" w:hAnsi="仿宋" w:eastAsia="仿宋" w:cs="仿宋"/>
          <w:kern w:val="2"/>
          <w:sz w:val="32"/>
          <w:szCs w:val="32"/>
          <w:lang w:val="en-US" w:eastAsia="zh-CN" w:bidi="ar"/>
        </w:rPr>
        <w:t>。喷漆有机废气经带自动延时的废气处理装置收集处理后，通过18m高排气筒（</w:t>
      </w:r>
      <w:r>
        <w:rPr>
          <w:rFonts w:hint="eastAsia" w:ascii="仿宋" w:hAnsi="仿宋" w:eastAsia="仿宋" w:cs="仿宋"/>
          <w:color w:val="000000"/>
          <w:kern w:val="0"/>
          <w:sz w:val="32"/>
          <w:szCs w:val="32"/>
          <w:lang w:val="en-US" w:eastAsia="zh-CN" w:bidi="ar"/>
        </w:rPr>
        <w:t>DA001）</w:t>
      </w:r>
      <w:r>
        <w:rPr>
          <w:rFonts w:hint="eastAsia" w:ascii="仿宋" w:hAnsi="仿宋" w:eastAsia="仿宋" w:cs="仿宋"/>
          <w:kern w:val="2"/>
          <w:sz w:val="32"/>
          <w:szCs w:val="32"/>
          <w:lang w:val="en-US" w:eastAsia="zh-CN" w:bidi="ar"/>
        </w:rPr>
        <w:t>达标排放；</w:t>
      </w:r>
      <w:r>
        <w:rPr>
          <w:rFonts w:hint="eastAsia" w:ascii="仿宋" w:hAnsi="仿宋" w:eastAsia="仿宋" w:cs="仿宋"/>
          <w:color w:val="000000"/>
          <w:kern w:val="0"/>
          <w:sz w:val="32"/>
          <w:szCs w:val="32"/>
          <w:lang w:val="en-US" w:eastAsia="zh-CN" w:bidi="ar"/>
        </w:rPr>
        <w:t>二甲苯、TVOC执行</w:t>
      </w:r>
      <w:r>
        <w:rPr>
          <w:rFonts w:hint="eastAsia" w:ascii="仿宋" w:hAnsi="仿宋" w:eastAsia="仿宋" w:cs="仿宋"/>
          <w:kern w:val="2"/>
          <w:sz w:val="32"/>
          <w:szCs w:val="32"/>
          <w:lang w:val="en-US" w:eastAsia="zh-CN" w:bidi="ar"/>
        </w:rPr>
        <w:t>湖南省地方标准《表面涂装（汽车制造及维修）挥发性有机物、镍排放标准》（DB43/1356-2017）表1中汽车制造（乘用车）浓度限值，臭气浓度执行《恶臭污染物排放标准》（GB14554-93）标准限值。</w:t>
      </w:r>
    </w:p>
    <w:p>
      <w:pPr>
        <w:pStyle w:val="6"/>
        <w:keepNext w:val="0"/>
        <w:keepLines w:val="0"/>
        <w:pageBreakBefore w:val="0"/>
        <w:widowControl/>
        <w:kinsoku/>
        <w:overflowPunct/>
        <w:topLinePunct w:val="0"/>
        <w:bidi w:val="0"/>
        <w:spacing w:line="460" w:lineRule="exact"/>
        <w:ind w:left="0" w:firstLine="640" w:firstLineChars="200"/>
        <w:textAlignment w:val="auto"/>
        <w:rPr>
          <w:rFonts w:hint="eastAsia" w:ascii="仿宋" w:hAnsi="仿宋" w:eastAsia="仿宋" w:cs="仿宋"/>
          <w:bCs w:val="0"/>
          <w:sz w:val="32"/>
          <w:szCs w:val="32"/>
          <w:lang w:val="en-US"/>
        </w:rPr>
      </w:pPr>
      <w:r>
        <w:rPr>
          <w:rFonts w:hint="eastAsia" w:ascii="仿宋" w:hAnsi="仿宋" w:eastAsia="仿宋" w:cs="仿宋"/>
          <w:bCs w:val="0"/>
          <w:sz w:val="32"/>
          <w:szCs w:val="32"/>
          <w:lang w:val="en-US"/>
        </w:rPr>
        <w:t>3</w:t>
      </w:r>
      <w:r>
        <w:rPr>
          <w:rFonts w:hint="eastAsia" w:ascii="仿宋" w:hAnsi="仿宋" w:eastAsia="仿宋" w:cs="仿宋"/>
          <w:bCs w:val="0"/>
          <w:sz w:val="32"/>
          <w:szCs w:val="32"/>
          <w:lang w:eastAsia="zh-CN"/>
        </w:rPr>
        <w:t>、废水污染防治工作。严格按照“雨污分流、清污分流、污污分流”的原则规范建设厂区雨水及污水收集设施。项目运营期</w:t>
      </w:r>
      <w:r>
        <w:rPr>
          <w:rFonts w:hint="eastAsia" w:ascii="仿宋" w:hAnsi="仿宋" w:eastAsia="仿宋" w:cs="仿宋"/>
          <w:sz w:val="32"/>
          <w:szCs w:val="32"/>
          <w:lang w:eastAsia="zh-CN"/>
        </w:rPr>
        <w:t>生活废水经化粪池预处理、车间地面拖洗废水经隔油沉淀池预处理</w:t>
      </w:r>
      <w:r>
        <w:rPr>
          <w:rFonts w:hint="eastAsia" w:ascii="仿宋" w:hAnsi="仿宋" w:eastAsia="仿宋" w:cs="仿宋"/>
          <w:bCs w:val="0"/>
          <w:sz w:val="32"/>
          <w:szCs w:val="32"/>
          <w:lang w:eastAsia="zh-CN"/>
        </w:rPr>
        <w:t>后，满足《污水综合排放标准》（</w:t>
      </w:r>
      <w:r>
        <w:rPr>
          <w:rFonts w:hint="eastAsia" w:ascii="仿宋" w:hAnsi="仿宋" w:eastAsia="仿宋" w:cs="仿宋"/>
          <w:bCs w:val="0"/>
          <w:sz w:val="32"/>
          <w:szCs w:val="32"/>
          <w:lang w:val="en-US"/>
        </w:rPr>
        <w:t>GB8978-1996</w:t>
      </w:r>
      <w:r>
        <w:rPr>
          <w:rFonts w:hint="eastAsia" w:ascii="仿宋" w:hAnsi="仿宋" w:eastAsia="仿宋" w:cs="仿宋"/>
          <w:bCs w:val="0"/>
          <w:sz w:val="32"/>
          <w:szCs w:val="32"/>
          <w:lang w:eastAsia="zh-CN"/>
        </w:rPr>
        <w:t>）中三级标准及长沙经开区汨罗产业园污水处理厂进水水质标准两者中的较严值后一并排入长沙经开区汨罗产业园污水处理厂进行深度处理，达到</w:t>
      </w:r>
      <w:r>
        <w:rPr>
          <w:rFonts w:hint="eastAsia" w:ascii="仿宋" w:hAnsi="仿宋" w:eastAsia="仿宋" w:cs="仿宋"/>
          <w:sz w:val="32"/>
          <w:szCs w:val="32"/>
          <w:lang w:eastAsia="zh-CN"/>
        </w:rPr>
        <w:t>《城镇污水处理厂污染物排放标准》（</w:t>
      </w:r>
      <w:r>
        <w:rPr>
          <w:rFonts w:hint="eastAsia" w:ascii="仿宋" w:hAnsi="仿宋" w:eastAsia="仿宋" w:cs="仿宋"/>
          <w:sz w:val="32"/>
          <w:szCs w:val="32"/>
          <w:lang w:val="en-US"/>
        </w:rPr>
        <w:t>GB18918-2002</w:t>
      </w:r>
      <w:r>
        <w:rPr>
          <w:rFonts w:hint="eastAsia" w:ascii="仿宋" w:hAnsi="仿宋" w:eastAsia="仿宋" w:cs="仿宋"/>
          <w:sz w:val="32"/>
          <w:szCs w:val="32"/>
          <w:lang w:eastAsia="zh-CN"/>
        </w:rPr>
        <w:t>）一级</w:t>
      </w:r>
      <w:r>
        <w:rPr>
          <w:rFonts w:hint="eastAsia" w:ascii="仿宋" w:hAnsi="仿宋" w:eastAsia="仿宋" w:cs="仿宋"/>
          <w:sz w:val="32"/>
          <w:szCs w:val="32"/>
          <w:lang w:val="en-US"/>
        </w:rPr>
        <w:t>A</w:t>
      </w:r>
      <w:r>
        <w:rPr>
          <w:rFonts w:hint="eastAsia" w:ascii="仿宋" w:hAnsi="仿宋" w:eastAsia="仿宋" w:cs="仿宋"/>
          <w:sz w:val="32"/>
          <w:szCs w:val="32"/>
          <w:lang w:eastAsia="zh-CN"/>
        </w:rPr>
        <w:t>标准后</w:t>
      </w:r>
      <w:r>
        <w:rPr>
          <w:rFonts w:hint="eastAsia" w:ascii="仿宋" w:hAnsi="仿宋" w:eastAsia="仿宋" w:cs="仿宋"/>
          <w:bCs w:val="0"/>
          <w:sz w:val="32"/>
          <w:szCs w:val="32"/>
          <w:lang w:eastAsia="zh-CN"/>
        </w:rPr>
        <w:t>排入白沙河或作为中水回用；</w:t>
      </w:r>
      <w:r>
        <w:rPr>
          <w:rFonts w:hint="eastAsia" w:ascii="仿宋" w:hAnsi="仿宋" w:eastAsia="仿宋" w:cs="仿宋"/>
          <w:color w:val="000000"/>
          <w:kern w:val="0"/>
          <w:sz w:val="32"/>
          <w:szCs w:val="32"/>
          <w:lang w:eastAsia="zh-CN" w:bidi="ar"/>
        </w:rPr>
        <w:t>防锈处理清洗液、切削液不外排。</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按照“源头控制、分区防治、污染监控、应急响应”相结合的原则落实报告书提出的地下水污染防治措施。合理布设雨污管道，作好液态化学品原料储存区、喷漆烘干生产线区、危险废物暂存间防渗、防风、防雨、防晒工作，避免由于防渗层破损造成污染物下渗污染地下水。</w:t>
      </w:r>
    </w:p>
    <w:p>
      <w:pPr>
        <w:keepNext w:val="0"/>
        <w:keepLines w:val="0"/>
        <w:pageBreakBefore w:val="0"/>
        <w:widowControl w:val="0"/>
        <w:suppressLineNumbers w:val="0"/>
        <w:kinsoku/>
        <w:overflowPunct/>
        <w:topLinePunct w:val="0"/>
        <w:autoSpaceDE w:val="0"/>
        <w:autoSpaceDN w:val="0"/>
        <w:bidi w:val="0"/>
        <w:adjustRightInd w:val="0"/>
        <w:spacing w:before="0" w:beforeAutospacing="0" w:after="0" w:afterAutospacing="0" w:line="460" w:lineRule="exact"/>
        <w:ind w:left="0" w:righ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噪声防治工作。采用工艺先进、低噪声设备，合理布局；通过封闭罩隔声、厂房隔声、隔音室隔音、加强设备的保养和维修、对设备基础采取减震等措施，确保厂界噪声达到《工业企业厂界环境噪声排放标准》(GB12348-2008)中的3类标准要求。</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kern w:val="0"/>
          <w:sz w:val="32"/>
          <w:szCs w:val="32"/>
          <w:lang w:val="en-US"/>
        </w:rPr>
      </w:pPr>
      <w:r>
        <w:rPr>
          <w:rFonts w:hint="eastAsia" w:ascii="仿宋" w:hAnsi="仿宋" w:eastAsia="仿宋" w:cs="仿宋"/>
          <w:kern w:val="2"/>
          <w:sz w:val="32"/>
          <w:szCs w:val="32"/>
          <w:lang w:val="en-US" w:eastAsia="zh-CN" w:bidi="ar"/>
        </w:rPr>
        <w:t>5、固体废物管理工作。按“无害化、减量化、资源化”原则，做好固体分类收集和综合利用，并建立固体废物产生、储存、处置管理台账，落实危险废物转移联单制度。废漆渣、含漆渣废物、废漆雾滤材、废油漆包装桶、废润滑油、含油废抹布手套、废切削液、废活性炭、废催化剂等危险废物</w:t>
      </w:r>
      <w:r>
        <w:rPr>
          <w:rFonts w:hint="eastAsia" w:ascii="仿宋" w:hAnsi="仿宋" w:eastAsia="仿宋" w:cs="仿宋"/>
          <w:kern w:val="0"/>
          <w:sz w:val="32"/>
          <w:szCs w:val="32"/>
          <w:lang w:val="en-US" w:eastAsia="zh-CN" w:bidi="ar"/>
        </w:rPr>
        <w:t>分类收集、分类暂存于危废暂存间，委托有资质单位处置</w:t>
      </w:r>
      <w:r>
        <w:rPr>
          <w:rFonts w:hint="eastAsia" w:ascii="仿宋" w:hAnsi="仿宋" w:eastAsia="仿宋" w:cs="仿宋"/>
          <w:kern w:val="2"/>
          <w:sz w:val="32"/>
          <w:szCs w:val="32"/>
          <w:lang w:val="en-US" w:eastAsia="zh-CN" w:bidi="ar"/>
        </w:rPr>
        <w:t>，清洗液储槽淤泥与</w:t>
      </w:r>
      <w:r>
        <w:rPr>
          <w:rFonts w:hint="eastAsia" w:ascii="仿宋" w:hAnsi="仿宋" w:eastAsia="仿宋" w:cs="仿宋"/>
          <w:color w:val="auto"/>
          <w:kern w:val="2"/>
          <w:sz w:val="32"/>
          <w:szCs w:val="32"/>
          <w:shd w:val="clear" w:fill="FFFFFF"/>
          <w:lang w:val="en-US" w:eastAsia="zh-CN" w:bidi="ar"/>
        </w:rPr>
        <w:t>机加工产生的</w:t>
      </w:r>
      <w:r>
        <w:rPr>
          <w:rFonts w:hint="eastAsia" w:ascii="仿宋" w:hAnsi="仿宋" w:eastAsia="仿宋" w:cs="仿宋"/>
          <w:kern w:val="2"/>
          <w:sz w:val="32"/>
          <w:szCs w:val="32"/>
          <w:lang w:val="en-US" w:eastAsia="zh-CN" w:bidi="ar"/>
        </w:rPr>
        <w:t>切削液储槽污泥混合收集，一起按废切削液进行管理；机加工废屑、废包装材料等一般固废收集暂存在一般固废暂存间，外售给废金属回收企业综合利用和外售给废品收购站回收；生活垃圾由</w:t>
      </w:r>
      <w:r>
        <w:rPr>
          <w:rFonts w:hint="eastAsia" w:ascii="仿宋" w:hAnsi="仿宋" w:eastAsia="仿宋" w:cs="仿宋"/>
          <w:kern w:val="0"/>
          <w:sz w:val="32"/>
          <w:szCs w:val="32"/>
          <w:lang w:val="en-US" w:eastAsia="zh-CN" w:bidi="ar"/>
        </w:rPr>
        <w:t>园区环卫部门统一清运，送生活垃圾填埋场或生活垃圾焚烧厂进行填埋处理或焚烧处理。</w:t>
      </w:r>
      <w:r>
        <w:rPr>
          <w:rFonts w:hint="eastAsia" w:ascii="仿宋" w:hAnsi="仿宋" w:eastAsia="仿宋" w:cs="仿宋"/>
          <w:kern w:val="2"/>
          <w:sz w:val="32"/>
          <w:szCs w:val="32"/>
          <w:lang w:val="en-US" w:eastAsia="zh-CN" w:bidi="ar"/>
        </w:rPr>
        <w:t>一般固体废物执行《一般工业固体废物贮存和填埋污染控制标准》（GB18599-2020）相关要求；危险废物执行《危险废物贮存污染控制标准》（GB18597-2001）及其2013年修改单相关要求。</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6、加强营运期风险防范。严格落实报告书提出的各项环境风险防范措施，按照《突发环境事件应急管理办法》修订完善突发环境事件应急预案，储备风险救助物资并组织演练，杜绝环境风险事故发生。</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8、你公司核定的总量指标为：COD≤</w:t>
      </w:r>
      <w:r>
        <w:rPr>
          <w:rFonts w:hint="eastAsia" w:ascii="仿宋" w:hAnsi="仿宋" w:eastAsia="仿宋" w:cs="仿宋"/>
          <w:color w:val="000000"/>
          <w:kern w:val="0"/>
          <w:sz w:val="32"/>
          <w:szCs w:val="32"/>
          <w:lang w:val="en-US" w:eastAsia="zh-CN" w:bidi="ar"/>
        </w:rPr>
        <w:t>0.1</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NH</w:t>
      </w:r>
      <w:r>
        <w:rPr>
          <w:rFonts w:hint="eastAsia" w:ascii="仿宋" w:hAnsi="仿宋" w:eastAsia="仿宋" w:cs="仿宋"/>
          <w:kern w:val="2"/>
          <w:sz w:val="32"/>
          <w:szCs w:val="32"/>
          <w:vertAlign w:val="subscript"/>
          <w:lang w:val="en-US" w:eastAsia="zh-CN" w:bidi="ar"/>
        </w:rPr>
        <w:t>3</w:t>
      </w:r>
      <w:r>
        <w:rPr>
          <w:rFonts w:hint="eastAsia" w:ascii="仿宋" w:hAnsi="仿宋" w:eastAsia="仿宋" w:cs="仿宋"/>
          <w:kern w:val="2"/>
          <w:sz w:val="32"/>
          <w:szCs w:val="32"/>
          <w:lang w:val="en-US" w:eastAsia="zh-CN" w:bidi="ar"/>
        </w:rPr>
        <w:t>-N≤</w:t>
      </w:r>
      <w:r>
        <w:rPr>
          <w:rFonts w:hint="eastAsia" w:ascii="仿宋" w:hAnsi="仿宋" w:eastAsia="仿宋" w:cs="仿宋"/>
          <w:color w:val="000000"/>
          <w:kern w:val="0"/>
          <w:sz w:val="32"/>
          <w:szCs w:val="32"/>
          <w:lang w:val="en-US" w:eastAsia="zh-CN" w:bidi="ar"/>
        </w:rPr>
        <w:t>0.1</w:t>
      </w:r>
      <w:r>
        <w:rPr>
          <w:rFonts w:hint="eastAsia" w:ascii="仿宋" w:hAnsi="仿宋" w:eastAsia="仿宋" w:cs="仿宋"/>
          <w:kern w:val="0"/>
          <w:sz w:val="32"/>
          <w:szCs w:val="32"/>
          <w:lang w:val="en-US" w:eastAsia="zh-CN" w:bidi="ar"/>
        </w:rPr>
        <w:t>t/a、VOCS</w:t>
      </w:r>
      <w:r>
        <w:rPr>
          <w:rFonts w:hint="eastAsia" w:ascii="仿宋" w:hAnsi="仿宋" w:eastAsia="仿宋" w:cs="仿宋"/>
          <w:kern w:val="2"/>
          <w:sz w:val="32"/>
          <w:szCs w:val="32"/>
          <w:lang w:val="en-US" w:eastAsia="zh-CN" w:bidi="ar"/>
        </w:rPr>
        <w:t>≤</w:t>
      </w:r>
      <w:r>
        <w:rPr>
          <w:rFonts w:hint="eastAsia" w:ascii="仿宋" w:hAnsi="仿宋" w:eastAsia="仿宋" w:cs="仿宋"/>
          <w:color w:val="000000"/>
          <w:kern w:val="0"/>
          <w:sz w:val="32"/>
          <w:szCs w:val="32"/>
          <w:lang w:val="en-US" w:eastAsia="zh-CN" w:bidi="ar"/>
        </w:rPr>
        <w:t xml:space="preserve">0.9 </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三、你公司应在收到本批复后15个工作日内，将批复及批准的环评报告文本送至岳阳市生态环境局汨罗分局、湖南佳蓝检测技术有限公司。</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四、请岳阳市生态环境局汨罗分局负责项目建设期和运营期的日常环境监管。</w:t>
      </w:r>
    </w:p>
    <w:p>
      <w:pPr>
        <w:pStyle w:val="5"/>
        <w:keepNext w:val="0"/>
        <w:keepLines w:val="0"/>
        <w:pageBreakBefore w:val="0"/>
        <w:widowControl/>
        <w:kinsoku/>
        <w:overflowPunct/>
        <w:topLinePunct w:val="0"/>
        <w:bidi w:val="0"/>
        <w:spacing w:line="460" w:lineRule="exact"/>
        <w:ind w:firstLine="585"/>
        <w:textAlignment w:val="auto"/>
        <w:rPr>
          <w:rFonts w:hint="eastAsia" w:ascii="仿宋" w:hAnsi="仿宋" w:eastAsia="仿宋" w:cs="仿宋"/>
          <w:kern w:val="2"/>
          <w:sz w:val="32"/>
          <w:szCs w:val="32"/>
          <w:lang w:val="en-US"/>
        </w:rPr>
      </w:pPr>
    </w:p>
    <w:p>
      <w:pPr>
        <w:pStyle w:val="5"/>
        <w:keepNext w:val="0"/>
        <w:keepLines w:val="0"/>
        <w:pageBreakBefore w:val="0"/>
        <w:widowControl/>
        <w:kinsoku/>
        <w:overflowPunct/>
        <w:topLinePunct w:val="0"/>
        <w:bidi w:val="0"/>
        <w:spacing w:line="460" w:lineRule="exact"/>
        <w:textAlignment w:val="auto"/>
        <w:rPr>
          <w:rFonts w:hint="eastAsia" w:ascii="仿宋" w:hAnsi="仿宋" w:eastAsia="仿宋" w:cs="仿宋"/>
          <w:kern w:val="2"/>
          <w:sz w:val="32"/>
          <w:szCs w:val="32"/>
          <w:lang w:val="en-US"/>
        </w:rPr>
      </w:pPr>
    </w:p>
    <w:p>
      <w:pPr>
        <w:pStyle w:val="5"/>
        <w:keepNext w:val="0"/>
        <w:keepLines w:val="0"/>
        <w:pageBreakBefore w:val="0"/>
        <w:widowControl/>
        <w:kinsoku/>
        <w:overflowPunct/>
        <w:topLinePunct w:val="0"/>
        <w:bidi w:val="0"/>
        <w:spacing w:line="460" w:lineRule="exact"/>
        <w:textAlignment w:val="auto"/>
        <w:rPr>
          <w:rFonts w:hint="eastAsia" w:ascii="仿宋" w:hAnsi="仿宋" w:eastAsia="仿宋" w:cs="仿宋"/>
          <w:kern w:val="2"/>
          <w:sz w:val="32"/>
          <w:szCs w:val="32"/>
          <w:lang w:val="en-US"/>
        </w:rPr>
      </w:pPr>
    </w:p>
    <w:p>
      <w:pPr>
        <w:pStyle w:val="5"/>
        <w:keepNext w:val="0"/>
        <w:keepLines w:val="0"/>
        <w:pageBreakBefore w:val="0"/>
        <w:widowControl/>
        <w:kinsoku/>
        <w:overflowPunct/>
        <w:topLinePunct w:val="0"/>
        <w:bidi w:val="0"/>
        <w:spacing w:line="460" w:lineRule="exact"/>
        <w:ind w:firstLine="5760" w:firstLineChars="1800"/>
        <w:textAlignment w:val="auto"/>
        <w:rPr>
          <w:rFonts w:hint="eastAsia" w:ascii="仿宋" w:hAnsi="仿宋" w:eastAsia="仿宋" w:cs="仿宋"/>
          <w:kern w:val="2"/>
          <w:sz w:val="32"/>
          <w:szCs w:val="32"/>
          <w:lang w:val="en-US"/>
        </w:rPr>
      </w:pPr>
      <w:r>
        <w:rPr>
          <w:rFonts w:hint="eastAsia" w:ascii="仿宋" w:hAnsi="仿宋" w:eastAsia="仿宋" w:cs="仿宋"/>
          <w:kern w:val="2"/>
          <w:sz w:val="32"/>
          <w:szCs w:val="32"/>
          <w:lang w:eastAsia="zh-CN"/>
        </w:rPr>
        <w:t>岳阳市生态环境局</w:t>
      </w:r>
    </w:p>
    <w:p>
      <w:pPr>
        <w:keepNext w:val="0"/>
        <w:keepLines w:val="0"/>
        <w:pageBreakBefore w:val="0"/>
        <w:widowControl w:val="0"/>
        <w:suppressLineNumbers w:val="0"/>
        <w:kinsoku/>
        <w:overflowPunct/>
        <w:topLinePunct w:val="0"/>
        <w:bidi w:val="0"/>
        <w:spacing w:before="0" w:beforeAutospacing="0" w:after="0" w:afterAutospacing="0" w:line="460" w:lineRule="exact"/>
        <w:ind w:left="0" w:right="0" w:firstLine="5760" w:firstLineChars="1800"/>
        <w:jc w:val="both"/>
        <w:textAlignment w:val="auto"/>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2023年 1月13 日</w:t>
      </w:r>
    </w:p>
    <w:p>
      <w:pPr>
        <w:keepNext w:val="0"/>
        <w:keepLines w:val="0"/>
        <w:pageBreakBefore w:val="0"/>
        <w:kinsoku/>
        <w:overflowPunct/>
        <w:topLinePunct w:val="0"/>
        <w:bidi w:val="0"/>
        <w:spacing w:line="460" w:lineRule="exact"/>
        <w:textAlignment w:val="auto"/>
        <w:rPr>
          <w:sz w:val="32"/>
          <w:szCs w:val="32"/>
        </w:rPr>
      </w:pPr>
    </w:p>
    <w:sectPr>
      <w:pgSz w:w="12240" w:h="15840"/>
      <w:pgMar w:top="1304" w:right="1474" w:bottom="1247" w:left="1531"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6100F"/>
    <w:rsid w:val="0D0F5A2B"/>
    <w:rsid w:val="0D750932"/>
    <w:rsid w:val="0F556C7C"/>
    <w:rsid w:val="6FFF6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4">
    <w:name w:val="p0"/>
    <w:basedOn w:val="1"/>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5">
    <w:name w:val="0"/>
    <w:basedOn w:val="1"/>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paragraph" w:customStyle="1" w:styleId="6">
    <w:name w:val="正文01"/>
    <w:basedOn w:val="1"/>
    <w:uiPriority w:val="0"/>
    <w:pPr>
      <w:keepNext w:val="0"/>
      <w:keepLines w:val="0"/>
      <w:widowControl w:val="0"/>
      <w:suppressLineNumbers w:val="0"/>
      <w:adjustRightInd w:val="0"/>
      <w:spacing w:before="0" w:beforeAutospacing="0" w:after="0" w:afterAutospacing="0" w:line="520" w:lineRule="exact"/>
      <w:ind w:left="0" w:right="0" w:firstLine="527"/>
      <w:jc w:val="both"/>
    </w:pPr>
    <w:rPr>
      <w:rFonts w:hint="default" w:ascii="Times New Roman" w:hAnsi="Times New Roman" w:eastAsia="宋体" w:cs="Times New Roman"/>
      <w:bCs/>
      <w:kern w:val="2"/>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2023-01-16T01:22:00Z</dcterms:created>
  <dc:creator>LENOVO</dc:creator>
  <cp:lastModifiedBy>憧憬</cp:lastModifiedBy>
  <dcterms:modified xsi:type="dcterms:W3CDTF">2023-01-16T01:35:34Z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941CD9BDB4C148D896B6CEEB73DF3E7E</vt:lpwstr>
  </property>
</Properties>
</file>