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spacing w:line="480" w:lineRule="exact"/>
        <w:textAlignment w:val="top"/>
        <w:rPr>
          <w:rFonts w:eastAsia="黑体"/>
          <w:b/>
          <w:color w:val="F79646"/>
          <w:sz w:val="36"/>
        </w:rPr>
      </w:pPr>
      <w:r>
        <w:rPr>
          <w:rFonts w:hint="eastAsia" w:eastAsia="黑体"/>
          <w:b/>
          <w:color w:val="F79646"/>
          <w:kern w:val="2"/>
          <w:sz w:val="36"/>
        </w:rPr>
        <w:t xml:space="preserve">                                               </w:t>
      </w:r>
    </w:p>
    <w:p>
      <w:pPr>
        <w:pStyle w:val="32"/>
        <w:spacing w:line="480" w:lineRule="exact"/>
        <w:textAlignment w:val="top"/>
        <w:rPr>
          <w:rFonts w:eastAsia="黑体"/>
          <w:b/>
          <w:color w:val="F79646"/>
          <w:sz w:val="36"/>
        </w:rPr>
      </w:pPr>
    </w:p>
    <w:p>
      <w:pPr>
        <w:pStyle w:val="32"/>
        <w:spacing w:line="440" w:lineRule="exact"/>
        <w:ind w:firstLine="5250" w:firstLineChars="1750"/>
        <w:textAlignment w:val="top"/>
        <w:rPr>
          <w:rFonts w:eastAsia="楷体_GB2312"/>
          <w:color w:val="F79646"/>
          <w:sz w:val="30"/>
          <w:szCs w:val="30"/>
        </w:rPr>
      </w:pPr>
    </w:p>
    <w:p>
      <w:pPr>
        <w:pStyle w:val="32"/>
        <w:spacing w:line="320" w:lineRule="exact"/>
        <w:ind w:firstLine="5250" w:firstLineChars="1750"/>
        <w:textAlignment w:val="top"/>
        <w:rPr>
          <w:rFonts w:eastAsia="楷体_GB2312"/>
          <w:color w:val="F79646"/>
          <w:sz w:val="30"/>
          <w:szCs w:val="30"/>
        </w:rPr>
      </w:pPr>
    </w:p>
    <w:p>
      <w:pPr>
        <w:pStyle w:val="32"/>
        <w:spacing w:line="400" w:lineRule="exact"/>
        <w:jc w:val="both"/>
        <w:textAlignment w:val="top"/>
        <w:rPr>
          <w:rFonts w:eastAsia="楷体_GB2312"/>
          <w:color w:val="F79646"/>
          <w:sz w:val="30"/>
          <w:szCs w:val="30"/>
        </w:rPr>
      </w:pPr>
    </w:p>
    <w:p>
      <w:pPr>
        <w:pStyle w:val="32"/>
        <w:spacing w:line="560" w:lineRule="exact"/>
        <w:ind w:firstLine="600" w:firstLineChars="200"/>
        <w:jc w:val="both"/>
        <w:textAlignment w:val="top"/>
        <w:rPr>
          <w:rFonts w:ascii="仿宋" w:hAnsi="仿宋" w:eastAsia="仿宋" w:cs="仿宋"/>
          <w:sz w:val="32"/>
          <w:szCs w:val="32"/>
        </w:rPr>
      </w:pPr>
      <w:r>
        <w:rPr>
          <w:rFonts w:hint="eastAsia" w:eastAsia="楷体_GB2312"/>
          <w:color w:val="F79646"/>
          <w:sz w:val="30"/>
          <w:szCs w:val="30"/>
        </w:rPr>
        <w:t xml:space="preserve">                </w:t>
      </w:r>
      <w:r>
        <w:rPr>
          <w:rFonts w:hint="eastAsia" w:eastAsia="楷体_GB2312"/>
          <w:sz w:val="30"/>
          <w:szCs w:val="30"/>
        </w:rPr>
        <w:t xml:space="preserve">                 </w:t>
      </w:r>
      <w:r>
        <w:rPr>
          <w:rFonts w:hint="eastAsia" w:ascii="仿宋" w:hAnsi="仿宋" w:eastAsia="仿宋" w:cs="仿宋"/>
          <w:sz w:val="32"/>
          <w:szCs w:val="32"/>
        </w:rPr>
        <w:t>岳环评〔202</w:t>
      </w:r>
      <w:r>
        <w:rPr>
          <w:rFonts w:ascii="仿宋" w:hAnsi="仿宋" w:eastAsia="仿宋" w:cs="仿宋"/>
          <w:sz w:val="32"/>
          <w:szCs w:val="32"/>
        </w:rPr>
        <w:t>3</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号</w:t>
      </w:r>
    </w:p>
    <w:p>
      <w:pPr>
        <w:overflowPunct w:val="0"/>
        <w:adjustRightInd w:val="0"/>
        <w:spacing w:line="560" w:lineRule="exact"/>
        <w:ind w:firstLine="0" w:firstLineChars="0"/>
        <w:jc w:val="center"/>
        <w:textAlignment w:val="baseline"/>
        <w:rPr>
          <w:rFonts w:hint="eastAsia" w:ascii="宋体" w:hAnsi="宋体" w:eastAsia="宋体" w:cs="宋体"/>
          <w:b w:val="0"/>
          <w:bCs/>
          <w:sz w:val="36"/>
          <w:szCs w:val="36"/>
        </w:rPr>
      </w:pPr>
      <w:r>
        <w:rPr>
          <w:rFonts w:hint="eastAsia" w:ascii="宋体" w:hAnsi="宋体" w:eastAsia="宋体" w:cs="宋体"/>
          <w:b w:val="0"/>
          <w:bCs/>
          <w:sz w:val="36"/>
          <w:szCs w:val="36"/>
        </w:rPr>
        <w:t>关于</w:t>
      </w:r>
      <w:bookmarkStart w:id="0" w:name="OLE_LINK1"/>
      <w:r>
        <w:rPr>
          <w:rFonts w:hint="eastAsia" w:ascii="宋体" w:hAnsi="宋体" w:eastAsia="宋体" w:cs="宋体"/>
          <w:b w:val="0"/>
          <w:bCs/>
          <w:sz w:val="36"/>
          <w:szCs w:val="36"/>
        </w:rPr>
        <w:t>湖南东映长联科技有限公司15t/a高品质中间相</w:t>
      </w:r>
    </w:p>
    <w:p>
      <w:pPr>
        <w:overflowPunct w:val="0"/>
        <w:adjustRightInd w:val="0"/>
        <w:spacing w:line="560" w:lineRule="exact"/>
        <w:ind w:firstLine="0" w:firstLineChars="0"/>
        <w:jc w:val="center"/>
        <w:textAlignment w:val="baseline"/>
        <w:rPr>
          <w:rFonts w:hint="eastAsia" w:ascii="宋体" w:hAnsi="宋体" w:eastAsia="宋体" w:cs="宋体"/>
          <w:b w:val="0"/>
          <w:bCs/>
          <w:sz w:val="36"/>
          <w:szCs w:val="36"/>
        </w:rPr>
      </w:pPr>
      <w:r>
        <w:rPr>
          <w:rFonts w:hint="eastAsia" w:ascii="宋体" w:hAnsi="宋体" w:eastAsia="宋体" w:cs="宋体"/>
          <w:b w:val="0"/>
          <w:bCs/>
          <w:sz w:val="36"/>
          <w:szCs w:val="36"/>
        </w:rPr>
        <w:t>沥青生产装置项目环境影响报告书的</w:t>
      </w:r>
      <w:bookmarkEnd w:id="0"/>
      <w:r>
        <w:rPr>
          <w:rFonts w:hint="eastAsia" w:ascii="宋体" w:hAnsi="宋体" w:eastAsia="宋体" w:cs="宋体"/>
          <w:b w:val="0"/>
          <w:bCs/>
          <w:sz w:val="36"/>
          <w:szCs w:val="36"/>
        </w:rPr>
        <w:t>批复</w:t>
      </w:r>
    </w:p>
    <w:p>
      <w:pPr>
        <w:spacing w:line="560" w:lineRule="exact"/>
        <w:ind w:firstLine="22" w:firstLineChars="6"/>
        <w:jc w:val="both"/>
        <w:rPr>
          <w:rFonts w:ascii="黑体" w:hAnsi="黑体" w:eastAsia="黑体" w:cs="黑体"/>
          <w:b/>
          <w:color w:val="F79646"/>
          <w:sz w:val="36"/>
          <w:szCs w:val="36"/>
          <w:u w:val="single"/>
        </w:rPr>
      </w:pPr>
      <w:bookmarkStart w:id="5" w:name="_GoBack"/>
      <w:bookmarkEnd w:id="5"/>
    </w:p>
    <w:p>
      <w:pPr>
        <w:spacing w:line="560" w:lineRule="exact"/>
        <w:ind w:firstLine="19" w:firstLineChars="6"/>
        <w:jc w:val="both"/>
        <w:rPr>
          <w:rFonts w:ascii="仿宋" w:hAnsi="仿宋" w:eastAsia="仿宋"/>
          <w:sz w:val="32"/>
          <w:szCs w:val="32"/>
        </w:rPr>
      </w:pPr>
      <w:r>
        <w:rPr>
          <w:rFonts w:hint="eastAsia" w:ascii="仿宋" w:hAnsi="仿宋" w:eastAsia="仿宋"/>
          <w:sz w:val="32"/>
          <w:szCs w:val="32"/>
        </w:rPr>
        <w:t>湖南东映长联科技有限公司：</w:t>
      </w:r>
    </w:p>
    <w:p>
      <w:pPr>
        <w:spacing w:line="560" w:lineRule="exact"/>
        <w:ind w:firstLine="640"/>
        <w:jc w:val="both"/>
        <w:rPr>
          <w:rFonts w:ascii="仿宋" w:hAnsi="仿宋" w:eastAsia="仿宋"/>
          <w:sz w:val="32"/>
          <w:szCs w:val="32"/>
          <w:u w:val="single"/>
        </w:rPr>
      </w:pPr>
      <w:r>
        <w:rPr>
          <w:rFonts w:hint="eastAsia" w:ascii="仿宋" w:hAnsi="仿宋" w:eastAsia="仿宋"/>
          <w:sz w:val="32"/>
          <w:szCs w:val="32"/>
        </w:rPr>
        <w:t>你公司《关于申请批复〈湖南东映长联科技有限公司</w:t>
      </w:r>
      <w:r>
        <w:rPr>
          <w:rFonts w:ascii="仿宋" w:hAnsi="仿宋" w:eastAsia="仿宋"/>
          <w:sz w:val="32"/>
          <w:szCs w:val="32"/>
        </w:rPr>
        <w:t>15t/a</w:t>
      </w:r>
      <w:r>
        <w:rPr>
          <w:rFonts w:hint="eastAsia" w:ascii="仿宋" w:hAnsi="仿宋" w:eastAsia="仿宋"/>
          <w:sz w:val="32"/>
          <w:szCs w:val="32"/>
        </w:rPr>
        <w:t>高品质中间相沥青生产装置项目环境影响报告书〉的报告》、岳阳市生态环境事务中心《湖南东映长联科技有限公司</w:t>
      </w:r>
      <w:r>
        <w:rPr>
          <w:rFonts w:ascii="仿宋" w:hAnsi="仿宋" w:eastAsia="仿宋"/>
          <w:sz w:val="32"/>
          <w:szCs w:val="32"/>
        </w:rPr>
        <w:t>15t/a</w:t>
      </w:r>
      <w:r>
        <w:rPr>
          <w:rFonts w:hint="eastAsia" w:ascii="仿宋" w:hAnsi="仿宋" w:eastAsia="仿宋"/>
          <w:sz w:val="32"/>
          <w:szCs w:val="32"/>
        </w:rPr>
        <w:t>高品质中间相沥青生产装置项目环境影响报告书技术评估报告》（岳环事评估〔20</w:t>
      </w:r>
      <w:r>
        <w:rPr>
          <w:rFonts w:ascii="仿宋" w:hAnsi="仿宋" w:eastAsia="仿宋"/>
          <w:sz w:val="32"/>
          <w:szCs w:val="32"/>
        </w:rPr>
        <w:t>23</w:t>
      </w:r>
      <w:r>
        <w:rPr>
          <w:rFonts w:hint="eastAsia" w:ascii="仿宋" w:hAnsi="仿宋" w:eastAsia="仿宋"/>
          <w:sz w:val="32"/>
          <w:szCs w:val="32"/>
        </w:rPr>
        <w:t>〕 号）、岳阳市生态环境局云溪分局的预审意见及有关附件收悉。经研究，批复如下：</w:t>
      </w:r>
    </w:p>
    <w:p>
      <w:pPr>
        <w:spacing w:line="560" w:lineRule="exact"/>
        <w:ind w:firstLine="640"/>
        <w:jc w:val="both"/>
        <w:rPr>
          <w:rFonts w:ascii="仿宋" w:hAnsi="仿宋" w:eastAsia="仿宋"/>
          <w:sz w:val="32"/>
          <w:szCs w:val="32"/>
        </w:rPr>
      </w:pPr>
      <w:r>
        <w:rPr>
          <w:rFonts w:hint="eastAsia" w:ascii="仿宋" w:hAnsi="仿宋" w:eastAsia="仿宋"/>
          <w:sz w:val="32"/>
          <w:szCs w:val="32"/>
        </w:rPr>
        <w:t>一、湖南东映长联科技有限公司</w:t>
      </w:r>
      <w:r>
        <w:rPr>
          <w:rFonts w:ascii="仿宋" w:hAnsi="仿宋" w:eastAsia="仿宋"/>
          <w:sz w:val="32"/>
          <w:szCs w:val="32"/>
        </w:rPr>
        <w:t>15t/a</w:t>
      </w:r>
      <w:r>
        <w:rPr>
          <w:rFonts w:hint="eastAsia" w:ascii="仿宋" w:hAnsi="仿宋" w:eastAsia="仿宋"/>
          <w:sz w:val="32"/>
          <w:szCs w:val="32"/>
        </w:rPr>
        <w:t>高品质中间相沥青生产装置项目位于湖南岳阳绿色化工高新技术产业开发区长岭片区，租用湖南长炼新材料科技股份公司已建厂房进行生产，</w:t>
      </w:r>
      <w:bookmarkStart w:id="1" w:name="OLE_LINK6"/>
      <w:r>
        <w:rPr>
          <w:rFonts w:hint="eastAsia" w:ascii="仿宋" w:hAnsi="仿宋" w:eastAsia="仿宋"/>
          <w:sz w:val="32"/>
          <w:szCs w:val="32"/>
        </w:rPr>
        <w:t>项目总投资626.64万元，其中环保投资40.5万元。项目利用纯化油浆为原料，通过蒸馏、汽提、调制等工艺，生产高品质中间相沥青1</w:t>
      </w:r>
      <w:r>
        <w:rPr>
          <w:rFonts w:ascii="仿宋" w:hAnsi="仿宋" w:eastAsia="仿宋"/>
          <w:sz w:val="32"/>
          <w:szCs w:val="32"/>
        </w:rPr>
        <w:t>5t/a</w:t>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中间相沥青3</w:t>
      </w:r>
      <w:r>
        <w:rPr>
          <w:rFonts w:ascii="仿宋" w:hAnsi="仿宋" w:eastAsia="仿宋"/>
          <w:sz w:val="32"/>
          <w:szCs w:val="32"/>
        </w:rPr>
        <w:t>t/a</w:t>
      </w:r>
      <w:r>
        <w:rPr>
          <w:rFonts w:hint="eastAsia" w:ascii="仿宋" w:hAnsi="仿宋" w:eastAsia="仿宋"/>
          <w:sz w:val="32"/>
          <w:szCs w:val="32"/>
        </w:rPr>
        <w:t>和重质燃料油1</w:t>
      </w:r>
      <w:r>
        <w:rPr>
          <w:rFonts w:ascii="仿宋" w:hAnsi="仿宋" w:eastAsia="仿宋"/>
          <w:sz w:val="32"/>
          <w:szCs w:val="32"/>
        </w:rPr>
        <w:t>64t/a</w:t>
      </w:r>
      <w:r>
        <w:rPr>
          <w:rFonts w:hint="eastAsia" w:ascii="仿宋" w:hAnsi="仿宋" w:eastAsia="仿宋"/>
          <w:sz w:val="32"/>
          <w:szCs w:val="32"/>
        </w:rPr>
        <w:t>。</w:t>
      </w:r>
      <w:bookmarkEnd w:id="1"/>
      <w:r>
        <w:rPr>
          <w:rFonts w:hint="eastAsia" w:ascii="仿宋" w:hAnsi="仿宋" w:eastAsia="仿宋" w:cs="仿宋"/>
          <w:sz w:val="32"/>
          <w:szCs w:val="32"/>
        </w:rPr>
        <w:t>项目已取</w:t>
      </w:r>
      <w:r>
        <w:rPr>
          <w:rFonts w:ascii="仿宋" w:hAnsi="仿宋" w:eastAsia="仿宋"/>
          <w:color w:val="000000"/>
          <w:sz w:val="32"/>
          <w:szCs w:val="32"/>
        </w:rPr>
        <w:t>得</w:t>
      </w:r>
      <w:r>
        <w:rPr>
          <w:rFonts w:hint="eastAsia" w:ascii="仿宋" w:hAnsi="仿宋" w:eastAsia="仿宋"/>
          <w:sz w:val="32"/>
          <w:szCs w:val="32"/>
        </w:rPr>
        <w:t>湖南岳阳绿色化工高新技术产业开发区管理委员会的项目</w:t>
      </w:r>
      <w:r>
        <w:rPr>
          <w:rFonts w:hint="eastAsia" w:ascii="仿宋" w:hAnsi="仿宋" w:eastAsia="仿宋" w:cs="仿宋"/>
          <w:sz w:val="32"/>
          <w:szCs w:val="32"/>
        </w:rPr>
        <w:t>准入</w:t>
      </w:r>
      <w:r>
        <w:rPr>
          <w:rFonts w:hint="eastAsia" w:ascii="仿宋" w:hAnsi="仿宋" w:eastAsia="仿宋"/>
          <w:color w:val="000000"/>
          <w:sz w:val="32"/>
          <w:szCs w:val="32"/>
        </w:rPr>
        <w:t>（</w:t>
      </w:r>
      <w:r>
        <w:rPr>
          <w:rFonts w:hint="eastAsia" w:ascii="仿宋" w:hAnsi="仿宋" w:eastAsia="仿宋" w:cs="仿宋"/>
          <w:sz w:val="32"/>
          <w:szCs w:val="32"/>
        </w:rPr>
        <w:t>岳绿准通〔2022〕</w:t>
      </w:r>
      <w:r>
        <w:rPr>
          <w:rFonts w:ascii="仿宋" w:hAnsi="仿宋" w:eastAsia="仿宋" w:cs="仿宋"/>
          <w:sz w:val="32"/>
          <w:szCs w:val="32"/>
        </w:rPr>
        <w:t>38</w:t>
      </w:r>
      <w:r>
        <w:rPr>
          <w:rFonts w:hint="eastAsia" w:ascii="仿宋" w:hAnsi="仿宋" w:eastAsia="仿宋" w:cs="仿宋"/>
          <w:sz w:val="32"/>
          <w:szCs w:val="32"/>
        </w:rPr>
        <w:t>号</w:t>
      </w:r>
      <w:r>
        <w:rPr>
          <w:rFonts w:hint="eastAsia" w:ascii="仿宋" w:hAnsi="仿宋" w:eastAsia="仿宋"/>
          <w:color w:val="000000"/>
          <w:sz w:val="32"/>
          <w:szCs w:val="32"/>
        </w:rPr>
        <w:t>）</w:t>
      </w:r>
      <w:r>
        <w:rPr>
          <w:rFonts w:hint="eastAsia" w:ascii="仿宋" w:hAnsi="仿宋" w:eastAsia="仿宋" w:cs="仿宋"/>
          <w:sz w:val="32"/>
          <w:szCs w:val="32"/>
        </w:rPr>
        <w:t>和</w:t>
      </w:r>
      <w:r>
        <w:rPr>
          <w:rFonts w:hint="eastAsia" w:ascii="仿宋" w:hAnsi="仿宋" w:eastAsia="仿宋"/>
          <w:sz w:val="32"/>
          <w:szCs w:val="32"/>
        </w:rPr>
        <w:t>湖南岳阳绿色化工高新技术产业开发区管理委员会</w:t>
      </w:r>
      <w:r>
        <w:rPr>
          <w:rFonts w:hint="eastAsia" w:ascii="仿宋" w:hAnsi="仿宋" w:eastAsia="仿宋" w:cs="仿宋"/>
          <w:sz w:val="32"/>
          <w:szCs w:val="32"/>
        </w:rPr>
        <w:t>出具的项目备案证明（岳绿管备[</w:t>
      </w:r>
      <w:r>
        <w:rPr>
          <w:rFonts w:ascii="仿宋" w:hAnsi="仿宋" w:eastAsia="仿宋" w:cs="仿宋"/>
          <w:sz w:val="32"/>
          <w:szCs w:val="32"/>
        </w:rPr>
        <w:t>2022]13</w:t>
      </w:r>
      <w:r>
        <w:rPr>
          <w:rFonts w:hint="eastAsia" w:ascii="仿宋" w:hAnsi="仿宋" w:eastAsia="仿宋" w:cs="仿宋"/>
          <w:sz w:val="32"/>
          <w:szCs w:val="32"/>
        </w:rPr>
        <w:t>号号）</w:t>
      </w:r>
      <w:r>
        <w:rPr>
          <w:rFonts w:ascii="仿宋" w:hAnsi="仿宋" w:eastAsia="仿宋"/>
          <w:color w:val="000000"/>
          <w:sz w:val="32"/>
          <w:szCs w:val="32"/>
        </w:rPr>
        <w:t>。</w:t>
      </w:r>
      <w:r>
        <w:rPr>
          <w:rFonts w:hint="eastAsia" w:ascii="仿宋" w:hAnsi="仿宋" w:eastAsia="仿宋"/>
          <w:sz w:val="32"/>
          <w:szCs w:val="32"/>
        </w:rPr>
        <w:t>根据湖南天瑶环境技术有限公司</w:t>
      </w:r>
      <w:r>
        <w:rPr>
          <w:rFonts w:hint="eastAsia" w:ascii="仿宋" w:hAnsi="仿宋" w:eastAsia="仿宋" w:cs="仿宋"/>
          <w:sz w:val="32"/>
          <w:szCs w:val="32"/>
        </w:rPr>
        <w:t>编制的《</w:t>
      </w:r>
      <w:r>
        <w:rPr>
          <w:rFonts w:hint="eastAsia" w:ascii="仿宋" w:hAnsi="仿宋" w:eastAsia="仿宋"/>
          <w:sz w:val="32"/>
          <w:szCs w:val="32"/>
        </w:rPr>
        <w:t>湖南东映长联科技有限公司</w:t>
      </w:r>
      <w:r>
        <w:rPr>
          <w:rFonts w:ascii="仿宋" w:hAnsi="仿宋" w:eastAsia="仿宋"/>
          <w:sz w:val="32"/>
          <w:szCs w:val="32"/>
        </w:rPr>
        <w:t>15t/a</w:t>
      </w:r>
      <w:r>
        <w:rPr>
          <w:rFonts w:hint="eastAsia" w:ascii="仿宋" w:hAnsi="仿宋" w:eastAsia="仿宋"/>
          <w:sz w:val="32"/>
          <w:szCs w:val="32"/>
        </w:rPr>
        <w:t>高品质中间相沥青生产装置项目环境影响报告书》（报批稿）基本内容、结论、专家评审意见和岳阳市生态环境事务中心《湖南东映长联科技有限公司</w:t>
      </w:r>
      <w:r>
        <w:rPr>
          <w:rFonts w:ascii="仿宋" w:hAnsi="仿宋" w:eastAsia="仿宋"/>
          <w:sz w:val="32"/>
          <w:szCs w:val="32"/>
        </w:rPr>
        <w:t>15t/a</w:t>
      </w:r>
      <w:r>
        <w:rPr>
          <w:rFonts w:hint="eastAsia" w:ascii="仿宋" w:hAnsi="仿宋" w:eastAsia="仿宋"/>
          <w:sz w:val="32"/>
          <w:szCs w:val="32"/>
        </w:rPr>
        <w:t>高品质中间相沥青生产装置项目环境影响报告书技术评估报告》以及岳阳市生态环境局云溪分局预审意见，从环境保护角度考虑，我局原则同意你公司环境影响报告书中所列建设项目的环境影响评价结论和环境保护对策措施。</w:t>
      </w:r>
    </w:p>
    <w:p>
      <w:pPr>
        <w:spacing w:line="560" w:lineRule="exact"/>
        <w:ind w:firstLine="640"/>
        <w:jc w:val="both"/>
        <w:rPr>
          <w:rFonts w:ascii="仿宋" w:hAnsi="仿宋" w:eastAsia="仿宋" w:cs="Times New Roman"/>
          <w:kern w:val="2"/>
          <w:sz w:val="32"/>
          <w:szCs w:val="32"/>
        </w:rPr>
      </w:pPr>
      <w:r>
        <w:rPr>
          <w:rFonts w:hint="eastAsia" w:ascii="仿宋" w:hAnsi="仿宋" w:eastAsia="仿宋" w:cs="Times New Roman"/>
          <w:kern w:val="2"/>
          <w:sz w:val="32"/>
          <w:szCs w:val="32"/>
        </w:rPr>
        <w:t>二、项目建设和运营必须全面落实环境影响报告书提出的各项环保措施，并着重做好以下工作：</w:t>
      </w:r>
    </w:p>
    <w:p>
      <w:pPr>
        <w:spacing w:line="560" w:lineRule="exact"/>
        <w:ind w:firstLine="640"/>
        <w:jc w:val="both"/>
        <w:rPr>
          <w:rFonts w:ascii="仿宋" w:hAnsi="仿宋" w:eastAsia="仿宋"/>
          <w:sz w:val="32"/>
          <w:szCs w:val="32"/>
        </w:rPr>
      </w:pPr>
      <w:bookmarkStart w:id="2" w:name="OLE_LINK7"/>
      <w:bookmarkStart w:id="3" w:name="OLE_LINK3"/>
      <w:bookmarkStart w:id="4" w:name="OLE_LINK8"/>
      <w:r>
        <w:rPr>
          <w:rFonts w:hint="eastAsia" w:ascii="仿宋" w:hAnsi="仿宋" w:eastAsia="仿宋"/>
          <w:sz w:val="32"/>
          <w:szCs w:val="32"/>
        </w:rPr>
        <w:t>（一）严格履行建设单位的环保主体责任，加强环境管理。建设单位应建立健全的环保规章制度和岗位责任制度，配备专职环保管理人员；加强生产台账和环保台账的登记管理，做到有据可查；定期对污染防治设施进行检查和维修，确保环保设施稳定正常运行和污染物稳定达标排放。</w:t>
      </w:r>
    </w:p>
    <w:p>
      <w:pPr>
        <w:spacing w:line="560" w:lineRule="exact"/>
        <w:ind w:firstLine="640"/>
        <w:jc w:val="both"/>
        <w:rPr>
          <w:rFonts w:ascii="仿宋" w:hAnsi="仿宋" w:eastAsia="仿宋" w:cs="仿宋"/>
          <w:color w:val="FF0000"/>
          <w:sz w:val="32"/>
          <w:szCs w:val="32"/>
          <w:u w:val="single"/>
        </w:rPr>
      </w:pPr>
      <w:r>
        <w:rPr>
          <w:rFonts w:hint="eastAsia" w:ascii="仿宋" w:hAnsi="仿宋" w:eastAsia="仿宋"/>
          <w:sz w:val="32"/>
          <w:szCs w:val="32"/>
        </w:rPr>
        <w:t>（二）废气污染防治工作。</w:t>
      </w:r>
      <w:r>
        <w:rPr>
          <w:rFonts w:hint="eastAsia" w:ascii="仿宋" w:hAnsi="仿宋" w:eastAsia="仿宋" w:cs="仿宋"/>
          <w:sz w:val="32"/>
          <w:szCs w:val="32"/>
        </w:rPr>
        <w:t>严格控制项目废气污染，规范建设废气收集处理排放系统。生产工艺废气</w:t>
      </w:r>
      <w:r>
        <w:rPr>
          <w:rFonts w:hint="eastAsia" w:ascii="仿宋" w:hAnsi="仿宋" w:eastAsia="仿宋" w:cs="仿宋"/>
          <w:kern w:val="2"/>
          <w:sz w:val="32"/>
          <w:szCs w:val="32"/>
          <w:lang w:bidi="ar"/>
        </w:rPr>
        <w:t>采取有效措施提高废气收集率，</w:t>
      </w:r>
      <w:r>
        <w:rPr>
          <w:rFonts w:hint="eastAsia" w:ascii="仿宋" w:hAnsi="仿宋" w:eastAsia="仿宋" w:cs="仿宋"/>
          <w:sz w:val="32"/>
          <w:szCs w:val="32"/>
        </w:rPr>
        <w:t>加强日常监管工作，定期对设备、机泵、管道、阀门、法兰等进行维护和检测，杜绝</w:t>
      </w:r>
      <w:r>
        <w:rPr>
          <w:rFonts w:hint="eastAsia" w:ascii="仿宋" w:hAnsi="仿宋" w:eastAsia="仿宋" w:cs="仿宋"/>
          <w:bCs/>
          <w:sz w:val="32"/>
          <w:szCs w:val="32"/>
        </w:rPr>
        <w:t>生产</w:t>
      </w:r>
      <w:r>
        <w:rPr>
          <w:rFonts w:hint="eastAsia" w:ascii="仿宋" w:hAnsi="仿宋" w:eastAsia="仿宋" w:cs="仿宋"/>
          <w:sz w:val="32"/>
          <w:szCs w:val="32"/>
        </w:rPr>
        <w:t>过程中的跑、冒、滴、漏，最大限度减少</w:t>
      </w:r>
      <w:r>
        <w:rPr>
          <w:rFonts w:hint="eastAsia" w:ascii="仿宋" w:hAnsi="仿宋" w:eastAsia="仿宋" w:cs="仿宋"/>
          <w:bCs/>
          <w:sz w:val="32"/>
          <w:szCs w:val="32"/>
        </w:rPr>
        <w:t>生产过程中的</w:t>
      </w:r>
      <w:r>
        <w:rPr>
          <w:rFonts w:hint="eastAsia" w:ascii="仿宋" w:hAnsi="仿宋" w:eastAsia="仿宋" w:cs="仿宋"/>
          <w:sz w:val="32"/>
          <w:szCs w:val="32"/>
        </w:rPr>
        <w:t>废气无组织排放。</w:t>
      </w:r>
      <w:r>
        <w:rPr>
          <w:rFonts w:hint="eastAsia" w:ascii="仿宋" w:hAnsi="仿宋" w:eastAsia="仿宋" w:cs="仿宋"/>
          <w:bCs/>
          <w:snapToGrid w:val="0"/>
          <w:sz w:val="32"/>
          <w:szCs w:val="32"/>
        </w:rPr>
        <w:t>工艺废气经洗涤塔洗涤+碱液喷淋+</w:t>
      </w:r>
      <w:r>
        <w:rPr>
          <w:rFonts w:ascii="仿宋" w:hAnsi="仿宋" w:eastAsia="仿宋" w:cs="仿宋"/>
          <w:bCs/>
          <w:snapToGrid w:val="0"/>
          <w:sz w:val="32"/>
          <w:szCs w:val="32"/>
        </w:rPr>
        <w:t>UV</w:t>
      </w:r>
      <w:r>
        <w:rPr>
          <w:rFonts w:hint="eastAsia" w:ascii="仿宋" w:hAnsi="仿宋" w:eastAsia="仿宋" w:cs="仿宋"/>
          <w:bCs/>
          <w:snapToGrid w:val="0"/>
          <w:sz w:val="32"/>
          <w:szCs w:val="32"/>
        </w:rPr>
        <w:t>光解设备处理达标后，由</w:t>
      </w:r>
      <w:r>
        <w:rPr>
          <w:rFonts w:ascii="仿宋" w:hAnsi="仿宋" w:eastAsia="仿宋" w:cs="仿宋"/>
          <w:bCs/>
          <w:snapToGrid w:val="0"/>
          <w:sz w:val="32"/>
          <w:szCs w:val="32"/>
        </w:rPr>
        <w:t>15</w:t>
      </w:r>
      <w:r>
        <w:rPr>
          <w:rFonts w:hint="eastAsia" w:ascii="仿宋" w:hAnsi="仿宋" w:eastAsia="仿宋" w:cs="仿宋"/>
          <w:bCs/>
          <w:snapToGrid w:val="0"/>
          <w:sz w:val="32"/>
          <w:szCs w:val="32"/>
        </w:rPr>
        <w:t>m高排气筒外排。项目外排废气</w:t>
      </w:r>
      <w:r>
        <w:rPr>
          <w:rFonts w:hint="eastAsia" w:ascii="仿宋" w:hAnsi="仿宋" w:eastAsia="仿宋"/>
          <w:sz w:val="32"/>
          <w:szCs w:val="32"/>
        </w:rPr>
        <w:t>中的非甲烷总烃和沥青烟须满足《石油炼制工业污染物排放标准》（</w:t>
      </w:r>
      <w:r>
        <w:rPr>
          <w:rFonts w:ascii="仿宋" w:hAnsi="仿宋" w:eastAsia="仿宋"/>
          <w:sz w:val="32"/>
          <w:szCs w:val="32"/>
        </w:rPr>
        <w:t>GB31570-2015</w:t>
      </w:r>
      <w:r>
        <w:rPr>
          <w:rFonts w:hint="eastAsia" w:ascii="仿宋" w:hAnsi="仿宋" w:eastAsia="仿宋"/>
          <w:sz w:val="32"/>
          <w:szCs w:val="32"/>
        </w:rPr>
        <w:t>）中表</w:t>
      </w:r>
      <w:r>
        <w:rPr>
          <w:rFonts w:ascii="仿宋" w:hAnsi="仿宋" w:eastAsia="仿宋"/>
          <w:sz w:val="32"/>
          <w:szCs w:val="32"/>
        </w:rPr>
        <w:t>3</w:t>
      </w:r>
      <w:r>
        <w:rPr>
          <w:rFonts w:hint="eastAsia" w:ascii="仿宋" w:hAnsi="仿宋" w:eastAsia="仿宋"/>
          <w:sz w:val="32"/>
          <w:szCs w:val="32"/>
        </w:rPr>
        <w:t>中的排放限值要求，硫化氢执行《恶臭污染物排放标准》（</w:t>
      </w:r>
      <w:r>
        <w:rPr>
          <w:rFonts w:ascii="仿宋" w:hAnsi="仿宋" w:eastAsia="仿宋"/>
          <w:sz w:val="32"/>
          <w:szCs w:val="32"/>
        </w:rPr>
        <w:t>GB14554-93</w:t>
      </w:r>
      <w:r>
        <w:rPr>
          <w:rFonts w:hint="eastAsia" w:ascii="仿宋" w:hAnsi="仿宋" w:eastAsia="仿宋"/>
          <w:sz w:val="32"/>
          <w:szCs w:val="32"/>
        </w:rPr>
        <w:t>）表</w:t>
      </w:r>
      <w:r>
        <w:rPr>
          <w:rFonts w:ascii="仿宋" w:hAnsi="仿宋" w:eastAsia="仿宋"/>
          <w:sz w:val="32"/>
          <w:szCs w:val="32"/>
        </w:rPr>
        <w:t>2</w:t>
      </w:r>
      <w:r>
        <w:rPr>
          <w:rFonts w:hint="eastAsia" w:ascii="仿宋" w:hAnsi="仿宋" w:eastAsia="仿宋"/>
          <w:sz w:val="32"/>
          <w:szCs w:val="32"/>
        </w:rPr>
        <w:t>中的标准限值要求;</w:t>
      </w:r>
      <w:r>
        <w:rPr>
          <w:rFonts w:hint="eastAsia"/>
        </w:rPr>
        <w:t xml:space="preserve"> </w:t>
      </w:r>
      <w:r>
        <w:rPr>
          <w:rFonts w:hint="eastAsia" w:ascii="仿宋" w:hAnsi="仿宋" w:eastAsia="仿宋"/>
          <w:sz w:val="32"/>
          <w:szCs w:val="32"/>
        </w:rPr>
        <w:t>厂界无组织排放的非甲烷总烃执行石油炼制工业污染物排放标准》（GB31570-2015）中表5中企业边界大气污染物浓度限值</w:t>
      </w:r>
      <w:r>
        <w:rPr>
          <w:rFonts w:hint="eastAsia" w:ascii="仿宋" w:hAnsi="仿宋" w:eastAsia="仿宋" w:cs="仿宋"/>
          <w:sz w:val="32"/>
          <w:szCs w:val="32"/>
        </w:rPr>
        <w:t>。</w:t>
      </w:r>
    </w:p>
    <w:p>
      <w:pPr>
        <w:spacing w:line="560" w:lineRule="exact"/>
        <w:ind w:firstLine="640"/>
        <w:jc w:val="both"/>
        <w:rPr>
          <w:rFonts w:ascii="仿宋" w:hAnsi="仿宋" w:eastAsia="仿宋"/>
          <w:sz w:val="32"/>
          <w:szCs w:val="32"/>
        </w:rPr>
      </w:pPr>
      <w:r>
        <w:rPr>
          <w:rFonts w:hint="eastAsia" w:ascii="仿宋" w:hAnsi="仿宋" w:eastAsia="仿宋"/>
          <w:sz w:val="32"/>
          <w:szCs w:val="32"/>
        </w:rPr>
        <w:t>（三）废水污染防治工作。</w:t>
      </w:r>
      <w:r>
        <w:rPr>
          <w:rFonts w:hint="eastAsia" w:ascii="仿宋" w:hAnsi="仿宋" w:eastAsia="仿宋" w:cs="仿宋"/>
          <w:sz w:val="32"/>
          <w:szCs w:val="32"/>
        </w:rPr>
        <w:t>严格执行“雨污分流、清污分流、污污分流”排水体制。项目生产废水依托</w:t>
      </w:r>
      <w:r>
        <w:rPr>
          <w:rFonts w:hint="eastAsia" w:ascii="仿宋" w:hAnsi="仿宋" w:eastAsia="仿宋"/>
          <w:sz w:val="32"/>
          <w:szCs w:val="32"/>
        </w:rPr>
        <w:t>湖南长炼新材料科技股份公司污水收集池沉淀满足石油化学工业污染物排放标准》（GB31571-2015）间接排放标准和长岭分公司废水接纳要求后</w:t>
      </w:r>
      <w:r>
        <w:rPr>
          <w:rFonts w:hint="eastAsia" w:ascii="仿宋" w:hAnsi="仿宋" w:eastAsia="仿宋" w:cs="仿宋"/>
          <w:bCs/>
          <w:snapToGrid w:val="0"/>
          <w:sz w:val="32"/>
          <w:szCs w:val="32"/>
        </w:rPr>
        <w:t>排至中石化长岭分公司第一污水厂、第二污水厂进一步达标处理；生活污水依托</w:t>
      </w:r>
      <w:r>
        <w:rPr>
          <w:rFonts w:hint="eastAsia" w:ascii="仿宋" w:hAnsi="仿宋" w:eastAsia="仿宋"/>
          <w:sz w:val="32"/>
          <w:szCs w:val="32"/>
        </w:rPr>
        <w:t>湖南长炼新材料科技股份公司化粪池处理满足《污水综合排放标准》（G</w:t>
      </w:r>
      <w:r>
        <w:rPr>
          <w:rFonts w:ascii="仿宋" w:hAnsi="仿宋" w:eastAsia="仿宋"/>
          <w:sz w:val="32"/>
          <w:szCs w:val="32"/>
        </w:rPr>
        <w:t>B8978-1996</w:t>
      </w:r>
      <w:r>
        <w:rPr>
          <w:rFonts w:hint="eastAsia" w:ascii="仿宋" w:hAnsi="仿宋" w:eastAsia="仿宋"/>
          <w:sz w:val="32"/>
          <w:szCs w:val="32"/>
        </w:rPr>
        <w:t>）表4中“三级”标准和长岭分公司废水接纳要求后</w:t>
      </w:r>
      <w:r>
        <w:rPr>
          <w:rFonts w:hint="eastAsia" w:ascii="仿宋" w:hAnsi="仿宋" w:eastAsia="仿宋" w:cs="仿宋"/>
          <w:bCs/>
          <w:snapToGrid w:val="0"/>
          <w:sz w:val="32"/>
          <w:szCs w:val="32"/>
        </w:rPr>
        <w:t>排至中石化长岭分公司第一污水厂、第二污水厂进一步达标处理。</w:t>
      </w:r>
    </w:p>
    <w:p>
      <w:pPr>
        <w:autoSpaceDE w:val="0"/>
        <w:spacing w:line="560" w:lineRule="exact"/>
        <w:ind w:firstLine="640"/>
        <w:jc w:val="both"/>
        <w:rPr>
          <w:rFonts w:ascii="仿宋" w:hAnsi="仿宋" w:eastAsia="仿宋" w:cs="_4eff_5b8b_GB2312"/>
          <w:bCs/>
          <w:sz w:val="32"/>
          <w:szCs w:val="32"/>
        </w:rPr>
      </w:pPr>
      <w:r>
        <w:rPr>
          <w:rFonts w:hint="eastAsia" w:ascii="仿宋" w:hAnsi="仿宋" w:eastAsia="仿宋" w:cs="仿宋"/>
          <w:bCs/>
          <w:sz w:val="32"/>
          <w:szCs w:val="32"/>
          <w:lang w:bidi="ar"/>
        </w:rPr>
        <w:t>（</w:t>
      </w:r>
      <w:r>
        <w:rPr>
          <w:rFonts w:hint="eastAsia" w:ascii="仿宋" w:hAnsi="仿宋" w:eastAsia="仿宋"/>
          <w:sz w:val="32"/>
          <w:szCs w:val="32"/>
        </w:rPr>
        <w:t>四）</w:t>
      </w:r>
      <w:r>
        <w:rPr>
          <w:rFonts w:hint="eastAsia" w:ascii="仿宋" w:hAnsi="仿宋" w:eastAsia="仿宋" w:cs="_4eff_5b8b_GB2312"/>
          <w:bCs/>
          <w:sz w:val="32"/>
          <w:szCs w:val="32"/>
        </w:rPr>
        <w:t>地下水污染防治工作。按照“源头控制、分区防治、污染监控、应急响应”相结合的原则，严格落实报告书提出的地下水污染防治措施。做好项目生产车间危险废物暂存间和污水管道等的防腐、防渗、防漏工作，按相关规范要求做好跟踪监测工作，确保地下水环境安全。</w:t>
      </w:r>
    </w:p>
    <w:p>
      <w:pPr>
        <w:spacing w:line="560" w:lineRule="exact"/>
        <w:ind w:firstLine="640"/>
        <w:jc w:val="both"/>
        <w:rPr>
          <w:rFonts w:ascii="仿宋" w:hAnsi="仿宋" w:eastAsia="仿宋"/>
          <w:sz w:val="32"/>
          <w:szCs w:val="32"/>
        </w:rPr>
      </w:pPr>
      <w:r>
        <w:rPr>
          <w:rFonts w:hint="eastAsia" w:hAnsi="仿宋" w:eastAsia="仿宋" w:cs="Times New Roman"/>
          <w:sz w:val="32"/>
          <w:szCs w:val="32"/>
        </w:rPr>
        <w:t>（五）</w:t>
      </w:r>
      <w:r>
        <w:rPr>
          <w:rFonts w:hint="eastAsia" w:ascii="仿宋" w:hAnsi="仿宋" w:eastAsia="仿宋"/>
          <w:sz w:val="32"/>
          <w:szCs w:val="32"/>
        </w:rPr>
        <w:t>噪声防治工作。严格落实各项噪声防治措施，采用低噪声设备，</w:t>
      </w:r>
      <w:r>
        <w:rPr>
          <w:rFonts w:hint="eastAsia" w:ascii="仿宋" w:hAnsi="仿宋" w:eastAsia="仿宋" w:cs="仿宋"/>
          <w:sz w:val="32"/>
          <w:szCs w:val="32"/>
        </w:rPr>
        <w:t>合理布局，</w:t>
      </w:r>
      <w:r>
        <w:rPr>
          <w:rFonts w:hint="eastAsia" w:ascii="仿宋" w:hAnsi="仿宋" w:eastAsia="仿宋"/>
          <w:sz w:val="32"/>
          <w:szCs w:val="32"/>
        </w:rPr>
        <w:t>加强各类设施的维护保养，对风机、压滤机、各类泵等噪声产生设施设备采取隔声、减震、消声等措施，确保</w:t>
      </w:r>
      <w:r>
        <w:rPr>
          <w:rFonts w:hint="eastAsia" w:ascii="仿宋" w:hAnsi="仿宋" w:eastAsia="仿宋" w:cs="仿宋"/>
          <w:sz w:val="32"/>
          <w:szCs w:val="32"/>
        </w:rPr>
        <w:t>厂界</w:t>
      </w:r>
      <w:r>
        <w:rPr>
          <w:rFonts w:hint="eastAsia" w:ascii="仿宋" w:hAnsi="仿宋" w:eastAsia="仿宋"/>
          <w:sz w:val="32"/>
          <w:szCs w:val="32"/>
        </w:rPr>
        <w:t>噪声满足《工业企业厂界环境噪声排放标准》(GB12348-2008)中的3类标准要求</w:t>
      </w:r>
      <w:r>
        <w:rPr>
          <w:rFonts w:ascii="仿宋" w:hAnsi="仿宋" w:eastAsia="仿宋"/>
          <w:sz w:val="32"/>
          <w:szCs w:val="32"/>
        </w:rPr>
        <w:t>。</w:t>
      </w:r>
    </w:p>
    <w:p>
      <w:pPr>
        <w:spacing w:line="560" w:lineRule="exact"/>
        <w:ind w:firstLine="640"/>
        <w:jc w:val="both"/>
        <w:rPr>
          <w:rFonts w:ascii="仿宋" w:hAnsi="仿宋" w:eastAsia="仿宋"/>
          <w:sz w:val="32"/>
          <w:szCs w:val="32"/>
        </w:rPr>
      </w:pPr>
      <w:r>
        <w:rPr>
          <w:rFonts w:hint="eastAsia" w:ascii="仿宋" w:hAnsi="仿宋" w:eastAsia="仿宋"/>
          <w:sz w:val="32"/>
          <w:szCs w:val="32"/>
        </w:rPr>
        <w:t>（六）固体废物管理工作。按</w:t>
      </w:r>
      <w:r>
        <w:rPr>
          <w:rFonts w:ascii="仿宋" w:hAnsi="仿宋" w:eastAsia="仿宋"/>
          <w:sz w:val="32"/>
          <w:szCs w:val="32"/>
        </w:rPr>
        <w:t>“</w:t>
      </w:r>
      <w:r>
        <w:rPr>
          <w:rFonts w:hint="eastAsia" w:ascii="仿宋" w:hAnsi="仿宋" w:eastAsia="仿宋"/>
          <w:sz w:val="32"/>
          <w:szCs w:val="32"/>
        </w:rPr>
        <w:t>无害化、减量化、资源化</w:t>
      </w:r>
      <w:r>
        <w:rPr>
          <w:rFonts w:ascii="仿宋" w:hAnsi="仿宋" w:eastAsia="仿宋"/>
          <w:sz w:val="32"/>
          <w:szCs w:val="32"/>
        </w:rPr>
        <w:t>”</w:t>
      </w:r>
      <w:r>
        <w:rPr>
          <w:rFonts w:hint="eastAsia" w:ascii="仿宋" w:hAnsi="仿宋" w:eastAsia="仿宋"/>
          <w:sz w:val="32"/>
          <w:szCs w:val="32"/>
        </w:rPr>
        <w:t>原则，严格落实《危险废物贮存污染控制标准（GB18597-2001）》及其2013年修改单和《</w:t>
      </w:r>
      <w:r>
        <w:fldChar w:fldCharType="begin"/>
      </w:r>
      <w:r>
        <w:instrText xml:space="preserve"> HYPERLINK "http://www.mee.gov.cn/ywgz/fgbz/bz/bzwb/gthw/gtfwwrkzbz/202012/W020201218695845325455.pdf" </w:instrText>
      </w:r>
      <w:r>
        <w:fldChar w:fldCharType="separate"/>
      </w:r>
      <w:r>
        <w:rPr>
          <w:rFonts w:hint="eastAsia" w:ascii="仿宋" w:hAnsi="仿宋" w:eastAsia="仿宋"/>
          <w:sz w:val="32"/>
          <w:szCs w:val="32"/>
        </w:rPr>
        <w:t>一般工业固体废物贮存和填埋污染控制标准（GB18599-2020）</w:t>
      </w:r>
      <w:r>
        <w:rPr>
          <w:rFonts w:hint="eastAsia" w:ascii="仿宋" w:hAnsi="仿宋" w:eastAsia="仿宋"/>
          <w:sz w:val="32"/>
          <w:szCs w:val="32"/>
        </w:rPr>
        <w:fldChar w:fldCharType="end"/>
      </w:r>
      <w:r>
        <w:rPr>
          <w:rFonts w:hint="eastAsia" w:ascii="仿宋" w:hAnsi="仿宋" w:eastAsia="仿宋"/>
          <w:sz w:val="32"/>
          <w:szCs w:val="32"/>
        </w:rPr>
        <w:t>》等相关标准和规定要求，做好固体废物分类收集、暂存工作，建立健全固体废物产生、转运、处置全过程管理台帐。项目产生的机修废油和含油抹布等危险废物</w:t>
      </w:r>
      <w:r>
        <w:rPr>
          <w:rFonts w:hint="eastAsia" w:hAnsi="仿宋" w:eastAsia="仿宋" w:cs="Times New Roman"/>
          <w:sz w:val="32"/>
          <w:szCs w:val="32"/>
        </w:rPr>
        <w:t>经收集后交有资质的单位安全处置并</w:t>
      </w:r>
      <w:r>
        <w:rPr>
          <w:rFonts w:hint="eastAsia" w:ascii="仿宋" w:hAnsi="仿宋" w:eastAsia="仿宋" w:cs="仿宋"/>
          <w:kern w:val="2"/>
          <w:sz w:val="32"/>
          <w:szCs w:val="32"/>
          <w:lang w:bidi="ar"/>
        </w:rPr>
        <w:t>严格按照</w:t>
      </w:r>
      <w:r>
        <w:rPr>
          <w:rFonts w:hint="eastAsia" w:ascii="仿宋" w:hAnsi="仿宋" w:eastAsia="仿宋" w:cs="仿宋"/>
          <w:sz w:val="32"/>
          <w:szCs w:val="32"/>
        </w:rPr>
        <w:t>《</w:t>
      </w:r>
      <w:r>
        <w:rPr>
          <w:rFonts w:hint="eastAsia" w:ascii="仿宋" w:hAnsi="仿宋" w:eastAsia="仿宋" w:cs="仿宋"/>
          <w:kern w:val="2"/>
          <w:sz w:val="32"/>
          <w:szCs w:val="32"/>
          <w:lang w:bidi="ar"/>
        </w:rPr>
        <w:t>危险废物转移管理办法</w:t>
      </w:r>
      <w:r>
        <w:rPr>
          <w:rFonts w:hint="eastAsia" w:ascii="仿宋" w:hAnsi="仿宋" w:eastAsia="仿宋" w:cs="仿宋"/>
          <w:sz w:val="32"/>
          <w:szCs w:val="32"/>
        </w:rPr>
        <w:t>》要求</w:t>
      </w:r>
      <w:r>
        <w:rPr>
          <w:rFonts w:hint="eastAsia" w:ascii="仿宋" w:hAnsi="仿宋" w:eastAsia="仿宋" w:cs="仿宋"/>
          <w:kern w:val="2"/>
          <w:sz w:val="32"/>
          <w:szCs w:val="32"/>
          <w:lang w:bidi="ar"/>
        </w:rPr>
        <w:t>落实相关转移</w:t>
      </w:r>
      <w:r>
        <w:rPr>
          <w:rFonts w:hint="eastAsia" w:hAnsi="仿宋" w:eastAsia="仿宋" w:cs="Times New Roman"/>
          <w:sz w:val="32"/>
          <w:szCs w:val="32"/>
        </w:rPr>
        <w:t>工作。</w:t>
      </w:r>
      <w:r>
        <w:rPr>
          <w:rFonts w:hint="eastAsia" w:ascii="仿宋" w:hAnsi="仿宋" w:eastAsia="仿宋"/>
          <w:sz w:val="32"/>
          <w:szCs w:val="32"/>
        </w:rPr>
        <w:t>生活垃圾一并交由环卫部门统一处理。</w:t>
      </w:r>
    </w:p>
    <w:p>
      <w:pPr>
        <w:spacing w:line="560" w:lineRule="exact"/>
        <w:ind w:firstLine="640"/>
        <w:jc w:val="both"/>
        <w:rPr>
          <w:rFonts w:ascii="仿宋" w:hAnsi="仿宋" w:eastAsia="仿宋"/>
          <w:sz w:val="32"/>
          <w:szCs w:val="32"/>
        </w:rPr>
      </w:pPr>
      <w:r>
        <w:rPr>
          <w:rFonts w:hint="eastAsia" w:hAnsi="仿宋" w:eastAsia="仿宋" w:cs="Times New Roman"/>
          <w:sz w:val="32"/>
          <w:szCs w:val="32"/>
        </w:rPr>
        <w:t>（七）</w:t>
      </w:r>
      <w:r>
        <w:rPr>
          <w:rFonts w:hint="eastAsia" w:ascii="仿宋" w:hAnsi="仿宋" w:eastAsia="仿宋"/>
          <w:sz w:val="32"/>
          <w:szCs w:val="32"/>
        </w:rPr>
        <w:t>环境管理和风险防范工作。设专门环保机构，配备专职环保管理人员，</w:t>
      </w:r>
      <w:r>
        <w:rPr>
          <w:rFonts w:hint="eastAsia" w:ascii="仿宋" w:hAnsi="仿宋" w:eastAsia="仿宋" w:cs="仿宋"/>
          <w:sz w:val="32"/>
          <w:szCs w:val="32"/>
        </w:rPr>
        <w:t>按计划做好运营期环境监测工作，</w:t>
      </w:r>
      <w:r>
        <w:rPr>
          <w:rFonts w:hint="eastAsia" w:ascii="仿宋" w:hAnsi="仿宋" w:eastAsia="仿宋"/>
          <w:sz w:val="32"/>
          <w:szCs w:val="32"/>
        </w:rPr>
        <w:t>加强日常监管，</w:t>
      </w:r>
      <w:r>
        <w:rPr>
          <w:rFonts w:hint="eastAsia" w:hAnsi="仿宋" w:eastAsia="仿宋" w:cs="Times New Roman"/>
          <w:sz w:val="32"/>
          <w:szCs w:val="32"/>
        </w:rPr>
        <w:t>落实好巡检维护工作，</w:t>
      </w:r>
      <w:r>
        <w:rPr>
          <w:rFonts w:hint="eastAsia" w:ascii="仿宋" w:hAnsi="仿宋" w:eastAsia="仿宋"/>
          <w:sz w:val="32"/>
          <w:szCs w:val="32"/>
        </w:rPr>
        <w:t>确保各污染防治设施的正常运行，各类污染物稳定达标排放。</w:t>
      </w:r>
      <w:r>
        <w:rPr>
          <w:rFonts w:hint="eastAsia" w:hAnsi="仿宋" w:eastAsia="仿宋" w:cs="Times New Roman"/>
          <w:sz w:val="32"/>
          <w:szCs w:val="32"/>
        </w:rPr>
        <w:t>加强环境风险管理，</w:t>
      </w:r>
      <w:r>
        <w:rPr>
          <w:rFonts w:hint="eastAsia" w:ascii="仿宋" w:hAnsi="仿宋" w:eastAsia="仿宋"/>
          <w:sz w:val="32"/>
          <w:szCs w:val="32"/>
        </w:rPr>
        <w:t>严格落实报告书提出的各项环境风险防范措施</w:t>
      </w:r>
      <w:r>
        <w:rPr>
          <w:rFonts w:hint="eastAsia" w:ascii="仿宋" w:hAnsi="仿宋" w:eastAsia="仿宋" w:cs="仿宋"/>
          <w:sz w:val="32"/>
          <w:szCs w:val="32"/>
        </w:rPr>
        <w:t>，</w:t>
      </w:r>
      <w:r>
        <w:rPr>
          <w:rFonts w:hint="eastAsia" w:ascii="仿宋" w:hAnsi="仿宋" w:eastAsia="仿宋"/>
          <w:sz w:val="32"/>
          <w:szCs w:val="32"/>
        </w:rPr>
        <w:t>按照《突发环境事件应急管理办法》编制好突发环境事件应急预案并落实到位，</w:t>
      </w:r>
      <w:r>
        <w:rPr>
          <w:rFonts w:hint="eastAsia" w:ascii="仿宋" w:hAnsi="仿宋" w:eastAsia="仿宋" w:cs="仿宋"/>
          <w:sz w:val="32"/>
          <w:szCs w:val="32"/>
        </w:rPr>
        <w:t>加强与化工产业园、云溪区等应急预案的应急联动，</w:t>
      </w:r>
      <w:r>
        <w:rPr>
          <w:rFonts w:hint="eastAsia" w:ascii="仿宋" w:hAnsi="仿宋" w:eastAsia="仿宋"/>
          <w:sz w:val="32"/>
          <w:szCs w:val="32"/>
        </w:rPr>
        <w:t>储备风险救助物资并定期组织演练，杜绝环境风险事故发生，确保周边环境安全。</w:t>
      </w:r>
    </w:p>
    <w:p>
      <w:pPr>
        <w:autoSpaceDE w:val="0"/>
        <w:spacing w:line="560" w:lineRule="exact"/>
        <w:ind w:firstLine="640"/>
        <w:jc w:val="both"/>
        <w:rPr>
          <w:rFonts w:ascii="仿宋" w:hAnsi="仿宋" w:eastAsia="仿宋" w:cs="仿宋"/>
          <w:sz w:val="32"/>
          <w:szCs w:val="32"/>
          <w:u w:val="single"/>
        </w:rPr>
      </w:pPr>
      <w:r>
        <w:rPr>
          <w:rFonts w:hint="eastAsia" w:hAnsi="仿宋" w:eastAsia="仿宋" w:cs="Times New Roman"/>
          <w:sz w:val="32"/>
          <w:szCs w:val="32"/>
        </w:rPr>
        <w:t>（八）本项目主要污染物总量控制指标为：</w:t>
      </w:r>
      <w:r>
        <w:rPr>
          <w:rFonts w:hint="eastAsia" w:ascii="仿宋" w:hAnsi="仿宋" w:eastAsia="仿宋" w:cs="仿宋"/>
          <w:sz w:val="32"/>
          <w:szCs w:val="32"/>
        </w:rPr>
        <w:t>COD≤</w:t>
      </w:r>
      <w:r>
        <w:rPr>
          <w:rFonts w:ascii="仿宋" w:hAnsi="仿宋" w:eastAsia="仿宋" w:cs="仿宋"/>
          <w:sz w:val="32"/>
          <w:szCs w:val="32"/>
        </w:rPr>
        <w:t>0.03</w:t>
      </w:r>
      <w:r>
        <w:rPr>
          <w:rFonts w:hint="eastAsia" w:ascii="仿宋" w:hAnsi="仿宋" w:eastAsia="仿宋" w:cs="仿宋"/>
          <w:sz w:val="32"/>
          <w:szCs w:val="32"/>
        </w:rPr>
        <w:t>1t/a、</w:t>
      </w:r>
      <w:r>
        <w:rPr>
          <w:rFonts w:hint="eastAsia" w:ascii="仿宋" w:hAnsi="仿宋" w:eastAsia="仿宋" w:cs="_4eff_5b8b_GB2312"/>
          <w:bCs/>
          <w:color w:val="000000"/>
          <w:sz w:val="32"/>
          <w:szCs w:val="32"/>
        </w:rPr>
        <w:t>氨氮≤0.</w:t>
      </w:r>
      <w:r>
        <w:rPr>
          <w:rFonts w:ascii="仿宋" w:hAnsi="仿宋" w:eastAsia="仿宋" w:cs="_4eff_5b8b_GB2312"/>
          <w:bCs/>
          <w:color w:val="000000"/>
          <w:sz w:val="32"/>
          <w:szCs w:val="32"/>
        </w:rPr>
        <w:t>0</w:t>
      </w:r>
      <w:r>
        <w:rPr>
          <w:rFonts w:hint="eastAsia" w:ascii="仿宋" w:hAnsi="仿宋" w:eastAsia="仿宋" w:cs="_4eff_5b8b_GB2312"/>
          <w:bCs/>
          <w:color w:val="000000"/>
          <w:sz w:val="32"/>
          <w:szCs w:val="32"/>
        </w:rPr>
        <w:t>1t/a、非甲烷总烃≤</w:t>
      </w:r>
      <w:r>
        <w:rPr>
          <w:rFonts w:ascii="仿宋" w:hAnsi="仿宋" w:eastAsia="仿宋" w:cs="_4eff_5b8b_GB2312"/>
          <w:bCs/>
          <w:color w:val="000000"/>
          <w:sz w:val="32"/>
          <w:szCs w:val="32"/>
        </w:rPr>
        <w:t>0.4</w:t>
      </w:r>
      <w:r>
        <w:rPr>
          <w:rFonts w:hint="eastAsia" w:ascii="仿宋" w:hAnsi="仿宋" w:eastAsia="仿宋" w:cs="_4eff_5b8b_GB2312"/>
          <w:bCs/>
          <w:color w:val="000000"/>
          <w:sz w:val="32"/>
          <w:szCs w:val="32"/>
        </w:rPr>
        <w:t>t/a。</w:t>
      </w:r>
    </w:p>
    <w:bookmarkEnd w:id="2"/>
    <w:p>
      <w:pPr>
        <w:spacing w:line="560" w:lineRule="exact"/>
        <w:ind w:firstLine="640"/>
        <w:jc w:val="both"/>
        <w:rPr>
          <w:rFonts w:hAnsi="仿宋" w:eastAsia="仿宋" w:cs="Times New Roman"/>
          <w:sz w:val="32"/>
          <w:szCs w:val="32"/>
        </w:rPr>
      </w:pPr>
      <w:r>
        <w:rPr>
          <w:rFonts w:hint="eastAsia" w:hAnsi="仿宋" w:eastAsia="仿宋" w:cs="Times New Roman"/>
          <w:sz w:val="32"/>
          <w:szCs w:val="32"/>
        </w:rPr>
        <w:t>三、你公司应在收到本批复后15个工作日内，将批复及批准的环评报告文本送至岳阳市生态环境局云溪分局、</w:t>
      </w:r>
      <w:r>
        <w:rPr>
          <w:rFonts w:hint="eastAsia" w:ascii="仿宋" w:hAnsi="仿宋" w:eastAsia="仿宋"/>
          <w:sz w:val="32"/>
          <w:szCs w:val="32"/>
        </w:rPr>
        <w:t>湖南天瑶环境技术有限公司</w:t>
      </w:r>
      <w:r>
        <w:rPr>
          <w:rFonts w:hint="eastAsia" w:hAnsi="仿宋" w:eastAsia="仿宋" w:cs="Times New Roman"/>
          <w:sz w:val="32"/>
          <w:szCs w:val="32"/>
        </w:rPr>
        <w:t>。</w:t>
      </w:r>
    </w:p>
    <w:bookmarkEnd w:id="3"/>
    <w:bookmarkEnd w:id="4"/>
    <w:p>
      <w:pPr>
        <w:spacing w:line="560" w:lineRule="exact"/>
        <w:ind w:firstLine="640"/>
        <w:jc w:val="both"/>
        <w:rPr>
          <w:rFonts w:ascii="仿宋" w:hAnsi="仿宋" w:eastAsia="仿宋"/>
          <w:sz w:val="32"/>
          <w:szCs w:val="32"/>
        </w:rPr>
      </w:pPr>
      <w:r>
        <w:rPr>
          <w:rFonts w:hint="eastAsia" w:ascii="仿宋" w:hAnsi="仿宋" w:eastAsia="仿宋"/>
          <w:sz w:val="32"/>
          <w:szCs w:val="32"/>
        </w:rPr>
        <w:t>四、请</w:t>
      </w:r>
      <w:r>
        <w:rPr>
          <w:rFonts w:hint="eastAsia" w:hAnsi="仿宋" w:eastAsia="仿宋" w:cs="Times New Roman"/>
          <w:sz w:val="32"/>
          <w:szCs w:val="32"/>
        </w:rPr>
        <w:t>岳阳市生态环境局云溪分局</w:t>
      </w:r>
      <w:r>
        <w:rPr>
          <w:rFonts w:hint="eastAsia" w:ascii="仿宋" w:hAnsi="仿宋" w:eastAsia="仿宋"/>
          <w:sz w:val="32"/>
          <w:szCs w:val="32"/>
        </w:rPr>
        <w:t>负责项目建设和运营期的日常环境监管。</w:t>
      </w:r>
    </w:p>
    <w:p>
      <w:pPr>
        <w:spacing w:line="560" w:lineRule="exact"/>
        <w:ind w:firstLine="640"/>
        <w:jc w:val="both"/>
        <w:rPr>
          <w:rFonts w:ascii="仿宋" w:hAnsi="仿宋" w:eastAsia="仿宋"/>
          <w:sz w:val="32"/>
          <w:szCs w:val="32"/>
        </w:rPr>
      </w:pPr>
      <w:r>
        <w:rPr>
          <w:rFonts w:hint="eastAsia" w:ascii="仿宋" w:hAnsi="仿宋" w:eastAsia="仿宋"/>
          <w:sz w:val="32"/>
          <w:szCs w:val="32"/>
        </w:rPr>
        <w:t xml:space="preserve">                             岳阳市生态环境局</w:t>
      </w:r>
    </w:p>
    <w:p>
      <w:pPr>
        <w:spacing w:line="560" w:lineRule="exact"/>
        <w:ind w:firstLine="640"/>
        <w:jc w:val="both"/>
        <w:rPr>
          <w:color w:val="F79646"/>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ascii="仿宋" w:hAnsi="仿宋" w:eastAsia="仿宋"/>
          <w:sz w:val="32"/>
          <w:szCs w:val="32"/>
        </w:rPr>
        <w:t>3</w:t>
      </w:r>
      <w:r>
        <w:rPr>
          <w:rFonts w:hint="eastAsia" w:ascii="仿宋" w:hAnsi="仿宋" w:eastAsia="仿宋"/>
          <w:sz w:val="32"/>
          <w:szCs w:val="32"/>
        </w:rPr>
        <w:t>年</w:t>
      </w:r>
      <w:r>
        <w:rPr>
          <w:rFonts w:ascii="仿宋" w:hAnsi="仿宋" w:eastAsia="仿宋"/>
          <w:sz w:val="32"/>
          <w:szCs w:val="32"/>
        </w:rPr>
        <w:t>1</w:t>
      </w:r>
      <w:r>
        <w:rPr>
          <w:rFonts w:hint="eastAsia" w:ascii="仿宋" w:hAnsi="仿宋" w:eastAsia="仿宋"/>
          <w:sz w:val="32"/>
          <w:szCs w:val="32"/>
        </w:rPr>
        <w:t>月</w:t>
      </w:r>
      <w:r>
        <w:rPr>
          <w:rFonts w:hint="eastAsia" w:ascii="仿宋" w:hAnsi="仿宋" w:eastAsia="仿宋"/>
          <w:sz w:val="32"/>
          <w:szCs w:val="32"/>
          <w:lang w:val="en-US" w:eastAsia="zh-CN"/>
        </w:rPr>
        <w:t>20</w:t>
      </w:r>
      <w:r>
        <w:rPr>
          <w:rFonts w:hint="eastAsia" w:ascii="仿宋" w:hAnsi="仿宋" w:eastAsia="仿宋"/>
          <w:sz w:val="32"/>
          <w:szCs w:val="32"/>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88" w:bottom="1417" w:left="1644" w:header="851" w:footer="992" w:gutter="0"/>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fldChar w:fldCharType="begin"/>
    </w:r>
    <w:r>
      <w:instrText xml:space="preserve"> PAGE   \* MERGEFORMAT </w:instrText>
    </w:r>
    <w:r>
      <w:fldChar w:fldCharType="separate"/>
    </w:r>
    <w:r>
      <w:rPr>
        <w:lang w:val="zh-CN"/>
      </w:rPr>
      <w:t>4</w:t>
    </w:r>
    <w:r>
      <w:fldChar w:fldCharType="end"/>
    </w:r>
  </w:p>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BB90"/>
    <w:multiLevelType w:val="singleLevel"/>
    <w:tmpl w:val="7AF4BB90"/>
    <w:lvl w:ilvl="0" w:tentative="0">
      <w:start w:val="1"/>
      <w:numFmt w:val="bullet"/>
      <w:pStyle w:val="9"/>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oNotShadeFormData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jMmQ5NDQxNzExMTNkYWJkYzI5YTMyM2M4MWY1NzkifQ=="/>
  </w:docVars>
  <w:rsids>
    <w:rsidRoot w:val="00172A27"/>
    <w:rsid w:val="000559F6"/>
    <w:rsid w:val="001079C4"/>
    <w:rsid w:val="00123228"/>
    <w:rsid w:val="00172A27"/>
    <w:rsid w:val="001A5241"/>
    <w:rsid w:val="001C31CD"/>
    <w:rsid w:val="003103D7"/>
    <w:rsid w:val="0031113E"/>
    <w:rsid w:val="00492B9D"/>
    <w:rsid w:val="00496FCE"/>
    <w:rsid w:val="004A1D17"/>
    <w:rsid w:val="004A7447"/>
    <w:rsid w:val="005471A6"/>
    <w:rsid w:val="00574A66"/>
    <w:rsid w:val="005D7D47"/>
    <w:rsid w:val="005E141B"/>
    <w:rsid w:val="005E28A1"/>
    <w:rsid w:val="006E05E0"/>
    <w:rsid w:val="007C3E45"/>
    <w:rsid w:val="007E21C8"/>
    <w:rsid w:val="00845288"/>
    <w:rsid w:val="00905411"/>
    <w:rsid w:val="009614F9"/>
    <w:rsid w:val="00A11203"/>
    <w:rsid w:val="00A66054"/>
    <w:rsid w:val="00AD1661"/>
    <w:rsid w:val="00B61466"/>
    <w:rsid w:val="00C04F7A"/>
    <w:rsid w:val="00C86672"/>
    <w:rsid w:val="00CB5FFD"/>
    <w:rsid w:val="00CE78FE"/>
    <w:rsid w:val="00CF5969"/>
    <w:rsid w:val="00D02C45"/>
    <w:rsid w:val="00D32B15"/>
    <w:rsid w:val="00D45532"/>
    <w:rsid w:val="00D7565C"/>
    <w:rsid w:val="00DF7871"/>
    <w:rsid w:val="00E21E00"/>
    <w:rsid w:val="00EA4850"/>
    <w:rsid w:val="00EE2C4F"/>
    <w:rsid w:val="00F11053"/>
    <w:rsid w:val="00F65C1F"/>
    <w:rsid w:val="00FE58FE"/>
    <w:rsid w:val="015224BD"/>
    <w:rsid w:val="01891285"/>
    <w:rsid w:val="01B0D7D3"/>
    <w:rsid w:val="01C75D8C"/>
    <w:rsid w:val="02241CF7"/>
    <w:rsid w:val="032B378F"/>
    <w:rsid w:val="04B8280B"/>
    <w:rsid w:val="04C9670A"/>
    <w:rsid w:val="050843DE"/>
    <w:rsid w:val="058C63F9"/>
    <w:rsid w:val="05C50C80"/>
    <w:rsid w:val="05C60FBA"/>
    <w:rsid w:val="06125F58"/>
    <w:rsid w:val="067A7CA7"/>
    <w:rsid w:val="072A5547"/>
    <w:rsid w:val="077D3476"/>
    <w:rsid w:val="086F61D4"/>
    <w:rsid w:val="08D764E3"/>
    <w:rsid w:val="09074C3A"/>
    <w:rsid w:val="096E1B37"/>
    <w:rsid w:val="0A0D1C58"/>
    <w:rsid w:val="0AD77DB8"/>
    <w:rsid w:val="0B381347"/>
    <w:rsid w:val="0C2F7944"/>
    <w:rsid w:val="0C6C5A75"/>
    <w:rsid w:val="0CDF3F73"/>
    <w:rsid w:val="0D3A7F2F"/>
    <w:rsid w:val="0E5D61F2"/>
    <w:rsid w:val="1073CCF6"/>
    <w:rsid w:val="10A5534F"/>
    <w:rsid w:val="119F4A7B"/>
    <w:rsid w:val="12032D93"/>
    <w:rsid w:val="136514D2"/>
    <w:rsid w:val="144D7E6F"/>
    <w:rsid w:val="14BD1BE5"/>
    <w:rsid w:val="15391AEE"/>
    <w:rsid w:val="1573694A"/>
    <w:rsid w:val="15B64A89"/>
    <w:rsid w:val="15C05E79"/>
    <w:rsid w:val="16A164D9"/>
    <w:rsid w:val="17DC26EE"/>
    <w:rsid w:val="184D197C"/>
    <w:rsid w:val="18E036D9"/>
    <w:rsid w:val="196953A5"/>
    <w:rsid w:val="19FA7936"/>
    <w:rsid w:val="1AF16875"/>
    <w:rsid w:val="1B2A2304"/>
    <w:rsid w:val="1BC64D24"/>
    <w:rsid w:val="1C0B04F9"/>
    <w:rsid w:val="1D411421"/>
    <w:rsid w:val="1D9E0C23"/>
    <w:rsid w:val="1E13542C"/>
    <w:rsid w:val="1E5E2C4E"/>
    <w:rsid w:val="1FD437AC"/>
    <w:rsid w:val="1FE30229"/>
    <w:rsid w:val="203C3DDD"/>
    <w:rsid w:val="203D69F7"/>
    <w:rsid w:val="20605D1D"/>
    <w:rsid w:val="2129562B"/>
    <w:rsid w:val="2188636F"/>
    <w:rsid w:val="23B16EC4"/>
    <w:rsid w:val="2425BFD6"/>
    <w:rsid w:val="254E4F41"/>
    <w:rsid w:val="255D4AD5"/>
    <w:rsid w:val="261E6904"/>
    <w:rsid w:val="27AEFAF6"/>
    <w:rsid w:val="27FF319F"/>
    <w:rsid w:val="282E2AF9"/>
    <w:rsid w:val="28603185"/>
    <w:rsid w:val="28D77D24"/>
    <w:rsid w:val="29F6041F"/>
    <w:rsid w:val="2AD215D6"/>
    <w:rsid w:val="2AD54DBF"/>
    <w:rsid w:val="2AF552B4"/>
    <w:rsid w:val="2B367DA6"/>
    <w:rsid w:val="2BFA0087"/>
    <w:rsid w:val="2C2C11A9"/>
    <w:rsid w:val="2C4C18EE"/>
    <w:rsid w:val="2E0917A2"/>
    <w:rsid w:val="2E240243"/>
    <w:rsid w:val="2E620EB2"/>
    <w:rsid w:val="2EED2F93"/>
    <w:rsid w:val="2F740E9D"/>
    <w:rsid w:val="2FBC6DA7"/>
    <w:rsid w:val="30DE6FB5"/>
    <w:rsid w:val="31ED206B"/>
    <w:rsid w:val="32BB1100"/>
    <w:rsid w:val="336C1655"/>
    <w:rsid w:val="33F11A54"/>
    <w:rsid w:val="34202917"/>
    <w:rsid w:val="34A44F53"/>
    <w:rsid w:val="352B4C2C"/>
    <w:rsid w:val="36750FCA"/>
    <w:rsid w:val="37111565"/>
    <w:rsid w:val="372E23BC"/>
    <w:rsid w:val="37CF1C23"/>
    <w:rsid w:val="382F4F9D"/>
    <w:rsid w:val="38363ADA"/>
    <w:rsid w:val="387009C5"/>
    <w:rsid w:val="388724AA"/>
    <w:rsid w:val="394748FE"/>
    <w:rsid w:val="39924689"/>
    <w:rsid w:val="399C212A"/>
    <w:rsid w:val="39DD195D"/>
    <w:rsid w:val="3A374274"/>
    <w:rsid w:val="3B4EB73D"/>
    <w:rsid w:val="3B75103E"/>
    <w:rsid w:val="3B8E6B21"/>
    <w:rsid w:val="3C4531C7"/>
    <w:rsid w:val="3C924665"/>
    <w:rsid w:val="3E0C2FCD"/>
    <w:rsid w:val="3F2E34FD"/>
    <w:rsid w:val="407F40BE"/>
    <w:rsid w:val="4081341A"/>
    <w:rsid w:val="41002FD6"/>
    <w:rsid w:val="41553DF4"/>
    <w:rsid w:val="41DA54D8"/>
    <w:rsid w:val="4346769E"/>
    <w:rsid w:val="437601E6"/>
    <w:rsid w:val="44120CDC"/>
    <w:rsid w:val="444A40F8"/>
    <w:rsid w:val="44732B10"/>
    <w:rsid w:val="45222FEE"/>
    <w:rsid w:val="45752376"/>
    <w:rsid w:val="457900D2"/>
    <w:rsid w:val="45CC1124"/>
    <w:rsid w:val="463D0684"/>
    <w:rsid w:val="46EA4B04"/>
    <w:rsid w:val="473368AA"/>
    <w:rsid w:val="48945CB4"/>
    <w:rsid w:val="48A43BE0"/>
    <w:rsid w:val="48CA63AA"/>
    <w:rsid w:val="49E51A66"/>
    <w:rsid w:val="4A2D61DB"/>
    <w:rsid w:val="4B064900"/>
    <w:rsid w:val="4BF673A4"/>
    <w:rsid w:val="4BFB1F7C"/>
    <w:rsid w:val="4CF4811B"/>
    <w:rsid w:val="4D144A97"/>
    <w:rsid w:val="4D58B1EE"/>
    <w:rsid w:val="4DA34F38"/>
    <w:rsid w:val="4E688D3F"/>
    <w:rsid w:val="4E991D8B"/>
    <w:rsid w:val="4EA1526E"/>
    <w:rsid w:val="505238DA"/>
    <w:rsid w:val="51322B94"/>
    <w:rsid w:val="51E3405A"/>
    <w:rsid w:val="52521775"/>
    <w:rsid w:val="53884126"/>
    <w:rsid w:val="53C25DCC"/>
    <w:rsid w:val="53CE7F9E"/>
    <w:rsid w:val="540E3642"/>
    <w:rsid w:val="55CC6B6C"/>
    <w:rsid w:val="565D79FD"/>
    <w:rsid w:val="56A641D2"/>
    <w:rsid w:val="56C4B182"/>
    <w:rsid w:val="57131575"/>
    <w:rsid w:val="57160908"/>
    <w:rsid w:val="574F20E5"/>
    <w:rsid w:val="57865553"/>
    <w:rsid w:val="578F1EDD"/>
    <w:rsid w:val="58415EB1"/>
    <w:rsid w:val="58A7264E"/>
    <w:rsid w:val="590421A1"/>
    <w:rsid w:val="593740D0"/>
    <w:rsid w:val="59B6602C"/>
    <w:rsid w:val="59C3875F"/>
    <w:rsid w:val="5ABE78FA"/>
    <w:rsid w:val="5ADC59C5"/>
    <w:rsid w:val="5DA06CA0"/>
    <w:rsid w:val="5ED32983"/>
    <w:rsid w:val="5FE51E22"/>
    <w:rsid w:val="600BACD0"/>
    <w:rsid w:val="604F6C39"/>
    <w:rsid w:val="615B2711"/>
    <w:rsid w:val="645390CB"/>
    <w:rsid w:val="64BC3905"/>
    <w:rsid w:val="650224CC"/>
    <w:rsid w:val="6630477D"/>
    <w:rsid w:val="66325DA6"/>
    <w:rsid w:val="66CC23D8"/>
    <w:rsid w:val="67957627"/>
    <w:rsid w:val="683A2D35"/>
    <w:rsid w:val="6984AC29"/>
    <w:rsid w:val="6AA84AAF"/>
    <w:rsid w:val="6C5117E7"/>
    <w:rsid w:val="6CAD2EBE"/>
    <w:rsid w:val="6D03684E"/>
    <w:rsid w:val="6E1F56F5"/>
    <w:rsid w:val="6EEA1E83"/>
    <w:rsid w:val="6F2DCDBF"/>
    <w:rsid w:val="6F630C97"/>
    <w:rsid w:val="6FF1DE50"/>
    <w:rsid w:val="70C6787F"/>
    <w:rsid w:val="712F0C92"/>
    <w:rsid w:val="71B702C3"/>
    <w:rsid w:val="73115DD8"/>
    <w:rsid w:val="73331928"/>
    <w:rsid w:val="73442398"/>
    <w:rsid w:val="734E92DB"/>
    <w:rsid w:val="735C724B"/>
    <w:rsid w:val="736D08BC"/>
    <w:rsid w:val="7512B24F"/>
    <w:rsid w:val="753D0121"/>
    <w:rsid w:val="75764783"/>
    <w:rsid w:val="76361D6D"/>
    <w:rsid w:val="767B0688"/>
    <w:rsid w:val="78F543CA"/>
    <w:rsid w:val="78FD1E59"/>
    <w:rsid w:val="790E62D1"/>
    <w:rsid w:val="79905EA0"/>
    <w:rsid w:val="79E443E5"/>
    <w:rsid w:val="7A6C39F7"/>
    <w:rsid w:val="7AAA3570"/>
    <w:rsid w:val="7AD17C0A"/>
    <w:rsid w:val="7B644EB3"/>
    <w:rsid w:val="7B7D250F"/>
    <w:rsid w:val="7C5232BC"/>
    <w:rsid w:val="7DEC1BF7"/>
    <w:rsid w:val="86858C31"/>
    <w:rsid w:val="8E04678C"/>
    <w:rsid w:val="8F5FDD30"/>
    <w:rsid w:val="8FC4CA7E"/>
    <w:rsid w:val="92D04097"/>
    <w:rsid w:val="97006194"/>
    <w:rsid w:val="979DDDD4"/>
    <w:rsid w:val="A664DBED"/>
    <w:rsid w:val="B15C4454"/>
    <w:rsid w:val="B802294B"/>
    <w:rsid w:val="CB126221"/>
    <w:rsid w:val="CC030370"/>
    <w:rsid w:val="CC70B200"/>
    <w:rsid w:val="D1277365"/>
    <w:rsid w:val="D2B89D44"/>
    <w:rsid w:val="D4E24DC6"/>
    <w:rsid w:val="D52DFC7B"/>
    <w:rsid w:val="E4F77385"/>
    <w:rsid w:val="E6862EAB"/>
    <w:rsid w:val="E6A9EF47"/>
    <w:rsid w:val="E9BADB65"/>
    <w:rsid w:val="EF90E004"/>
    <w:rsid w:val="F35DE0D3"/>
    <w:rsid w:val="F5C9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微软雅黑" w:cs="宋体"/>
      <w:lang w:val="en-US" w:eastAsia="zh-CN" w:bidi="ar-SA"/>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4">
    <w:name w:val="Body Text Indent 2"/>
    <w:basedOn w:val="1"/>
    <w:next w:val="1"/>
    <w:qFormat/>
    <w:uiPriority w:val="0"/>
    <w:pPr>
      <w:spacing w:after="120" w:line="480" w:lineRule="auto"/>
      <w:ind w:left="420" w:leftChars="200"/>
    </w:pPr>
    <w:rPr>
      <w:rFonts w:eastAsia="宋体"/>
      <w:szCs w:val="24"/>
    </w:rPr>
  </w:style>
  <w:style w:type="paragraph" w:styleId="5">
    <w:name w:val="E-mail Signature"/>
    <w:basedOn w:val="1"/>
    <w:next w:val="6"/>
    <w:qFormat/>
    <w:uiPriority w:val="0"/>
    <w:pPr>
      <w:spacing w:line="460" w:lineRule="exact"/>
      <w:ind w:firstLine="200"/>
    </w:pPr>
  </w:style>
  <w:style w:type="paragraph" w:customStyle="1" w:styleId="6">
    <w:name w:val="文章"/>
    <w:basedOn w:val="7"/>
    <w:next w:val="8"/>
    <w:qFormat/>
    <w:uiPriority w:val="0"/>
    <w:pPr>
      <w:widowControl/>
      <w:ind w:firstLine="480"/>
      <w:jc w:val="center"/>
    </w:pPr>
    <w:rPr>
      <w:sz w:val="26"/>
    </w:rPr>
  </w:style>
  <w:style w:type="paragraph" w:styleId="7">
    <w:name w:val="Body Text Indent"/>
    <w:basedOn w:val="1"/>
    <w:next w:val="1"/>
    <w:qFormat/>
    <w:uiPriority w:val="0"/>
    <w:pPr>
      <w:spacing w:after="120"/>
      <w:ind w:left="283"/>
    </w:pPr>
    <w:rPr>
      <w:rFonts w:eastAsia="宋体" w:cs="Times New Roman"/>
    </w:rPr>
  </w:style>
  <w:style w:type="paragraph" w:styleId="8">
    <w:name w:val="List"/>
    <w:basedOn w:val="1"/>
    <w:next w:val="9"/>
    <w:qFormat/>
    <w:uiPriority w:val="0"/>
    <w:pPr>
      <w:ind w:left="200" w:hanging="200" w:hangingChars="200"/>
      <w:jc w:val="center"/>
    </w:pPr>
  </w:style>
  <w:style w:type="paragraph" w:styleId="9">
    <w:name w:val="List Bullet 2"/>
    <w:basedOn w:val="1"/>
    <w:next w:val="10"/>
    <w:qFormat/>
    <w:uiPriority w:val="0"/>
    <w:pPr>
      <w:numPr>
        <w:ilvl w:val="0"/>
        <w:numId w:val="1"/>
      </w:numPr>
    </w:pPr>
  </w:style>
  <w:style w:type="paragraph" w:customStyle="1" w:styleId="10">
    <w:name w:val="xl70"/>
    <w:basedOn w:val="1"/>
    <w:next w:val="11"/>
    <w:qFormat/>
    <w:uiPriority w:val="0"/>
    <w:pPr>
      <w:widowControl/>
      <w:spacing w:before="280" w:after="280"/>
    </w:pPr>
    <w:rPr>
      <w:rFonts w:ascii="宋体"/>
    </w:rPr>
  </w:style>
  <w:style w:type="paragraph" w:customStyle="1" w:styleId="11">
    <w:name w:val="正文缩进1"/>
    <w:basedOn w:val="1"/>
    <w:next w:val="12"/>
    <w:qFormat/>
    <w:uiPriority w:val="0"/>
    <w:pPr>
      <w:ind w:firstLine="420"/>
    </w:pPr>
    <w:rPr>
      <w:rFonts w:ascii="宋体"/>
      <w:sz w:val="28"/>
    </w:rPr>
  </w:style>
  <w:style w:type="paragraph" w:customStyle="1" w:styleId="12">
    <w:name w:val="td1"/>
    <w:basedOn w:val="1"/>
    <w:next w:val="1"/>
    <w:qFormat/>
    <w:uiPriority w:val="0"/>
    <w:pPr>
      <w:widowControl/>
      <w:spacing w:before="280" w:after="280" w:line="300" w:lineRule="atLeast"/>
      <w:ind w:firstLine="200"/>
    </w:pPr>
    <w:rPr>
      <w:color w:val="000000"/>
      <w:sz w:val="18"/>
    </w:rPr>
  </w:style>
  <w:style w:type="paragraph" w:styleId="13">
    <w:name w:val="Normal Indent"/>
    <w:basedOn w:val="1"/>
    <w:qFormat/>
    <w:uiPriority w:val="0"/>
    <w:pPr>
      <w:ind w:firstLine="420"/>
    </w:pPr>
  </w:style>
  <w:style w:type="paragraph" w:styleId="14">
    <w:name w:val="footer"/>
    <w:basedOn w:val="1"/>
    <w:link w:val="26"/>
    <w:qFormat/>
    <w:uiPriority w:val="0"/>
    <w:pPr>
      <w:tabs>
        <w:tab w:val="center" w:pos="4153"/>
        <w:tab w:val="right" w:pos="8306"/>
      </w:tabs>
      <w:snapToGrid w:val="0"/>
    </w:pPr>
    <w:rPr>
      <w:rFonts w:ascii="Calibri" w:hAnsi="Calibri"/>
      <w:sz w:val="18"/>
      <w:szCs w:val="18"/>
    </w:rPr>
  </w:style>
  <w:style w:type="paragraph" w:styleId="15">
    <w:name w:val="header"/>
    <w:basedOn w:val="1"/>
    <w:link w:val="2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16">
    <w:name w:val="Body Text Indent 3"/>
    <w:basedOn w:val="1"/>
    <w:qFormat/>
    <w:uiPriority w:val="0"/>
    <w:pPr>
      <w:spacing w:line="480" w:lineRule="auto"/>
      <w:ind w:firstLine="560"/>
    </w:pPr>
    <w:rPr>
      <w:rFonts w:ascii="仿宋_GB2312" w:hAnsi="宋体" w:eastAsia="仿宋_GB2312"/>
      <w:color w:val="000000"/>
      <w:sz w:val="28"/>
      <w:szCs w:val="24"/>
    </w:rPr>
  </w:style>
  <w:style w:type="paragraph" w:styleId="17">
    <w:name w:val="toc 2"/>
    <w:basedOn w:val="1"/>
    <w:next w:val="5"/>
    <w:unhideWhenUsed/>
    <w:qFormat/>
    <w:uiPriority w:val="39"/>
    <w:pPr>
      <w:ind w:left="420" w:leftChars="200"/>
    </w:pPr>
  </w:style>
  <w:style w:type="paragraph" w:styleId="18">
    <w:name w:val="Normal (Web)"/>
    <w:basedOn w:val="1"/>
    <w:qFormat/>
    <w:uiPriority w:val="0"/>
    <w:pPr>
      <w:spacing w:before="100" w:beforeAutospacing="1" w:after="100" w:afterAutospacing="1"/>
    </w:pPr>
    <w:rPr>
      <w:rFonts w:ascii="Calibri" w:hAnsi="Calibri" w:cs="Times New Roman"/>
      <w:sz w:val="24"/>
    </w:rPr>
  </w:style>
  <w:style w:type="paragraph" w:customStyle="1" w:styleId="21">
    <w:name w:val="Default"/>
    <w:basedOn w:val="22"/>
    <w:next w:val="23"/>
    <w:qFormat/>
    <w:uiPriority w:val="0"/>
    <w:pPr>
      <w:widowControl w:val="0"/>
      <w:autoSpaceDE w:val="0"/>
      <w:autoSpaceDN w:val="0"/>
    </w:pPr>
    <w:rPr>
      <w:color w:val="000000"/>
      <w:szCs w:val="24"/>
    </w:rPr>
  </w:style>
  <w:style w:type="paragraph" w:customStyle="1" w:styleId="22">
    <w:name w:val="纯文本1"/>
    <w:basedOn w:val="1"/>
    <w:next w:val="1"/>
    <w:qFormat/>
    <w:uiPriority w:val="0"/>
    <w:pPr>
      <w:widowControl/>
      <w:adjustRightInd w:val="0"/>
      <w:snapToGrid w:val="0"/>
      <w:spacing w:line="360" w:lineRule="auto"/>
      <w:ind w:firstLine="480"/>
    </w:pPr>
    <w:rPr>
      <w:rFonts w:ascii="宋体" w:hAnsi="Courier New"/>
      <w:sz w:val="24"/>
    </w:rPr>
  </w:style>
  <w:style w:type="paragraph" w:customStyle="1" w:styleId="23">
    <w:name w:val="样式35"/>
    <w:basedOn w:val="24"/>
    <w:next w:val="25"/>
    <w:qFormat/>
    <w:uiPriority w:val="0"/>
    <w:pPr>
      <w:tabs>
        <w:tab w:val="left" w:pos="180"/>
      </w:tabs>
      <w:spacing w:line="312" w:lineRule="auto"/>
      <w:ind w:firstLine="567"/>
    </w:pPr>
  </w:style>
  <w:style w:type="paragraph" w:customStyle="1" w:styleId="24">
    <w:name w:val="样式8"/>
    <w:basedOn w:val="16"/>
    <w:qFormat/>
    <w:uiPriority w:val="0"/>
    <w:pPr>
      <w:tabs>
        <w:tab w:val="left" w:pos="180"/>
      </w:tabs>
      <w:spacing w:line="600" w:lineRule="exact"/>
      <w:ind w:firstLine="0" w:firstLineChars="0"/>
      <w:jc w:val="center"/>
    </w:pPr>
    <w:rPr>
      <w:rFonts w:ascii="宋体" w:eastAsia="宋体"/>
      <w:b/>
      <w:color w:val="auto"/>
      <w:szCs w:val="20"/>
    </w:rPr>
  </w:style>
  <w:style w:type="paragraph" w:customStyle="1" w:styleId="25">
    <w:name w:val="font6"/>
    <w:basedOn w:val="1"/>
    <w:next w:val="17"/>
    <w:qFormat/>
    <w:uiPriority w:val="0"/>
    <w:pPr>
      <w:widowControl/>
      <w:spacing w:before="100" w:beforeAutospacing="1" w:after="100" w:afterAutospacing="1"/>
      <w:ind w:firstLine="0" w:firstLineChars="0"/>
    </w:pPr>
    <w:rPr>
      <w:rFonts w:hint="eastAsia" w:ascii="宋体" w:hAnsi="宋体"/>
      <w:sz w:val="28"/>
      <w:szCs w:val="28"/>
    </w:rPr>
  </w:style>
  <w:style w:type="character" w:customStyle="1" w:styleId="26">
    <w:name w:val="页脚 Char"/>
    <w:link w:val="14"/>
    <w:qFormat/>
    <w:uiPriority w:val="0"/>
    <w:rPr>
      <w:rFonts w:ascii="Calibri" w:hAnsi="Calibri" w:eastAsia="微软雅黑" w:cs="宋体"/>
      <w:sz w:val="18"/>
      <w:szCs w:val="18"/>
    </w:rPr>
  </w:style>
  <w:style w:type="character" w:customStyle="1" w:styleId="27">
    <w:name w:val="页眉 Char"/>
    <w:link w:val="15"/>
    <w:qFormat/>
    <w:uiPriority w:val="0"/>
    <w:rPr>
      <w:rFonts w:ascii="Calibri" w:hAnsi="Calibri" w:eastAsia="微软雅黑" w:cs="宋体"/>
      <w:sz w:val="18"/>
      <w:szCs w:val="18"/>
    </w:rPr>
  </w:style>
  <w:style w:type="paragraph" w:customStyle="1" w:styleId="28">
    <w:name w:val="Default2"/>
    <w:next w:val="29"/>
    <w:qFormat/>
    <w:uiPriority w:val="0"/>
    <w:pPr>
      <w:widowControl w:val="0"/>
      <w:autoSpaceDE w:val="0"/>
      <w:autoSpaceDN w:val="0"/>
      <w:adjustRightInd w:val="0"/>
    </w:pPr>
    <w:rPr>
      <w:rFonts w:ascii="黑体" w:hAnsi="Times New Roman" w:eastAsia="Times New Roman" w:cs="黑体"/>
      <w:color w:val="000000"/>
      <w:sz w:val="24"/>
      <w:szCs w:val="24"/>
      <w:lang w:val="en-US" w:eastAsia="zh-TW" w:bidi="ar-SA"/>
    </w:rPr>
  </w:style>
  <w:style w:type="paragraph" w:customStyle="1" w:styleId="29">
    <w:name w:val="目录 91662"/>
    <w:next w:val="1"/>
    <w:qFormat/>
    <w:uiPriority w:val="0"/>
    <w:pPr>
      <w:wordWrap w:val="0"/>
      <w:ind w:left="2975"/>
      <w:jc w:val="both"/>
    </w:pPr>
    <w:rPr>
      <w:rFonts w:ascii="Times New Roman" w:hAnsi="Times New Roman" w:eastAsia="宋体" w:cs="Times New Roman"/>
      <w:sz w:val="21"/>
      <w:lang w:val="en-US" w:eastAsia="zh-CN" w:bidi="ar-SA"/>
    </w:rPr>
  </w:style>
  <w:style w:type="paragraph" w:customStyle="1" w:styleId="30">
    <w:name w:val="0"/>
    <w:basedOn w:val="1"/>
    <w:qFormat/>
    <w:uiPriority w:val="0"/>
    <w:pPr>
      <w:widowControl/>
      <w:snapToGrid w:val="0"/>
      <w:spacing w:line="365" w:lineRule="atLeast"/>
      <w:ind w:left="1"/>
      <w:textAlignment w:val="bottom"/>
    </w:pPr>
    <w:rPr>
      <w:rFonts w:ascii="Calibri" w:hAnsi="Calibri"/>
    </w:rPr>
  </w:style>
  <w:style w:type="paragraph" w:customStyle="1" w:styleId="31">
    <w:name w:val="表格内容"/>
    <w:basedOn w:val="1"/>
    <w:qFormat/>
    <w:uiPriority w:val="0"/>
    <w:pPr>
      <w:autoSpaceDE w:val="0"/>
      <w:autoSpaceDN w:val="0"/>
      <w:adjustRightInd w:val="0"/>
      <w:spacing w:line="360" w:lineRule="auto"/>
      <w:ind w:firstLine="0" w:firstLineChars="0"/>
      <w:jc w:val="center"/>
      <w:textAlignment w:val="baseline"/>
    </w:pPr>
    <w:rPr>
      <w:rFonts w:ascii="Calibri" w:hAnsi="Calibri"/>
      <w:color w:val="000000"/>
      <w:sz w:val="21"/>
      <w:szCs w:val="21"/>
    </w:rPr>
  </w:style>
  <w:style w:type="paragraph" w:customStyle="1" w:styleId="32">
    <w:name w:val="WPS Plain"/>
    <w:qFormat/>
    <w:uiPriority w:val="0"/>
    <w:rPr>
      <w:rFonts w:ascii="Times New Roman" w:hAnsi="Times New Roman" w:eastAsia="微软雅黑" w:cs="宋体"/>
      <w:lang w:val="en-US" w:eastAsia="zh-CN" w:bidi="ar-SA"/>
    </w:rPr>
  </w:style>
  <w:style w:type="paragraph" w:customStyle="1" w:styleId="33">
    <w:name w:val="T正文"/>
    <w:basedOn w:val="1"/>
    <w:qFormat/>
    <w:uiPriority w:val="0"/>
    <w:pPr>
      <w:spacing w:line="440" w:lineRule="exact"/>
      <w:ind w:firstLine="600"/>
      <w:jc w:val="both"/>
    </w:pPr>
    <w:rPr>
      <w:color w:val="F79646"/>
      <w:szCs w:val="24"/>
    </w:rPr>
  </w:style>
  <w:style w:type="paragraph" w:customStyle="1" w:styleId="34">
    <w:name w:val="表格五号"/>
    <w:basedOn w:val="1"/>
    <w:qFormat/>
    <w:uiPriority w:val="0"/>
    <w:pPr>
      <w:ind w:firstLine="0" w:firstLineChars="0"/>
      <w:jc w:val="center"/>
    </w:pPr>
    <w:rPr>
      <w:sz w:val="21"/>
    </w:rPr>
  </w:style>
  <w:style w:type="paragraph" w:customStyle="1" w:styleId="35">
    <w:name w:val="表字体"/>
    <w:basedOn w:val="1"/>
    <w:next w:val="1"/>
    <w:qFormat/>
    <w:uiPriority w:val="0"/>
    <w:pPr>
      <w:jc w:val="center"/>
    </w:pPr>
    <w:rPr>
      <w:rFonts w:eastAsia="宋体"/>
    </w:rPr>
  </w:style>
  <w:style w:type="paragraph" w:styleId="36">
    <w:name w:val="List Paragraph"/>
    <w:basedOn w:val="1"/>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5</Pages>
  <Words>2135</Words>
  <Characters>2317</Characters>
  <Lines>51</Lines>
  <Paragraphs>14</Paragraphs>
  <TotalTime>95</TotalTime>
  <ScaleCrop>false</ScaleCrop>
  <LinksUpToDate>false</LinksUpToDate>
  <CharactersWithSpaces>2457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2021-09-24T03:05:00Z</dcterms:created>
  <dc:creator>微软用户</dc:creator>
  <cp:lastModifiedBy>一直向前走</cp:lastModifiedBy>
  <cp:lastPrinted>2022-07-13T07:10:00Z</cp:lastPrinted>
  <dcterms:modified xsi:type="dcterms:W3CDTF">2023-01-20T01:39:45Z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18B35005561C40FA98449934DFC18CB8</vt:lpwstr>
  </property>
</Properties>
</file>