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autoSpaceDE w:val="0"/>
        <w:autoSpaceDN/>
        <w:bidi w:val="0"/>
        <w:adjustRightInd/>
        <w:snapToGrid/>
        <w:spacing w:before="312" w:beforeLines="100" w:line="420" w:lineRule="exact"/>
        <w:ind w:firstLine="300" w:firstLineChars="100"/>
        <w:jc w:val="center"/>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w:t>
      </w:r>
    </w:p>
    <w:p>
      <w:pPr>
        <w:pStyle w:val="5"/>
        <w:keepNext w:val="0"/>
        <w:keepLines w:val="0"/>
        <w:pageBreakBefore w:val="0"/>
        <w:widowControl/>
        <w:kinsoku/>
        <w:wordWrap/>
        <w:overflowPunct/>
        <w:topLinePunct/>
        <w:autoSpaceDE w:val="0"/>
        <w:autoSpaceDN/>
        <w:bidi w:val="0"/>
        <w:adjustRightInd/>
        <w:snapToGrid/>
        <w:spacing w:before="312" w:beforeLines="100" w:line="420" w:lineRule="exact"/>
        <w:ind w:firstLine="300" w:firstLineChars="100"/>
        <w:jc w:val="center"/>
        <w:textAlignment w:val="auto"/>
        <w:rPr>
          <w:rFonts w:hint="eastAsia" w:ascii="仿宋" w:hAnsi="仿宋" w:eastAsia="仿宋"/>
          <w:sz w:val="30"/>
          <w:szCs w:val="30"/>
          <w:lang w:val="en-US" w:eastAsia="zh-CN"/>
        </w:rPr>
      </w:pPr>
    </w:p>
    <w:p>
      <w:pPr>
        <w:pStyle w:val="5"/>
        <w:keepNext w:val="0"/>
        <w:keepLines w:val="0"/>
        <w:pageBreakBefore w:val="0"/>
        <w:widowControl/>
        <w:kinsoku/>
        <w:wordWrap/>
        <w:overflowPunct/>
        <w:topLinePunct/>
        <w:autoSpaceDE w:val="0"/>
        <w:autoSpaceDN/>
        <w:bidi w:val="0"/>
        <w:adjustRightInd/>
        <w:snapToGrid/>
        <w:spacing w:before="312" w:beforeLines="100" w:line="420" w:lineRule="exact"/>
        <w:ind w:firstLine="300" w:firstLineChars="100"/>
        <w:jc w:val="center"/>
        <w:textAlignment w:val="auto"/>
        <w:rPr>
          <w:rFonts w:hint="eastAsia" w:ascii="仿宋" w:hAnsi="仿宋" w:eastAsia="仿宋"/>
          <w:sz w:val="30"/>
          <w:szCs w:val="30"/>
          <w:lang w:val="en-US" w:eastAsia="zh-CN"/>
        </w:rPr>
      </w:pPr>
    </w:p>
    <w:p>
      <w:pPr>
        <w:pStyle w:val="5"/>
        <w:keepNext w:val="0"/>
        <w:keepLines w:val="0"/>
        <w:pageBreakBefore w:val="0"/>
        <w:widowControl/>
        <w:kinsoku/>
        <w:wordWrap/>
        <w:overflowPunct/>
        <w:topLinePunct/>
        <w:autoSpaceDE w:val="0"/>
        <w:autoSpaceDN/>
        <w:bidi w:val="0"/>
        <w:adjustRightInd/>
        <w:snapToGrid/>
        <w:spacing w:before="157" w:beforeLines="50" w:line="440" w:lineRule="exact"/>
        <w:ind w:firstLine="300" w:firstLineChars="100"/>
        <w:jc w:val="right"/>
        <w:textAlignment w:val="auto"/>
        <w:rPr>
          <w:rFonts w:ascii="仿宋" w:hAnsi="仿宋" w:eastAsia="仿宋"/>
          <w:kern w:val="2"/>
          <w:sz w:val="32"/>
          <w:szCs w:val="32"/>
        </w:rPr>
      </w:pPr>
      <w:r>
        <w:rPr>
          <w:rFonts w:hint="eastAsia" w:ascii="仿宋" w:hAnsi="仿宋" w:eastAsia="仿宋"/>
          <w:sz w:val="30"/>
          <w:szCs w:val="30"/>
        </w:rPr>
        <w:t>岳环评〔2023〕</w:t>
      </w:r>
      <w:r>
        <w:rPr>
          <w:rFonts w:hint="eastAsia" w:ascii="仿宋" w:hAnsi="仿宋" w:eastAsia="仿宋"/>
          <w:sz w:val="30"/>
          <w:szCs w:val="30"/>
          <w:lang w:val="en-US" w:eastAsia="zh-CN"/>
        </w:rPr>
        <w:t>14</w:t>
      </w:r>
      <w:r>
        <w:rPr>
          <w:rFonts w:hint="eastAsia" w:ascii="仿宋" w:hAnsi="仿宋" w:eastAsia="仿宋"/>
          <w:sz w:val="30"/>
          <w:szCs w:val="30"/>
        </w:rPr>
        <w:t>号</w:t>
      </w:r>
    </w:p>
    <w:p>
      <w:pPr>
        <w:pStyle w:val="6"/>
        <w:keepNext w:val="0"/>
        <w:keepLines w:val="0"/>
        <w:pageBreakBefore w:val="0"/>
        <w:widowControl w:val="0"/>
        <w:kinsoku/>
        <w:wordWrap/>
        <w:overflowPunct/>
        <w:topLinePunct w:val="0"/>
        <w:autoSpaceDE w:val="0"/>
        <w:autoSpaceDN/>
        <w:bidi w:val="0"/>
        <w:adjustRightInd/>
        <w:snapToGrid/>
        <w:spacing w:after="157" w:afterLines="50" w:line="440" w:lineRule="exact"/>
        <w:ind w:firstLine="0" w:firstLineChars="0"/>
        <w:jc w:val="center"/>
        <w:textAlignment w:val="auto"/>
        <w:rPr>
          <w:rFonts w:hint="eastAsia" w:ascii="仿宋" w:hAnsi="仿宋" w:eastAsia="仿宋"/>
          <w:b/>
          <w:bCs/>
          <w:sz w:val="36"/>
          <w:szCs w:val="36"/>
        </w:rPr>
      </w:pPr>
      <w:r>
        <w:rPr>
          <w:rFonts w:hint="eastAsia" w:ascii="仿宋" w:hAnsi="仿宋" w:eastAsia="仿宋"/>
          <w:b/>
          <w:bCs/>
          <w:sz w:val="36"/>
          <w:szCs w:val="36"/>
        </w:rPr>
        <w:t>关于山河智能汨罗产业园任特机械加工与装备制造项目环境影响报告书的批复</w:t>
      </w:r>
    </w:p>
    <w:p>
      <w:pPr>
        <w:keepNext w:val="0"/>
        <w:keepLines w:val="0"/>
        <w:pageBreakBefore w:val="0"/>
        <w:kinsoku/>
        <w:wordWrap w:val="0"/>
        <w:overflowPunct/>
        <w:topLinePunct/>
        <w:autoSpaceDE w:val="0"/>
        <w:autoSpaceDN/>
        <w:bidi w:val="0"/>
        <w:adjustRightInd w:val="0"/>
        <w:spacing w:line="440" w:lineRule="exact"/>
        <w:jc w:val="left"/>
        <w:rPr>
          <w:rFonts w:hint="eastAsia" w:ascii="仿宋" w:hAnsi="仿宋" w:eastAsia="仿宋"/>
          <w:sz w:val="32"/>
          <w:szCs w:val="32"/>
        </w:rPr>
      </w:pPr>
      <w:r>
        <w:rPr>
          <w:rFonts w:hint="eastAsia" w:ascii="仿宋" w:hAnsi="仿宋" w:eastAsia="仿宋"/>
          <w:sz w:val="32"/>
          <w:szCs w:val="32"/>
        </w:rPr>
        <w:t>岳阳任特机械制造有限公司：</w:t>
      </w:r>
    </w:p>
    <w:p>
      <w:pPr>
        <w:pStyle w:val="6"/>
        <w:keepNext w:val="0"/>
        <w:keepLines w:val="0"/>
        <w:pageBreakBefore w:val="0"/>
        <w:kinsoku/>
        <w:overflowPunct/>
        <w:autoSpaceDE w:val="0"/>
        <w:autoSpaceDN/>
        <w:bidi w:val="0"/>
        <w:spacing w:line="440" w:lineRule="exact"/>
        <w:ind w:firstLine="640"/>
        <w:jc w:val="left"/>
        <w:rPr>
          <w:rFonts w:hint="eastAsia" w:ascii="仿宋" w:hAnsi="仿宋" w:eastAsia="仿宋"/>
          <w:sz w:val="32"/>
          <w:szCs w:val="32"/>
        </w:rPr>
      </w:pPr>
      <w:r>
        <w:rPr>
          <w:rFonts w:hint="eastAsia" w:ascii="仿宋" w:hAnsi="仿宋" w:eastAsia="仿宋"/>
          <w:sz w:val="32"/>
          <w:szCs w:val="32"/>
        </w:rPr>
        <w:t>你公司《关于申请&lt;山河智能汨罗产业园任特机械加工与装备制造项目&gt;的报告》、岳阳市生态环境事务中心《山河智能汨罗产业园任特机械加工与装备制造项目</w:t>
      </w:r>
      <w:r>
        <w:rPr>
          <w:rFonts w:hint="eastAsia" w:ascii="仿宋" w:hAnsi="仿宋" w:eastAsia="仿宋"/>
          <w:spacing w:val="-20"/>
          <w:sz w:val="32"/>
          <w:szCs w:val="32"/>
        </w:rPr>
        <w:t>环境影响报告书技术评估报告</w:t>
      </w:r>
      <w:r>
        <w:rPr>
          <w:rFonts w:hint="eastAsia" w:ascii="仿宋" w:hAnsi="仿宋" w:eastAsia="仿宋"/>
          <w:sz w:val="32"/>
          <w:szCs w:val="32"/>
        </w:rPr>
        <w:t>》（岳环事评估〔2023〕4号）、岳阳市生态环境局汨罗分局预审意见及有关附件收悉。经研究，批复如下：</w:t>
      </w:r>
    </w:p>
    <w:p>
      <w:pPr>
        <w:keepNext w:val="0"/>
        <w:keepLines w:val="0"/>
        <w:pageBreakBefore w:val="0"/>
        <w:widowControl/>
        <w:numPr>
          <w:ilvl w:val="0"/>
          <w:numId w:val="1"/>
        </w:numPr>
        <w:kinsoku/>
        <w:wordWrap w:val="0"/>
        <w:overflowPunct/>
        <w:topLinePunct/>
        <w:autoSpaceDE w:val="0"/>
        <w:autoSpaceDN/>
        <w:bidi w:val="0"/>
        <w:spacing w:line="440" w:lineRule="exact"/>
        <w:ind w:firstLine="600"/>
        <w:rPr>
          <w:rFonts w:hint="eastAsia" w:ascii="仿宋" w:hAnsi="仿宋" w:eastAsia="仿宋"/>
          <w:sz w:val="32"/>
          <w:szCs w:val="32"/>
        </w:rPr>
      </w:pPr>
      <w:r>
        <w:rPr>
          <w:rFonts w:hint="eastAsia" w:ascii="仿宋" w:hAnsi="仿宋" w:eastAsia="仿宋"/>
          <w:sz w:val="32"/>
          <w:szCs w:val="32"/>
        </w:rPr>
        <w:t>山河智能汨罗产业园任特机械加工与装备制造项目选址于</w:t>
      </w:r>
      <w:r>
        <w:rPr>
          <w:rFonts w:hint="eastAsia" w:ascii="仿宋" w:hAnsi="仿宋" w:eastAsia="仿宋"/>
          <w:color w:val="000000"/>
          <w:sz w:val="32"/>
          <w:szCs w:val="32"/>
        </w:rPr>
        <w:t>湖南汨罗高新技术产业开发区弼时片区</w:t>
      </w:r>
      <w:r>
        <w:rPr>
          <w:rFonts w:hint="eastAsia" w:ascii="仿宋" w:hAnsi="仿宋" w:eastAsia="仿宋"/>
          <w:sz w:val="32"/>
          <w:szCs w:val="32"/>
        </w:rPr>
        <w:t>莲花路南侧、坪上路西侧、陶家湾路东侧，总占地面积为56101.00m</w:t>
      </w:r>
      <w:r>
        <w:rPr>
          <w:rFonts w:hint="eastAsia" w:ascii="仿宋" w:hAnsi="仿宋" w:eastAsia="仿宋"/>
          <w:sz w:val="32"/>
          <w:szCs w:val="32"/>
          <w:vertAlign w:val="superscript"/>
        </w:rPr>
        <w:t>2</w:t>
      </w:r>
      <w:r>
        <w:rPr>
          <w:rFonts w:hint="eastAsia" w:ascii="仿宋" w:hAnsi="仿宋" w:eastAsia="仿宋"/>
          <w:sz w:val="32"/>
          <w:szCs w:val="32"/>
        </w:rPr>
        <w:t>，总建筑面积29457.02m</w:t>
      </w:r>
      <w:r>
        <w:rPr>
          <w:rFonts w:hint="eastAsia" w:ascii="仿宋" w:hAnsi="仿宋" w:eastAsia="仿宋"/>
          <w:sz w:val="32"/>
          <w:szCs w:val="32"/>
          <w:vertAlign w:val="superscript"/>
        </w:rPr>
        <w:t>2</w:t>
      </w:r>
      <w:r>
        <w:rPr>
          <w:rFonts w:hint="eastAsia" w:ascii="仿宋" w:hAnsi="仿宋" w:eastAsia="仿宋"/>
          <w:sz w:val="32"/>
          <w:szCs w:val="32"/>
        </w:rPr>
        <w:t>，总投资12000</w:t>
      </w:r>
      <w:r>
        <w:rPr>
          <w:rFonts w:hint="eastAsia" w:ascii="仿宋" w:hAnsi="仿宋" w:eastAsia="仿宋"/>
          <w:kern w:val="0"/>
          <w:sz w:val="32"/>
          <w:szCs w:val="32"/>
        </w:rPr>
        <w:t>万元</w:t>
      </w:r>
      <w:r>
        <w:rPr>
          <w:rFonts w:hint="eastAsia" w:ascii="仿宋" w:hAnsi="仿宋" w:eastAsia="仿宋"/>
          <w:sz w:val="32"/>
          <w:szCs w:val="32"/>
        </w:rPr>
        <w:t>，其中环保投资为1285万元，占总投资的10.7%。主要建设内容为：新建1栋厂房（用于布置原材料区、数控下料区、成型区、机加工区、检验区、抛丸区、涂装前处理、电泳区、粉末涂装区、喷漆涂装区、装配区、调试区、包装区、配送区及其他区域），并配套建设储运工程及环保工程；公用工程依托园区现有。主要原辅料：钢材（板材和型材）、焊材、润滑油、切削液、液压油、氧气、乙炔、混合气（80%的氮气，20%的二氧化碳）、脱脂剂A、脱脂剂B、盐酸（30%）、氢氧化钠、胶肽、磷化液、促进剂、中和剂、纯水、硅烷化药剂、电泳液、超滤水、粉末涂料、聚氨酯面漆、面漆稀释剂、面漆固化剂、快干环氧底漆、底漆稀释剂、底漆固化剂、漆雾凝结剂、化学纤维过滤棉。主要生产工艺为1、将板材、型材经切割、折弯或弯管、铆焊、抛丸、电泳、喷粉和固化、强制风冷、质检、暂存待售等工序最终生产剪叉式工作平台总成42000套/年；2、将板材、型材经切割、折弯或弯管、铆接、抛丸、酸洗磷化、电泳、喷粉和固化、强制风冷、质检、暂存待售等工序最终生产高空平台100000套/年、高空平台护栏100000套/年、臂式高空作业平台3120套/年；3、将板材、型材经切割、机加工、抛丸、酸洗磷化、电泳、喷粉和固化、强制风冷、质检、暂存待售等工序最终生产结构小件55000套/年；4、将项目外委的涂装白件经电泳、喷漆、流平和烘干、质检、暂存待售等工序最终生产司机室</w:t>
      </w:r>
      <w:r>
        <w:rPr>
          <w:rFonts w:hint="eastAsia" w:ascii="仿宋" w:hAnsi="仿宋" w:eastAsia="仿宋"/>
          <w:kern w:val="0"/>
          <w:sz w:val="32"/>
          <w:szCs w:val="32"/>
        </w:rPr>
        <w:t>20000</w:t>
      </w:r>
      <w:r>
        <w:rPr>
          <w:rFonts w:hint="eastAsia" w:ascii="仿宋" w:hAnsi="仿宋" w:eastAsia="仿宋"/>
          <w:sz w:val="32"/>
          <w:szCs w:val="32"/>
        </w:rPr>
        <w:t>套/年、覆盖件</w:t>
      </w:r>
      <w:r>
        <w:rPr>
          <w:rFonts w:hint="eastAsia" w:ascii="仿宋" w:hAnsi="仿宋" w:eastAsia="仿宋"/>
          <w:kern w:val="0"/>
          <w:sz w:val="32"/>
          <w:szCs w:val="32"/>
        </w:rPr>
        <w:t>25000</w:t>
      </w:r>
      <w:r>
        <w:rPr>
          <w:rFonts w:hint="eastAsia" w:ascii="仿宋" w:hAnsi="仿宋" w:eastAsia="仿宋"/>
          <w:sz w:val="32"/>
          <w:szCs w:val="32"/>
        </w:rPr>
        <w:t>套/年；5、将圆管、板材、型材切割下料、机加工、较平、卷板、铆焊、打磨、抛丸、喷粉和固化、强制风冷、质检、暂存待售等工序最终生产挖掘机快换式铲斗24000套/年。根据湖南众昇生态环境科技有限公司编制的《山河智能汨罗产业园任特机械加工与装备制造项目环境影响报告书》（报批稿）基本内容、结论和专家评审意见及岳阳市生态环境局汨罗分局预审意见，从环境保护角度考虑，我局原则同意你公司环境影响报告书中所列建设项目的环境影响评价结论和环境保护对策措施。</w:t>
      </w:r>
    </w:p>
    <w:p>
      <w:pPr>
        <w:keepNext w:val="0"/>
        <w:keepLines w:val="0"/>
        <w:pageBreakBefore w:val="0"/>
        <w:kinsoku/>
        <w:wordWrap w:val="0"/>
        <w:overflowPunct/>
        <w:topLinePunct/>
        <w:autoSpaceDE w:val="0"/>
        <w:autoSpaceDN/>
        <w:bidi w:val="0"/>
        <w:adjustRightInd w:val="0"/>
        <w:snapToGrid w:val="0"/>
        <w:spacing w:line="440" w:lineRule="exact"/>
        <w:ind w:firstLine="640" w:firstLineChars="200"/>
        <w:rPr>
          <w:rFonts w:hint="eastAsia" w:ascii="仿宋" w:hAnsi="仿宋" w:eastAsia="仿宋"/>
          <w:sz w:val="32"/>
          <w:szCs w:val="32"/>
        </w:rPr>
      </w:pPr>
      <w:r>
        <w:rPr>
          <w:rFonts w:hint="eastAsia" w:ascii="仿宋" w:hAnsi="仿宋" w:eastAsia="仿宋"/>
          <w:sz w:val="32"/>
          <w:szCs w:val="32"/>
        </w:rPr>
        <w:t>二、认真落实专家及环境影响报告书中提出的各项污染防治措施，并应着重注意以下问题：</w:t>
      </w:r>
    </w:p>
    <w:p>
      <w:pPr>
        <w:keepNext w:val="0"/>
        <w:keepLines w:val="0"/>
        <w:pageBreakBefore w:val="0"/>
        <w:kinsoku/>
        <w:wordWrap w:val="0"/>
        <w:overflowPunct/>
        <w:topLinePunct/>
        <w:autoSpaceDE w:val="0"/>
        <w:autoSpaceDN/>
        <w:bidi w:val="0"/>
        <w:spacing w:line="440" w:lineRule="exact"/>
        <w:ind w:firstLine="640"/>
        <w:rPr>
          <w:rFonts w:hint="eastAsia" w:ascii="仿宋" w:hAnsi="仿宋" w:eastAsia="仿宋"/>
          <w:sz w:val="32"/>
          <w:szCs w:val="32"/>
        </w:rPr>
      </w:pPr>
      <w:r>
        <w:rPr>
          <w:rFonts w:hint="eastAsia" w:ascii="仿宋" w:hAnsi="仿宋" w:eastAsia="仿宋"/>
          <w:sz w:val="32"/>
          <w:szCs w:val="32"/>
        </w:rPr>
        <w:t>1、落实施工期污染防治措施。施工场地设置围挡围栏、洒水压尘、材料覆盖防尘布，施工机械使用清洁新能源车辆，车辆安装尾气净化装置、控制车速平稳，使用环保型建筑装修材料等措施控制大气环境影响。选用低噪声施工设备、厂界设置实体围墙、合理的布局施工现场和安排施工时间等措施控制声环境影响。建筑垃圾及生活垃圾倾倒在指定地点、妥善处置。</w:t>
      </w:r>
      <w:r>
        <w:rPr>
          <w:rFonts w:hint="eastAsia" w:ascii="仿宋" w:hAnsi="仿宋" w:eastAsia="仿宋"/>
          <w:kern w:val="0"/>
          <w:sz w:val="32"/>
          <w:szCs w:val="32"/>
        </w:rPr>
        <w:t>施工废水经沉淀池处理后</w:t>
      </w:r>
      <w:r>
        <w:rPr>
          <w:rFonts w:hint="eastAsia" w:ascii="仿宋" w:hAnsi="仿宋" w:eastAsia="仿宋"/>
          <w:sz w:val="32"/>
          <w:szCs w:val="32"/>
        </w:rPr>
        <w:t>回用于施工过程或施工现场洒水降尘</w:t>
      </w:r>
      <w:r>
        <w:rPr>
          <w:rFonts w:hint="eastAsia" w:ascii="仿宋" w:hAnsi="仿宋" w:eastAsia="仿宋"/>
          <w:kern w:val="0"/>
          <w:sz w:val="32"/>
          <w:szCs w:val="32"/>
        </w:rPr>
        <w:t>，不外排；</w:t>
      </w:r>
      <w:r>
        <w:rPr>
          <w:rFonts w:hint="eastAsia" w:ascii="仿宋" w:hAnsi="仿宋" w:eastAsia="仿宋"/>
          <w:sz w:val="32"/>
          <w:szCs w:val="32"/>
        </w:rPr>
        <w:t>生活污水经化粪池处理排入长沙经开区汨罗产业园污水处理厂进行处理。</w:t>
      </w:r>
    </w:p>
    <w:p>
      <w:pPr>
        <w:keepNext w:val="0"/>
        <w:keepLines w:val="0"/>
        <w:pageBreakBefore w:val="0"/>
        <w:kinsoku/>
        <w:overflowPunct/>
        <w:autoSpaceDE w:val="0"/>
        <w:autoSpaceDN/>
        <w:bidi w:val="0"/>
        <w:spacing w:line="440" w:lineRule="exact"/>
        <w:ind w:firstLine="640" w:firstLineChars="200"/>
        <w:rPr>
          <w:rFonts w:hint="eastAsia" w:ascii="仿宋" w:hAnsi="仿宋" w:eastAsia="仿宋"/>
          <w:sz w:val="32"/>
          <w:szCs w:val="32"/>
        </w:rPr>
      </w:pPr>
      <w:r>
        <w:rPr>
          <w:rFonts w:hint="eastAsia" w:ascii="仿宋" w:hAnsi="仿宋" w:eastAsia="仿宋"/>
          <w:sz w:val="32"/>
          <w:szCs w:val="32"/>
        </w:rPr>
        <w:t>2、废气污染防治工作。通过采取密闭空间操作、切割粉尘经设备自带袋式除尘器处理（抽气式负压切割平台，不设置排气筒）、焊接粉尘拟设置移动式焊烟布袋净化器收集处理、打磨粉尘经配套移动布袋除尘器收集处理、及时清扫地面等措施，加强车间管理和日常监管、废气收集及厂区通风，定期对设备、管道、阀门等进行维护和管理，杜绝生产过程中的跑、冒、滴、漏，最大限度减少生产过程中的废气无组织排放,确保</w:t>
      </w:r>
      <w:r>
        <w:rPr>
          <w:rFonts w:hint="eastAsia" w:ascii="仿宋" w:hAnsi="仿宋" w:eastAsia="仿宋"/>
          <w:spacing w:val="6"/>
          <w:sz w:val="32"/>
          <w:szCs w:val="32"/>
        </w:rPr>
        <w:t>厂界VOCs、甲苯和二甲苯满足湖南省地方标准《表面涂装（汽车制造及维修）挥发性有机物、镍排放标准》（DB43/1356-2017）中表3无组织监控点浓度限值，颗粒物、二氧化硫、氮氧化物、氯化氢满足《大气污染物综合排放标准》（GB16297-1996）中的无组织排放监控浓度限值，</w:t>
      </w:r>
      <w:r>
        <w:rPr>
          <w:rFonts w:hint="eastAsia" w:ascii="仿宋" w:hAnsi="仿宋" w:eastAsia="仿宋"/>
          <w:sz w:val="32"/>
          <w:szCs w:val="32"/>
        </w:rPr>
        <w:t>臭气浓度满足《恶臭污染物排放标准》（GB14554-93）表1中新改扩二级限值要求；</w:t>
      </w:r>
      <w:r>
        <w:rPr>
          <w:rFonts w:hint="eastAsia" w:ascii="仿宋" w:hAnsi="仿宋" w:eastAsia="仿宋"/>
          <w:spacing w:val="6"/>
          <w:sz w:val="32"/>
          <w:szCs w:val="32"/>
        </w:rPr>
        <w:t>厂区内挥发性有机物执VOCs行</w:t>
      </w:r>
      <w:r>
        <w:rPr>
          <w:rFonts w:hint="eastAsia" w:ascii="仿宋" w:hAnsi="仿宋" w:eastAsia="仿宋"/>
          <w:sz w:val="32"/>
          <w:szCs w:val="32"/>
        </w:rPr>
        <w:t>《挥发性有机物无组织排放控制标准》（GB37822-2019）附录A表A.1排放浓度限值要求。生产过程中，抛丸粉尘（TSP）经收集处理后，通过20m高排气筒（DA001）达标排放；氯化氢经收集处理后，通过20m高排气筒（DA002）达标排放；喷漆及烘干废气（TSP、VOCs、甲苯、二甲苯、SO</w:t>
      </w:r>
      <w:r>
        <w:rPr>
          <w:rFonts w:hint="eastAsia" w:ascii="仿宋" w:hAnsi="仿宋" w:eastAsia="仿宋"/>
          <w:sz w:val="32"/>
          <w:szCs w:val="32"/>
          <w:vertAlign w:val="subscript"/>
        </w:rPr>
        <w:t>2</w:t>
      </w:r>
      <w:r>
        <w:rPr>
          <w:rFonts w:hint="eastAsia" w:ascii="仿宋" w:hAnsi="仿宋" w:eastAsia="仿宋"/>
          <w:sz w:val="32"/>
          <w:szCs w:val="32"/>
        </w:rPr>
        <w:t>、NO</w:t>
      </w:r>
      <w:r>
        <w:rPr>
          <w:rFonts w:hint="eastAsia" w:ascii="仿宋" w:hAnsi="仿宋" w:eastAsia="仿宋"/>
          <w:sz w:val="32"/>
          <w:szCs w:val="32"/>
          <w:vertAlign w:val="subscript"/>
        </w:rPr>
        <w:t>x）</w:t>
      </w:r>
      <w:r>
        <w:rPr>
          <w:rFonts w:hint="eastAsia" w:ascii="仿宋" w:hAnsi="仿宋" w:eastAsia="仿宋"/>
          <w:sz w:val="32"/>
          <w:szCs w:val="32"/>
        </w:rPr>
        <w:t>收集处理后，通过20m高排气筒（DA003）达标排放；喷粉废气（TSP）经收集处理后，通过20m高排气筒（DA004）达标排放；导热油炉天然气燃烧废气（SO</w:t>
      </w:r>
      <w:r>
        <w:rPr>
          <w:rFonts w:hint="eastAsia" w:ascii="仿宋" w:hAnsi="仿宋" w:eastAsia="仿宋"/>
          <w:sz w:val="32"/>
          <w:szCs w:val="32"/>
          <w:vertAlign w:val="subscript"/>
        </w:rPr>
        <w:t>2</w:t>
      </w:r>
      <w:r>
        <w:rPr>
          <w:rFonts w:hint="eastAsia" w:ascii="仿宋" w:hAnsi="仿宋" w:eastAsia="仿宋"/>
          <w:sz w:val="32"/>
          <w:szCs w:val="32"/>
        </w:rPr>
        <w:t>、NO</w:t>
      </w:r>
      <w:r>
        <w:rPr>
          <w:rFonts w:hint="eastAsia" w:ascii="仿宋" w:hAnsi="仿宋" w:eastAsia="仿宋"/>
          <w:sz w:val="32"/>
          <w:szCs w:val="32"/>
          <w:vertAlign w:val="subscript"/>
        </w:rPr>
        <w:t>x、</w:t>
      </w:r>
      <w:r>
        <w:rPr>
          <w:rFonts w:hint="eastAsia" w:ascii="仿宋" w:hAnsi="仿宋" w:eastAsia="仿宋"/>
          <w:sz w:val="32"/>
          <w:szCs w:val="32"/>
        </w:rPr>
        <w:t>TSP）经收集处理后，通过15m高排气筒（DA005）达标排放；电泳及烘干、喷粉固化废气（VOCs、SO</w:t>
      </w:r>
      <w:r>
        <w:rPr>
          <w:rFonts w:hint="eastAsia" w:ascii="仿宋" w:hAnsi="仿宋" w:eastAsia="仿宋"/>
          <w:sz w:val="32"/>
          <w:szCs w:val="32"/>
          <w:vertAlign w:val="subscript"/>
        </w:rPr>
        <w:t>2</w:t>
      </w:r>
      <w:r>
        <w:rPr>
          <w:rFonts w:hint="eastAsia" w:ascii="仿宋" w:hAnsi="仿宋" w:eastAsia="仿宋"/>
          <w:sz w:val="32"/>
          <w:szCs w:val="32"/>
        </w:rPr>
        <w:t>、NO</w:t>
      </w:r>
      <w:r>
        <w:rPr>
          <w:rFonts w:hint="eastAsia" w:ascii="仿宋" w:hAnsi="仿宋" w:eastAsia="仿宋"/>
          <w:sz w:val="32"/>
          <w:szCs w:val="32"/>
          <w:vertAlign w:val="subscript"/>
        </w:rPr>
        <w:t>x、</w:t>
      </w:r>
      <w:r>
        <w:rPr>
          <w:rFonts w:hint="eastAsia" w:ascii="仿宋" w:hAnsi="仿宋" w:eastAsia="仿宋"/>
          <w:sz w:val="32"/>
          <w:szCs w:val="32"/>
        </w:rPr>
        <w:t>TSP）经收集处理后，合并一起通过20m高排气筒（DA006）达标排放。</w:t>
      </w:r>
      <w:r>
        <w:rPr>
          <w:rFonts w:hint="eastAsia" w:ascii="仿宋" w:hAnsi="仿宋" w:eastAsia="仿宋"/>
          <w:spacing w:val="6"/>
          <w:sz w:val="32"/>
          <w:szCs w:val="32"/>
        </w:rPr>
        <w:t>抛丸粉尘排气筒DA001和喷粉废气排气筒DA004中的颗粒物执行《大气污染物综合排放标准》（GB16297-1996）的二级标准有组织浓度限值；氯化氢酸雾废气排气筒DA002中氯化氢执行《大气污染物综合排放标准》（GB16297-1996）的二级标准浓度限值；喷漆废气及烘干废气排气筒DA003和固化废气、电泳及烘干工序废气排气筒DA006中的VOCs、甲苯和二甲苯参照执行湖南省地方标准《表面涂装（汽车制造及维修）挥发性有机物、镍排放标准》（DB43/1356-2017）中表1中汽车制造（乘用车）类浓度限值,</w:t>
      </w:r>
      <w:r>
        <w:rPr>
          <w:rFonts w:hint="eastAsia" w:ascii="仿宋" w:hAnsi="仿宋" w:eastAsia="仿宋"/>
          <w:sz w:val="32"/>
          <w:szCs w:val="32"/>
        </w:rPr>
        <w:t>颗粒物、二氧化硫和氮氧化物执行</w:t>
      </w:r>
      <w:r>
        <w:rPr>
          <w:rFonts w:hint="eastAsia" w:ascii="仿宋" w:hAnsi="仿宋" w:eastAsia="仿宋"/>
          <w:spacing w:val="6"/>
          <w:sz w:val="32"/>
          <w:szCs w:val="32"/>
        </w:rPr>
        <w:t>《湖南省工业炉窑大气污染综合治理实施方案》中附件一暂未制定行业排放标准的工业炉窑标准限值</w:t>
      </w:r>
      <w:r>
        <w:rPr>
          <w:rFonts w:hint="eastAsia" w:ascii="仿宋" w:hAnsi="仿宋" w:eastAsia="仿宋"/>
          <w:sz w:val="32"/>
          <w:szCs w:val="32"/>
        </w:rPr>
        <w:t>；导热油炉天然气燃烧废气排气筒DA005中的颗粒物、二氧化硫和氮氧化物执行</w:t>
      </w:r>
      <w:r>
        <w:rPr>
          <w:rFonts w:hint="eastAsia" w:ascii="仿宋" w:hAnsi="仿宋" w:eastAsia="仿宋"/>
          <w:spacing w:val="6"/>
          <w:sz w:val="32"/>
          <w:szCs w:val="32"/>
        </w:rPr>
        <w:t>《锅炉大气污染物排放标准》（GB13271 -2014）</w:t>
      </w:r>
      <w:r>
        <w:rPr>
          <w:rFonts w:hint="eastAsia" w:ascii="仿宋" w:hAnsi="仿宋" w:eastAsia="仿宋"/>
          <w:sz w:val="32"/>
          <w:szCs w:val="32"/>
        </w:rPr>
        <w:t>表3中特别排放限值</w:t>
      </w:r>
      <w:r>
        <w:rPr>
          <w:rFonts w:hint="eastAsia" w:ascii="仿宋" w:hAnsi="仿宋" w:eastAsia="仿宋"/>
          <w:spacing w:val="6"/>
          <w:sz w:val="32"/>
          <w:szCs w:val="32"/>
        </w:rPr>
        <w:t>。</w:t>
      </w:r>
    </w:p>
    <w:p>
      <w:pPr>
        <w:keepNext w:val="0"/>
        <w:keepLines w:val="0"/>
        <w:pageBreakBefore w:val="0"/>
        <w:kinsoku/>
        <w:overflowPunct/>
        <w:autoSpaceDE w:val="0"/>
        <w:autoSpaceDN/>
        <w:bidi w:val="0"/>
        <w:spacing w:line="440" w:lineRule="exact"/>
        <w:ind w:firstLine="640" w:firstLineChars="200"/>
        <w:rPr>
          <w:rFonts w:hint="eastAsia" w:ascii="仿宋" w:hAnsi="仿宋" w:eastAsia="仿宋"/>
          <w:sz w:val="32"/>
          <w:szCs w:val="32"/>
        </w:rPr>
      </w:pPr>
      <w:r>
        <w:rPr>
          <w:rFonts w:hint="eastAsia" w:ascii="仿宋" w:hAnsi="仿宋" w:eastAsia="仿宋"/>
          <w:sz w:val="32"/>
          <w:szCs w:val="32"/>
        </w:rPr>
        <w:t>3、废水污染防治工作。严格按照“雨污分流、清污分流、污污分流”的原则规范建设厂区雨水及污水收集设施。项目运营期生活污水经化粪池处理排入长沙经开区汨罗产业园污水处理厂进行处理；项目不含锌表面处理废水经厂区自建污水处理设施处理后排入长沙经开区汨罗产业园污水处理厂，含锌表面废水处理后回用，不外排；经过中和处理的喷淋废水和纯水制备浓水直接排入长沙经开区汨罗产业园污水处理厂进行处理。回用水执行《城市污水再生利用  工业用水水质》（GB/T19923-2005）中洗涤用水标准；项目外排废水执行《污水综合排放标准》（GB8978-1996）中三级标准及长沙经开区汨罗产业园污水处理厂进水水质标准两者中的较严值；长沙经开区汨罗产业园污水处理厂尾水达到《城镇污水处理厂污染物排放标准》（GB18918-2002）一级A标准后进入白沙河。</w:t>
      </w:r>
    </w:p>
    <w:p>
      <w:pPr>
        <w:keepNext w:val="0"/>
        <w:keepLines w:val="0"/>
        <w:pageBreakBefore w:val="0"/>
        <w:kinsoku/>
        <w:overflowPunct/>
        <w:autoSpaceDE w:val="0"/>
        <w:autoSpaceDN/>
        <w:bidi w:val="0"/>
        <w:spacing w:line="440" w:lineRule="exact"/>
        <w:ind w:firstLine="640" w:firstLineChars="200"/>
        <w:rPr>
          <w:rFonts w:hint="eastAsia" w:ascii="仿宋" w:hAnsi="仿宋" w:eastAsia="仿宋"/>
          <w:sz w:val="32"/>
          <w:szCs w:val="32"/>
        </w:rPr>
      </w:pPr>
      <w:r>
        <w:rPr>
          <w:rFonts w:hint="eastAsia" w:ascii="仿宋" w:hAnsi="仿宋" w:eastAsia="仿宋"/>
          <w:sz w:val="32"/>
          <w:szCs w:val="32"/>
        </w:rPr>
        <w:t>按照“源头控制、分区防治、污染监控、应急响应”相结合的原则落实报告书提出的地下水污染防治措施。合理布设雨污管道，做好</w:t>
      </w:r>
      <w:r>
        <w:rPr>
          <w:rFonts w:hint="eastAsia" w:ascii="仿宋" w:hAnsi="仿宋" w:eastAsia="仿宋"/>
          <w:color w:val="000000"/>
          <w:sz w:val="32"/>
          <w:szCs w:val="32"/>
        </w:rPr>
        <w:t>厂房、废水处理池及污水管网、危化库及危废暂存间、堆场、一般固暂存间</w:t>
      </w:r>
      <w:r>
        <w:rPr>
          <w:rFonts w:hint="eastAsia" w:ascii="仿宋" w:hAnsi="仿宋" w:eastAsia="仿宋"/>
          <w:sz w:val="32"/>
          <w:szCs w:val="32"/>
        </w:rPr>
        <w:t>等区域的防渗处理及其他区域的硬化处理，避免由于防渗层破损造成污染物下渗污染地下水。根据《环境影响评价技术导则 地下水环境》(HJ610-2016)要求，跟踪监测地下水质情况，确保地下水环境安全。</w:t>
      </w:r>
    </w:p>
    <w:p>
      <w:pPr>
        <w:keepNext w:val="0"/>
        <w:keepLines w:val="0"/>
        <w:pageBreakBefore w:val="0"/>
        <w:kinsoku/>
        <w:overflowPunct/>
        <w:autoSpaceDE w:val="0"/>
        <w:autoSpaceDN/>
        <w:bidi w:val="0"/>
        <w:spacing w:line="440" w:lineRule="exact"/>
        <w:ind w:firstLine="640" w:firstLineChars="200"/>
        <w:rPr>
          <w:rFonts w:hint="eastAsia" w:ascii="仿宋" w:hAnsi="仿宋" w:eastAsia="仿宋"/>
          <w:sz w:val="32"/>
          <w:szCs w:val="32"/>
        </w:rPr>
      </w:pPr>
      <w:r>
        <w:rPr>
          <w:rFonts w:hint="eastAsia" w:ascii="仿宋" w:hAnsi="仿宋" w:eastAsia="仿宋"/>
          <w:sz w:val="32"/>
          <w:szCs w:val="32"/>
        </w:rPr>
        <w:t>4、噪声防治工作。采用</w:t>
      </w:r>
      <w:r>
        <w:rPr>
          <w:rFonts w:hint="eastAsia" w:ascii="仿宋" w:hAnsi="仿宋" w:eastAsia="仿宋"/>
          <w:kern w:val="0"/>
          <w:sz w:val="32"/>
          <w:szCs w:val="32"/>
        </w:rPr>
        <w:t>低噪高效设备，采用减振基础和柔性接头、并设置消音器及建筑吸声设施；加强设备的日常维护及厂区管理，</w:t>
      </w:r>
      <w:r>
        <w:rPr>
          <w:rFonts w:hint="eastAsia" w:ascii="仿宋" w:hAnsi="仿宋" w:eastAsia="仿宋"/>
          <w:sz w:val="32"/>
          <w:szCs w:val="32"/>
        </w:rPr>
        <w:t>确保南厂界噪声满足《工业企业厂界环境噪声排放标准》（GB12348-2008）中的3类标准，东、西和北厂界满足《工业企业厂界环境噪声排放标准》（GB12348-2008）中的4类标准。</w:t>
      </w:r>
    </w:p>
    <w:p>
      <w:pPr>
        <w:pStyle w:val="2"/>
        <w:keepNext w:val="0"/>
        <w:keepLines w:val="0"/>
        <w:pageBreakBefore w:val="0"/>
        <w:kinsoku/>
        <w:wordWrap w:val="0"/>
        <w:overflowPunct/>
        <w:topLinePunct/>
        <w:autoSpaceDE w:val="0"/>
        <w:autoSpaceDN/>
        <w:bidi w:val="0"/>
        <w:spacing w:line="440" w:lineRule="exact"/>
        <w:ind w:firstLine="640" w:firstLineChars="200"/>
        <w:rPr>
          <w:rFonts w:hint="eastAsia" w:ascii="仿宋" w:hAnsi="仿宋" w:eastAsia="仿宋"/>
          <w:kern w:val="0"/>
          <w:sz w:val="32"/>
          <w:szCs w:val="32"/>
        </w:rPr>
      </w:pPr>
      <w:r>
        <w:rPr>
          <w:rFonts w:hint="eastAsia" w:ascii="仿宋" w:hAnsi="仿宋" w:eastAsia="仿宋"/>
          <w:sz w:val="32"/>
          <w:szCs w:val="32"/>
        </w:rPr>
        <w:t>5、固体废物管理工作。按“无害化、减量化、资源化”原则，做好固体分类收集和综合利用，并建立固体废物产生、储存、处置管理台账，落实危险废物转移联单制度。废切削液、沾染切削液的金属碎屑、脱脂槽和喷淋脱脂槽废渣、水洗槽1废渣、磷化槽渣、电泳槽废渣、漆渣、（废油漆、稀释剂、固化剂）桶、（润滑油、切削液、液压油）包装桶、（脱脂剂、氢氧化钠、胶肽、磷化液、促进剂、中和剂、电泳液）包装物、废化学纤维过滤棉、废活性炭、废沸石、废润滑油、废液压油、气浮渣、淤泥、含油污的劳保用品及抹布等危险废物严格按《危险废物贮存污染控制标准（GB18597-2001）》及2013年修改单相关要求暂存，定期交有资质的单位处置。金属边角料、焊渣、金属渣、喷粉布袋收尘粉、废滤膜等一般固体废物严格按《一般工业固体废物贮存和填埋污染控制标准》（GB18599-2020）要求暂存，外售交由资源回收单位回收再利用和交由厂家回收；生活垃圾经收集后由园区环卫部门统一清运处置。</w:t>
      </w:r>
    </w:p>
    <w:p>
      <w:pPr>
        <w:keepNext w:val="0"/>
        <w:keepLines w:val="0"/>
        <w:pageBreakBefore w:val="0"/>
        <w:kinsoku/>
        <w:wordWrap w:val="0"/>
        <w:overflowPunct/>
        <w:topLinePunct/>
        <w:autoSpaceDE w:val="0"/>
        <w:autoSpaceDN/>
        <w:bidi w:val="0"/>
        <w:spacing w:line="440" w:lineRule="exact"/>
        <w:ind w:firstLine="640"/>
        <w:rPr>
          <w:rFonts w:hint="eastAsia" w:ascii="仿宋" w:hAnsi="仿宋" w:eastAsia="仿宋"/>
          <w:sz w:val="32"/>
          <w:szCs w:val="32"/>
        </w:rPr>
      </w:pPr>
      <w:r>
        <w:rPr>
          <w:rFonts w:hint="eastAsia" w:ascii="仿宋" w:hAnsi="仿宋" w:eastAsia="仿宋"/>
          <w:sz w:val="32"/>
          <w:szCs w:val="32"/>
        </w:rPr>
        <w:t>6、加强营运期风险防范。严格落实报告书提出的各项环境风险防范措施，按照《突发环境事件应急管理办法》修订完善突发环境事件应急预案，储备风险救助物资并组织演练，杜绝环境风险事故发生。</w:t>
      </w:r>
    </w:p>
    <w:p>
      <w:pPr>
        <w:keepNext w:val="0"/>
        <w:keepLines w:val="0"/>
        <w:pageBreakBefore w:val="0"/>
        <w:kinsoku/>
        <w:wordWrap w:val="0"/>
        <w:overflowPunct/>
        <w:topLinePunct/>
        <w:autoSpaceDE w:val="0"/>
        <w:autoSpaceDN/>
        <w:bidi w:val="0"/>
        <w:spacing w:line="440" w:lineRule="exact"/>
        <w:ind w:firstLine="640"/>
        <w:rPr>
          <w:rFonts w:hint="eastAsia" w:ascii="仿宋" w:hAnsi="仿宋" w:eastAsia="仿宋"/>
          <w:sz w:val="32"/>
          <w:szCs w:val="32"/>
        </w:rPr>
      </w:pPr>
      <w:r>
        <w:rPr>
          <w:rFonts w:hint="eastAsia" w:ascii="仿宋" w:hAnsi="仿宋" w:eastAsia="仿宋"/>
          <w:sz w:val="32"/>
          <w:szCs w:val="32"/>
        </w:rPr>
        <w:t>7、加强环境管理。建立健全污染防治设施运行管理台帐，设专门的环保机构及环保人员，确保各项污染防治设施的正常运行，各类污染物稳定达标排放。</w:t>
      </w:r>
    </w:p>
    <w:p>
      <w:pPr>
        <w:keepNext w:val="0"/>
        <w:keepLines w:val="0"/>
        <w:pageBreakBefore w:val="0"/>
        <w:kinsoku/>
        <w:wordWrap w:val="0"/>
        <w:overflowPunct/>
        <w:topLinePunct/>
        <w:autoSpaceDE w:val="0"/>
        <w:autoSpaceDN/>
        <w:bidi w:val="0"/>
        <w:spacing w:line="440" w:lineRule="exact"/>
        <w:ind w:firstLine="640" w:firstLineChars="200"/>
        <w:rPr>
          <w:rFonts w:hint="eastAsia" w:ascii="仿宋" w:hAnsi="仿宋" w:eastAsia="仿宋"/>
          <w:sz w:val="32"/>
          <w:szCs w:val="32"/>
        </w:rPr>
      </w:pPr>
      <w:r>
        <w:rPr>
          <w:rFonts w:hint="eastAsia" w:ascii="仿宋" w:hAnsi="仿宋" w:eastAsia="仿宋"/>
          <w:sz w:val="32"/>
          <w:szCs w:val="32"/>
        </w:rPr>
        <w:t>8、你公司核定的总量指标为：SO</w:t>
      </w:r>
      <w:r>
        <w:rPr>
          <w:rFonts w:hint="eastAsia" w:ascii="仿宋" w:hAnsi="仿宋" w:eastAsia="仿宋"/>
          <w:sz w:val="32"/>
          <w:szCs w:val="32"/>
          <w:vertAlign w:val="subscript"/>
        </w:rPr>
        <w:t>2</w:t>
      </w:r>
      <w:r>
        <w:rPr>
          <w:rFonts w:hint="eastAsia" w:ascii="仿宋" w:hAnsi="仿宋" w:eastAsia="仿宋"/>
          <w:sz w:val="32"/>
          <w:szCs w:val="32"/>
        </w:rPr>
        <w:t>≤0.8</w:t>
      </w:r>
      <w:r>
        <w:rPr>
          <w:rFonts w:hint="eastAsia" w:ascii="仿宋" w:hAnsi="仿宋" w:eastAsia="仿宋"/>
          <w:kern w:val="0"/>
          <w:sz w:val="32"/>
          <w:szCs w:val="32"/>
        </w:rPr>
        <w:t>t/a；</w:t>
      </w:r>
      <w:r>
        <w:rPr>
          <w:rFonts w:hint="eastAsia" w:ascii="仿宋" w:hAnsi="仿宋" w:eastAsia="仿宋"/>
          <w:sz w:val="32"/>
          <w:szCs w:val="32"/>
        </w:rPr>
        <w:t>NO</w:t>
      </w:r>
      <w:r>
        <w:rPr>
          <w:rFonts w:hint="eastAsia" w:ascii="仿宋" w:hAnsi="仿宋" w:eastAsia="仿宋"/>
          <w:sz w:val="32"/>
          <w:szCs w:val="32"/>
          <w:vertAlign w:val="subscript"/>
        </w:rPr>
        <w:t>x</w:t>
      </w:r>
      <w:r>
        <w:rPr>
          <w:rFonts w:hint="eastAsia" w:ascii="仿宋" w:hAnsi="仿宋" w:eastAsia="仿宋"/>
          <w:sz w:val="32"/>
          <w:szCs w:val="32"/>
        </w:rPr>
        <w:t>≤2.6</w:t>
      </w:r>
      <w:r>
        <w:rPr>
          <w:rFonts w:hint="eastAsia" w:ascii="仿宋" w:hAnsi="仿宋" w:eastAsia="仿宋"/>
          <w:kern w:val="0"/>
          <w:sz w:val="32"/>
          <w:szCs w:val="32"/>
        </w:rPr>
        <w:t>t/a；VOCS</w:t>
      </w:r>
      <w:r>
        <w:rPr>
          <w:rFonts w:hint="eastAsia" w:ascii="仿宋" w:hAnsi="仿宋" w:eastAsia="仿宋"/>
          <w:sz w:val="32"/>
          <w:szCs w:val="32"/>
        </w:rPr>
        <w:t>≤</w:t>
      </w:r>
      <w:r>
        <w:rPr>
          <w:rFonts w:hint="eastAsia" w:ascii="仿宋" w:hAnsi="仿宋" w:eastAsia="仿宋"/>
          <w:kern w:val="0"/>
          <w:sz w:val="32"/>
          <w:szCs w:val="32"/>
        </w:rPr>
        <w:t>4.3t/a</w:t>
      </w:r>
      <w:r>
        <w:rPr>
          <w:rFonts w:hint="eastAsia" w:ascii="仿宋" w:hAnsi="仿宋" w:eastAsia="仿宋"/>
          <w:sz w:val="32"/>
          <w:szCs w:val="32"/>
        </w:rPr>
        <w:t>；COD</w:t>
      </w:r>
      <w:r>
        <w:rPr>
          <w:rFonts w:hint="eastAsia" w:ascii="仿宋" w:hAnsi="仿宋" w:eastAsia="仿宋"/>
          <w:sz w:val="32"/>
          <w:szCs w:val="32"/>
          <w:vertAlign w:val="subscript"/>
        </w:rPr>
        <w:t>Cr</w:t>
      </w:r>
      <w:r>
        <w:rPr>
          <w:rFonts w:hint="eastAsia" w:ascii="仿宋" w:hAnsi="仿宋" w:eastAsia="仿宋"/>
          <w:sz w:val="32"/>
          <w:szCs w:val="32"/>
        </w:rPr>
        <w:t>≤0.6</w:t>
      </w:r>
      <w:r>
        <w:rPr>
          <w:rFonts w:hint="eastAsia" w:ascii="仿宋" w:hAnsi="仿宋" w:eastAsia="仿宋"/>
          <w:kern w:val="0"/>
          <w:sz w:val="32"/>
          <w:szCs w:val="32"/>
        </w:rPr>
        <w:t>t/a</w:t>
      </w:r>
      <w:r>
        <w:rPr>
          <w:rFonts w:hint="eastAsia" w:ascii="仿宋" w:hAnsi="仿宋" w:eastAsia="仿宋"/>
          <w:sz w:val="32"/>
          <w:szCs w:val="32"/>
        </w:rPr>
        <w:t>；NH</w:t>
      </w:r>
      <w:r>
        <w:rPr>
          <w:rFonts w:hint="eastAsia" w:ascii="仿宋" w:hAnsi="仿宋" w:eastAsia="仿宋"/>
          <w:sz w:val="32"/>
          <w:szCs w:val="32"/>
          <w:vertAlign w:val="subscript"/>
        </w:rPr>
        <w:t>3</w:t>
      </w:r>
      <w:r>
        <w:rPr>
          <w:rFonts w:hint="eastAsia" w:ascii="仿宋" w:hAnsi="仿宋" w:eastAsia="仿宋"/>
          <w:sz w:val="32"/>
          <w:szCs w:val="32"/>
        </w:rPr>
        <w:t>-N≤0.1</w:t>
      </w:r>
      <w:r>
        <w:rPr>
          <w:rFonts w:hint="eastAsia" w:ascii="仿宋" w:hAnsi="仿宋" w:eastAsia="仿宋"/>
          <w:kern w:val="0"/>
          <w:sz w:val="32"/>
          <w:szCs w:val="32"/>
        </w:rPr>
        <w:t>t/a。</w:t>
      </w:r>
    </w:p>
    <w:p>
      <w:pPr>
        <w:keepNext w:val="0"/>
        <w:keepLines w:val="0"/>
        <w:pageBreakBefore w:val="0"/>
        <w:kinsoku/>
        <w:wordWrap w:val="0"/>
        <w:overflowPunct/>
        <w:topLinePunct/>
        <w:autoSpaceDE w:val="0"/>
        <w:autoSpaceDN/>
        <w:bidi w:val="0"/>
        <w:spacing w:line="440" w:lineRule="exact"/>
        <w:ind w:firstLine="640"/>
        <w:rPr>
          <w:rFonts w:hint="eastAsia" w:ascii="仿宋" w:hAnsi="仿宋" w:eastAsia="仿宋"/>
          <w:sz w:val="32"/>
          <w:szCs w:val="32"/>
        </w:rPr>
      </w:pPr>
      <w:r>
        <w:rPr>
          <w:rFonts w:hint="eastAsia" w:ascii="仿宋" w:hAnsi="仿宋" w:eastAsia="仿宋"/>
          <w:sz w:val="32"/>
          <w:szCs w:val="32"/>
        </w:rPr>
        <w:t>三、你公司应在收到本批复后15个工作日内，将批复及批准的环评报告文本送至岳阳市生态环境局汨罗分局、湖南众昇生态环境科技有限公司。</w:t>
      </w:r>
    </w:p>
    <w:p>
      <w:pPr>
        <w:keepNext w:val="0"/>
        <w:keepLines w:val="0"/>
        <w:pageBreakBefore w:val="0"/>
        <w:kinsoku/>
        <w:wordWrap w:val="0"/>
        <w:overflowPunct/>
        <w:topLinePunct/>
        <w:autoSpaceDE w:val="0"/>
        <w:autoSpaceDN/>
        <w:bidi w:val="0"/>
        <w:spacing w:line="440" w:lineRule="exact"/>
        <w:ind w:firstLine="640" w:firstLineChars="200"/>
        <w:rPr>
          <w:rFonts w:hint="eastAsia" w:ascii="仿宋" w:hAnsi="仿宋" w:eastAsia="仿宋"/>
          <w:sz w:val="32"/>
          <w:szCs w:val="32"/>
        </w:rPr>
      </w:pPr>
      <w:r>
        <w:rPr>
          <w:rFonts w:hint="eastAsia" w:ascii="仿宋" w:hAnsi="仿宋" w:eastAsia="仿宋"/>
          <w:sz w:val="32"/>
          <w:szCs w:val="32"/>
        </w:rPr>
        <w:t>四、请岳阳市生态环境局汨罗分局负责项目建设期和运营期的日常环境监管。</w:t>
      </w:r>
    </w:p>
    <w:p>
      <w:pPr>
        <w:pStyle w:val="8"/>
        <w:keepNext w:val="0"/>
        <w:keepLines w:val="0"/>
        <w:pageBreakBefore w:val="0"/>
        <w:widowControl w:val="0"/>
        <w:kinsoku/>
        <w:wordWrap w:val="0"/>
        <w:overflowPunct/>
        <w:topLinePunct/>
        <w:autoSpaceDE w:val="0"/>
        <w:autoSpaceDN/>
        <w:bidi w:val="0"/>
        <w:spacing w:line="440" w:lineRule="exact"/>
        <w:rPr>
          <w:rFonts w:hint="eastAsia" w:ascii="仿宋" w:hAnsi="仿宋" w:eastAsia="仿宋"/>
          <w:kern w:val="2"/>
          <w:sz w:val="32"/>
          <w:szCs w:val="32"/>
        </w:rPr>
      </w:pPr>
      <w:r>
        <w:rPr>
          <w:rFonts w:hint="eastAsia" w:ascii="仿宋" w:hAnsi="仿宋" w:eastAsia="仿宋"/>
          <w:kern w:val="2"/>
          <w:sz w:val="32"/>
          <w:szCs w:val="32"/>
        </w:rPr>
        <w:t xml:space="preserve">  </w:t>
      </w:r>
      <w:bookmarkStart w:id="0" w:name="_GoBack"/>
      <w:bookmarkEnd w:id="0"/>
    </w:p>
    <w:p>
      <w:pPr>
        <w:pStyle w:val="8"/>
        <w:keepNext w:val="0"/>
        <w:keepLines w:val="0"/>
        <w:pageBreakBefore w:val="0"/>
        <w:widowControl w:val="0"/>
        <w:kinsoku/>
        <w:wordWrap w:val="0"/>
        <w:overflowPunct/>
        <w:topLinePunct/>
        <w:autoSpaceDE w:val="0"/>
        <w:autoSpaceDN/>
        <w:bidi w:val="0"/>
        <w:spacing w:line="440" w:lineRule="exact"/>
        <w:ind w:firstLine="5600" w:firstLineChars="2000"/>
        <w:rPr>
          <w:rFonts w:hint="eastAsia" w:ascii="仿宋" w:hAnsi="仿宋" w:eastAsia="仿宋"/>
          <w:spacing w:val="-20"/>
          <w:kern w:val="2"/>
          <w:sz w:val="32"/>
          <w:szCs w:val="32"/>
        </w:rPr>
      </w:pPr>
      <w:r>
        <w:rPr>
          <w:rFonts w:hint="eastAsia" w:ascii="仿宋" w:hAnsi="仿宋" w:eastAsia="仿宋"/>
          <w:spacing w:val="-20"/>
          <w:kern w:val="2"/>
          <w:sz w:val="32"/>
          <w:szCs w:val="32"/>
        </w:rPr>
        <w:t>岳阳市生态环境局</w:t>
      </w:r>
    </w:p>
    <w:p>
      <w:pPr>
        <w:keepNext w:val="0"/>
        <w:keepLines w:val="0"/>
        <w:pageBreakBefore w:val="0"/>
        <w:kinsoku/>
        <w:wordWrap w:val="0"/>
        <w:overflowPunct/>
        <w:topLinePunct/>
        <w:autoSpaceDE w:val="0"/>
        <w:autoSpaceDN/>
        <w:bidi w:val="0"/>
        <w:spacing w:line="440" w:lineRule="exact"/>
        <w:ind w:firstLine="5720" w:firstLineChars="2000"/>
        <w:rPr>
          <w:rFonts w:hint="eastAsia" w:ascii="仿宋" w:hAnsi="仿宋" w:eastAsia="仿宋"/>
          <w:spacing w:val="-17"/>
          <w:sz w:val="32"/>
          <w:szCs w:val="32"/>
        </w:rPr>
      </w:pPr>
      <w:r>
        <w:rPr>
          <w:rFonts w:hint="eastAsia" w:ascii="仿宋" w:hAnsi="仿宋" w:eastAsia="仿宋"/>
          <w:spacing w:val="-17"/>
          <w:sz w:val="32"/>
          <w:szCs w:val="32"/>
        </w:rPr>
        <w:t>2023年</w:t>
      </w:r>
      <w:r>
        <w:rPr>
          <w:rFonts w:hint="eastAsia" w:ascii="仿宋" w:hAnsi="仿宋" w:eastAsia="仿宋"/>
          <w:spacing w:val="-17"/>
          <w:sz w:val="32"/>
          <w:szCs w:val="32"/>
          <w:lang w:val="en-US" w:eastAsia="zh-CN"/>
        </w:rPr>
        <w:t>2</w:t>
      </w:r>
      <w:r>
        <w:rPr>
          <w:rFonts w:hint="eastAsia" w:ascii="仿宋" w:hAnsi="仿宋" w:eastAsia="仿宋"/>
          <w:spacing w:val="-17"/>
          <w:sz w:val="32"/>
          <w:szCs w:val="32"/>
        </w:rPr>
        <w:t>月</w:t>
      </w:r>
      <w:r>
        <w:rPr>
          <w:rFonts w:hint="eastAsia" w:ascii="仿宋" w:hAnsi="仿宋" w:eastAsia="仿宋"/>
          <w:spacing w:val="-17"/>
          <w:sz w:val="32"/>
          <w:szCs w:val="32"/>
          <w:lang w:val="en-US" w:eastAsia="zh-CN"/>
        </w:rPr>
        <w:t>9</w:t>
      </w:r>
      <w:r>
        <w:rPr>
          <w:rFonts w:hint="eastAsia" w:ascii="仿宋" w:hAnsi="仿宋" w:eastAsia="仿宋"/>
          <w:spacing w:val="-17"/>
          <w:sz w:val="32"/>
          <w:szCs w:val="32"/>
        </w:rPr>
        <w:t>日</w:t>
      </w:r>
    </w:p>
    <w:p>
      <w:pPr>
        <w:keepNext w:val="0"/>
        <w:keepLines w:val="0"/>
        <w:pageBreakBefore w:val="0"/>
        <w:kinsoku/>
        <w:overflowPunct/>
        <w:autoSpaceDN/>
        <w:bidi w:val="0"/>
        <w:spacing w:line="420" w:lineRule="exact"/>
        <w:rPr>
          <w:color w:val="000000"/>
          <w:sz w:val="32"/>
          <w:szCs w:val="32"/>
        </w:rPr>
      </w:pPr>
    </w:p>
    <w:p>
      <w:pPr>
        <w:keepNext w:val="0"/>
        <w:keepLines w:val="0"/>
        <w:pageBreakBefore w:val="0"/>
        <w:kinsoku/>
        <w:overflowPunct/>
        <w:autoSpaceDN/>
        <w:bidi w:val="0"/>
        <w:spacing w:line="420" w:lineRule="exact"/>
        <w:rPr>
          <w:sz w:val="32"/>
          <w:szCs w:val="32"/>
        </w:rPr>
      </w:pPr>
    </w:p>
    <w:sectPr>
      <w:pgSz w:w="11906" w:h="16838"/>
      <w:pgMar w:top="1304" w:right="1474"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823AA"/>
    <w:multiLevelType w:val="multilevel"/>
    <w:tmpl w:val="0DF823AA"/>
    <w:lvl w:ilvl="0" w:tentative="0">
      <w:start w:val="1"/>
      <w:numFmt w:val="chineseCounting"/>
      <w:suff w:val="nothing"/>
      <w:lvlText w:val="%1、"/>
      <w:lvlJc w:val="left"/>
      <w:pPr>
        <w:ind w:left="3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A7164"/>
    <w:rsid w:val="788B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nhideWhenUsed/>
    <w:uiPriority w:val="99"/>
    <w:pPr>
      <w:jc w:val="left"/>
    </w:pPr>
    <w:rPr>
      <w:szCs w:val="21"/>
    </w:rPr>
  </w:style>
  <w:style w:type="paragraph" w:customStyle="1" w:styleId="5">
    <w:name w:val="p0"/>
    <w:basedOn w:val="1"/>
    <w:qFormat/>
    <w:uiPriority w:val="0"/>
    <w:pPr>
      <w:widowControl/>
    </w:pPr>
    <w:rPr>
      <w:rFonts w:ascii="Calibri" w:hAnsi="Calibri" w:cs="Calibri"/>
      <w:kern w:val="0"/>
      <w:szCs w:val="21"/>
    </w:rPr>
  </w:style>
  <w:style w:type="paragraph" w:customStyle="1" w:styleId="6">
    <w:name w:val="正文1"/>
    <w:basedOn w:val="1"/>
    <w:next w:val="1"/>
    <w:uiPriority w:val="0"/>
    <w:pPr>
      <w:spacing w:line="360" w:lineRule="auto"/>
      <w:ind w:firstLine="723" w:firstLineChars="200"/>
    </w:pPr>
    <w:rPr>
      <w:rFonts w:ascii="Calibri" w:hAnsi="Calibri"/>
      <w:kern w:val="0"/>
      <w:sz w:val="24"/>
      <w:szCs w:val="24"/>
    </w:rPr>
  </w:style>
  <w:style w:type="paragraph" w:customStyle="1" w:styleId="7">
    <w:name w:val="表格文字"/>
    <w:basedOn w:val="1"/>
    <w:uiPriority w:val="0"/>
    <w:pPr>
      <w:adjustRightInd w:val="0"/>
      <w:snapToGrid w:val="0"/>
      <w:spacing w:before="100" w:beforeAutospacing="1"/>
      <w:jc w:val="center"/>
    </w:pPr>
    <w:rPr>
      <w:szCs w:val="21"/>
    </w:rPr>
  </w:style>
  <w:style w:type="paragraph" w:customStyle="1" w:styleId="8">
    <w:name w:val="0"/>
    <w:basedOn w:val="1"/>
    <w:uiPriority w:val="0"/>
    <w:pPr>
      <w:widowControl/>
      <w:snapToGrid w:val="0"/>
      <w:spacing w:before="100" w:beforeAutospacing="1" w:after="100" w:afterAutospacing="1" w:line="365" w:lineRule="atLeast"/>
      <w:ind w:left="1"/>
      <w:textAlignment w:val="bottom"/>
    </w:pPr>
    <w:rPr>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2023-02-09T07:19:49Z</dcterms:created>
  <dc:creator>LENOVO</dc:creator>
  <cp:lastModifiedBy>憧憬</cp:lastModifiedBy>
  <dcterms:modified xsi:type="dcterms:W3CDTF">2023-02-09T07:25:49Z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142610B7DEFC4C63AFDDF84AE24D1C7A</vt:lpwstr>
  </property>
</Properties>
</file>