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kinsoku w:val="0"/>
        <w:wordWrap w:val="0"/>
        <w:overflowPunct w:val="0"/>
        <w:topLinePunct w:val="0"/>
        <w:autoSpaceDE/>
        <w:autoSpaceDN/>
        <w:bidi w:val="0"/>
        <w:spacing w:before="312" w:beforeLines="100" w:beforeAutospacing="0" w:line="480" w:lineRule="exact"/>
        <w:jc w:val="right"/>
        <w:rPr>
          <w:rFonts w:hint="eastAsia" w:ascii="仿宋" w:hAnsi="仿宋" w:eastAsia="仿宋" w:cs="仿宋"/>
          <w:spacing w:val="-20"/>
          <w:sz w:val="30"/>
          <w:szCs w:val="30"/>
          <w:lang w:eastAsia="zh-CN"/>
        </w:rPr>
      </w:pPr>
    </w:p>
    <w:p>
      <w:pPr>
        <w:pStyle w:val="10"/>
        <w:keepNext w:val="0"/>
        <w:keepLines w:val="0"/>
        <w:pageBreakBefore w:val="0"/>
        <w:widowControl/>
        <w:kinsoku w:val="0"/>
        <w:wordWrap w:val="0"/>
        <w:overflowPunct w:val="0"/>
        <w:topLinePunct w:val="0"/>
        <w:autoSpaceDE/>
        <w:autoSpaceDN/>
        <w:bidi w:val="0"/>
        <w:spacing w:before="312" w:beforeLines="100" w:beforeAutospacing="0" w:line="480" w:lineRule="exact"/>
        <w:jc w:val="right"/>
        <w:rPr>
          <w:rFonts w:hint="eastAsia" w:ascii="仿宋" w:hAnsi="仿宋" w:eastAsia="仿宋" w:cs="仿宋"/>
          <w:spacing w:val="-20"/>
          <w:sz w:val="30"/>
          <w:szCs w:val="30"/>
          <w:lang w:eastAsia="zh-CN"/>
        </w:rPr>
      </w:pPr>
    </w:p>
    <w:p>
      <w:pPr>
        <w:pStyle w:val="10"/>
        <w:keepNext w:val="0"/>
        <w:keepLines w:val="0"/>
        <w:pageBreakBefore w:val="0"/>
        <w:widowControl/>
        <w:kinsoku w:val="0"/>
        <w:wordWrap w:val="0"/>
        <w:overflowPunct w:val="0"/>
        <w:topLinePunct w:val="0"/>
        <w:autoSpaceDE/>
        <w:autoSpaceDN/>
        <w:bidi w:val="0"/>
        <w:spacing w:before="312" w:beforeLines="100" w:beforeAutospacing="0" w:line="480" w:lineRule="exact"/>
        <w:jc w:val="right"/>
        <w:rPr>
          <w:rFonts w:hint="eastAsia" w:ascii="仿宋" w:hAnsi="仿宋" w:eastAsia="仿宋" w:cs="仿宋"/>
          <w:spacing w:val="-20"/>
          <w:sz w:val="30"/>
          <w:szCs w:val="30"/>
          <w:lang w:eastAsia="zh-CN"/>
        </w:rPr>
      </w:pPr>
    </w:p>
    <w:p>
      <w:pPr>
        <w:pStyle w:val="10"/>
        <w:keepNext w:val="0"/>
        <w:keepLines w:val="0"/>
        <w:pageBreakBefore w:val="0"/>
        <w:widowControl/>
        <w:kinsoku w:val="0"/>
        <w:wordWrap w:val="0"/>
        <w:overflowPunct w:val="0"/>
        <w:topLinePunct w:val="0"/>
        <w:autoSpaceDE/>
        <w:autoSpaceDN/>
        <w:bidi w:val="0"/>
        <w:spacing w:before="312" w:beforeLines="100" w:beforeAutospacing="0" w:line="480" w:lineRule="exact"/>
        <w:jc w:val="right"/>
        <w:rPr>
          <w:rFonts w:hint="eastAsia" w:ascii="仿宋" w:hAnsi="仿宋" w:eastAsia="仿宋" w:cs="仿宋"/>
          <w:spacing w:val="-20"/>
          <w:kern w:val="2"/>
          <w:sz w:val="30"/>
          <w:szCs w:val="30"/>
          <w:lang w:val="en-US"/>
        </w:rPr>
      </w:pPr>
      <w:r>
        <w:rPr>
          <w:rFonts w:hint="eastAsia" w:ascii="仿宋" w:hAnsi="仿宋" w:eastAsia="仿宋" w:cs="仿宋"/>
          <w:spacing w:val="-20"/>
          <w:sz w:val="30"/>
          <w:szCs w:val="30"/>
          <w:lang w:eastAsia="zh-CN"/>
        </w:rPr>
        <w:t>岳环评〔</w:t>
      </w:r>
      <w:r>
        <w:rPr>
          <w:rFonts w:hint="eastAsia" w:ascii="仿宋" w:hAnsi="仿宋" w:eastAsia="仿宋" w:cs="仿宋"/>
          <w:spacing w:val="-20"/>
          <w:sz w:val="30"/>
          <w:szCs w:val="30"/>
          <w:lang w:val="en-US"/>
        </w:rPr>
        <w:t>2023</w:t>
      </w:r>
      <w:r>
        <w:rPr>
          <w:rFonts w:hint="eastAsia" w:ascii="仿宋" w:hAnsi="仿宋" w:eastAsia="仿宋" w:cs="仿宋"/>
          <w:spacing w:val="-20"/>
          <w:sz w:val="30"/>
          <w:szCs w:val="30"/>
          <w:lang w:eastAsia="zh-CN"/>
        </w:rPr>
        <w:t>〕</w:t>
      </w:r>
      <w:r>
        <w:rPr>
          <w:rFonts w:hint="eastAsia" w:ascii="仿宋" w:hAnsi="仿宋" w:eastAsia="仿宋" w:cs="仿宋"/>
          <w:spacing w:val="-20"/>
          <w:sz w:val="30"/>
          <w:szCs w:val="30"/>
          <w:lang w:val="en-US" w:eastAsia="zh-CN"/>
        </w:rPr>
        <w:t>20</w:t>
      </w:r>
      <w:r>
        <w:rPr>
          <w:rFonts w:hint="eastAsia" w:ascii="仿宋" w:hAnsi="仿宋" w:eastAsia="仿宋" w:cs="仿宋"/>
          <w:spacing w:val="-20"/>
          <w:sz w:val="30"/>
          <w:szCs w:val="30"/>
          <w:lang w:eastAsia="zh-CN"/>
        </w:rPr>
        <w:t>号</w:t>
      </w:r>
    </w:p>
    <w:p>
      <w:pPr>
        <w:keepNext w:val="0"/>
        <w:keepLines w:val="0"/>
        <w:pageBreakBefore w:val="0"/>
        <w:widowControl w:val="0"/>
        <w:suppressLineNumbers w:val="0"/>
        <w:kinsoku w:val="0"/>
        <w:wordWrap w:val="0"/>
        <w:overflowPunct w:val="0"/>
        <w:topLinePunct w:val="0"/>
        <w:autoSpaceDE/>
        <w:autoSpaceDN/>
        <w:bidi w:val="0"/>
        <w:spacing w:before="0" w:beforeAutospacing="0" w:after="0" w:afterAutospacing="0" w:line="480" w:lineRule="exact"/>
        <w:ind w:left="0" w:right="108"/>
        <w:jc w:val="center"/>
        <w:rPr>
          <w:rFonts w:hint="eastAsia" w:ascii="仿宋" w:hAnsi="仿宋" w:eastAsia="仿宋" w:cs="仿宋"/>
          <w:b/>
          <w:bCs/>
          <w:sz w:val="36"/>
          <w:szCs w:val="36"/>
          <w:lang w:val="en-US"/>
        </w:rPr>
      </w:pPr>
      <w:r>
        <w:rPr>
          <w:rFonts w:hint="eastAsia" w:ascii="仿宋" w:hAnsi="仿宋" w:eastAsia="仿宋" w:cs="仿宋"/>
          <w:b/>
          <w:bCs/>
          <w:w w:val="98"/>
          <w:kern w:val="0"/>
          <w:sz w:val="36"/>
          <w:szCs w:val="36"/>
          <w:lang w:val="en-US" w:eastAsia="zh-CN" w:bidi="ar"/>
        </w:rPr>
        <w:t>关于</w:t>
      </w:r>
      <w:r>
        <w:rPr>
          <w:rFonts w:hint="eastAsia" w:ascii="仿宋" w:hAnsi="仿宋" w:eastAsia="仿宋" w:cs="仿宋"/>
          <w:b/>
          <w:bCs/>
          <w:kern w:val="2"/>
          <w:sz w:val="36"/>
          <w:szCs w:val="36"/>
          <w:lang w:val="en-US" w:eastAsia="zh-CN" w:bidi="ar"/>
        </w:rPr>
        <w:t>湖南嘉品彩印包装有限公司2000t/a塑料膜印刷项目环境影响报告书</w:t>
      </w:r>
      <w:r>
        <w:rPr>
          <w:rFonts w:hint="eastAsia" w:ascii="仿宋" w:hAnsi="仿宋" w:eastAsia="仿宋" w:cs="仿宋"/>
          <w:b/>
          <w:bCs/>
          <w:w w:val="98"/>
          <w:kern w:val="0"/>
          <w:sz w:val="36"/>
          <w:szCs w:val="36"/>
          <w:lang w:val="en-US" w:eastAsia="zh-CN" w:bidi="ar"/>
        </w:rPr>
        <w:t>的批复</w:t>
      </w:r>
    </w:p>
    <w:p>
      <w:pPr>
        <w:pStyle w:val="4"/>
        <w:keepNext w:val="0"/>
        <w:keepLines w:val="0"/>
        <w:pageBreakBefore w:val="0"/>
        <w:widowControl/>
        <w:tabs>
          <w:tab w:val="right" w:leader="dot" w:pos="9736"/>
        </w:tabs>
        <w:kinsoku w:val="0"/>
        <w:wordWrap w:val="0"/>
        <w:overflowPunct w:val="0"/>
        <w:topLinePunct w:val="0"/>
        <w:autoSpaceDE/>
        <w:autoSpaceDN/>
        <w:bidi w:val="0"/>
        <w:spacing w:line="480" w:lineRule="exact"/>
        <w:rPr>
          <w:rFonts w:hint="eastAsia" w:ascii="仿宋" w:hAnsi="仿宋" w:eastAsia="仿宋" w:cs="仿宋"/>
          <w:b w:val="0"/>
          <w:bCs w:val="0"/>
          <w:sz w:val="32"/>
          <w:szCs w:val="32"/>
          <w:lang w:val="en-US"/>
        </w:rPr>
      </w:pPr>
      <w:r>
        <w:rPr>
          <w:rFonts w:hint="eastAsia" w:ascii="仿宋" w:hAnsi="仿宋" w:eastAsia="仿宋" w:cs="仿宋"/>
          <w:b w:val="0"/>
          <w:bCs w:val="0"/>
          <w:sz w:val="32"/>
          <w:szCs w:val="32"/>
          <w:lang w:eastAsia="zh-CN"/>
        </w:rPr>
        <w:t>湖南嘉品彩印包装有限公司：</w:t>
      </w:r>
    </w:p>
    <w:p>
      <w:pPr>
        <w:pStyle w:val="11"/>
        <w:keepNext w:val="0"/>
        <w:keepLines w:val="0"/>
        <w:pageBreakBefore w:val="0"/>
        <w:widowControl/>
        <w:kinsoku/>
        <w:wordWrap w:val="0"/>
        <w:overflowPunct/>
        <w:topLinePunct/>
        <w:autoSpaceDE/>
        <w:autoSpaceDN/>
        <w:bidi w:val="0"/>
        <w:spacing w:line="480" w:lineRule="exact"/>
        <w:ind w:left="0" w:firstLine="640"/>
        <w:jc w:val="left"/>
        <w:rPr>
          <w:rFonts w:hint="eastAsia" w:ascii="仿宋" w:hAnsi="仿宋" w:eastAsia="仿宋" w:cs="仿宋"/>
          <w:sz w:val="32"/>
          <w:szCs w:val="32"/>
          <w:lang w:val="en-US"/>
        </w:rPr>
      </w:pPr>
      <w:r>
        <w:rPr>
          <w:rFonts w:hint="eastAsia" w:ascii="仿宋" w:hAnsi="仿宋" w:eastAsia="仿宋" w:cs="仿宋"/>
          <w:sz w:val="32"/>
          <w:szCs w:val="32"/>
          <w:lang w:eastAsia="zh-CN"/>
        </w:rPr>
        <w:t xml:space="preserve">你公司《报批申请书》、岳阳市生态环境事务中心《 </w:t>
      </w:r>
      <w:r>
        <w:rPr>
          <w:rFonts w:hint="eastAsia" w:ascii="仿宋" w:hAnsi="仿宋" w:eastAsia="仿宋" w:cs="仿宋"/>
          <w:kern w:val="2"/>
          <w:sz w:val="32"/>
          <w:szCs w:val="32"/>
          <w:lang w:eastAsia="zh-CN"/>
        </w:rPr>
        <w:t>湖南嘉品彩印包装有限公司</w:t>
      </w:r>
      <w:r>
        <w:rPr>
          <w:rFonts w:hint="eastAsia" w:ascii="仿宋" w:hAnsi="仿宋" w:eastAsia="仿宋" w:cs="仿宋"/>
          <w:kern w:val="2"/>
          <w:sz w:val="32"/>
          <w:szCs w:val="32"/>
          <w:lang w:val="en-US"/>
        </w:rPr>
        <w:t>2000t/a</w:t>
      </w:r>
      <w:r>
        <w:rPr>
          <w:rFonts w:hint="eastAsia" w:ascii="仿宋" w:hAnsi="仿宋" w:eastAsia="仿宋" w:cs="仿宋"/>
          <w:kern w:val="2"/>
          <w:sz w:val="32"/>
          <w:szCs w:val="32"/>
          <w:lang w:eastAsia="zh-CN"/>
        </w:rPr>
        <w:t>塑料膜印刷项目</w:t>
      </w:r>
      <w:r>
        <w:rPr>
          <w:rFonts w:hint="eastAsia" w:ascii="仿宋" w:hAnsi="仿宋" w:eastAsia="仿宋" w:cs="仿宋"/>
          <w:sz w:val="32"/>
          <w:szCs w:val="32"/>
          <w:lang w:eastAsia="zh-CN"/>
        </w:rPr>
        <w:t>环境影响报告书</w:t>
      </w:r>
      <w:r>
        <w:rPr>
          <w:rFonts w:hint="eastAsia" w:ascii="仿宋" w:hAnsi="仿宋" w:eastAsia="仿宋" w:cs="仿宋"/>
          <w:spacing w:val="-20"/>
          <w:sz w:val="32"/>
          <w:szCs w:val="32"/>
          <w:lang w:eastAsia="zh-CN"/>
        </w:rPr>
        <w:t>技术评估报告</w:t>
      </w:r>
      <w:r>
        <w:rPr>
          <w:rFonts w:hint="eastAsia" w:ascii="仿宋" w:hAnsi="仿宋" w:eastAsia="仿宋" w:cs="仿宋"/>
          <w:sz w:val="32"/>
          <w:szCs w:val="32"/>
          <w:lang w:eastAsia="zh-CN"/>
        </w:rPr>
        <w:t>》（岳环事评估〔</w:t>
      </w:r>
      <w:r>
        <w:rPr>
          <w:rFonts w:hint="eastAsia" w:ascii="仿宋" w:hAnsi="仿宋" w:eastAsia="仿宋" w:cs="仿宋"/>
          <w:sz w:val="32"/>
          <w:szCs w:val="32"/>
          <w:lang w:val="en-US"/>
        </w:rPr>
        <w:t>2023</w:t>
      </w:r>
      <w:r>
        <w:rPr>
          <w:rFonts w:hint="eastAsia" w:ascii="仿宋" w:hAnsi="仿宋" w:eastAsia="仿宋" w:cs="仿宋"/>
          <w:sz w:val="32"/>
          <w:szCs w:val="32"/>
          <w:lang w:eastAsia="zh-CN"/>
        </w:rPr>
        <w:t>〕</w:t>
      </w:r>
      <w:r>
        <w:rPr>
          <w:rFonts w:hint="eastAsia" w:ascii="仿宋" w:hAnsi="仿宋" w:eastAsia="仿宋" w:cs="仿宋"/>
          <w:sz w:val="32"/>
          <w:szCs w:val="32"/>
          <w:lang w:val="en-US"/>
        </w:rPr>
        <w:t>12</w:t>
      </w:r>
      <w:r>
        <w:rPr>
          <w:rFonts w:hint="eastAsia" w:ascii="仿宋" w:hAnsi="仿宋" w:eastAsia="仿宋" w:cs="仿宋"/>
          <w:sz w:val="32"/>
          <w:szCs w:val="32"/>
          <w:lang w:eastAsia="zh-CN"/>
        </w:rPr>
        <w:t>号）、岳阳市生态环境局汨罗分局预审意见及有关附件收悉。经研究，批复如下：</w:t>
      </w:r>
    </w:p>
    <w:p>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80" w:lineRule="exact"/>
        <w:ind w:left="0" w:right="0" w:firstLine="640" w:firstLineChars="200"/>
        <w:jc w:val="left"/>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湖南嘉品彩印包装有限公司2000t/a塑料膜印刷项目选址于湖南省岳阳市汨罗高新技术产业开发区弼时片区温州上元精密机械制造园（一期）内，总投资2500万元，环保总投资300万元，占总投资的14％，建筑面积3900m</w:t>
      </w:r>
      <w:r>
        <w:rPr>
          <w:rFonts w:hint="eastAsia" w:ascii="仿宋" w:hAnsi="仿宋" w:eastAsia="仿宋" w:cs="仿宋"/>
          <w:kern w:val="2"/>
          <w:sz w:val="32"/>
          <w:szCs w:val="32"/>
          <w:vertAlign w:val="superscript"/>
          <w:lang w:val="en-US" w:eastAsia="zh-CN" w:bidi="ar"/>
        </w:rPr>
        <w:t>2</w:t>
      </w:r>
      <w:r>
        <w:rPr>
          <w:rFonts w:hint="eastAsia" w:ascii="仿宋" w:hAnsi="仿宋" w:eastAsia="仿宋" w:cs="仿宋"/>
          <w:kern w:val="2"/>
          <w:sz w:val="32"/>
          <w:szCs w:val="32"/>
          <w:lang w:val="en-US" w:eastAsia="zh-CN" w:bidi="ar"/>
        </w:rPr>
        <w:t>。主要建设内容为：利用</w:t>
      </w:r>
      <w:r>
        <w:rPr>
          <w:rFonts w:hint="eastAsia" w:ascii="仿宋" w:hAnsi="仿宋" w:eastAsia="仿宋" w:cs="仿宋"/>
          <w:kern w:val="0"/>
          <w:sz w:val="32"/>
          <w:szCs w:val="32"/>
          <w:lang w:val="en-US" w:eastAsia="zh-CN" w:bidi="ar"/>
        </w:rPr>
        <w:t>1#栋生产厂房新建包装印刷生产线（2条印刷生产线和3条复合生产线，12条制袋生产线）、伸缩膜（中间产品）主体工程及调墨系统、调胶系统、洗版系统等辅助工程和储运工程；</w:t>
      </w:r>
      <w:r>
        <w:rPr>
          <w:rFonts w:hint="eastAsia" w:ascii="仿宋" w:hAnsi="仿宋" w:eastAsia="仿宋" w:cs="仿宋"/>
          <w:kern w:val="2"/>
          <w:sz w:val="32"/>
          <w:szCs w:val="32"/>
          <w:lang w:val="en-US" w:eastAsia="zh-CN" w:bidi="ar"/>
        </w:rPr>
        <w:t>利用</w:t>
      </w:r>
      <w:r>
        <w:rPr>
          <w:rFonts w:hint="eastAsia" w:ascii="仿宋" w:hAnsi="仿宋" w:eastAsia="仿宋" w:cs="仿宋"/>
          <w:kern w:val="0"/>
          <w:sz w:val="32"/>
          <w:szCs w:val="32"/>
          <w:lang w:val="en-US" w:eastAsia="zh-CN" w:bidi="ar"/>
        </w:rPr>
        <w:t>17#B栋生产车间布置办公区，</w:t>
      </w:r>
      <w:r>
        <w:rPr>
          <w:rFonts w:hint="eastAsia" w:ascii="仿宋" w:hAnsi="仿宋" w:eastAsia="仿宋" w:cs="仿宋"/>
          <w:kern w:val="2"/>
          <w:sz w:val="32"/>
          <w:szCs w:val="32"/>
          <w:lang w:val="en-US" w:eastAsia="zh-CN" w:bidi="ar"/>
        </w:rPr>
        <w:t>同时配套建设环保工程；公用工程依托现有园区。主要原辅料及生产工艺为：以PA膜、PET膜、RCP膜、铝膜、PET镀铝膜、溶剂型油墨(华宝)928型油墨、溶剂型油墨(思美)ENF-酯溶聚氨酯一体化环保复合油墨、油墨稀释剂、胶粘剂稀释剂、无溶剂复合胶粘剂、干式复合胶粘剂、印刷版等为主要原辅料，经</w:t>
      </w:r>
      <w:r>
        <w:rPr>
          <w:rFonts w:hint="eastAsia" w:ascii="仿宋" w:hAnsi="仿宋" w:eastAsia="仿宋" w:cs="仿宋"/>
          <w:kern w:val="0"/>
          <w:sz w:val="32"/>
          <w:szCs w:val="32"/>
          <w:lang w:val="zh-CN" w:eastAsia="zh-CN" w:bidi="ar"/>
        </w:rPr>
        <w:t>调墨、</w:t>
      </w:r>
      <w:r>
        <w:rPr>
          <w:rFonts w:hint="eastAsia" w:ascii="仿宋" w:hAnsi="仿宋" w:eastAsia="仿宋" w:cs="仿宋"/>
          <w:kern w:val="0"/>
          <w:sz w:val="32"/>
          <w:szCs w:val="32"/>
          <w:lang w:val="en-US" w:eastAsia="zh-CN" w:bidi="ar"/>
        </w:rPr>
        <w:t>调胶、洗版、</w:t>
      </w:r>
      <w:r>
        <w:rPr>
          <w:rFonts w:hint="eastAsia" w:ascii="仿宋" w:hAnsi="仿宋" w:eastAsia="仿宋" w:cs="仿宋"/>
          <w:kern w:val="0"/>
          <w:sz w:val="32"/>
          <w:szCs w:val="32"/>
          <w:lang w:val="zh-CN" w:eastAsia="zh-CN" w:bidi="ar"/>
        </w:rPr>
        <w:t>凹版印刷、</w:t>
      </w:r>
      <w:r>
        <w:rPr>
          <w:rFonts w:hint="eastAsia" w:ascii="仿宋" w:hAnsi="仿宋" w:eastAsia="仿宋" w:cs="仿宋"/>
          <w:kern w:val="0"/>
          <w:sz w:val="32"/>
          <w:szCs w:val="32"/>
          <w:lang w:val="en-US" w:eastAsia="zh-CN" w:bidi="ar"/>
        </w:rPr>
        <w:t>印刷干燥、复合烘干、分切、制袋</w:t>
      </w:r>
      <w:r>
        <w:rPr>
          <w:rFonts w:hint="eastAsia" w:ascii="仿宋" w:hAnsi="仿宋" w:eastAsia="仿宋" w:cs="仿宋"/>
          <w:kern w:val="2"/>
          <w:sz w:val="32"/>
          <w:szCs w:val="32"/>
          <w:lang w:val="en-US" w:eastAsia="zh-CN" w:bidi="ar"/>
        </w:rPr>
        <w:t>等工序生产伸缩膜200t/a、食品包装袋1800t/a。根据</w:t>
      </w:r>
      <w:r>
        <w:rPr>
          <w:rFonts w:hint="eastAsia" w:ascii="仿宋" w:hAnsi="仿宋" w:eastAsia="仿宋" w:cs="仿宋"/>
          <w:w w:val="95"/>
          <w:kern w:val="2"/>
          <w:sz w:val="32"/>
          <w:szCs w:val="32"/>
          <w:lang w:val="en-US" w:eastAsia="zh-CN" w:bidi="ar"/>
        </w:rPr>
        <w:t>湖南一鑫环境工程有限公司</w:t>
      </w:r>
      <w:r>
        <w:rPr>
          <w:rFonts w:hint="eastAsia" w:ascii="仿宋" w:hAnsi="仿宋" w:eastAsia="仿宋" w:cs="仿宋"/>
          <w:kern w:val="2"/>
          <w:sz w:val="32"/>
          <w:szCs w:val="32"/>
          <w:lang w:val="en-US" w:eastAsia="zh-CN" w:bidi="ar"/>
        </w:rPr>
        <w:t>编制的《湖南嘉品彩印包装有限公司2000t/a塑料膜印刷项目环境影响报告书》（报批稿）基本内容、结论和专家评审意见及岳阳市生态环境局汩罗分局预审意见，从环境保护角度考虑，我局原则同意你公司环境影响报告书中所列建设项目的环境影响评价结论和环境保护对策措施。</w:t>
      </w:r>
    </w:p>
    <w:p>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8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二、认真落实专家及环境影响报告书中提出的各项污染防治措施，并应着重注意以下问题：</w:t>
      </w:r>
    </w:p>
    <w:p>
      <w:pPr>
        <w:keepNext w:val="0"/>
        <w:keepLines w:val="0"/>
        <w:pageBreakBefore w:val="0"/>
        <w:widowControl w:val="0"/>
        <w:suppressLineNumbers w:val="0"/>
        <w:kinsoku/>
        <w:wordWrap w:val="0"/>
        <w:overflowPunct/>
        <w:topLinePunct/>
        <w:autoSpaceDE/>
        <w:autoSpaceDN/>
        <w:bidi w:val="0"/>
        <w:spacing w:before="0" w:beforeAutospacing="0" w:after="0" w:afterAutospacing="0" w:line="48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1、落实施工期污染防治措施。对建筑材料进行密闭存储、设置围挡或堆砌围墙、采用防尘布苫盖；及时清扫建筑垃圾，定期洒水抑尘；设置洗车平台；运输车辆采用密闭车斗或控制装卸高度；及时清扫道路；使用环保检测合格的车辆，合理布置运输车辆行驶路线，安装尾气净化器等措施控制大气环境影响。施工人员生活污水依托园区已有的化粪池处理经园区污水管网进入长沙经开区汨罗产业园污水处理厂处理；施工废水经临时隔油沉淀池处理后循环使用，不外排。选用低噪声施工设备、合理的布局施工现场和安排施工时间等措施控制声环境影响。建筑垃圾及生活垃圾倾倒在指定地点、妥善处置。</w:t>
      </w:r>
    </w:p>
    <w:p>
      <w:pPr>
        <w:keepNext w:val="0"/>
        <w:keepLines w:val="0"/>
        <w:pageBreakBefore w:val="0"/>
        <w:widowControl w:val="0"/>
        <w:suppressLineNumbers w:val="0"/>
        <w:kinsoku/>
        <w:wordWrap w:val="0"/>
        <w:overflowPunct/>
        <w:topLinePunct/>
        <w:autoSpaceDE/>
        <w:autoSpaceDN/>
        <w:bidi w:val="0"/>
        <w:spacing w:before="0" w:beforeAutospacing="0" w:after="0" w:afterAutospacing="0" w:line="480" w:lineRule="exact"/>
        <w:ind w:left="0" w:right="0" w:firstLine="640" w:firstLineChars="200"/>
        <w:jc w:val="both"/>
        <w:rPr>
          <w:rFonts w:hint="eastAsia" w:ascii="仿宋" w:hAnsi="仿宋" w:eastAsia="仿宋" w:cs="仿宋"/>
          <w:kern w:val="0"/>
          <w:sz w:val="32"/>
          <w:szCs w:val="32"/>
          <w:lang w:val="en-US" w:bidi="ar"/>
        </w:rPr>
      </w:pPr>
      <w:r>
        <w:rPr>
          <w:rFonts w:hint="eastAsia" w:ascii="仿宋" w:hAnsi="仿宋" w:eastAsia="仿宋" w:cs="仿宋"/>
          <w:kern w:val="2"/>
          <w:sz w:val="32"/>
          <w:szCs w:val="32"/>
          <w:lang w:val="en-US" w:eastAsia="zh-CN" w:bidi="ar"/>
        </w:rPr>
        <w:t>2、废气污染防治工作。原料</w:t>
      </w:r>
      <w:r>
        <w:rPr>
          <w:rFonts w:hint="eastAsia" w:ascii="仿宋" w:hAnsi="仿宋" w:eastAsia="仿宋" w:cs="仿宋"/>
          <w:kern w:val="0"/>
          <w:sz w:val="32"/>
          <w:szCs w:val="32"/>
          <w:lang w:val="en-US" w:eastAsia="zh-CN" w:bidi="ar"/>
        </w:rPr>
        <w:t>使用密闭容器盛装，运输过程实现全密闭，在非取用状态时要求其加盖、封口，保持密闭；</w:t>
      </w:r>
      <w:r>
        <w:rPr>
          <w:rFonts w:hint="eastAsia" w:ascii="仿宋" w:hAnsi="仿宋" w:eastAsia="仿宋" w:cs="仿宋"/>
          <w:kern w:val="2"/>
          <w:sz w:val="32"/>
          <w:szCs w:val="32"/>
          <w:lang w:val="en-US" w:eastAsia="zh-CN" w:bidi="ar"/>
        </w:rPr>
        <w:t>危险废物采用加盖、封口等措施保持密闭，并及时转运、处置；</w:t>
      </w:r>
      <w:r>
        <w:rPr>
          <w:rFonts w:hint="eastAsia" w:ascii="仿宋" w:hAnsi="仿宋" w:eastAsia="仿宋" w:cs="仿宋"/>
          <w:kern w:val="0"/>
          <w:sz w:val="32"/>
          <w:szCs w:val="32"/>
          <w:lang w:val="en-US" w:eastAsia="zh-CN" w:bidi="ar"/>
        </w:rPr>
        <w:t>对挥发性有机物的主要产生环节（调墨、调胶、印刷、烘干、复合等）采用设备密闭、车间负压收集；</w:t>
      </w:r>
      <w:r>
        <w:rPr>
          <w:rFonts w:hint="eastAsia" w:ascii="仿宋" w:hAnsi="仿宋" w:eastAsia="仿宋" w:cs="仿宋"/>
          <w:kern w:val="2"/>
          <w:sz w:val="32"/>
          <w:szCs w:val="32"/>
          <w:lang w:val="en-US" w:eastAsia="zh-CN" w:bidi="ar"/>
        </w:rPr>
        <w:t>加强车间密闭；强化车间管理及日常监管；定期对设备、管道、阀门等进行维护和管理，杜绝生产过程中的跑、冒、滴、漏，最大限度减少生产过程中的废气无组织排放,确保厂界非甲烷总烃满足</w:t>
      </w:r>
      <w:r>
        <w:rPr>
          <w:rFonts w:hint="eastAsia" w:ascii="仿宋" w:hAnsi="仿宋" w:eastAsia="仿宋" w:cs="仿宋"/>
          <w:kern w:val="0"/>
          <w:sz w:val="32"/>
          <w:szCs w:val="32"/>
          <w:lang w:val="en-US" w:eastAsia="zh-CN" w:bidi="ar"/>
        </w:rPr>
        <w:t>湖南省地方标准《印刷业挥发性有机物排放标准》（DB43/1357-2017）表2对应标准限值</w:t>
      </w:r>
      <w:r>
        <w:rPr>
          <w:rFonts w:hint="eastAsia" w:ascii="仿宋" w:hAnsi="仿宋" w:eastAsia="仿宋" w:cs="仿宋"/>
          <w:kern w:val="2"/>
          <w:sz w:val="32"/>
          <w:szCs w:val="32"/>
          <w:lang w:val="en-US" w:eastAsia="zh-CN" w:bidi="ar"/>
        </w:rPr>
        <w:t>；恶臭满足《恶臭污染物排放标准》（GB14554-93）厂界标准中的新改扩建二级标准；厂区内无组织排放限值执行《印刷工业大气污染物排放标准》(GB 41616-2022)表A.1中标准限值和《印刷业挥发性有机物排放标准》（DB43/1357-2017）表2标准从严标准。项目调墨、调胶、印刷、复合、烘干工序产生的有机废气VOCs经RTO装置处理后和RTO装置燃烧天然气产生的SO</w:t>
      </w:r>
      <w:r>
        <w:rPr>
          <w:rFonts w:hint="eastAsia" w:ascii="仿宋" w:hAnsi="仿宋" w:eastAsia="仿宋" w:cs="仿宋"/>
          <w:kern w:val="2"/>
          <w:sz w:val="32"/>
          <w:szCs w:val="32"/>
          <w:vertAlign w:val="subscript"/>
          <w:lang w:val="en-US" w:eastAsia="zh-CN" w:bidi="ar"/>
        </w:rPr>
        <w:t>2</w:t>
      </w:r>
      <w:r>
        <w:rPr>
          <w:rFonts w:hint="eastAsia" w:ascii="仿宋" w:hAnsi="仿宋" w:eastAsia="仿宋" w:cs="仿宋"/>
          <w:kern w:val="2"/>
          <w:sz w:val="32"/>
          <w:szCs w:val="32"/>
          <w:lang w:val="en-US" w:eastAsia="zh-CN" w:bidi="ar"/>
        </w:rPr>
        <w:t>、NO</w:t>
      </w:r>
      <w:r>
        <w:rPr>
          <w:rFonts w:hint="eastAsia" w:ascii="仿宋" w:hAnsi="仿宋" w:eastAsia="仿宋" w:cs="仿宋"/>
          <w:kern w:val="2"/>
          <w:sz w:val="32"/>
          <w:szCs w:val="32"/>
          <w:vertAlign w:val="subscript"/>
          <w:lang w:val="en-US" w:eastAsia="zh-CN" w:bidi="ar"/>
        </w:rPr>
        <w:t>x</w:t>
      </w:r>
      <w:r>
        <w:rPr>
          <w:rFonts w:hint="eastAsia" w:ascii="仿宋" w:hAnsi="仿宋" w:eastAsia="仿宋" w:cs="仿宋"/>
          <w:kern w:val="2"/>
          <w:sz w:val="32"/>
          <w:szCs w:val="32"/>
          <w:lang w:val="en-US" w:eastAsia="zh-CN" w:bidi="ar"/>
        </w:rPr>
        <w:t>一同经15m高排气筒（DA001）达标排放；</w:t>
      </w:r>
      <w:r>
        <w:rPr>
          <w:rFonts w:hint="eastAsia" w:ascii="仿宋" w:hAnsi="仿宋" w:eastAsia="仿宋" w:cs="仿宋"/>
          <w:kern w:val="0"/>
          <w:sz w:val="32"/>
          <w:szCs w:val="32"/>
          <w:lang w:val="en-US" w:eastAsia="zh-CN" w:bidi="ar"/>
        </w:rPr>
        <w:t>危废库有机废气</w:t>
      </w:r>
      <w:r>
        <w:rPr>
          <w:rFonts w:hint="eastAsia" w:ascii="仿宋" w:hAnsi="仿宋" w:eastAsia="仿宋" w:cs="仿宋"/>
          <w:kern w:val="2"/>
          <w:sz w:val="32"/>
          <w:szCs w:val="32"/>
          <w:lang w:val="en-US" w:eastAsia="zh-CN" w:bidi="ar"/>
        </w:rPr>
        <w:t>VOCs经收集处理后，经15m高的排气筒（DA002）达标排放；复合、印刷和制袋工序产生的挥发性有机物VOCs有组织排放执行《印刷业挥发性有机物排放标准》（DB43/1357-2017）中表1中非甲烷总烃排放限值；RTO焚烧炉天然气燃烧废气NOx、二氧化硫执行《印刷工业大气污染物排放标准》(GB 41616-2022)表2 燃烧装置大气污染物排放限值要求；挥发性有机物最高允许排放速率执行《印刷业挥发性有机物排放标准》(DB43/1357-2017)表1中排放限值要求（印刷生产活动排气筒挥发性有机物最高允许排放速率为2.0kg/h，排气筒高度H≥15m）。</w:t>
      </w:r>
    </w:p>
    <w:p>
      <w:pPr>
        <w:keepNext w:val="0"/>
        <w:keepLines w:val="0"/>
        <w:pageBreakBefore w:val="0"/>
        <w:widowControl/>
        <w:suppressLineNumbers w:val="0"/>
        <w:kinsoku/>
        <w:wordWrap w:val="0"/>
        <w:overflowPunct/>
        <w:topLinePunct/>
        <w:autoSpaceDE/>
        <w:autoSpaceDN/>
        <w:bidi w:val="0"/>
        <w:spacing w:before="0" w:beforeAutospacing="0" w:after="0" w:afterAutospacing="0" w:line="480" w:lineRule="exact"/>
        <w:ind w:left="0" w:right="0" w:firstLine="640" w:firstLineChars="200"/>
        <w:jc w:val="left"/>
        <w:textAlignment w:val="center"/>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3、废水污染防治工作。严格按照“雨污分流、清污分流、污污分流”的原则规范建设厂区雨水及污水收集设施。</w:t>
      </w:r>
      <w:r>
        <w:rPr>
          <w:rFonts w:hint="eastAsia" w:ascii="仿宋" w:hAnsi="仿宋" w:eastAsia="仿宋" w:cs="仿宋"/>
          <w:kern w:val="0"/>
          <w:sz w:val="32"/>
          <w:szCs w:val="32"/>
          <w:lang w:val="en-US" w:eastAsia="zh-CN" w:bidi="ar"/>
        </w:rPr>
        <w:t>生产废水为软化水制备尾水与车间地面清洁用水，经隔油池后与生活污水一并进入化粪池处理后</w:t>
      </w:r>
      <w:r>
        <w:rPr>
          <w:rFonts w:hint="eastAsia" w:ascii="仿宋" w:hAnsi="仿宋" w:eastAsia="仿宋" w:cs="仿宋"/>
          <w:snapToGrid w:val="0"/>
          <w:kern w:val="0"/>
          <w:sz w:val="32"/>
          <w:szCs w:val="32"/>
          <w:lang w:val="en-US" w:eastAsia="zh-CN" w:bidi="ar"/>
        </w:rPr>
        <w:t>达《污水综合排放标准》（</w:t>
      </w:r>
      <w:r>
        <w:rPr>
          <w:rFonts w:hint="eastAsia" w:ascii="仿宋" w:hAnsi="仿宋" w:eastAsia="仿宋" w:cs="仿宋"/>
          <w:kern w:val="0"/>
          <w:sz w:val="32"/>
          <w:szCs w:val="32"/>
          <w:lang w:val="en-US" w:eastAsia="zh-CN" w:bidi="ar"/>
        </w:rPr>
        <w:t>GB8978-1996</w:t>
      </w:r>
      <w:r>
        <w:rPr>
          <w:rFonts w:hint="eastAsia" w:ascii="仿宋" w:hAnsi="仿宋" w:eastAsia="仿宋" w:cs="仿宋"/>
          <w:snapToGrid w:val="0"/>
          <w:kern w:val="0"/>
          <w:sz w:val="32"/>
          <w:szCs w:val="32"/>
          <w:lang w:val="en-US" w:eastAsia="zh-CN" w:bidi="ar"/>
        </w:rPr>
        <w:t>）三级标准</w:t>
      </w:r>
      <w:r>
        <w:rPr>
          <w:rFonts w:hint="eastAsia" w:ascii="仿宋" w:hAnsi="仿宋" w:eastAsia="仿宋" w:cs="仿宋"/>
          <w:kern w:val="0"/>
          <w:sz w:val="32"/>
          <w:szCs w:val="32"/>
          <w:lang w:val="en-US" w:eastAsia="zh-CN" w:bidi="ar"/>
        </w:rPr>
        <w:t>及长沙经开区汨罗产业园污水厂进水水质要求限值</w:t>
      </w:r>
      <w:r>
        <w:rPr>
          <w:rFonts w:hint="eastAsia" w:ascii="仿宋" w:hAnsi="仿宋" w:eastAsia="仿宋" w:cs="仿宋"/>
          <w:snapToGrid w:val="0"/>
          <w:kern w:val="0"/>
          <w:sz w:val="32"/>
          <w:szCs w:val="32"/>
          <w:lang w:val="en-US" w:eastAsia="zh-CN" w:bidi="ar"/>
        </w:rPr>
        <w:t>后，排至长沙经开区汨罗产业园污水厂深度处理，满足</w:t>
      </w:r>
      <w:r>
        <w:rPr>
          <w:rFonts w:hint="eastAsia" w:ascii="仿宋" w:hAnsi="仿宋" w:eastAsia="仿宋" w:cs="仿宋"/>
          <w:kern w:val="2"/>
          <w:sz w:val="32"/>
          <w:szCs w:val="32"/>
          <w:lang w:val="en-US" w:eastAsia="zh-CN" w:bidi="ar"/>
        </w:rPr>
        <w:t>《城镇污水处理厂污染物排放标准》（GB18918-2002）一级A标准后</w:t>
      </w:r>
      <w:r>
        <w:rPr>
          <w:rFonts w:hint="eastAsia" w:ascii="仿宋" w:hAnsi="仿宋" w:eastAsia="仿宋" w:cs="仿宋"/>
          <w:snapToGrid w:val="0"/>
          <w:kern w:val="0"/>
          <w:sz w:val="32"/>
          <w:szCs w:val="32"/>
          <w:lang w:val="en-US" w:eastAsia="zh-CN" w:bidi="ar"/>
        </w:rPr>
        <w:t>排入白沙河</w:t>
      </w:r>
      <w:r>
        <w:rPr>
          <w:rFonts w:hint="eastAsia" w:ascii="仿宋" w:hAnsi="仿宋" w:eastAsia="仿宋" w:cs="仿宋"/>
          <w:kern w:val="2"/>
          <w:sz w:val="32"/>
          <w:szCs w:val="32"/>
          <w:lang w:val="en-US" w:eastAsia="zh-CN" w:bidi="ar"/>
        </w:rPr>
        <w:t>。</w:t>
      </w:r>
    </w:p>
    <w:p>
      <w:pPr>
        <w:keepNext w:val="0"/>
        <w:keepLines w:val="0"/>
        <w:pageBreakBefore w:val="0"/>
        <w:widowControl w:val="0"/>
        <w:suppressLineNumbers w:val="0"/>
        <w:kinsoku/>
        <w:wordWrap w:val="0"/>
        <w:overflowPunct/>
        <w:topLinePunct/>
        <w:autoSpaceDE/>
        <w:autoSpaceDN/>
        <w:bidi w:val="0"/>
        <w:spacing w:before="0" w:beforeAutospacing="0" w:after="0" w:afterAutospacing="0" w:line="48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按照“源头控制、分区防治、污染监控、应急响应”相结合的原则落实报告书提出的地下水污染防治措施。做好生产区域、危化品库和危废库等区域及</w:t>
      </w:r>
      <w:r>
        <w:rPr>
          <w:rFonts w:hint="eastAsia" w:ascii="仿宋" w:hAnsi="仿宋" w:eastAsia="仿宋" w:cs="仿宋"/>
          <w:kern w:val="0"/>
          <w:sz w:val="32"/>
          <w:szCs w:val="32"/>
          <w:lang w:val="zh-CN" w:eastAsia="zh-CN" w:bidi="zh-CN"/>
        </w:rPr>
        <w:t>生产厂房非重点区域</w:t>
      </w:r>
      <w:r>
        <w:rPr>
          <w:rFonts w:hint="eastAsia" w:ascii="仿宋" w:hAnsi="仿宋" w:eastAsia="仿宋" w:cs="仿宋"/>
          <w:kern w:val="2"/>
          <w:sz w:val="32"/>
          <w:szCs w:val="32"/>
          <w:lang w:val="en-US" w:eastAsia="zh-CN" w:bidi="ar"/>
        </w:rPr>
        <w:t>的防渗工作和其他区域的地面硬化，避免由于防渗层破损造成污染物下渗污染地下水。根据《环境影响评价技术导则 地下水环境》(HJ610-2016)要求，跟踪监测地下水质情况，确保地下水环境安全。</w:t>
      </w:r>
    </w:p>
    <w:p>
      <w:pPr>
        <w:keepNext w:val="0"/>
        <w:keepLines w:val="0"/>
        <w:pageBreakBefore w:val="0"/>
        <w:widowControl w:val="0"/>
        <w:suppressLineNumbers w:val="0"/>
        <w:kinsoku/>
        <w:wordWrap w:val="0"/>
        <w:overflowPunct/>
        <w:topLinePunct/>
        <w:autoSpaceDE/>
        <w:autoSpaceDN/>
        <w:bidi w:val="0"/>
        <w:adjustRightInd w:val="0"/>
        <w:snapToGrid w:val="0"/>
        <w:spacing w:before="0" w:beforeAutospacing="0" w:after="0" w:afterAutospacing="0" w:line="48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4、噪声防治工作。采用</w:t>
      </w:r>
      <w:r>
        <w:rPr>
          <w:rFonts w:hint="eastAsia" w:ascii="仿宋" w:hAnsi="仿宋" w:eastAsia="仿宋" w:cs="仿宋"/>
          <w:kern w:val="0"/>
          <w:sz w:val="32"/>
          <w:szCs w:val="32"/>
          <w:lang w:val="zh-CN" w:eastAsia="zh-CN" w:bidi="ar"/>
        </w:rPr>
        <w:t>性能好</w:t>
      </w:r>
      <w:r>
        <w:rPr>
          <w:rFonts w:hint="eastAsia" w:ascii="仿宋" w:hAnsi="仿宋" w:eastAsia="仿宋" w:cs="仿宋"/>
          <w:kern w:val="2"/>
          <w:sz w:val="32"/>
          <w:szCs w:val="32"/>
          <w:lang w:val="en-US" w:eastAsia="zh-CN" w:bidi="ar"/>
        </w:rPr>
        <w:t>、低噪声设备，合理布局，</w:t>
      </w:r>
      <w:r>
        <w:rPr>
          <w:rFonts w:hint="eastAsia" w:ascii="仿宋" w:hAnsi="仿宋" w:eastAsia="仿宋" w:cs="仿宋"/>
          <w:kern w:val="0"/>
          <w:sz w:val="32"/>
          <w:szCs w:val="32"/>
          <w:lang w:val="en-US" w:eastAsia="zh-CN" w:bidi="ar"/>
        </w:rPr>
        <w:t>采用厂房隔声、减震、消声等降噪措施</w:t>
      </w:r>
      <w:r>
        <w:rPr>
          <w:rFonts w:hint="eastAsia" w:ascii="仿宋" w:hAnsi="仿宋" w:eastAsia="仿宋" w:cs="仿宋"/>
          <w:kern w:val="2"/>
          <w:sz w:val="32"/>
          <w:szCs w:val="32"/>
          <w:lang w:val="en-US" w:eastAsia="zh-CN" w:bidi="ar"/>
        </w:rPr>
        <w:t>，确保厂界噪声达到《工业企业厂界环境噪声排放标准》（GB12348-2008）3类标准。</w:t>
      </w:r>
    </w:p>
    <w:p>
      <w:pPr>
        <w:pStyle w:val="12"/>
        <w:keepNext w:val="0"/>
        <w:keepLines w:val="0"/>
        <w:pageBreakBefore w:val="0"/>
        <w:widowControl/>
        <w:kinsoku/>
        <w:wordWrap w:val="0"/>
        <w:overflowPunct/>
        <w:topLinePunct/>
        <w:autoSpaceDE/>
        <w:autoSpaceDN/>
        <w:bidi w:val="0"/>
        <w:spacing w:line="480" w:lineRule="exact"/>
        <w:ind w:left="0" w:firstLine="640"/>
        <w:outlineLvl w:val="4"/>
        <w:rPr>
          <w:rFonts w:hint="eastAsia" w:ascii="仿宋" w:hAnsi="仿宋" w:eastAsia="仿宋" w:cs="仿宋"/>
          <w:sz w:val="32"/>
          <w:szCs w:val="32"/>
          <w:lang w:val="en-US"/>
        </w:rPr>
      </w:pPr>
      <w:r>
        <w:rPr>
          <w:rFonts w:hint="eastAsia" w:ascii="仿宋" w:hAnsi="仿宋" w:eastAsia="仿宋" w:cs="仿宋"/>
          <w:sz w:val="32"/>
          <w:szCs w:val="32"/>
          <w:lang w:val="en-US"/>
        </w:rPr>
        <w:t>5</w:t>
      </w:r>
      <w:r>
        <w:rPr>
          <w:rFonts w:hint="eastAsia" w:ascii="仿宋" w:hAnsi="仿宋" w:eastAsia="仿宋" w:cs="仿宋"/>
          <w:sz w:val="32"/>
          <w:szCs w:val="32"/>
          <w:lang w:eastAsia="zh-CN"/>
        </w:rPr>
        <w:t>、固体废物管理工作。按“无害化、减量化、资源化”原则，做好固体分类收集和综合利用，并建立固体废物产生、储存、处置管理台账，落实危险废物转移联单制度。不合格品、边角余料、废印刷版</w:t>
      </w:r>
      <w:r>
        <w:rPr>
          <w:rFonts w:hint="eastAsia" w:ascii="仿宋" w:hAnsi="仿宋" w:eastAsia="仿宋" w:cs="仿宋"/>
          <w:kern w:val="2"/>
          <w:sz w:val="32"/>
          <w:szCs w:val="32"/>
          <w:lang w:eastAsia="zh-CN"/>
        </w:rPr>
        <w:t>等</w:t>
      </w:r>
      <w:r>
        <w:rPr>
          <w:rFonts w:hint="eastAsia" w:ascii="仿宋" w:hAnsi="仿宋" w:eastAsia="仿宋" w:cs="仿宋"/>
          <w:sz w:val="32"/>
          <w:szCs w:val="32"/>
          <w:lang w:eastAsia="zh-CN"/>
        </w:rPr>
        <w:t>一般固体废物严格按《一般工业固体废物贮存和填埋污染控制标准》（</w:t>
      </w:r>
      <w:r>
        <w:rPr>
          <w:rFonts w:hint="eastAsia" w:ascii="仿宋" w:hAnsi="仿宋" w:eastAsia="仿宋" w:cs="仿宋"/>
          <w:sz w:val="32"/>
          <w:szCs w:val="32"/>
          <w:lang w:val="en-US"/>
        </w:rPr>
        <w:t>GB18599-2020</w:t>
      </w:r>
      <w:r>
        <w:rPr>
          <w:rFonts w:hint="eastAsia" w:ascii="仿宋" w:hAnsi="仿宋" w:eastAsia="仿宋" w:cs="仿宋"/>
          <w:sz w:val="32"/>
          <w:szCs w:val="32"/>
          <w:lang w:eastAsia="zh-CN"/>
        </w:rPr>
        <w:t>）要求集中收集后回收于</w:t>
      </w:r>
      <w:r>
        <w:rPr>
          <w:rFonts w:hint="eastAsia" w:ascii="仿宋" w:hAnsi="仿宋" w:eastAsia="仿宋" w:cs="仿宋"/>
          <w:kern w:val="2"/>
          <w:sz w:val="32"/>
          <w:szCs w:val="32"/>
          <w:lang w:eastAsia="zh-CN"/>
        </w:rPr>
        <w:t>废品回收单位和</w:t>
      </w:r>
      <w:r>
        <w:rPr>
          <w:rFonts w:hint="eastAsia" w:ascii="仿宋" w:hAnsi="仿宋" w:eastAsia="仿宋" w:cs="仿宋"/>
          <w:sz w:val="32"/>
          <w:szCs w:val="32"/>
          <w:lang w:eastAsia="zh-CN"/>
        </w:rPr>
        <w:t>厂家；废危化包装材料、废活性炭、废抹布、废油墨、废胶粘剂、废机油等危险废物严格按《危险废物贮存污染控制标准》（</w:t>
      </w:r>
      <w:r>
        <w:rPr>
          <w:rFonts w:hint="eastAsia" w:ascii="仿宋" w:hAnsi="仿宋" w:eastAsia="仿宋" w:cs="仿宋"/>
          <w:sz w:val="32"/>
          <w:szCs w:val="32"/>
          <w:lang w:val="en-US"/>
        </w:rPr>
        <w:t>GB18597-2001</w:t>
      </w:r>
      <w:r>
        <w:rPr>
          <w:rFonts w:hint="eastAsia" w:ascii="仿宋" w:hAnsi="仿宋" w:eastAsia="仿宋" w:cs="仿宋"/>
          <w:sz w:val="32"/>
          <w:szCs w:val="32"/>
          <w:lang w:eastAsia="zh-CN"/>
        </w:rPr>
        <w:t>）及</w:t>
      </w:r>
      <w:r>
        <w:rPr>
          <w:rFonts w:hint="eastAsia" w:ascii="仿宋" w:hAnsi="仿宋" w:eastAsia="仿宋" w:cs="仿宋"/>
          <w:sz w:val="32"/>
          <w:szCs w:val="32"/>
          <w:lang w:val="en-US"/>
        </w:rPr>
        <w:t>2013</w:t>
      </w:r>
      <w:r>
        <w:rPr>
          <w:rFonts w:hint="eastAsia" w:ascii="仿宋" w:hAnsi="仿宋" w:eastAsia="仿宋" w:cs="仿宋"/>
          <w:sz w:val="32"/>
          <w:szCs w:val="32"/>
          <w:lang w:eastAsia="zh-CN"/>
        </w:rPr>
        <w:t>修改单相关要求暂存，委托有资质的单位处置；生活垃圾交环卫部门统一处理。</w:t>
      </w:r>
    </w:p>
    <w:p>
      <w:pPr>
        <w:keepNext w:val="0"/>
        <w:keepLines w:val="0"/>
        <w:pageBreakBefore w:val="0"/>
        <w:widowControl w:val="0"/>
        <w:suppressLineNumbers w:val="0"/>
        <w:kinsoku/>
        <w:wordWrap w:val="0"/>
        <w:overflowPunct/>
        <w:topLinePunct/>
        <w:autoSpaceDE/>
        <w:autoSpaceDN/>
        <w:bidi w:val="0"/>
        <w:spacing w:before="0" w:beforeAutospacing="0" w:after="0" w:afterAutospacing="0" w:line="480" w:lineRule="exact"/>
        <w:ind w:left="0" w:right="0" w:firstLine="64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6、加强营运期风险防范。严格落实报告书提出的各项环境风险防范措施，按照《突发环境事件应急管理办法》编制修订突发环境事件应急预案，储备风险救助物资并组织演练，杜绝环境风险事故发生。</w:t>
      </w:r>
    </w:p>
    <w:p>
      <w:pPr>
        <w:keepNext w:val="0"/>
        <w:keepLines w:val="0"/>
        <w:pageBreakBefore w:val="0"/>
        <w:widowControl w:val="0"/>
        <w:suppressLineNumbers w:val="0"/>
        <w:kinsoku/>
        <w:wordWrap w:val="0"/>
        <w:overflowPunct/>
        <w:topLinePunct/>
        <w:autoSpaceDE/>
        <w:autoSpaceDN/>
        <w:bidi w:val="0"/>
        <w:spacing w:before="0" w:beforeAutospacing="0" w:after="0" w:afterAutospacing="0" w:line="480" w:lineRule="exact"/>
        <w:ind w:left="0" w:right="0" w:firstLine="64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7、加强环境管理。建立健全污染防治设施运行管理台帐，设专门的环保机构及环保人员，确保各项污染防治设施的正常运行，各类污染物稳定达标排放。</w:t>
      </w:r>
    </w:p>
    <w:p>
      <w:pPr>
        <w:keepNext w:val="0"/>
        <w:keepLines w:val="0"/>
        <w:pageBreakBefore w:val="0"/>
        <w:widowControl w:val="0"/>
        <w:suppressLineNumbers w:val="0"/>
        <w:kinsoku/>
        <w:wordWrap w:val="0"/>
        <w:overflowPunct/>
        <w:topLinePunct/>
        <w:autoSpaceDE/>
        <w:autoSpaceDN/>
        <w:bidi w:val="0"/>
        <w:spacing w:before="0" w:beforeAutospacing="0" w:after="0" w:afterAutospacing="0" w:line="48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8、你公司核定的总量指标为：</w:t>
      </w:r>
      <w:r>
        <w:rPr>
          <w:rFonts w:hint="eastAsia" w:ascii="仿宋" w:hAnsi="仿宋" w:eastAsia="仿宋" w:cs="仿宋"/>
          <w:kern w:val="0"/>
          <w:sz w:val="32"/>
          <w:szCs w:val="32"/>
          <w:lang w:val="en-US" w:eastAsia="en-US" w:bidi="ar"/>
        </w:rPr>
        <w:t>COD</w:t>
      </w:r>
      <w:r>
        <w:rPr>
          <w:rFonts w:hint="eastAsia" w:ascii="仿宋" w:hAnsi="仿宋" w:eastAsia="仿宋" w:cs="仿宋"/>
          <w:kern w:val="2"/>
          <w:sz w:val="32"/>
          <w:szCs w:val="32"/>
          <w:lang w:val="en-US" w:eastAsia="zh-CN" w:bidi="ar"/>
        </w:rPr>
        <w:t>≤0.2</w:t>
      </w:r>
      <w:r>
        <w:rPr>
          <w:rFonts w:hint="eastAsia" w:ascii="仿宋" w:hAnsi="仿宋" w:eastAsia="仿宋" w:cs="仿宋"/>
          <w:kern w:val="0"/>
          <w:sz w:val="32"/>
          <w:szCs w:val="32"/>
          <w:lang w:val="en-US" w:eastAsia="zh-CN" w:bidi="ar"/>
        </w:rPr>
        <w:t>t/a、</w:t>
      </w:r>
      <w:r>
        <w:rPr>
          <w:rFonts w:hint="eastAsia" w:ascii="仿宋" w:hAnsi="仿宋" w:eastAsia="仿宋" w:cs="仿宋"/>
          <w:kern w:val="0"/>
          <w:sz w:val="32"/>
          <w:szCs w:val="32"/>
          <w:lang w:val="en-US" w:eastAsia="en-US" w:bidi="ar"/>
        </w:rPr>
        <w:t>氨氮</w:t>
      </w:r>
      <w:r>
        <w:rPr>
          <w:rFonts w:hint="eastAsia" w:ascii="仿宋" w:hAnsi="仿宋" w:eastAsia="仿宋" w:cs="仿宋"/>
          <w:kern w:val="2"/>
          <w:sz w:val="32"/>
          <w:szCs w:val="32"/>
          <w:lang w:val="en-US" w:eastAsia="zh-CN" w:bidi="ar"/>
        </w:rPr>
        <w:t>≤0.1、</w:t>
      </w:r>
      <w:r>
        <w:rPr>
          <w:rFonts w:hint="eastAsia" w:ascii="仿宋" w:hAnsi="仿宋" w:eastAsia="仿宋" w:cs="仿宋"/>
          <w:kern w:val="0"/>
          <w:sz w:val="32"/>
          <w:szCs w:val="32"/>
          <w:lang w:val="en-US" w:eastAsia="zh-CN" w:bidi="ar"/>
        </w:rPr>
        <w:t>t/a、</w:t>
      </w:r>
      <w:r>
        <w:rPr>
          <w:rFonts w:hint="eastAsia" w:ascii="仿宋" w:hAnsi="仿宋" w:eastAsia="仿宋" w:cs="仿宋"/>
          <w:kern w:val="0"/>
          <w:sz w:val="32"/>
          <w:szCs w:val="32"/>
          <w:lang w:val="en-US" w:eastAsia="en-US" w:bidi="ar"/>
        </w:rPr>
        <w:t>SO</w:t>
      </w:r>
      <w:r>
        <w:rPr>
          <w:rFonts w:hint="eastAsia" w:ascii="仿宋" w:hAnsi="仿宋" w:eastAsia="仿宋" w:cs="仿宋"/>
          <w:kern w:val="0"/>
          <w:sz w:val="32"/>
          <w:szCs w:val="32"/>
          <w:vertAlign w:val="subscript"/>
          <w:lang w:val="en-US" w:eastAsia="en-US" w:bidi="ar"/>
        </w:rPr>
        <w:t>2</w:t>
      </w:r>
      <w:r>
        <w:rPr>
          <w:rFonts w:hint="eastAsia" w:ascii="仿宋" w:hAnsi="仿宋" w:eastAsia="仿宋" w:cs="仿宋"/>
          <w:kern w:val="2"/>
          <w:sz w:val="32"/>
          <w:szCs w:val="32"/>
          <w:lang w:val="en-US" w:eastAsia="zh-CN" w:bidi="ar"/>
        </w:rPr>
        <w:t>≤0.1</w:t>
      </w:r>
      <w:r>
        <w:rPr>
          <w:rFonts w:hint="eastAsia" w:ascii="仿宋" w:hAnsi="仿宋" w:eastAsia="仿宋" w:cs="仿宋"/>
          <w:kern w:val="0"/>
          <w:sz w:val="32"/>
          <w:szCs w:val="32"/>
          <w:lang w:val="en-US" w:eastAsia="zh-CN" w:bidi="ar"/>
        </w:rPr>
        <w:t>t/a、</w:t>
      </w:r>
      <w:r>
        <w:rPr>
          <w:rFonts w:hint="eastAsia" w:ascii="仿宋" w:hAnsi="仿宋" w:eastAsia="仿宋" w:cs="仿宋"/>
          <w:kern w:val="0"/>
          <w:sz w:val="32"/>
          <w:szCs w:val="32"/>
          <w:lang w:val="en-US" w:eastAsia="en-US" w:bidi="ar"/>
        </w:rPr>
        <w:t>NO</w:t>
      </w:r>
      <w:r>
        <w:rPr>
          <w:rFonts w:hint="eastAsia" w:ascii="仿宋" w:hAnsi="仿宋" w:eastAsia="仿宋" w:cs="仿宋"/>
          <w:kern w:val="0"/>
          <w:sz w:val="32"/>
          <w:szCs w:val="32"/>
          <w:vertAlign w:val="subscript"/>
          <w:lang w:val="en-US" w:eastAsia="en-US" w:bidi="ar"/>
        </w:rPr>
        <w:t>x</w:t>
      </w:r>
      <w:r>
        <w:rPr>
          <w:rFonts w:hint="eastAsia" w:ascii="仿宋" w:hAnsi="仿宋" w:eastAsia="仿宋" w:cs="仿宋"/>
          <w:kern w:val="2"/>
          <w:sz w:val="32"/>
          <w:szCs w:val="32"/>
          <w:lang w:val="en-US" w:eastAsia="zh-CN" w:bidi="ar"/>
        </w:rPr>
        <w:t>≤0.2</w:t>
      </w:r>
      <w:r>
        <w:rPr>
          <w:rFonts w:hint="eastAsia" w:ascii="仿宋" w:hAnsi="仿宋" w:eastAsia="仿宋" w:cs="仿宋"/>
          <w:kern w:val="0"/>
          <w:sz w:val="32"/>
          <w:szCs w:val="32"/>
          <w:lang w:val="en-US" w:eastAsia="zh-CN" w:bidi="ar"/>
        </w:rPr>
        <w:t>t/a、VOC</w:t>
      </w:r>
      <w:r>
        <w:rPr>
          <w:rFonts w:hint="eastAsia" w:ascii="仿宋" w:hAnsi="仿宋" w:eastAsia="仿宋" w:cs="仿宋"/>
          <w:kern w:val="2"/>
          <w:sz w:val="32"/>
          <w:szCs w:val="32"/>
          <w:lang w:val="en-US" w:eastAsia="zh-CN" w:bidi="ar"/>
        </w:rPr>
        <w:t>s≤6.8</w:t>
      </w:r>
      <w:r>
        <w:rPr>
          <w:rFonts w:hint="eastAsia" w:ascii="仿宋" w:hAnsi="仿宋" w:eastAsia="仿宋" w:cs="仿宋"/>
          <w:kern w:val="0"/>
          <w:sz w:val="32"/>
          <w:szCs w:val="32"/>
          <w:lang w:val="en-US" w:eastAsia="zh-CN" w:bidi="ar"/>
        </w:rPr>
        <w:t>t/a</w:t>
      </w:r>
      <w:r>
        <w:rPr>
          <w:rFonts w:hint="eastAsia" w:ascii="仿宋" w:hAnsi="仿宋" w:eastAsia="仿宋" w:cs="仿宋"/>
          <w:kern w:val="2"/>
          <w:sz w:val="32"/>
          <w:szCs w:val="32"/>
          <w:lang w:val="en-US" w:eastAsia="zh-CN" w:bidi="ar"/>
        </w:rPr>
        <w:t>。</w:t>
      </w:r>
    </w:p>
    <w:p>
      <w:pPr>
        <w:keepNext w:val="0"/>
        <w:keepLines w:val="0"/>
        <w:pageBreakBefore w:val="0"/>
        <w:widowControl w:val="0"/>
        <w:suppressLineNumbers w:val="0"/>
        <w:kinsoku/>
        <w:wordWrap w:val="0"/>
        <w:overflowPunct/>
        <w:topLinePunct/>
        <w:autoSpaceDE/>
        <w:autoSpaceDN/>
        <w:bidi w:val="0"/>
        <w:spacing w:before="0" w:beforeAutospacing="0" w:after="0" w:afterAutospacing="0" w:line="480" w:lineRule="exact"/>
        <w:ind w:left="0" w:right="0" w:firstLine="64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三、你公司应在收到本批复后15个工作日内，将批复及批准的环评报告文本送至岳阳市生态环境局汨罗分局、</w:t>
      </w:r>
      <w:r>
        <w:rPr>
          <w:rFonts w:hint="eastAsia" w:ascii="仿宋" w:hAnsi="仿宋" w:eastAsia="仿宋" w:cs="仿宋"/>
          <w:w w:val="95"/>
          <w:kern w:val="2"/>
          <w:sz w:val="32"/>
          <w:szCs w:val="32"/>
          <w:lang w:val="en-US" w:eastAsia="zh-CN" w:bidi="ar"/>
        </w:rPr>
        <w:t>湖南一鑫环境工程有限公司</w:t>
      </w:r>
      <w:r>
        <w:rPr>
          <w:rFonts w:hint="eastAsia" w:ascii="仿宋" w:hAnsi="仿宋" w:eastAsia="仿宋" w:cs="仿宋"/>
          <w:kern w:val="2"/>
          <w:sz w:val="32"/>
          <w:szCs w:val="32"/>
          <w:lang w:val="en-US" w:eastAsia="zh-CN" w:bidi="ar"/>
        </w:rPr>
        <w:t>。</w:t>
      </w:r>
    </w:p>
    <w:p>
      <w:pPr>
        <w:keepNext w:val="0"/>
        <w:keepLines w:val="0"/>
        <w:pageBreakBefore w:val="0"/>
        <w:widowControl w:val="0"/>
        <w:suppressLineNumbers w:val="0"/>
        <w:kinsoku/>
        <w:wordWrap w:val="0"/>
        <w:overflowPunct/>
        <w:topLinePunct/>
        <w:autoSpaceDE/>
        <w:autoSpaceDN/>
        <w:bidi w:val="0"/>
        <w:spacing w:before="0" w:beforeAutospacing="0" w:after="0" w:afterAutospacing="0" w:line="48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四、请岳阳市生态环境局汨罗分局负责项目建设期和运营期的日常环境监管。</w:t>
      </w:r>
    </w:p>
    <w:p>
      <w:pPr>
        <w:pStyle w:val="7"/>
        <w:keepNext w:val="0"/>
        <w:keepLines w:val="0"/>
        <w:pageBreakBefore w:val="0"/>
        <w:widowControl/>
        <w:kinsoku w:val="0"/>
        <w:wordWrap w:val="0"/>
        <w:overflowPunct w:val="0"/>
        <w:topLinePunct w:val="0"/>
        <w:autoSpaceDE/>
        <w:autoSpaceDN/>
        <w:bidi w:val="0"/>
        <w:spacing w:line="480" w:lineRule="exact"/>
        <w:ind w:firstLine="5440" w:firstLineChars="1700"/>
        <w:rPr>
          <w:rFonts w:hint="eastAsia" w:ascii="仿宋" w:hAnsi="仿宋" w:eastAsia="仿宋" w:cs="仿宋"/>
          <w:kern w:val="2"/>
          <w:sz w:val="32"/>
          <w:szCs w:val="32"/>
          <w:lang w:eastAsia="zh-CN"/>
        </w:rPr>
      </w:pPr>
    </w:p>
    <w:p>
      <w:pPr>
        <w:pStyle w:val="7"/>
        <w:keepNext w:val="0"/>
        <w:keepLines w:val="0"/>
        <w:pageBreakBefore w:val="0"/>
        <w:widowControl/>
        <w:kinsoku w:val="0"/>
        <w:wordWrap w:val="0"/>
        <w:overflowPunct w:val="0"/>
        <w:topLinePunct w:val="0"/>
        <w:autoSpaceDE/>
        <w:autoSpaceDN/>
        <w:bidi w:val="0"/>
        <w:spacing w:line="480" w:lineRule="exact"/>
        <w:ind w:firstLine="5440" w:firstLineChars="1700"/>
        <w:rPr>
          <w:rFonts w:hint="eastAsia" w:ascii="仿宋" w:hAnsi="仿宋" w:eastAsia="仿宋" w:cs="仿宋"/>
          <w:kern w:val="2"/>
          <w:sz w:val="32"/>
          <w:szCs w:val="32"/>
          <w:lang w:eastAsia="zh-CN"/>
        </w:rPr>
      </w:pPr>
    </w:p>
    <w:p>
      <w:pPr>
        <w:pStyle w:val="7"/>
        <w:keepNext w:val="0"/>
        <w:keepLines w:val="0"/>
        <w:pageBreakBefore w:val="0"/>
        <w:widowControl/>
        <w:kinsoku w:val="0"/>
        <w:wordWrap w:val="0"/>
        <w:overflowPunct w:val="0"/>
        <w:topLinePunct w:val="0"/>
        <w:autoSpaceDE/>
        <w:autoSpaceDN/>
        <w:bidi w:val="0"/>
        <w:spacing w:line="480" w:lineRule="exact"/>
        <w:ind w:firstLine="5440" w:firstLineChars="1700"/>
        <w:rPr>
          <w:rFonts w:hint="eastAsia" w:ascii="仿宋" w:hAnsi="仿宋" w:eastAsia="仿宋" w:cs="仿宋"/>
          <w:kern w:val="2"/>
          <w:sz w:val="32"/>
          <w:szCs w:val="32"/>
          <w:lang w:val="en-US"/>
        </w:rPr>
      </w:pPr>
      <w:bookmarkStart w:id="0" w:name="_GoBack"/>
      <w:bookmarkEnd w:id="0"/>
      <w:r>
        <w:rPr>
          <w:rFonts w:hint="eastAsia" w:ascii="仿宋" w:hAnsi="仿宋" w:eastAsia="仿宋" w:cs="仿宋"/>
          <w:kern w:val="2"/>
          <w:sz w:val="32"/>
          <w:szCs w:val="32"/>
          <w:lang w:eastAsia="zh-CN"/>
        </w:rPr>
        <w:t>岳阳市生态环境局</w:t>
      </w:r>
    </w:p>
    <w:p>
      <w:pPr>
        <w:keepNext w:val="0"/>
        <w:keepLines w:val="0"/>
        <w:pageBreakBefore w:val="0"/>
        <w:widowControl w:val="0"/>
        <w:suppressLineNumbers w:val="0"/>
        <w:kinsoku w:val="0"/>
        <w:wordWrap w:val="0"/>
        <w:overflowPunct w:val="0"/>
        <w:topLinePunct w:val="0"/>
        <w:autoSpaceDE/>
        <w:autoSpaceDN/>
        <w:bidi w:val="0"/>
        <w:spacing w:before="0" w:beforeAutospacing="0" w:after="0" w:afterAutospacing="0" w:line="480" w:lineRule="exact"/>
        <w:ind w:left="0" w:right="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2023年 2月28日</w:t>
      </w:r>
    </w:p>
    <w:p>
      <w:pPr>
        <w:keepNext w:val="0"/>
        <w:keepLines w:val="0"/>
        <w:pageBreakBefore w:val="0"/>
        <w:widowControl w:val="0"/>
        <w:suppressLineNumbers w:val="0"/>
        <w:kinsoku w:val="0"/>
        <w:wordWrap w:val="0"/>
        <w:overflowPunct w:val="0"/>
        <w:topLinePunct w:val="0"/>
        <w:autoSpaceDE/>
        <w:autoSpaceDN/>
        <w:bidi w:val="0"/>
        <w:spacing w:before="0" w:beforeAutospacing="0" w:after="0" w:afterAutospacing="0"/>
        <w:ind w:left="0" w:right="0"/>
        <w:jc w:val="both"/>
        <w:rPr>
          <w:color w:val="000000"/>
          <w:sz w:val="32"/>
          <w:szCs w:val="32"/>
          <w:lang w:val="en-US"/>
        </w:rPr>
      </w:pPr>
    </w:p>
    <w:p>
      <w:pPr>
        <w:keepNext w:val="0"/>
        <w:keepLines w:val="0"/>
        <w:pageBreakBefore w:val="0"/>
        <w:kinsoku w:val="0"/>
        <w:wordWrap w:val="0"/>
        <w:overflowPunct w:val="0"/>
        <w:topLinePunct w:val="0"/>
        <w:autoSpaceDE/>
        <w:autoSpaceDN/>
        <w:bidi w:val="0"/>
        <w:rPr>
          <w:sz w:val="32"/>
          <w:szCs w:val="32"/>
        </w:rPr>
      </w:pPr>
    </w:p>
    <w:sectPr>
      <w:pgSz w:w="11906" w:h="16838"/>
      <w:pgMar w:top="1304" w:right="1474" w:bottom="1247" w:left="1531" w:header="851" w:footer="992" w:gutter="0"/>
      <w:paperSrc/>
      <w:pgNumType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99513F"/>
    <w:rsid w:val="45705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8"/>
    <w:uiPriority w:val="0"/>
    <w:pPr>
      <w:spacing w:after="120" w:afterLines="0" w:afterAutospacing="0"/>
    </w:pPr>
  </w:style>
  <w:style w:type="paragraph" w:styleId="3">
    <w:name w:val="footer"/>
    <w:basedOn w:val="1"/>
    <w:link w:val="9"/>
    <w:uiPriority w:val="0"/>
    <w:pPr>
      <w:tabs>
        <w:tab w:val="center" w:pos="4153"/>
        <w:tab w:val="right" w:pos="8306"/>
      </w:tabs>
      <w:snapToGrid w:val="0"/>
      <w:jc w:val="left"/>
    </w:pPr>
    <w:rPr>
      <w:sz w:val="18"/>
    </w:rPr>
  </w:style>
  <w:style w:type="paragraph" w:styleId="4">
    <w:name w:val="toc 1"/>
    <w:basedOn w:val="1"/>
    <w:next w:val="1"/>
    <w:uiPriority w:val="0"/>
    <w:pPr>
      <w:keepNext w:val="0"/>
      <w:keepLines w:val="0"/>
      <w:widowControl w:val="0"/>
      <w:suppressLineNumbers w:val="0"/>
      <w:spacing w:before="120" w:beforeAutospacing="0" w:after="120" w:afterAutospacing="0"/>
      <w:ind w:left="0" w:right="0"/>
      <w:jc w:val="left"/>
    </w:pPr>
    <w:rPr>
      <w:rFonts w:hint="default" w:ascii="Calibri" w:hAnsi="Calibri" w:eastAsia="宋体" w:cs="Times New Roman"/>
      <w:b/>
      <w:bCs/>
      <w:caps/>
      <w:kern w:val="2"/>
      <w:sz w:val="20"/>
      <w:szCs w:val="20"/>
      <w:lang w:val="en-US" w:eastAsia="zh-CN" w:bidi="ar"/>
    </w:rPr>
  </w:style>
  <w:style w:type="paragraph" w:customStyle="1" w:styleId="7">
    <w:name w:val="0"/>
    <w:basedOn w:val="1"/>
    <w:uiPriority w:val="0"/>
    <w:pPr>
      <w:keepNext w:val="0"/>
      <w:keepLines w:val="0"/>
      <w:widowControl/>
      <w:suppressLineNumbers w:val="0"/>
      <w:snapToGrid w:val="0"/>
      <w:spacing w:before="0" w:beforeAutospacing="0" w:after="0" w:afterAutospacing="0" w:line="365" w:lineRule="atLeast"/>
      <w:ind w:left="1" w:right="0"/>
      <w:jc w:val="both"/>
    </w:pPr>
    <w:rPr>
      <w:rFonts w:hint="default" w:ascii="Times New Roman" w:hAnsi="Times New Roman" w:eastAsia="宋体" w:cs="Times New Roman"/>
      <w:kern w:val="0"/>
      <w:sz w:val="20"/>
      <w:szCs w:val="20"/>
      <w:lang w:val="en-US" w:eastAsia="zh-CN" w:bidi="ar"/>
    </w:rPr>
  </w:style>
  <w:style w:type="character" w:customStyle="1" w:styleId="8">
    <w:name w:val="正文文本 字符"/>
    <w:basedOn w:val="6"/>
    <w:link w:val="2"/>
    <w:uiPriority w:val="0"/>
    <w:rPr>
      <w:kern w:val="2"/>
      <w:sz w:val="21"/>
    </w:rPr>
  </w:style>
  <w:style w:type="character" w:customStyle="1" w:styleId="9">
    <w:name w:val="页脚 字符"/>
    <w:basedOn w:val="6"/>
    <w:link w:val="3"/>
    <w:uiPriority w:val="0"/>
    <w:rPr>
      <w:kern w:val="2"/>
      <w:sz w:val="18"/>
    </w:rPr>
  </w:style>
  <w:style w:type="paragraph" w:customStyle="1" w:styleId="10">
    <w:name w:val="p0"/>
    <w:basedOn w:val="1"/>
    <w:uiPriority w:val="0"/>
    <w:pPr>
      <w:keepNext w:val="0"/>
      <w:keepLines w:val="0"/>
      <w:widowControl/>
      <w:suppressLineNumbers w:val="0"/>
      <w:spacing w:before="0" w:beforeAutospacing="0" w:after="0" w:afterAutospacing="0"/>
      <w:ind w:left="0" w:right="0"/>
      <w:jc w:val="both"/>
    </w:pPr>
    <w:rPr>
      <w:rFonts w:hint="default" w:ascii="Calibri" w:hAnsi="Calibri" w:eastAsia="宋体" w:cs="Calibri"/>
      <w:kern w:val="0"/>
      <w:sz w:val="21"/>
      <w:szCs w:val="21"/>
      <w:lang w:val="en-US" w:eastAsia="zh-CN" w:bidi="ar"/>
    </w:rPr>
  </w:style>
  <w:style w:type="paragraph" w:customStyle="1" w:styleId="11">
    <w:name w:val="正文1"/>
    <w:basedOn w:val="1"/>
    <w:next w:val="1"/>
    <w:uiPriority w:val="0"/>
    <w:pPr>
      <w:keepNext w:val="0"/>
      <w:keepLines w:val="0"/>
      <w:widowControl w:val="0"/>
      <w:suppressLineNumbers w:val="0"/>
      <w:spacing w:before="0" w:beforeAutospacing="0" w:after="0" w:afterAutospacing="0" w:line="360" w:lineRule="auto"/>
      <w:ind w:left="0" w:right="0" w:firstLine="723" w:firstLineChars="200"/>
      <w:jc w:val="both"/>
    </w:pPr>
    <w:rPr>
      <w:rFonts w:hint="default" w:ascii="Calibri" w:hAnsi="Calibri" w:eastAsia="宋体" w:cs="Times New Roman"/>
      <w:kern w:val="0"/>
      <w:sz w:val="24"/>
      <w:szCs w:val="20"/>
      <w:lang w:val="en-US" w:eastAsia="zh-CN" w:bidi="ar"/>
    </w:rPr>
  </w:style>
  <w:style w:type="paragraph" w:customStyle="1" w:styleId="12">
    <w:name w:val="hj-正文"/>
    <w:basedOn w:val="1"/>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default" w:ascii="Times New Roman" w:hAnsi="Times New Roman" w:eastAsia="宋体" w:cs="Times New Roman"/>
      <w:kern w:val="0"/>
      <w:sz w:val="24"/>
      <w:szCs w:val="2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2023-03-02T09:22:18Z</dcterms:created>
  <dc:creator>LENOVO</dc:creator>
  <cp:lastModifiedBy>憧憬</cp:lastModifiedBy>
  <dcterms:modified xsi:type="dcterms:W3CDTF">2023-03-02T09:28:22Z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83B47E72F31940FC851ADCEEFD234652</vt:lpwstr>
  </property>
</Properties>
</file>