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val="0"/>
        <w:topLinePunct/>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36"/>
          <w:szCs w:val="36"/>
          <w:highlight w:val="none"/>
          <w:u w:val="none" w:color="auto"/>
          <w:lang w:val="en-US" w:eastAsia="zh-CN"/>
        </w:rPr>
      </w:pPr>
    </w:p>
    <w:p>
      <w:pPr>
        <w:pStyle w:val="7"/>
        <w:pageBreakBefore w:val="0"/>
        <w:kinsoku/>
        <w:wordWrap/>
        <w:overflowPunct w:val="0"/>
        <w:topLinePunct/>
        <w:autoSpaceDE w:val="0"/>
        <w:autoSpaceDN w:val="0"/>
        <w:bidi w:val="0"/>
        <w:outlineLvl w:val="9"/>
        <w:rPr>
          <w:rFonts w:hint="default" w:ascii="Times New Roman" w:hAnsi="Times New Roman" w:eastAsia="宋体" w:cs="Times New Roman"/>
          <w:color w:val="auto"/>
          <w:u w:val="none" w:color="auto"/>
          <w:lang w:val="en-US" w:eastAsia="zh-CN"/>
        </w:rPr>
      </w:pPr>
    </w:p>
    <w:p>
      <w:pPr>
        <w:keepNext w:val="0"/>
        <w:keepLines w:val="0"/>
        <w:pageBreakBefore w:val="0"/>
        <w:widowControl/>
        <w:kinsoku/>
        <w:wordWrap/>
        <w:overflowPunct w:val="0"/>
        <w:topLinePunct/>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36"/>
          <w:szCs w:val="36"/>
          <w:highlight w:val="none"/>
          <w:u w:val="none" w:color="auto"/>
          <w:lang w:val="en-US" w:eastAsia="zh-CN"/>
        </w:rPr>
      </w:pPr>
    </w:p>
    <w:p>
      <w:pPr>
        <w:keepNext w:val="0"/>
        <w:keepLines w:val="0"/>
        <w:pageBreakBefore w:val="0"/>
        <w:widowControl/>
        <w:kinsoku/>
        <w:wordWrap/>
        <w:overflowPunct w:val="0"/>
        <w:topLinePunct/>
        <w:autoSpaceDE w:val="0"/>
        <w:autoSpaceDN w:val="0"/>
        <w:bidi w:val="0"/>
        <w:adjustRightInd w:val="0"/>
        <w:snapToGrid w:val="0"/>
        <w:spacing w:line="360" w:lineRule="auto"/>
        <w:ind w:firstLine="0" w:firstLineChars="0"/>
        <w:jc w:val="center"/>
        <w:textAlignment w:val="auto"/>
        <w:outlineLvl w:val="0"/>
        <w:rPr>
          <w:rFonts w:hint="default" w:ascii="Times New Roman" w:hAnsi="Times New Roman" w:eastAsia="宋体" w:cs="Times New Roman"/>
          <w:b/>
          <w:color w:val="auto"/>
          <w:sz w:val="44"/>
          <w:szCs w:val="44"/>
          <w:highlight w:val="none"/>
          <w:u w:val="none" w:color="auto"/>
          <w:lang w:val="en-US" w:eastAsia="zh-CN"/>
        </w:rPr>
      </w:pPr>
      <w:bookmarkStart w:id="0" w:name="_Toc29499"/>
      <w:r>
        <w:rPr>
          <w:rFonts w:hint="default" w:ascii="Times New Roman" w:hAnsi="Times New Roman" w:eastAsia="宋体" w:cs="Times New Roman"/>
          <w:b/>
          <w:color w:val="auto"/>
          <w:sz w:val="44"/>
          <w:szCs w:val="44"/>
          <w:highlight w:val="none"/>
          <w:u w:val="none" w:color="auto"/>
          <w:lang w:val="en-US" w:eastAsia="zh-CN"/>
        </w:rPr>
        <w:t>湖南镁宇科技有限公司</w:t>
      </w:r>
      <w:bookmarkEnd w:id="0"/>
    </w:p>
    <w:p>
      <w:pPr>
        <w:keepNext w:val="0"/>
        <w:keepLines w:val="0"/>
        <w:pageBreakBefore w:val="0"/>
        <w:widowControl/>
        <w:kinsoku/>
        <w:wordWrap/>
        <w:overflowPunct w:val="0"/>
        <w:topLinePunct/>
        <w:autoSpaceDE w:val="0"/>
        <w:autoSpaceDN w:val="0"/>
        <w:bidi w:val="0"/>
        <w:adjustRightInd w:val="0"/>
        <w:snapToGrid w:val="0"/>
        <w:spacing w:line="360" w:lineRule="auto"/>
        <w:ind w:firstLine="0" w:firstLineChars="0"/>
        <w:jc w:val="center"/>
        <w:textAlignment w:val="auto"/>
        <w:outlineLvl w:val="0"/>
        <w:rPr>
          <w:rFonts w:hint="default" w:ascii="Times New Roman" w:hAnsi="Times New Roman" w:eastAsia="宋体" w:cs="Times New Roman"/>
          <w:b/>
          <w:color w:val="auto"/>
          <w:sz w:val="44"/>
          <w:szCs w:val="44"/>
          <w:highlight w:val="none"/>
          <w:u w:val="none" w:color="auto"/>
          <w:lang w:val="en-US" w:eastAsia="zh-CN"/>
        </w:rPr>
      </w:pPr>
      <w:bookmarkStart w:id="1" w:name="_Toc30841"/>
      <w:r>
        <w:rPr>
          <w:rFonts w:hint="default" w:ascii="Times New Roman" w:hAnsi="Times New Roman" w:eastAsia="宋体" w:cs="Times New Roman"/>
          <w:b/>
          <w:color w:val="auto"/>
          <w:sz w:val="44"/>
          <w:szCs w:val="44"/>
          <w:highlight w:val="none"/>
          <w:u w:val="none" w:color="auto"/>
          <w:lang w:val="en-US" w:eastAsia="zh-CN"/>
        </w:rPr>
        <w:t>高性能变形镁合金产业链产业化项目</w:t>
      </w:r>
      <w:bookmarkEnd w:id="1"/>
    </w:p>
    <w:p>
      <w:pPr>
        <w:keepNext w:val="0"/>
        <w:keepLines w:val="0"/>
        <w:pageBreakBefore w:val="0"/>
        <w:widowControl/>
        <w:kinsoku/>
        <w:wordWrap/>
        <w:overflowPunct w:val="0"/>
        <w:topLinePunct/>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72"/>
          <w:szCs w:val="72"/>
          <w:highlight w:val="none"/>
          <w:u w:val="none" w:color="auto"/>
          <w:lang w:val="en-US" w:eastAsia="zh-CN"/>
        </w:rPr>
      </w:pPr>
      <w:r>
        <w:rPr>
          <w:rFonts w:hint="default" w:ascii="Times New Roman" w:hAnsi="Times New Roman" w:eastAsia="宋体" w:cs="Times New Roman"/>
          <w:b/>
          <w:color w:val="auto"/>
          <w:sz w:val="72"/>
          <w:szCs w:val="72"/>
          <w:highlight w:val="none"/>
          <w:u w:val="none" w:color="auto"/>
          <w:lang w:val="en-US" w:eastAsia="zh-CN"/>
        </w:rPr>
        <w:t>环境影响报告书</w:t>
      </w:r>
    </w:p>
    <w:p>
      <w:pPr>
        <w:pStyle w:val="7"/>
        <w:pageBreakBefore w:val="0"/>
        <w:kinsoku/>
        <w:wordWrap/>
        <w:overflowPunct w:val="0"/>
        <w:topLinePunct/>
        <w:autoSpaceDE w:val="0"/>
        <w:autoSpaceDN w:val="0"/>
        <w:bidi w:val="0"/>
        <w:jc w:val="center"/>
        <w:outlineLvl w:val="9"/>
        <w:rPr>
          <w:rFonts w:hint="default"/>
          <w:b w:val="0"/>
          <w:bCs/>
          <w:color w:val="auto"/>
          <w:lang w:val="en-US" w:eastAsia="zh-CN"/>
        </w:rPr>
      </w:pPr>
    </w:p>
    <w:p>
      <w:pPr>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lang w:eastAsia="zh-CN"/>
        </w:rPr>
      </w:pPr>
    </w:p>
    <w:p>
      <w:pPr>
        <w:pStyle w:val="66"/>
        <w:pageBreakBefore w:val="0"/>
        <w:kinsoku/>
        <w:wordWrap/>
        <w:overflowPunct w:val="0"/>
        <w:topLinePunct/>
        <w:autoSpaceDE w:val="0"/>
        <w:autoSpaceDN w:val="0"/>
        <w:bidi w:val="0"/>
        <w:jc w:val="center"/>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4"/>
        <w:pageBreakBefore w:val="0"/>
        <w:kinsoku/>
        <w:wordWrap/>
        <w:overflowPunct w:val="0"/>
        <w:topLinePunct/>
        <w:autoSpaceDE w:val="0"/>
        <w:autoSpaceDN w:val="0"/>
        <w:bidi w:val="0"/>
        <w:rPr>
          <w:rFonts w:hint="default" w:ascii="Times New Roman" w:hAnsi="Times New Roman" w:eastAsia="宋体" w:cs="Times New Roman"/>
          <w:b/>
          <w:color w:val="auto"/>
          <w:sz w:val="28"/>
          <w:szCs w:val="28"/>
          <w:highlight w:val="none"/>
          <w:u w:val="none" w:color="auto"/>
          <w:lang w:eastAsia="zh-CN"/>
        </w:rPr>
      </w:pPr>
    </w:p>
    <w:p>
      <w:pPr>
        <w:pStyle w:val="66"/>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lang w:eastAsia="zh-CN"/>
        </w:rPr>
      </w:pPr>
    </w:p>
    <w:p>
      <w:pPr>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sz w:val="28"/>
          <w:highlight w:val="none"/>
          <w:u w:val="none" w:color="auto"/>
          <w:lang w:eastAsia="zh-CN"/>
        </w:rPr>
        <w:tab/>
      </w:r>
    </w:p>
    <w:p>
      <w:pPr>
        <w:pStyle w:val="66"/>
        <w:pageBreakBefore w:val="0"/>
        <w:kinsoku/>
        <w:wordWrap/>
        <w:overflowPunct w:val="0"/>
        <w:topLinePunct/>
        <w:autoSpaceDE w:val="0"/>
        <w:autoSpaceDN w:val="0"/>
        <w:bidi w:val="0"/>
        <w:jc w:val="center"/>
        <w:outlineLvl w:val="0"/>
        <w:rPr>
          <w:rFonts w:hint="default" w:ascii="Times New Roman" w:hAnsi="Times New Roman" w:eastAsia="宋体" w:cs="Times New Roman"/>
          <w:b/>
          <w:bCs/>
          <w:color w:val="auto"/>
          <w:sz w:val="28"/>
          <w:szCs w:val="28"/>
          <w:highlight w:val="none"/>
          <w:u w:val="none" w:color="auto"/>
          <w:lang w:val="en-US" w:eastAsia="zh-CN"/>
        </w:rPr>
      </w:pPr>
      <w:bookmarkStart w:id="2" w:name="_Toc24933"/>
      <w:r>
        <w:rPr>
          <w:rFonts w:hint="default" w:ascii="Times New Roman" w:hAnsi="Times New Roman" w:eastAsia="宋体" w:cs="Times New Roman"/>
          <w:b/>
          <w:bCs/>
          <w:color w:val="auto"/>
          <w:sz w:val="28"/>
          <w:szCs w:val="28"/>
          <w:highlight w:val="none"/>
          <w:u w:val="none" w:color="auto"/>
          <w:lang w:val="en-US" w:eastAsia="zh-CN"/>
        </w:rPr>
        <w:t>建设单位：</w:t>
      </w:r>
      <w:r>
        <w:rPr>
          <w:rFonts w:hint="default" w:ascii="Times New Roman" w:hAnsi="Times New Roman" w:eastAsia="宋体" w:cs="Times New Roman"/>
          <w:b/>
          <w:bCs/>
          <w:color w:val="auto"/>
          <w:sz w:val="28"/>
          <w:szCs w:val="28"/>
          <w:highlight w:val="none"/>
          <w:u w:val="single" w:color="auto"/>
          <w:lang w:val="en-US" w:eastAsia="zh-CN"/>
        </w:rPr>
        <w:t>湖南镁宇科技有限公司</w:t>
      </w:r>
      <w:bookmarkEnd w:id="2"/>
    </w:p>
    <w:p>
      <w:pPr>
        <w:pStyle w:val="66"/>
        <w:pageBreakBefore w:val="0"/>
        <w:kinsoku/>
        <w:wordWrap/>
        <w:overflowPunct w:val="0"/>
        <w:topLinePunct/>
        <w:autoSpaceDE w:val="0"/>
        <w:autoSpaceDN w:val="0"/>
        <w:bidi w:val="0"/>
        <w:jc w:val="center"/>
        <w:outlineLvl w:val="0"/>
        <w:rPr>
          <w:rFonts w:hint="default" w:ascii="Times New Roman" w:hAnsi="Times New Roman" w:eastAsia="宋体" w:cs="Times New Roman"/>
          <w:b/>
          <w:bCs/>
          <w:color w:val="auto"/>
          <w:highlight w:val="none"/>
          <w:u w:val="single" w:color="auto"/>
          <w:lang w:val="en-US" w:eastAsia="zh-CN"/>
        </w:rPr>
      </w:pPr>
      <w:bookmarkStart w:id="3" w:name="_Toc7644"/>
      <w:r>
        <w:rPr>
          <w:rFonts w:hint="default" w:ascii="Times New Roman" w:hAnsi="Times New Roman" w:eastAsia="宋体" w:cs="Times New Roman"/>
          <w:b/>
          <w:bCs/>
          <w:color w:val="auto"/>
          <w:sz w:val="28"/>
          <w:szCs w:val="28"/>
          <w:highlight w:val="none"/>
          <w:u w:val="none" w:color="auto"/>
          <w:lang w:val="en-US" w:eastAsia="zh-CN"/>
        </w:rPr>
        <w:t>编制单位：</w:t>
      </w:r>
      <w:r>
        <w:rPr>
          <w:rFonts w:hint="default" w:ascii="Times New Roman" w:hAnsi="Times New Roman" w:eastAsia="宋体" w:cs="Times New Roman"/>
          <w:b/>
          <w:bCs/>
          <w:color w:val="auto"/>
          <w:sz w:val="28"/>
          <w:szCs w:val="28"/>
          <w:highlight w:val="none"/>
          <w:u w:val="single" w:color="auto"/>
          <w:lang w:val="en-US" w:eastAsia="zh-CN"/>
        </w:rPr>
        <w:t>湖南佳蓝检测技术有限公司</w:t>
      </w:r>
      <w:bookmarkEnd w:id="3"/>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8"/>
          <w:szCs w:val="28"/>
          <w:highlight w:val="none"/>
          <w:u w:val="none" w:color="auto"/>
          <w:lang w:eastAsia="zh-CN"/>
        </w:rPr>
        <w:sectPr>
          <w:headerReference r:id="rId3" w:type="default"/>
          <w:pgSz w:w="11906" w:h="16838"/>
          <w:pgMar w:top="1440" w:right="1800" w:bottom="1440" w:left="1800" w:header="794"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eastAsia="宋体" w:cs="Times New Roman"/>
          <w:b/>
          <w:bCs/>
          <w:color w:val="auto"/>
          <w:sz w:val="28"/>
          <w:szCs w:val="28"/>
          <w:highlight w:val="none"/>
          <w:u w:val="none" w:color="auto"/>
          <w:lang w:eastAsia="zh-CN"/>
        </w:rPr>
        <w:t>二零二</w:t>
      </w:r>
      <w:r>
        <w:rPr>
          <w:rFonts w:hint="default" w:ascii="Times New Roman" w:hAnsi="Times New Roman" w:eastAsia="宋体" w:cs="Times New Roman"/>
          <w:b/>
          <w:bCs/>
          <w:color w:val="auto"/>
          <w:sz w:val="28"/>
          <w:szCs w:val="28"/>
          <w:highlight w:val="none"/>
          <w:u w:val="none" w:color="auto"/>
          <w:lang w:val="en-US" w:eastAsia="zh-CN"/>
        </w:rPr>
        <w:t>三</w:t>
      </w:r>
      <w:r>
        <w:rPr>
          <w:rFonts w:hint="default" w:ascii="Times New Roman" w:hAnsi="Times New Roman" w:eastAsia="宋体" w:cs="Times New Roman"/>
          <w:b/>
          <w:bCs/>
          <w:color w:val="auto"/>
          <w:sz w:val="28"/>
          <w:szCs w:val="28"/>
          <w:highlight w:val="none"/>
          <w:u w:val="none" w:color="auto"/>
          <w:lang w:eastAsia="zh-CN"/>
        </w:rPr>
        <w:t>年</w:t>
      </w:r>
      <w:r>
        <w:rPr>
          <w:rFonts w:hint="eastAsia" w:ascii="Times New Roman" w:hAnsi="Times New Roman" w:eastAsia="宋体" w:cs="Times New Roman"/>
          <w:b/>
          <w:bCs/>
          <w:color w:val="auto"/>
          <w:sz w:val="28"/>
          <w:szCs w:val="28"/>
          <w:highlight w:val="none"/>
          <w:u w:val="none" w:color="auto"/>
          <w:lang w:val="en-US" w:eastAsia="zh-CN"/>
        </w:rPr>
        <w:t>六</w:t>
      </w:r>
      <w:r>
        <w:rPr>
          <w:rFonts w:hint="default" w:ascii="Times New Roman" w:hAnsi="Times New Roman" w:eastAsia="宋体" w:cs="Times New Roman"/>
          <w:b/>
          <w:bCs/>
          <w:color w:val="auto"/>
          <w:sz w:val="28"/>
          <w:szCs w:val="28"/>
          <w:highlight w:val="none"/>
          <w:u w:val="none" w:color="auto"/>
          <w:lang w:eastAsia="zh-CN"/>
        </w:rPr>
        <w:t>月</w:t>
      </w:r>
    </w:p>
    <w:p>
      <w:pPr>
        <w:pStyle w:val="2"/>
        <w:rPr>
          <w:rFonts w:hint="default"/>
          <w:lang w:eastAsia="zh-CN"/>
        </w:rPr>
        <w:sectPr>
          <w:pgSz w:w="11906" w:h="16838"/>
          <w:pgMar w:top="1440" w:right="1800" w:bottom="1440" w:left="1800" w:header="794" w:footer="992" w:gutter="0"/>
          <w:pgBorders>
            <w:top w:val="none" w:sz="0" w:space="0"/>
            <w:left w:val="none" w:sz="0" w:space="0"/>
            <w:bottom w:val="none" w:sz="0" w:space="0"/>
            <w:right w:val="none" w:sz="0" w:space="0"/>
          </w:pgBorders>
          <w:pgNumType w:start="1"/>
          <w:cols w:space="720" w:num="1"/>
          <w:docGrid w:type="lines" w:linePitch="312" w:charSpace="0"/>
        </w:sectPr>
      </w:pPr>
      <w:r>
        <w:drawing>
          <wp:anchor distT="0" distB="0" distL="114935" distR="114935" simplePos="0" relativeHeight="251663360" behindDoc="0" locked="0" layoutInCell="1" allowOverlap="1">
            <wp:simplePos x="0" y="0"/>
            <wp:positionH relativeFrom="column">
              <wp:posOffset>-1219200</wp:posOffset>
            </wp:positionH>
            <wp:positionV relativeFrom="paragraph">
              <wp:posOffset>-914400</wp:posOffset>
            </wp:positionV>
            <wp:extent cx="7622540" cy="10642600"/>
            <wp:effectExtent l="0" t="0" r="12700" b="10160"/>
            <wp:wrapNone/>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29"/>
                    <a:stretch>
                      <a:fillRect/>
                    </a:stretch>
                  </pic:blipFill>
                  <pic:spPr>
                    <a:xfrm>
                      <a:off x="0" y="0"/>
                      <a:ext cx="7622540" cy="10642600"/>
                    </a:xfrm>
                    <a:prstGeom prst="rect">
                      <a:avLst/>
                    </a:prstGeom>
                    <a:noFill/>
                    <a:ln>
                      <a:noFill/>
                    </a:ln>
                  </pic:spPr>
                </pic:pic>
              </a:graphicData>
            </a:graphic>
          </wp:anchor>
        </w:drawing>
      </w:r>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8"/>
          <w:szCs w:val="28"/>
          <w:highlight w:val="none"/>
          <w:u w:val="none" w:color="auto"/>
          <w:lang w:eastAsia="zh-CN"/>
        </w:rPr>
        <w:sectPr>
          <w:pgSz w:w="11906" w:h="16838"/>
          <w:pgMar w:top="1440" w:right="1800" w:bottom="1440" w:left="1800" w:header="794" w:footer="992" w:gutter="0"/>
          <w:pgBorders>
            <w:top w:val="none" w:sz="0" w:space="0"/>
            <w:left w:val="none" w:sz="0" w:space="0"/>
            <w:bottom w:val="none" w:sz="0" w:space="0"/>
            <w:right w:val="none" w:sz="0" w:space="0"/>
          </w:pgBorders>
          <w:pgNumType w:start="1"/>
          <w:cols w:space="720" w:num="1"/>
          <w:docGrid w:type="lines" w:linePitch="312" w:charSpace="0"/>
        </w:sectPr>
      </w:pPr>
      <w:r>
        <w:drawing>
          <wp:inline distT="0" distB="0" distL="114300" distR="114300">
            <wp:extent cx="6257925" cy="8763000"/>
            <wp:effectExtent l="0" t="0" r="5715" b="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30"/>
                    <a:stretch>
                      <a:fillRect/>
                    </a:stretch>
                  </pic:blipFill>
                  <pic:spPr>
                    <a:xfrm>
                      <a:off x="0" y="0"/>
                      <a:ext cx="6257925" cy="8763000"/>
                    </a:xfrm>
                    <a:prstGeom prst="rect">
                      <a:avLst/>
                    </a:prstGeom>
                    <a:noFill/>
                    <a:ln>
                      <a:noFill/>
                    </a:ln>
                  </pic:spPr>
                </pic:pic>
              </a:graphicData>
            </a:graphic>
          </wp:inline>
        </w:drawing>
      </w:r>
      <w:r>
        <w:rPr>
          <w:rFonts w:hint="default" w:ascii="Times New Roman" w:hAnsi="Times New Roman" w:eastAsia="宋体" w:cs="Times New Roman"/>
          <w:b/>
          <w:bCs/>
          <w:color w:val="auto"/>
          <w:sz w:val="28"/>
          <w:szCs w:val="28"/>
          <w:highlight w:val="none"/>
          <w:u w:val="none" w:color="auto"/>
          <w:lang w:eastAsia="zh-CN"/>
        </w:rPr>
        <w:drawing>
          <wp:inline distT="0" distB="0" distL="114300" distR="114300">
            <wp:extent cx="6019165" cy="7893050"/>
            <wp:effectExtent l="0" t="0" r="635" b="1270"/>
            <wp:docPr id="8" name="图片 8" descr="81e62a8f47202bb517b2cf5ebf05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1e62a8f47202bb517b2cf5ebf0528d"/>
                    <pic:cNvPicPr>
                      <a:picLocks noChangeAspect="1"/>
                    </pic:cNvPicPr>
                  </pic:nvPicPr>
                  <pic:blipFill>
                    <a:blip r:embed="rId31"/>
                    <a:stretch>
                      <a:fillRect/>
                    </a:stretch>
                  </pic:blipFill>
                  <pic:spPr>
                    <a:xfrm>
                      <a:off x="0" y="0"/>
                      <a:ext cx="6019165" cy="7893050"/>
                    </a:xfrm>
                    <a:prstGeom prst="rect">
                      <a:avLst/>
                    </a:prstGeom>
                  </pic:spPr>
                </pic:pic>
              </a:graphicData>
            </a:graphic>
          </wp:inline>
        </w:drawing>
      </w:r>
      <w:bookmarkStart w:id="355" w:name="_GoBack"/>
      <w:r>
        <w:rPr>
          <w:rFonts w:hint="default" w:ascii="Times New Roman" w:hAnsi="Times New Roman" w:eastAsia="宋体" w:cs="Times New Roman"/>
          <w:b/>
          <w:bCs/>
          <w:color w:val="auto"/>
          <w:sz w:val="28"/>
          <w:szCs w:val="28"/>
          <w:highlight w:val="none"/>
          <w:u w:val="none" w:color="auto"/>
          <w:lang w:eastAsia="zh-CN"/>
        </w:rPr>
        <w:drawing>
          <wp:inline distT="0" distB="0" distL="114300" distR="114300">
            <wp:extent cx="5963285" cy="8187690"/>
            <wp:effectExtent l="0" t="0" r="10795" b="11430"/>
            <wp:docPr id="1" name="图片 1" descr="ad0fa3391a662ba5fd54b232b2c4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0fa3391a662ba5fd54b232b2c4dbb"/>
                    <pic:cNvPicPr>
                      <a:picLocks noChangeAspect="1"/>
                    </pic:cNvPicPr>
                  </pic:nvPicPr>
                  <pic:blipFill>
                    <a:blip r:embed="rId32"/>
                    <a:stretch>
                      <a:fillRect/>
                    </a:stretch>
                  </pic:blipFill>
                  <pic:spPr>
                    <a:xfrm>
                      <a:off x="0" y="0"/>
                      <a:ext cx="5963285" cy="8187690"/>
                    </a:xfrm>
                    <a:prstGeom prst="rect">
                      <a:avLst/>
                    </a:prstGeom>
                  </pic:spPr>
                </pic:pic>
              </a:graphicData>
            </a:graphic>
          </wp:inline>
        </w:drawing>
      </w:r>
      <w:bookmarkEnd w:id="355"/>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8"/>
          <w:szCs w:val="28"/>
          <w:highlight w:val="none"/>
          <w:u w:val="none" w:color="auto"/>
          <w:lang w:eastAsia="zh-CN"/>
        </w:rPr>
        <w:sectPr>
          <w:pgSz w:w="16838" w:h="11906" w:orient="landscape"/>
          <w:pgMar w:top="1800" w:right="1440" w:bottom="1800" w:left="1440" w:header="794"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eastAsia="宋体" w:cs="Times New Roman"/>
          <w:b/>
          <w:bCs/>
          <w:color w:val="auto"/>
          <w:sz w:val="28"/>
          <w:szCs w:val="28"/>
          <w:highlight w:val="none"/>
          <w:u w:val="none" w:color="auto"/>
          <w:lang w:eastAsia="zh-CN"/>
        </w:rPr>
        <w:drawing>
          <wp:inline distT="0" distB="0" distL="114300" distR="114300">
            <wp:extent cx="5260340" cy="7362825"/>
            <wp:effectExtent l="0" t="0" r="13335" b="12700"/>
            <wp:docPr id="13" name="图片 13" descr="2206bfb0aa6871c662717b55809b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06bfb0aa6871c662717b55809bb54"/>
                    <pic:cNvPicPr>
                      <a:picLocks noChangeAspect="1"/>
                    </pic:cNvPicPr>
                  </pic:nvPicPr>
                  <pic:blipFill>
                    <a:blip r:embed="rId33"/>
                    <a:stretch>
                      <a:fillRect/>
                    </a:stretch>
                  </pic:blipFill>
                  <pic:spPr>
                    <a:xfrm rot="16200000">
                      <a:off x="0" y="0"/>
                      <a:ext cx="5260340" cy="7362825"/>
                    </a:xfrm>
                    <a:prstGeom prst="rect">
                      <a:avLst/>
                    </a:prstGeom>
                  </pic:spPr>
                </pic:pic>
              </a:graphicData>
            </a:graphic>
          </wp:inline>
        </w:drawing>
      </w:r>
      <w:r>
        <w:rPr>
          <w:rFonts w:hint="default" w:ascii="Times New Roman" w:hAnsi="Times New Roman" w:eastAsia="宋体" w:cs="Times New Roman"/>
          <w:b/>
          <w:bCs/>
          <w:color w:val="auto"/>
          <w:sz w:val="28"/>
          <w:szCs w:val="28"/>
          <w:highlight w:val="none"/>
          <w:u w:val="none" w:color="auto"/>
          <w:lang w:eastAsia="zh-CN"/>
        </w:rPr>
        <w:drawing>
          <wp:inline distT="0" distB="0" distL="114300" distR="114300">
            <wp:extent cx="5299075" cy="7494905"/>
            <wp:effectExtent l="0" t="0" r="3175" b="4445"/>
            <wp:docPr id="14" name="图片 14" descr="f746630bebff97247cc5efb8ceca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746630bebff97247cc5efb8cecab30"/>
                    <pic:cNvPicPr>
                      <a:picLocks noChangeAspect="1"/>
                    </pic:cNvPicPr>
                  </pic:nvPicPr>
                  <pic:blipFill>
                    <a:blip r:embed="rId34"/>
                    <a:stretch>
                      <a:fillRect/>
                    </a:stretch>
                  </pic:blipFill>
                  <pic:spPr>
                    <a:xfrm rot="16200000">
                      <a:off x="0" y="0"/>
                      <a:ext cx="5299075" cy="7494905"/>
                    </a:xfrm>
                    <a:prstGeom prst="rect">
                      <a:avLst/>
                    </a:prstGeom>
                  </pic:spPr>
                </pic:pic>
              </a:graphicData>
            </a:graphic>
          </wp:inline>
        </w:drawing>
      </w:r>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8"/>
          <w:szCs w:val="28"/>
          <w:highlight w:val="none"/>
          <w:u w:val="none" w:color="auto"/>
          <w:lang w:eastAsia="zh-CN"/>
        </w:rPr>
      </w:pPr>
      <w:r>
        <w:rPr>
          <w:rFonts w:hint="default" w:ascii="Times New Roman" w:hAnsi="Times New Roman" w:eastAsia="宋体" w:cs="Times New Roman"/>
          <w:b/>
          <w:bCs/>
          <w:color w:val="auto"/>
          <w:sz w:val="28"/>
          <w:szCs w:val="28"/>
          <w:highlight w:val="none"/>
          <w:u w:val="none" w:color="auto"/>
          <w:lang w:eastAsia="zh-CN"/>
        </w:rPr>
        <w:drawing>
          <wp:inline distT="0" distB="0" distL="114300" distR="114300">
            <wp:extent cx="7067550" cy="5043805"/>
            <wp:effectExtent l="0" t="0" r="3810" b="635"/>
            <wp:docPr id="10" name="图片 10" descr="ead41abf36e4dfa33d13bc8b429e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ad41abf36e4dfa33d13bc8b429e4b1"/>
                    <pic:cNvPicPr>
                      <a:picLocks noChangeAspect="1"/>
                    </pic:cNvPicPr>
                  </pic:nvPicPr>
                  <pic:blipFill>
                    <a:blip r:embed="rId35"/>
                    <a:stretch>
                      <a:fillRect/>
                    </a:stretch>
                  </pic:blipFill>
                  <pic:spPr>
                    <a:xfrm>
                      <a:off x="0" y="0"/>
                      <a:ext cx="7067550" cy="5043805"/>
                    </a:xfrm>
                    <a:prstGeom prst="rect">
                      <a:avLst/>
                    </a:prstGeom>
                  </pic:spPr>
                </pic:pic>
              </a:graphicData>
            </a:graphic>
          </wp:inline>
        </w:drawing>
      </w:r>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8"/>
          <w:szCs w:val="28"/>
          <w:highlight w:val="none"/>
          <w:u w:val="none" w:color="auto"/>
          <w:lang w:eastAsia="zh-CN"/>
        </w:rPr>
        <w:sectPr>
          <w:pgSz w:w="16838" w:h="11906" w:orient="landscape"/>
          <w:pgMar w:top="1800" w:right="1440" w:bottom="1800" w:left="1440" w:header="794"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eastAsia="宋体" w:cs="Times New Roman"/>
          <w:b/>
          <w:bCs/>
          <w:color w:val="auto"/>
          <w:sz w:val="28"/>
          <w:szCs w:val="28"/>
          <w:highlight w:val="none"/>
          <w:u w:val="none" w:color="auto"/>
          <w:lang w:eastAsia="zh-CN"/>
        </w:rPr>
        <w:drawing>
          <wp:inline distT="0" distB="0" distL="114300" distR="114300">
            <wp:extent cx="8333105" cy="5892165"/>
            <wp:effectExtent l="0" t="0" r="3175" b="5715"/>
            <wp:docPr id="12" name="图片 12" descr="7d45b2a9fdd686fbcbdf06bab268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d45b2a9fdd686fbcbdf06bab26856a"/>
                    <pic:cNvPicPr>
                      <a:picLocks noChangeAspect="1"/>
                    </pic:cNvPicPr>
                  </pic:nvPicPr>
                  <pic:blipFill>
                    <a:blip r:embed="rId36"/>
                    <a:stretch>
                      <a:fillRect/>
                    </a:stretch>
                  </pic:blipFill>
                  <pic:spPr>
                    <a:xfrm>
                      <a:off x="0" y="0"/>
                      <a:ext cx="8333105" cy="5892165"/>
                    </a:xfrm>
                    <a:prstGeom prst="rect">
                      <a:avLst/>
                    </a:prstGeom>
                  </pic:spPr>
                </pic:pic>
              </a:graphicData>
            </a:graphic>
          </wp:inline>
        </w:drawing>
      </w:r>
    </w:p>
    <w:p>
      <w:pPr>
        <w:pStyle w:val="27"/>
        <w:pageBreakBefore w:val="0"/>
        <w:tabs>
          <w:tab w:val="right" w:leader="dot" w:pos="8306"/>
        </w:tabs>
        <w:kinsoku/>
        <w:wordWrap/>
        <w:overflowPunct w:val="0"/>
        <w:topLinePunct/>
        <w:autoSpaceDE w:val="0"/>
        <w:autoSpaceDN w:val="0"/>
        <w:bidi w:val="0"/>
        <w:jc w:val="center"/>
        <w:rPr>
          <w:rFonts w:hint="default" w:ascii="Times New Roman" w:hAnsi="Times New Roman" w:eastAsia="宋体" w:cs="Times New Roman"/>
          <w:color w:val="auto"/>
          <w:sz w:val="30"/>
          <w:szCs w:val="30"/>
          <w:highlight w:val="none"/>
          <w:u w:val="none" w:color="auto"/>
        </w:rPr>
      </w:pPr>
      <w:r>
        <w:rPr>
          <w:rFonts w:hint="default" w:ascii="Times New Roman" w:hAnsi="Times New Roman" w:eastAsia="宋体" w:cs="Times New Roman"/>
          <w:color w:val="auto"/>
          <w:sz w:val="30"/>
          <w:szCs w:val="30"/>
          <w:highlight w:val="none"/>
          <w:u w:val="none" w:color="auto"/>
        </w:rPr>
        <w:t>目录</w:t>
      </w:r>
    </w:p>
    <w:sdt>
      <w:sdtPr>
        <w:rPr>
          <w:rFonts w:ascii="宋体" w:hAnsi="宋体" w:eastAsia="宋体" w:cstheme="minorBidi"/>
          <w:color w:val="auto"/>
          <w:kern w:val="2"/>
          <w:sz w:val="21"/>
          <w:szCs w:val="24"/>
          <w:lang w:val="en-US" w:eastAsia="zh-CN" w:bidi="ar-SA"/>
        </w:rPr>
        <w:id w:val="147464116"/>
        <w15:color w:val="DBDBDB"/>
        <w:docPartObj>
          <w:docPartGallery w:val="Table of Contents"/>
          <w:docPartUnique/>
        </w:docPartObj>
      </w:sdtPr>
      <w:sdtEndPr>
        <w:rPr>
          <w:rFonts w:ascii="宋体" w:hAnsi="宋体" w:eastAsia="宋体" w:cstheme="minorBidi"/>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97"/>
            <w:tabs>
              <w:tab w:val="right" w:leader="dot" w:pos="8306"/>
            </w:tabs>
            <w:spacing w:line="360" w:lineRule="auto"/>
            <w:rPr>
              <w:b/>
              <w:bCs/>
              <w:color w:val="auto"/>
              <w:sz w:val="24"/>
              <w:szCs w:val="24"/>
            </w:rPr>
          </w:pPr>
          <w:r>
            <w:rPr>
              <w:color w:val="auto"/>
            </w:rPr>
            <w:fldChar w:fldCharType="begin"/>
          </w:r>
          <w:r>
            <w:rPr>
              <w:color w:val="auto"/>
            </w:rPr>
            <w:instrText xml:space="preserve">TOC \o "1-3" \h \u </w:instrText>
          </w:r>
          <w:r>
            <w:rPr>
              <w:color w:val="auto"/>
            </w:rPr>
            <w:fldChar w:fldCharType="separate"/>
          </w:r>
          <w:r>
            <w:rPr>
              <w:b/>
              <w:bCs/>
              <w:color w:val="auto"/>
              <w:sz w:val="24"/>
              <w:szCs w:val="24"/>
            </w:rPr>
            <w:fldChar w:fldCharType="begin"/>
          </w:r>
          <w:r>
            <w:rPr>
              <w:b/>
              <w:bCs/>
              <w:color w:val="auto"/>
              <w:sz w:val="24"/>
              <w:szCs w:val="24"/>
            </w:rPr>
            <w:instrText xml:space="preserve"> HYPERLINK \l _Toc7987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第1章概述</w:t>
          </w:r>
          <w:r>
            <w:rPr>
              <w:b/>
              <w:bCs/>
              <w:color w:val="auto"/>
              <w:sz w:val="24"/>
              <w:szCs w:val="24"/>
            </w:rPr>
            <w:tab/>
          </w:r>
          <w:r>
            <w:rPr>
              <w:b/>
              <w:bCs/>
              <w:color w:val="auto"/>
              <w:sz w:val="24"/>
              <w:szCs w:val="24"/>
            </w:rPr>
            <w:fldChar w:fldCharType="begin"/>
          </w:r>
          <w:r>
            <w:rPr>
              <w:b/>
              <w:bCs/>
              <w:color w:val="auto"/>
              <w:sz w:val="24"/>
              <w:szCs w:val="24"/>
            </w:rPr>
            <w:instrText xml:space="preserve"> PAGEREF _Toc7987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_Toc25006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1.1项目由来</w:t>
          </w:r>
          <w:r>
            <w:rPr>
              <w:b/>
              <w:bCs/>
              <w:color w:val="auto"/>
              <w:sz w:val="24"/>
              <w:szCs w:val="24"/>
            </w:rPr>
            <w:tab/>
          </w:r>
          <w:r>
            <w:rPr>
              <w:b/>
              <w:bCs/>
              <w:color w:val="auto"/>
              <w:sz w:val="24"/>
              <w:szCs w:val="24"/>
            </w:rPr>
            <w:fldChar w:fldCharType="begin"/>
          </w:r>
          <w:r>
            <w:rPr>
              <w:b/>
              <w:bCs/>
              <w:color w:val="auto"/>
              <w:sz w:val="24"/>
              <w:szCs w:val="24"/>
            </w:rPr>
            <w:instrText xml:space="preserve"> PAGEREF _Toc25006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_Toc18095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1.2环境影响评价工作过程</w:t>
          </w:r>
          <w:r>
            <w:rPr>
              <w:b/>
              <w:bCs/>
              <w:color w:val="auto"/>
              <w:sz w:val="24"/>
              <w:szCs w:val="24"/>
            </w:rPr>
            <w:tab/>
          </w:r>
          <w:r>
            <w:rPr>
              <w:b/>
              <w:bCs/>
              <w:color w:val="auto"/>
              <w:sz w:val="24"/>
              <w:szCs w:val="24"/>
            </w:rPr>
            <w:fldChar w:fldCharType="begin"/>
          </w:r>
          <w:r>
            <w:rPr>
              <w:b/>
              <w:bCs/>
              <w:color w:val="auto"/>
              <w:sz w:val="24"/>
              <w:szCs w:val="24"/>
            </w:rPr>
            <w:instrText xml:space="preserve"> PAGEREF _Toc18095 \h </w:instrText>
          </w:r>
          <w:r>
            <w:rPr>
              <w:b/>
              <w:bCs/>
              <w:color w:val="auto"/>
              <w:sz w:val="24"/>
              <w:szCs w:val="24"/>
            </w:rPr>
            <w:fldChar w:fldCharType="separate"/>
          </w:r>
          <w:r>
            <w:rPr>
              <w:b/>
              <w:bCs/>
              <w:color w:val="auto"/>
              <w:sz w:val="24"/>
              <w:szCs w:val="24"/>
            </w:rPr>
            <w:t>2</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_Toc21124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1.3.分析判定相关情况</w:t>
          </w:r>
          <w:r>
            <w:rPr>
              <w:b/>
              <w:bCs/>
              <w:color w:val="auto"/>
              <w:sz w:val="24"/>
              <w:szCs w:val="24"/>
            </w:rPr>
            <w:tab/>
          </w:r>
          <w:r>
            <w:rPr>
              <w:b/>
              <w:bCs/>
              <w:color w:val="auto"/>
              <w:sz w:val="24"/>
              <w:szCs w:val="24"/>
            </w:rPr>
            <w:fldChar w:fldCharType="begin"/>
          </w:r>
          <w:r>
            <w:rPr>
              <w:b/>
              <w:bCs/>
              <w:color w:val="auto"/>
              <w:sz w:val="24"/>
              <w:szCs w:val="24"/>
            </w:rPr>
            <w:instrText xml:space="preserve"> PAGEREF _Toc21124 \h </w:instrText>
          </w:r>
          <w:r>
            <w:rPr>
              <w:b/>
              <w:bCs/>
              <w:color w:val="auto"/>
              <w:sz w:val="24"/>
              <w:szCs w:val="24"/>
            </w:rPr>
            <w:fldChar w:fldCharType="separate"/>
          </w:r>
          <w:r>
            <w:rPr>
              <w:b/>
              <w:bCs/>
              <w:color w:val="auto"/>
              <w:sz w:val="24"/>
              <w:szCs w:val="24"/>
            </w:rPr>
            <w:t>3</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_Toc28468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1.4项目特点</w:t>
          </w:r>
          <w:r>
            <w:rPr>
              <w:b/>
              <w:bCs/>
              <w:color w:val="auto"/>
              <w:sz w:val="24"/>
              <w:szCs w:val="24"/>
            </w:rPr>
            <w:tab/>
          </w:r>
          <w:r>
            <w:rPr>
              <w:b/>
              <w:bCs/>
              <w:color w:val="auto"/>
              <w:sz w:val="24"/>
              <w:szCs w:val="24"/>
            </w:rPr>
            <w:fldChar w:fldCharType="begin"/>
          </w:r>
          <w:r>
            <w:rPr>
              <w:b/>
              <w:bCs/>
              <w:color w:val="auto"/>
              <w:sz w:val="24"/>
              <w:szCs w:val="24"/>
            </w:rPr>
            <w:instrText xml:space="preserve"> PAGEREF _Toc28468 \h </w:instrText>
          </w:r>
          <w:r>
            <w:rPr>
              <w:b/>
              <w:bCs/>
              <w:color w:val="auto"/>
              <w:sz w:val="24"/>
              <w:szCs w:val="24"/>
            </w:rPr>
            <w:fldChar w:fldCharType="separate"/>
          </w:r>
          <w:r>
            <w:rPr>
              <w:b/>
              <w:bCs/>
              <w:color w:val="auto"/>
              <w:sz w:val="24"/>
              <w:szCs w:val="24"/>
            </w:rPr>
            <w:t>17</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_Toc12130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1.5主要环境问题及环境影响</w:t>
          </w:r>
          <w:r>
            <w:rPr>
              <w:b/>
              <w:bCs/>
              <w:color w:val="auto"/>
              <w:sz w:val="24"/>
              <w:szCs w:val="24"/>
            </w:rPr>
            <w:tab/>
          </w:r>
          <w:r>
            <w:rPr>
              <w:b/>
              <w:bCs/>
              <w:color w:val="auto"/>
              <w:sz w:val="24"/>
              <w:szCs w:val="24"/>
            </w:rPr>
            <w:fldChar w:fldCharType="begin"/>
          </w:r>
          <w:r>
            <w:rPr>
              <w:b/>
              <w:bCs/>
              <w:color w:val="auto"/>
              <w:sz w:val="24"/>
              <w:szCs w:val="24"/>
            </w:rPr>
            <w:instrText xml:space="preserve"> PAGEREF _Toc12130 \h </w:instrText>
          </w:r>
          <w:r>
            <w:rPr>
              <w:b/>
              <w:bCs/>
              <w:color w:val="auto"/>
              <w:sz w:val="24"/>
              <w:szCs w:val="24"/>
            </w:rPr>
            <w:fldChar w:fldCharType="separate"/>
          </w:r>
          <w:r>
            <w:rPr>
              <w:b/>
              <w:bCs/>
              <w:color w:val="auto"/>
              <w:sz w:val="24"/>
              <w:szCs w:val="24"/>
            </w:rPr>
            <w:t>17</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rFonts w:hint="eastAsia"/>
              <w:b/>
              <w:bCs/>
              <w:color w:val="auto"/>
              <w:sz w:val="24"/>
              <w:szCs w:val="24"/>
              <w:lang w:val="en-US" w:eastAsia="zh-CN"/>
            </w:rPr>
            <w:t>7</w:t>
          </w:r>
          <w:r>
            <w:rPr>
              <w:b/>
              <w:bCs/>
              <w:color w:val="auto"/>
              <w:sz w:val="24"/>
              <w:szCs w:val="24"/>
            </w:rPr>
            <w:fldChar w:fldCharType="begin"/>
          </w:r>
          <w:r>
            <w:rPr>
              <w:b/>
              <w:bCs/>
              <w:color w:val="auto"/>
              <w:sz w:val="24"/>
              <w:szCs w:val="24"/>
            </w:rPr>
            <w:instrText xml:space="preserve"> HYPERLINK \l _Toc6304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1.6环境影响评价主要结论</w:t>
          </w:r>
          <w:r>
            <w:rPr>
              <w:b/>
              <w:bCs/>
              <w:color w:val="auto"/>
              <w:sz w:val="24"/>
              <w:szCs w:val="24"/>
            </w:rPr>
            <w:tab/>
          </w:r>
          <w:r>
            <w:rPr>
              <w:b/>
              <w:bCs/>
              <w:color w:val="auto"/>
              <w:sz w:val="24"/>
              <w:szCs w:val="24"/>
            </w:rPr>
            <w:fldChar w:fldCharType="begin"/>
          </w:r>
          <w:r>
            <w:rPr>
              <w:b/>
              <w:bCs/>
              <w:color w:val="auto"/>
              <w:sz w:val="24"/>
              <w:szCs w:val="24"/>
            </w:rPr>
            <w:instrText xml:space="preserve"> PAGEREF _Toc6304 \h </w:instrText>
          </w:r>
          <w:r>
            <w:rPr>
              <w:b/>
              <w:bCs/>
              <w:color w:val="auto"/>
              <w:sz w:val="24"/>
              <w:szCs w:val="24"/>
            </w:rPr>
            <w:fldChar w:fldCharType="separate"/>
          </w:r>
          <w:r>
            <w:rPr>
              <w:b/>
              <w:bCs/>
              <w:color w:val="auto"/>
              <w:sz w:val="24"/>
              <w:szCs w:val="24"/>
            </w:rPr>
            <w:t>17</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_Toc18764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第2章总则</w:t>
          </w:r>
          <w:r>
            <w:rPr>
              <w:b/>
              <w:bCs/>
              <w:color w:val="auto"/>
              <w:sz w:val="24"/>
              <w:szCs w:val="24"/>
            </w:rPr>
            <w:tab/>
          </w:r>
          <w:r>
            <w:rPr>
              <w:b/>
              <w:bCs/>
              <w:color w:val="auto"/>
              <w:sz w:val="24"/>
              <w:szCs w:val="24"/>
            </w:rPr>
            <w:fldChar w:fldCharType="begin"/>
          </w:r>
          <w:r>
            <w:rPr>
              <w:b/>
              <w:bCs/>
              <w:color w:val="auto"/>
              <w:sz w:val="24"/>
              <w:szCs w:val="24"/>
            </w:rPr>
            <w:instrText xml:space="preserve"> PAGEREF _Toc18764 \h </w:instrText>
          </w:r>
          <w:r>
            <w:rPr>
              <w:b/>
              <w:bCs/>
              <w:color w:val="auto"/>
              <w:sz w:val="24"/>
              <w:szCs w:val="24"/>
            </w:rPr>
            <w:fldChar w:fldCharType="separate"/>
          </w:r>
          <w:r>
            <w:rPr>
              <w:b/>
              <w:bCs/>
              <w:color w:val="auto"/>
              <w:sz w:val="24"/>
              <w:szCs w:val="24"/>
            </w:rPr>
            <w:t>19</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_Toc32033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2.1编制依据</w:t>
          </w:r>
          <w:r>
            <w:rPr>
              <w:b/>
              <w:bCs/>
              <w:color w:val="auto"/>
              <w:sz w:val="24"/>
              <w:szCs w:val="24"/>
            </w:rPr>
            <w:tab/>
          </w:r>
          <w:r>
            <w:rPr>
              <w:b/>
              <w:bCs/>
              <w:color w:val="auto"/>
              <w:sz w:val="24"/>
              <w:szCs w:val="24"/>
            </w:rPr>
            <w:fldChar w:fldCharType="begin"/>
          </w:r>
          <w:r>
            <w:rPr>
              <w:b/>
              <w:bCs/>
              <w:color w:val="auto"/>
              <w:sz w:val="24"/>
              <w:szCs w:val="24"/>
            </w:rPr>
            <w:instrText xml:space="preserve"> PAGEREF _Toc32033 \h </w:instrText>
          </w:r>
          <w:r>
            <w:rPr>
              <w:b/>
              <w:bCs/>
              <w:color w:val="auto"/>
              <w:sz w:val="24"/>
              <w:szCs w:val="24"/>
            </w:rPr>
            <w:fldChar w:fldCharType="separate"/>
          </w:r>
          <w:r>
            <w:rPr>
              <w:b/>
              <w:bCs/>
              <w:color w:val="auto"/>
              <w:sz w:val="24"/>
              <w:szCs w:val="24"/>
            </w:rPr>
            <w:t>19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_Toc11335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2.1.1国家法律、法规和政策</w:t>
          </w:r>
          <w:r>
            <w:rPr>
              <w:b/>
              <w:bCs/>
              <w:color w:val="auto"/>
              <w:sz w:val="24"/>
              <w:szCs w:val="24"/>
            </w:rPr>
            <w:tab/>
          </w:r>
          <w:r>
            <w:rPr>
              <w:b/>
              <w:bCs/>
              <w:color w:val="auto"/>
              <w:sz w:val="24"/>
              <w:szCs w:val="24"/>
            </w:rPr>
            <w:fldChar w:fldCharType="begin"/>
          </w:r>
          <w:r>
            <w:rPr>
              <w:b/>
              <w:bCs/>
              <w:color w:val="auto"/>
              <w:sz w:val="24"/>
              <w:szCs w:val="24"/>
            </w:rPr>
            <w:instrText xml:space="preserve"> PAGEREF _Toc11335 \h </w:instrText>
          </w:r>
          <w:r>
            <w:rPr>
              <w:b/>
              <w:bCs/>
              <w:color w:val="auto"/>
              <w:sz w:val="24"/>
              <w:szCs w:val="24"/>
            </w:rPr>
            <w:fldChar w:fldCharType="separate"/>
          </w:r>
          <w:r>
            <w:rPr>
              <w:b/>
              <w:bCs/>
              <w:color w:val="auto"/>
              <w:sz w:val="24"/>
              <w:szCs w:val="24"/>
            </w:rPr>
            <w:t>19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_Toc10841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2.1.2相关政策和规划</w:t>
          </w:r>
          <w:r>
            <w:rPr>
              <w:b/>
              <w:bCs/>
              <w:color w:val="auto"/>
              <w:sz w:val="24"/>
              <w:szCs w:val="24"/>
            </w:rPr>
            <w:tab/>
          </w:r>
          <w:r>
            <w:rPr>
              <w:b/>
              <w:bCs/>
              <w:color w:val="auto"/>
              <w:sz w:val="24"/>
              <w:szCs w:val="24"/>
            </w:rPr>
            <w:fldChar w:fldCharType="begin"/>
          </w:r>
          <w:r>
            <w:rPr>
              <w:b/>
              <w:bCs/>
              <w:color w:val="auto"/>
              <w:sz w:val="24"/>
              <w:szCs w:val="24"/>
            </w:rPr>
            <w:instrText xml:space="preserve"> PAGEREF _Toc10841 \h </w:instrText>
          </w:r>
          <w:r>
            <w:rPr>
              <w:b/>
              <w:bCs/>
              <w:color w:val="auto"/>
              <w:sz w:val="24"/>
              <w:szCs w:val="24"/>
            </w:rPr>
            <w:fldChar w:fldCharType="separate"/>
          </w:r>
          <w:r>
            <w:rPr>
              <w:b/>
              <w:bCs/>
              <w:color w:val="auto"/>
              <w:sz w:val="24"/>
              <w:szCs w:val="24"/>
            </w:rPr>
            <w:t>20</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_Toc2887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2.1.3相关导则与规范</w:t>
          </w:r>
          <w:r>
            <w:rPr>
              <w:b/>
              <w:bCs/>
              <w:color w:val="auto"/>
              <w:sz w:val="24"/>
              <w:szCs w:val="24"/>
            </w:rPr>
            <w:tab/>
          </w:r>
          <w:r>
            <w:rPr>
              <w:b/>
              <w:bCs/>
              <w:color w:val="auto"/>
              <w:sz w:val="24"/>
              <w:szCs w:val="24"/>
            </w:rPr>
            <w:fldChar w:fldCharType="begin"/>
          </w:r>
          <w:r>
            <w:rPr>
              <w:b/>
              <w:bCs/>
              <w:color w:val="auto"/>
              <w:sz w:val="24"/>
              <w:szCs w:val="24"/>
            </w:rPr>
            <w:instrText xml:space="preserve"> PAGEREF _Toc2887 \h </w:instrText>
          </w:r>
          <w:r>
            <w:rPr>
              <w:b/>
              <w:bCs/>
              <w:color w:val="auto"/>
              <w:sz w:val="24"/>
              <w:szCs w:val="24"/>
            </w:rPr>
            <w:fldChar w:fldCharType="separate"/>
          </w:r>
          <w:r>
            <w:rPr>
              <w:b/>
              <w:bCs/>
              <w:color w:val="auto"/>
              <w:sz w:val="24"/>
              <w:szCs w:val="24"/>
            </w:rPr>
            <w:t>21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_Toc7677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2.1.4项目其他相关文件</w:t>
          </w:r>
          <w:r>
            <w:rPr>
              <w:b/>
              <w:bCs/>
              <w:color w:val="auto"/>
              <w:sz w:val="24"/>
              <w:szCs w:val="24"/>
            </w:rPr>
            <w:tab/>
          </w:r>
          <w:r>
            <w:rPr>
              <w:b/>
              <w:bCs/>
              <w:color w:val="auto"/>
              <w:sz w:val="24"/>
              <w:szCs w:val="24"/>
            </w:rPr>
            <w:fldChar w:fldCharType="begin"/>
          </w:r>
          <w:r>
            <w:rPr>
              <w:b/>
              <w:bCs/>
              <w:color w:val="auto"/>
              <w:sz w:val="24"/>
              <w:szCs w:val="24"/>
            </w:rPr>
            <w:instrText xml:space="preserve"> PAGEREF _Toc7677 \h </w:instrText>
          </w:r>
          <w:r>
            <w:rPr>
              <w:b/>
              <w:bCs/>
              <w:color w:val="auto"/>
              <w:sz w:val="24"/>
              <w:szCs w:val="24"/>
            </w:rPr>
            <w:fldChar w:fldCharType="separate"/>
          </w:r>
          <w:r>
            <w:rPr>
              <w:b/>
              <w:bCs/>
              <w:color w:val="auto"/>
              <w:sz w:val="24"/>
              <w:szCs w:val="24"/>
            </w:rPr>
            <w:t>21</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_Toc12425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2.2评价因子和评价标准</w:t>
          </w:r>
          <w:r>
            <w:rPr>
              <w:b/>
              <w:bCs/>
              <w:color w:val="auto"/>
              <w:sz w:val="24"/>
              <w:szCs w:val="24"/>
            </w:rPr>
            <w:tab/>
          </w:r>
          <w:r>
            <w:rPr>
              <w:b/>
              <w:bCs/>
              <w:color w:val="auto"/>
              <w:sz w:val="24"/>
              <w:szCs w:val="24"/>
            </w:rPr>
            <w:fldChar w:fldCharType="begin"/>
          </w:r>
          <w:r>
            <w:rPr>
              <w:b/>
              <w:bCs/>
              <w:color w:val="auto"/>
              <w:sz w:val="24"/>
              <w:szCs w:val="24"/>
            </w:rPr>
            <w:instrText xml:space="preserve"> PAGEREF _Toc12425 \h </w:instrText>
          </w:r>
          <w:r>
            <w:rPr>
              <w:b/>
              <w:bCs/>
              <w:color w:val="auto"/>
              <w:sz w:val="24"/>
              <w:szCs w:val="24"/>
            </w:rPr>
            <w:fldChar w:fldCharType="separate"/>
          </w:r>
          <w:r>
            <w:rPr>
              <w:b/>
              <w:bCs/>
              <w:color w:val="auto"/>
              <w:sz w:val="24"/>
              <w:szCs w:val="24"/>
            </w:rPr>
            <w:t>22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_Toc5967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2.2.1评价因子</w:t>
          </w:r>
          <w:r>
            <w:rPr>
              <w:b/>
              <w:bCs/>
              <w:color w:val="auto"/>
              <w:sz w:val="24"/>
              <w:szCs w:val="24"/>
            </w:rPr>
            <w:tab/>
          </w:r>
          <w:r>
            <w:rPr>
              <w:b/>
              <w:bCs/>
              <w:color w:val="auto"/>
              <w:sz w:val="24"/>
              <w:szCs w:val="24"/>
            </w:rPr>
            <w:fldChar w:fldCharType="begin"/>
          </w:r>
          <w:r>
            <w:rPr>
              <w:b/>
              <w:bCs/>
              <w:color w:val="auto"/>
              <w:sz w:val="24"/>
              <w:szCs w:val="24"/>
            </w:rPr>
            <w:instrText xml:space="preserve"> PAGEREF _Toc5967 \h </w:instrText>
          </w:r>
          <w:r>
            <w:rPr>
              <w:b/>
              <w:bCs/>
              <w:color w:val="auto"/>
              <w:sz w:val="24"/>
              <w:szCs w:val="24"/>
            </w:rPr>
            <w:fldChar w:fldCharType="separate"/>
          </w:r>
          <w:r>
            <w:rPr>
              <w:b/>
              <w:bCs/>
              <w:color w:val="auto"/>
              <w:sz w:val="24"/>
              <w:szCs w:val="24"/>
            </w:rPr>
            <w:t>22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_Toc19569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2.2.2评价标准</w:t>
          </w:r>
          <w:r>
            <w:rPr>
              <w:b/>
              <w:bCs/>
              <w:color w:val="auto"/>
              <w:sz w:val="24"/>
              <w:szCs w:val="24"/>
            </w:rPr>
            <w:tab/>
          </w:r>
          <w:r>
            <w:rPr>
              <w:b/>
              <w:bCs/>
              <w:color w:val="auto"/>
              <w:sz w:val="24"/>
              <w:szCs w:val="24"/>
            </w:rPr>
            <w:fldChar w:fldCharType="begin"/>
          </w:r>
          <w:r>
            <w:rPr>
              <w:b/>
              <w:bCs/>
              <w:color w:val="auto"/>
              <w:sz w:val="24"/>
              <w:szCs w:val="24"/>
            </w:rPr>
            <w:instrText xml:space="preserve"> PAGEREF _Toc19569 \h </w:instrText>
          </w:r>
          <w:r>
            <w:rPr>
              <w:b/>
              <w:bCs/>
              <w:color w:val="auto"/>
              <w:sz w:val="24"/>
              <w:szCs w:val="24"/>
            </w:rPr>
            <w:fldChar w:fldCharType="separate"/>
          </w:r>
          <w:r>
            <w:rPr>
              <w:b/>
              <w:bCs/>
              <w:color w:val="auto"/>
              <w:sz w:val="24"/>
              <w:szCs w:val="24"/>
            </w:rPr>
            <w:t>23</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_Toc25248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2.3评价工作等级和评价重点</w:t>
          </w:r>
          <w:r>
            <w:rPr>
              <w:b/>
              <w:bCs/>
              <w:color w:val="auto"/>
              <w:sz w:val="24"/>
              <w:szCs w:val="24"/>
            </w:rPr>
            <w:tab/>
          </w:r>
          <w:r>
            <w:rPr>
              <w:b/>
              <w:bCs/>
              <w:color w:val="auto"/>
              <w:sz w:val="24"/>
              <w:szCs w:val="24"/>
            </w:rPr>
            <w:fldChar w:fldCharType="begin"/>
          </w:r>
          <w:r>
            <w:rPr>
              <w:b/>
              <w:bCs/>
              <w:color w:val="auto"/>
              <w:sz w:val="24"/>
              <w:szCs w:val="24"/>
            </w:rPr>
            <w:instrText xml:space="preserve"> PAGEREF _Toc25248 \h </w:instrText>
          </w:r>
          <w:r>
            <w:rPr>
              <w:b/>
              <w:bCs/>
              <w:color w:val="auto"/>
              <w:sz w:val="24"/>
              <w:szCs w:val="24"/>
            </w:rPr>
            <w:fldChar w:fldCharType="separate"/>
          </w:r>
          <w:r>
            <w:rPr>
              <w:b/>
              <w:bCs/>
              <w:color w:val="auto"/>
              <w:sz w:val="24"/>
              <w:szCs w:val="24"/>
            </w:rPr>
            <w:t>30</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_Toc27012 </w:instrText>
          </w:r>
          <w:r>
            <w:rPr>
              <w:b/>
              <w:bCs/>
              <w:color w:val="auto"/>
              <w:sz w:val="24"/>
              <w:szCs w:val="24"/>
            </w:rPr>
            <w:fldChar w:fldCharType="separate"/>
          </w:r>
          <w:r>
            <w:rPr>
              <w:rFonts w:hint="eastAsia"/>
              <w:b/>
              <w:bCs/>
              <w:color w:val="auto"/>
              <w:sz w:val="24"/>
              <w:szCs w:val="24"/>
              <w:lang w:val="en-US" w:eastAsia="zh-CN"/>
            </w:rPr>
            <w:t>2.3.1</w:t>
          </w:r>
          <w:r>
            <w:rPr>
              <w:rFonts w:hint="default"/>
              <w:b/>
              <w:bCs/>
              <w:color w:val="auto"/>
              <w:sz w:val="24"/>
              <w:szCs w:val="24"/>
            </w:rPr>
            <w:t>大气环境影响评价等级</w:t>
          </w:r>
          <w:r>
            <w:rPr>
              <w:b/>
              <w:bCs/>
              <w:color w:val="auto"/>
              <w:sz w:val="24"/>
              <w:szCs w:val="24"/>
            </w:rPr>
            <w:tab/>
          </w:r>
          <w:r>
            <w:rPr>
              <w:b/>
              <w:bCs/>
              <w:color w:val="auto"/>
              <w:sz w:val="24"/>
              <w:szCs w:val="24"/>
            </w:rPr>
            <w:fldChar w:fldCharType="begin"/>
          </w:r>
          <w:r>
            <w:rPr>
              <w:b/>
              <w:bCs/>
              <w:color w:val="auto"/>
              <w:sz w:val="24"/>
              <w:szCs w:val="24"/>
            </w:rPr>
            <w:instrText xml:space="preserve"> PAGEREF _Toc27012 \h </w:instrText>
          </w:r>
          <w:r>
            <w:rPr>
              <w:b/>
              <w:bCs/>
              <w:color w:val="auto"/>
              <w:sz w:val="24"/>
              <w:szCs w:val="24"/>
            </w:rPr>
            <w:fldChar w:fldCharType="separate"/>
          </w:r>
          <w:r>
            <w:rPr>
              <w:b/>
              <w:bCs/>
              <w:color w:val="auto"/>
              <w:sz w:val="24"/>
              <w:szCs w:val="24"/>
            </w:rPr>
            <w:t>30</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_Toc31218 </w:instrText>
          </w:r>
          <w:r>
            <w:rPr>
              <w:b/>
              <w:bCs/>
              <w:color w:val="auto"/>
              <w:sz w:val="24"/>
              <w:szCs w:val="24"/>
            </w:rPr>
            <w:fldChar w:fldCharType="separate"/>
          </w:r>
          <w:r>
            <w:rPr>
              <w:rFonts w:hint="eastAsia"/>
              <w:b/>
              <w:bCs/>
              <w:color w:val="auto"/>
              <w:sz w:val="24"/>
              <w:szCs w:val="24"/>
              <w:lang w:val="en-US" w:eastAsia="zh-CN"/>
            </w:rPr>
            <w:t>2.3.2</w:t>
          </w:r>
          <w:r>
            <w:rPr>
              <w:rFonts w:hint="default"/>
              <w:b/>
              <w:bCs/>
              <w:color w:val="auto"/>
              <w:sz w:val="24"/>
              <w:szCs w:val="24"/>
            </w:rPr>
            <w:t>地表水环境影响评价等级</w:t>
          </w:r>
          <w:r>
            <w:rPr>
              <w:b/>
              <w:bCs/>
              <w:color w:val="auto"/>
              <w:sz w:val="24"/>
              <w:szCs w:val="24"/>
            </w:rPr>
            <w:tab/>
          </w:r>
          <w:r>
            <w:rPr>
              <w:b/>
              <w:bCs/>
              <w:color w:val="auto"/>
              <w:sz w:val="24"/>
              <w:szCs w:val="24"/>
            </w:rPr>
            <w:fldChar w:fldCharType="begin"/>
          </w:r>
          <w:r>
            <w:rPr>
              <w:b/>
              <w:bCs/>
              <w:color w:val="auto"/>
              <w:sz w:val="24"/>
              <w:szCs w:val="24"/>
            </w:rPr>
            <w:instrText xml:space="preserve"> PAGEREF _Toc31218 \h </w:instrText>
          </w:r>
          <w:r>
            <w:rPr>
              <w:b/>
              <w:bCs/>
              <w:color w:val="auto"/>
              <w:sz w:val="24"/>
              <w:szCs w:val="24"/>
            </w:rPr>
            <w:fldChar w:fldCharType="separate"/>
          </w:r>
          <w:r>
            <w:rPr>
              <w:b/>
              <w:bCs/>
              <w:color w:val="auto"/>
              <w:sz w:val="24"/>
              <w:szCs w:val="24"/>
            </w:rPr>
            <w:t>32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_Toc5382 </w:instrText>
          </w:r>
          <w:r>
            <w:rPr>
              <w:b/>
              <w:bCs/>
              <w:color w:val="auto"/>
              <w:sz w:val="24"/>
              <w:szCs w:val="24"/>
            </w:rPr>
            <w:fldChar w:fldCharType="separate"/>
          </w:r>
          <w:r>
            <w:rPr>
              <w:rFonts w:hint="eastAsia"/>
              <w:b/>
              <w:bCs/>
              <w:color w:val="auto"/>
              <w:sz w:val="24"/>
              <w:szCs w:val="24"/>
              <w:lang w:val="en-US" w:eastAsia="zh-CN"/>
            </w:rPr>
            <w:t>2.3.3</w:t>
          </w:r>
          <w:r>
            <w:rPr>
              <w:rFonts w:hint="default"/>
              <w:b/>
              <w:bCs/>
              <w:color w:val="auto"/>
              <w:sz w:val="24"/>
              <w:szCs w:val="24"/>
            </w:rPr>
            <w:t>地下水环境影响评价等级</w:t>
          </w:r>
          <w:r>
            <w:rPr>
              <w:b/>
              <w:bCs/>
              <w:color w:val="auto"/>
              <w:sz w:val="24"/>
              <w:szCs w:val="24"/>
            </w:rPr>
            <w:tab/>
          </w:r>
          <w:r>
            <w:rPr>
              <w:b/>
              <w:bCs/>
              <w:color w:val="auto"/>
              <w:sz w:val="24"/>
              <w:szCs w:val="24"/>
            </w:rPr>
            <w:fldChar w:fldCharType="begin"/>
          </w:r>
          <w:r>
            <w:rPr>
              <w:b/>
              <w:bCs/>
              <w:color w:val="auto"/>
              <w:sz w:val="24"/>
              <w:szCs w:val="24"/>
            </w:rPr>
            <w:instrText xml:space="preserve"> PAGEREF _Toc5382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_Toc27551 </w:instrText>
          </w:r>
          <w:r>
            <w:rPr>
              <w:b/>
              <w:bCs/>
              <w:color w:val="auto"/>
              <w:sz w:val="24"/>
              <w:szCs w:val="24"/>
            </w:rPr>
            <w:fldChar w:fldCharType="separate"/>
          </w:r>
          <w:r>
            <w:rPr>
              <w:rFonts w:hint="eastAsia"/>
              <w:b/>
              <w:bCs/>
              <w:color w:val="auto"/>
              <w:sz w:val="24"/>
              <w:szCs w:val="24"/>
              <w:lang w:val="en-US" w:eastAsia="zh-CN"/>
            </w:rPr>
            <w:t>2.3.</w:t>
          </w:r>
          <w:r>
            <w:rPr>
              <w:rFonts w:hint="default"/>
              <w:b/>
              <w:bCs/>
              <w:color w:val="auto"/>
              <w:sz w:val="24"/>
              <w:szCs w:val="24"/>
            </w:rPr>
            <w:t>4声环境</w:t>
          </w:r>
          <w:r>
            <w:rPr>
              <w:rFonts w:hint="eastAsia"/>
              <w:b/>
              <w:bCs/>
              <w:color w:val="auto"/>
              <w:sz w:val="24"/>
              <w:szCs w:val="24"/>
              <w:lang w:eastAsia="zh-CN"/>
            </w:rPr>
            <w:t>影响</w:t>
          </w:r>
          <w:r>
            <w:rPr>
              <w:rFonts w:hint="default"/>
              <w:b/>
              <w:bCs/>
              <w:color w:val="auto"/>
              <w:sz w:val="24"/>
              <w:szCs w:val="24"/>
            </w:rPr>
            <w:t>评价等级</w:t>
          </w:r>
          <w:r>
            <w:rPr>
              <w:b/>
              <w:bCs/>
              <w:color w:val="auto"/>
              <w:sz w:val="24"/>
              <w:szCs w:val="24"/>
            </w:rPr>
            <w:tab/>
          </w:r>
          <w:r>
            <w:rPr>
              <w:b/>
              <w:bCs/>
              <w:color w:val="auto"/>
              <w:sz w:val="24"/>
              <w:szCs w:val="24"/>
            </w:rPr>
            <w:fldChar w:fldCharType="begin"/>
          </w:r>
          <w:r>
            <w:rPr>
              <w:b/>
              <w:bCs/>
              <w:color w:val="auto"/>
              <w:sz w:val="24"/>
              <w:szCs w:val="24"/>
            </w:rPr>
            <w:instrText xml:space="preserve"> PAGEREF _Toc27551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_Toc2439 </w:instrText>
          </w:r>
          <w:r>
            <w:rPr>
              <w:b/>
              <w:bCs/>
              <w:color w:val="auto"/>
              <w:sz w:val="24"/>
              <w:szCs w:val="24"/>
            </w:rPr>
            <w:fldChar w:fldCharType="separate"/>
          </w:r>
          <w:r>
            <w:rPr>
              <w:rFonts w:hint="eastAsia"/>
              <w:b/>
              <w:bCs/>
              <w:color w:val="auto"/>
              <w:sz w:val="24"/>
              <w:szCs w:val="24"/>
              <w:lang w:val="en-US" w:eastAsia="zh-CN"/>
            </w:rPr>
            <w:t>2.3.</w:t>
          </w:r>
          <w:r>
            <w:rPr>
              <w:rFonts w:hint="default"/>
              <w:b/>
              <w:bCs/>
              <w:color w:val="auto"/>
              <w:sz w:val="24"/>
              <w:szCs w:val="24"/>
            </w:rPr>
            <w:t>5生态环境影响评价等级</w:t>
          </w:r>
          <w:r>
            <w:rPr>
              <w:b/>
              <w:bCs/>
              <w:color w:val="auto"/>
              <w:sz w:val="24"/>
              <w:szCs w:val="24"/>
            </w:rPr>
            <w:tab/>
          </w:r>
          <w:r>
            <w:rPr>
              <w:b/>
              <w:bCs/>
              <w:color w:val="auto"/>
              <w:sz w:val="24"/>
              <w:szCs w:val="24"/>
            </w:rPr>
            <w:fldChar w:fldCharType="begin"/>
          </w:r>
          <w:r>
            <w:rPr>
              <w:b/>
              <w:bCs/>
              <w:color w:val="auto"/>
              <w:sz w:val="24"/>
              <w:szCs w:val="24"/>
            </w:rPr>
            <w:instrText xml:space="preserve"> PAGEREF _Toc2439 \h </w:instrText>
          </w:r>
          <w:r>
            <w:rPr>
              <w:b/>
              <w:bCs/>
              <w:color w:val="auto"/>
              <w:sz w:val="24"/>
              <w:szCs w:val="24"/>
            </w:rPr>
            <w:fldChar w:fldCharType="separate"/>
          </w:r>
          <w:r>
            <w:rPr>
              <w:b/>
              <w:bCs/>
              <w:color w:val="auto"/>
              <w:sz w:val="24"/>
              <w:szCs w:val="24"/>
            </w:rPr>
            <w:t>34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_Toc16167 </w:instrText>
          </w:r>
          <w:r>
            <w:rPr>
              <w:b/>
              <w:bCs/>
              <w:color w:val="auto"/>
              <w:sz w:val="24"/>
              <w:szCs w:val="24"/>
            </w:rPr>
            <w:fldChar w:fldCharType="separate"/>
          </w:r>
          <w:r>
            <w:rPr>
              <w:rFonts w:hint="eastAsia"/>
              <w:b/>
              <w:bCs/>
              <w:color w:val="auto"/>
              <w:sz w:val="24"/>
              <w:szCs w:val="24"/>
              <w:lang w:val="en-US" w:eastAsia="zh-CN"/>
            </w:rPr>
            <w:t>2.3.</w:t>
          </w:r>
          <w:r>
            <w:rPr>
              <w:rFonts w:hint="default"/>
              <w:b/>
              <w:bCs/>
              <w:color w:val="auto"/>
              <w:sz w:val="24"/>
              <w:szCs w:val="24"/>
            </w:rPr>
            <w:t>6.</w:t>
          </w:r>
          <w:r>
            <w:rPr>
              <w:rFonts w:hint="default"/>
              <w:b/>
              <w:bCs/>
              <w:color w:val="auto"/>
              <w:sz w:val="24"/>
              <w:szCs w:val="24"/>
              <w:lang w:val="zh-CN"/>
            </w:rPr>
            <w:t>土壤环境影响评价等级确定</w:t>
          </w:r>
          <w:r>
            <w:rPr>
              <w:b/>
              <w:bCs/>
              <w:color w:val="auto"/>
              <w:sz w:val="24"/>
              <w:szCs w:val="24"/>
            </w:rPr>
            <w:tab/>
          </w:r>
          <w:r>
            <w:rPr>
              <w:b/>
              <w:bCs/>
              <w:color w:val="auto"/>
              <w:sz w:val="24"/>
              <w:szCs w:val="24"/>
            </w:rPr>
            <w:fldChar w:fldCharType="begin"/>
          </w:r>
          <w:r>
            <w:rPr>
              <w:b/>
              <w:bCs/>
              <w:color w:val="auto"/>
              <w:sz w:val="24"/>
              <w:szCs w:val="24"/>
            </w:rPr>
            <w:instrText xml:space="preserve"> PAGEREF _Toc16167 \h </w:instrText>
          </w:r>
          <w:r>
            <w:rPr>
              <w:b/>
              <w:bCs/>
              <w:color w:val="auto"/>
              <w:sz w:val="24"/>
              <w:szCs w:val="24"/>
            </w:rPr>
            <w:fldChar w:fldCharType="separate"/>
          </w:r>
          <w:r>
            <w:rPr>
              <w:b/>
              <w:bCs/>
              <w:color w:val="auto"/>
              <w:sz w:val="24"/>
              <w:szCs w:val="24"/>
            </w:rPr>
            <w:t>34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_Toc21228 </w:instrText>
          </w:r>
          <w:r>
            <w:rPr>
              <w:b/>
              <w:bCs/>
              <w:color w:val="auto"/>
              <w:sz w:val="24"/>
              <w:szCs w:val="24"/>
            </w:rPr>
            <w:fldChar w:fldCharType="separate"/>
          </w:r>
          <w:r>
            <w:rPr>
              <w:rFonts w:hint="eastAsia"/>
              <w:b/>
              <w:bCs/>
              <w:color w:val="auto"/>
              <w:sz w:val="24"/>
              <w:szCs w:val="24"/>
              <w:lang w:val="en-US"/>
            </w:rPr>
            <w:t>2.3.7</w:t>
          </w:r>
          <w:r>
            <w:rPr>
              <w:rFonts w:hint="default"/>
              <w:b/>
              <w:bCs/>
              <w:color w:val="auto"/>
              <w:sz w:val="24"/>
              <w:szCs w:val="24"/>
            </w:rPr>
            <w:t>环境风险影响评价等级确定</w:t>
          </w:r>
          <w:r>
            <w:rPr>
              <w:b/>
              <w:bCs/>
              <w:color w:val="auto"/>
              <w:sz w:val="24"/>
              <w:szCs w:val="24"/>
            </w:rPr>
            <w:tab/>
          </w:r>
          <w:r>
            <w:rPr>
              <w:b/>
              <w:bCs/>
              <w:color w:val="auto"/>
              <w:sz w:val="24"/>
              <w:szCs w:val="24"/>
            </w:rPr>
            <w:fldChar w:fldCharType="begin"/>
          </w:r>
          <w:r>
            <w:rPr>
              <w:b/>
              <w:bCs/>
              <w:color w:val="auto"/>
              <w:sz w:val="24"/>
              <w:szCs w:val="24"/>
            </w:rPr>
            <w:instrText xml:space="preserve"> PAGEREF _Toc21228 \h </w:instrText>
          </w:r>
          <w:r>
            <w:rPr>
              <w:b/>
              <w:bCs/>
              <w:color w:val="auto"/>
              <w:sz w:val="24"/>
              <w:szCs w:val="24"/>
            </w:rPr>
            <w:fldChar w:fldCharType="separate"/>
          </w:r>
          <w:r>
            <w:rPr>
              <w:b/>
              <w:bCs/>
              <w:color w:val="auto"/>
              <w:sz w:val="24"/>
              <w:szCs w:val="24"/>
            </w:rPr>
            <w:t>35</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_Toc4509 </w:instrText>
          </w:r>
          <w:r>
            <w:rPr>
              <w:b/>
              <w:bCs/>
              <w:color w:val="auto"/>
              <w:sz w:val="24"/>
              <w:szCs w:val="24"/>
            </w:rPr>
            <w:fldChar w:fldCharType="separate"/>
          </w:r>
          <w:r>
            <w:rPr>
              <w:rFonts w:hint="default" w:ascii="Times New Roman" w:hAnsi="Times New Roman" w:eastAsia="宋体" w:cs="Times New Roman"/>
              <w:b/>
              <w:bCs/>
              <w:color w:val="auto"/>
              <w:sz w:val="24"/>
              <w:szCs w:val="24"/>
            </w:rPr>
            <w:t>2.4环境敏感目标</w:t>
          </w:r>
          <w:r>
            <w:rPr>
              <w:b/>
              <w:bCs/>
              <w:color w:val="auto"/>
              <w:sz w:val="24"/>
              <w:szCs w:val="24"/>
            </w:rPr>
            <w:tab/>
          </w:r>
          <w:r>
            <w:rPr>
              <w:b/>
              <w:bCs/>
              <w:color w:val="auto"/>
              <w:sz w:val="24"/>
              <w:szCs w:val="24"/>
            </w:rPr>
            <w:fldChar w:fldCharType="begin"/>
          </w:r>
          <w:r>
            <w:rPr>
              <w:b/>
              <w:bCs/>
              <w:color w:val="auto"/>
              <w:sz w:val="24"/>
              <w:szCs w:val="24"/>
            </w:rPr>
            <w:instrText xml:space="preserve"> PAGEREF _Toc4509 \h </w:instrText>
          </w:r>
          <w:r>
            <w:rPr>
              <w:b/>
              <w:bCs/>
              <w:color w:val="auto"/>
              <w:sz w:val="24"/>
              <w:szCs w:val="24"/>
            </w:rPr>
            <w:fldChar w:fldCharType="separate"/>
          </w:r>
          <w:r>
            <w:rPr>
              <w:b/>
              <w:bCs/>
              <w:color w:val="auto"/>
              <w:sz w:val="24"/>
              <w:szCs w:val="24"/>
            </w:rPr>
            <w:t>36</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_Toc24505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第3章建设项目工程分析</w:t>
          </w:r>
          <w:r>
            <w:rPr>
              <w:b/>
              <w:bCs/>
              <w:color w:val="auto"/>
              <w:sz w:val="24"/>
              <w:szCs w:val="24"/>
            </w:rPr>
            <w:tab/>
          </w:r>
          <w:r>
            <w:rPr>
              <w:b/>
              <w:bCs/>
              <w:color w:val="auto"/>
              <w:sz w:val="24"/>
              <w:szCs w:val="24"/>
            </w:rPr>
            <w:fldChar w:fldCharType="begin"/>
          </w:r>
          <w:r>
            <w:rPr>
              <w:b/>
              <w:bCs/>
              <w:color w:val="auto"/>
              <w:sz w:val="24"/>
              <w:szCs w:val="24"/>
            </w:rPr>
            <w:instrText xml:space="preserve"> PAGEREF _Toc24505 \h </w:instrText>
          </w:r>
          <w:r>
            <w:rPr>
              <w:b/>
              <w:bCs/>
              <w:color w:val="auto"/>
              <w:sz w:val="24"/>
              <w:szCs w:val="24"/>
            </w:rPr>
            <w:fldChar w:fldCharType="separate"/>
          </w:r>
          <w:r>
            <w:rPr>
              <w:b/>
              <w:bCs/>
              <w:color w:val="auto"/>
              <w:sz w:val="24"/>
              <w:szCs w:val="24"/>
            </w:rPr>
            <w:t>38</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_Toc11849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3.1建设项目工程概况</w:t>
          </w:r>
          <w:r>
            <w:rPr>
              <w:b/>
              <w:bCs/>
              <w:color w:val="auto"/>
              <w:sz w:val="24"/>
              <w:szCs w:val="24"/>
            </w:rPr>
            <w:tab/>
          </w:r>
          <w:r>
            <w:rPr>
              <w:b/>
              <w:bCs/>
              <w:color w:val="auto"/>
              <w:sz w:val="24"/>
              <w:szCs w:val="24"/>
            </w:rPr>
            <w:fldChar w:fldCharType="begin"/>
          </w:r>
          <w:r>
            <w:rPr>
              <w:b/>
              <w:bCs/>
              <w:color w:val="auto"/>
              <w:sz w:val="24"/>
              <w:szCs w:val="24"/>
            </w:rPr>
            <w:instrText xml:space="preserve"> PAGEREF _Toc11849 \h </w:instrText>
          </w:r>
          <w:r>
            <w:rPr>
              <w:b/>
              <w:bCs/>
              <w:color w:val="auto"/>
              <w:sz w:val="24"/>
              <w:szCs w:val="24"/>
            </w:rPr>
            <w:fldChar w:fldCharType="separate"/>
          </w:r>
          <w:r>
            <w:rPr>
              <w:b/>
              <w:bCs/>
              <w:color w:val="auto"/>
              <w:sz w:val="24"/>
              <w:szCs w:val="24"/>
            </w:rPr>
            <w:t>38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_Toc20897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3.1.1项目基本情况</w:t>
          </w:r>
          <w:r>
            <w:rPr>
              <w:b/>
              <w:bCs/>
              <w:color w:val="auto"/>
              <w:sz w:val="24"/>
              <w:szCs w:val="24"/>
            </w:rPr>
            <w:tab/>
          </w:r>
          <w:r>
            <w:rPr>
              <w:b/>
              <w:bCs/>
              <w:color w:val="auto"/>
              <w:sz w:val="24"/>
              <w:szCs w:val="24"/>
            </w:rPr>
            <w:fldChar w:fldCharType="begin"/>
          </w:r>
          <w:r>
            <w:rPr>
              <w:b/>
              <w:bCs/>
              <w:color w:val="auto"/>
              <w:sz w:val="24"/>
              <w:szCs w:val="24"/>
            </w:rPr>
            <w:instrText xml:space="preserve"> PAGEREF _Toc20897 \h </w:instrText>
          </w:r>
          <w:r>
            <w:rPr>
              <w:b/>
              <w:bCs/>
              <w:color w:val="auto"/>
              <w:sz w:val="24"/>
              <w:szCs w:val="24"/>
            </w:rPr>
            <w:fldChar w:fldCharType="separate"/>
          </w:r>
          <w:r>
            <w:rPr>
              <w:b/>
              <w:bCs/>
              <w:color w:val="auto"/>
              <w:sz w:val="24"/>
              <w:szCs w:val="24"/>
            </w:rPr>
            <w:t>38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_Toc19824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3.1.2项目建设内容</w:t>
          </w:r>
          <w:r>
            <w:rPr>
              <w:b/>
              <w:bCs/>
              <w:color w:val="auto"/>
              <w:sz w:val="24"/>
              <w:szCs w:val="24"/>
            </w:rPr>
            <w:tab/>
          </w:r>
          <w:r>
            <w:rPr>
              <w:b/>
              <w:bCs/>
              <w:color w:val="auto"/>
              <w:sz w:val="24"/>
              <w:szCs w:val="24"/>
            </w:rPr>
            <w:fldChar w:fldCharType="begin"/>
          </w:r>
          <w:r>
            <w:rPr>
              <w:b/>
              <w:bCs/>
              <w:color w:val="auto"/>
              <w:sz w:val="24"/>
              <w:szCs w:val="24"/>
            </w:rPr>
            <w:instrText xml:space="preserve"> PAGEREF _Toc19824 \h </w:instrText>
          </w:r>
          <w:r>
            <w:rPr>
              <w:b/>
              <w:bCs/>
              <w:color w:val="auto"/>
              <w:sz w:val="24"/>
              <w:szCs w:val="24"/>
            </w:rPr>
            <w:fldChar w:fldCharType="separate"/>
          </w:r>
          <w:r>
            <w:rPr>
              <w:b/>
              <w:bCs/>
              <w:color w:val="auto"/>
              <w:sz w:val="24"/>
              <w:szCs w:val="24"/>
            </w:rPr>
            <w:t>38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_Toc12205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3.1.3产品方案</w:t>
          </w:r>
          <w:r>
            <w:rPr>
              <w:b/>
              <w:bCs/>
              <w:color w:val="auto"/>
              <w:sz w:val="24"/>
              <w:szCs w:val="24"/>
            </w:rPr>
            <w:tab/>
          </w:r>
          <w:r>
            <w:rPr>
              <w:b/>
              <w:bCs/>
              <w:color w:val="auto"/>
              <w:sz w:val="24"/>
              <w:szCs w:val="24"/>
            </w:rPr>
            <w:fldChar w:fldCharType="begin"/>
          </w:r>
          <w:r>
            <w:rPr>
              <w:b/>
              <w:bCs/>
              <w:color w:val="auto"/>
              <w:sz w:val="24"/>
              <w:szCs w:val="24"/>
            </w:rPr>
            <w:instrText xml:space="preserve"> PAGEREF _Toc12205 \h </w:instrText>
          </w:r>
          <w:r>
            <w:rPr>
              <w:b/>
              <w:bCs/>
              <w:color w:val="auto"/>
              <w:sz w:val="24"/>
              <w:szCs w:val="24"/>
            </w:rPr>
            <w:fldChar w:fldCharType="separate"/>
          </w:r>
          <w:r>
            <w:rPr>
              <w:b/>
              <w:bCs/>
              <w:color w:val="auto"/>
              <w:sz w:val="24"/>
              <w:szCs w:val="24"/>
            </w:rPr>
            <w:t>41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_Toc12909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3.1.4原辅材料</w:t>
          </w:r>
          <w:r>
            <w:rPr>
              <w:b/>
              <w:bCs/>
              <w:color w:val="auto"/>
              <w:sz w:val="24"/>
              <w:szCs w:val="24"/>
            </w:rPr>
            <w:tab/>
          </w:r>
          <w:r>
            <w:rPr>
              <w:b/>
              <w:bCs/>
              <w:color w:val="auto"/>
              <w:sz w:val="24"/>
              <w:szCs w:val="24"/>
            </w:rPr>
            <w:fldChar w:fldCharType="begin"/>
          </w:r>
          <w:r>
            <w:rPr>
              <w:b/>
              <w:bCs/>
              <w:color w:val="auto"/>
              <w:sz w:val="24"/>
              <w:szCs w:val="24"/>
            </w:rPr>
            <w:instrText xml:space="preserve"> PAGEREF _Toc12909 \h </w:instrText>
          </w:r>
          <w:r>
            <w:rPr>
              <w:b/>
              <w:bCs/>
              <w:color w:val="auto"/>
              <w:sz w:val="24"/>
              <w:szCs w:val="24"/>
            </w:rPr>
            <w:fldChar w:fldCharType="separate"/>
          </w:r>
          <w:r>
            <w:rPr>
              <w:b/>
              <w:bCs/>
              <w:color w:val="auto"/>
              <w:sz w:val="24"/>
              <w:szCs w:val="24"/>
            </w:rPr>
            <w:t>41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_Toc28275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3.1.5主要生产设备</w:t>
          </w:r>
          <w:r>
            <w:rPr>
              <w:b/>
              <w:bCs/>
              <w:color w:val="auto"/>
              <w:sz w:val="24"/>
              <w:szCs w:val="24"/>
            </w:rPr>
            <w:tab/>
          </w:r>
          <w:r>
            <w:rPr>
              <w:b/>
              <w:bCs/>
              <w:color w:val="auto"/>
              <w:sz w:val="24"/>
              <w:szCs w:val="24"/>
            </w:rPr>
            <w:fldChar w:fldCharType="begin"/>
          </w:r>
          <w:r>
            <w:rPr>
              <w:b/>
              <w:bCs/>
              <w:color w:val="auto"/>
              <w:sz w:val="24"/>
              <w:szCs w:val="24"/>
            </w:rPr>
            <w:instrText xml:space="preserve"> PAGEREF _Toc28275 \h </w:instrText>
          </w:r>
          <w:r>
            <w:rPr>
              <w:b/>
              <w:bCs/>
              <w:color w:val="auto"/>
              <w:sz w:val="24"/>
              <w:szCs w:val="24"/>
            </w:rPr>
            <w:fldChar w:fldCharType="separate"/>
          </w:r>
          <w:r>
            <w:rPr>
              <w:b/>
              <w:bCs/>
              <w:color w:val="auto"/>
              <w:sz w:val="24"/>
              <w:szCs w:val="24"/>
            </w:rPr>
            <w:t>43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_Toc27519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3.1.6公用工程</w:t>
          </w:r>
          <w:r>
            <w:rPr>
              <w:b/>
              <w:bCs/>
              <w:color w:val="auto"/>
              <w:sz w:val="24"/>
              <w:szCs w:val="24"/>
            </w:rPr>
            <w:tab/>
          </w:r>
          <w:r>
            <w:rPr>
              <w:b/>
              <w:bCs/>
              <w:color w:val="auto"/>
              <w:sz w:val="24"/>
              <w:szCs w:val="24"/>
            </w:rPr>
            <w:fldChar w:fldCharType="begin"/>
          </w:r>
          <w:r>
            <w:rPr>
              <w:b/>
              <w:bCs/>
              <w:color w:val="auto"/>
              <w:sz w:val="24"/>
              <w:szCs w:val="24"/>
            </w:rPr>
            <w:instrText xml:space="preserve"> PAGEREF _Toc27519 \h </w:instrText>
          </w:r>
          <w:r>
            <w:rPr>
              <w:b/>
              <w:bCs/>
              <w:color w:val="auto"/>
              <w:sz w:val="24"/>
              <w:szCs w:val="24"/>
            </w:rPr>
            <w:fldChar w:fldCharType="separate"/>
          </w:r>
          <w:r>
            <w:rPr>
              <w:b/>
              <w:bCs/>
              <w:color w:val="auto"/>
              <w:sz w:val="24"/>
              <w:szCs w:val="24"/>
            </w:rPr>
            <w:t>47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_Toc10038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w:t>
          </w: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厂区平面布置</w:t>
          </w:r>
          <w:r>
            <w:rPr>
              <w:b/>
              <w:bCs/>
              <w:color w:val="auto"/>
              <w:sz w:val="24"/>
              <w:szCs w:val="24"/>
            </w:rPr>
            <w:tab/>
          </w:r>
          <w:r>
            <w:rPr>
              <w:b/>
              <w:bCs/>
              <w:color w:val="auto"/>
              <w:sz w:val="24"/>
              <w:szCs w:val="24"/>
            </w:rPr>
            <w:fldChar w:fldCharType="begin"/>
          </w:r>
          <w:r>
            <w:rPr>
              <w:b/>
              <w:bCs/>
              <w:color w:val="auto"/>
              <w:sz w:val="24"/>
              <w:szCs w:val="24"/>
            </w:rPr>
            <w:instrText xml:space="preserve"> PAGEREF _Toc10038 \h </w:instrText>
          </w:r>
          <w:r>
            <w:rPr>
              <w:b/>
              <w:bCs/>
              <w:color w:val="auto"/>
              <w:sz w:val="24"/>
              <w:szCs w:val="24"/>
            </w:rPr>
            <w:fldChar w:fldCharType="separate"/>
          </w:r>
          <w:r>
            <w:rPr>
              <w:b/>
              <w:bCs/>
              <w:color w:val="auto"/>
              <w:sz w:val="24"/>
              <w:szCs w:val="24"/>
            </w:rPr>
            <w:t>50</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_Toc18667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劳动定员及工作制度</w:t>
          </w:r>
          <w:r>
            <w:rPr>
              <w:b/>
              <w:bCs/>
              <w:color w:val="auto"/>
              <w:sz w:val="24"/>
              <w:szCs w:val="24"/>
            </w:rPr>
            <w:tab/>
          </w:r>
          <w:r>
            <w:rPr>
              <w:b/>
              <w:bCs/>
              <w:color w:val="auto"/>
              <w:sz w:val="24"/>
              <w:szCs w:val="24"/>
            </w:rPr>
            <w:fldChar w:fldCharType="begin"/>
          </w:r>
          <w:r>
            <w:rPr>
              <w:b/>
              <w:bCs/>
              <w:color w:val="auto"/>
              <w:sz w:val="24"/>
              <w:szCs w:val="24"/>
            </w:rPr>
            <w:instrText xml:space="preserve"> PAGEREF _Toc18667 \h </w:instrText>
          </w:r>
          <w:r>
            <w:rPr>
              <w:b/>
              <w:bCs/>
              <w:color w:val="auto"/>
              <w:sz w:val="24"/>
              <w:szCs w:val="24"/>
            </w:rPr>
            <w:fldChar w:fldCharType="separate"/>
          </w:r>
          <w:r>
            <w:rPr>
              <w:b/>
              <w:bCs/>
              <w:color w:val="auto"/>
              <w:sz w:val="24"/>
              <w:szCs w:val="24"/>
            </w:rPr>
            <w:t>51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_Toc23791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3.1.</w:t>
          </w:r>
          <w:r>
            <w:rPr>
              <w:rFonts w:hint="eastAsia"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项目周边环境</w:t>
          </w:r>
          <w:r>
            <w:rPr>
              <w:b/>
              <w:bCs/>
              <w:color w:val="auto"/>
              <w:sz w:val="24"/>
              <w:szCs w:val="24"/>
            </w:rPr>
            <w:tab/>
          </w:r>
          <w:r>
            <w:rPr>
              <w:b/>
              <w:bCs/>
              <w:color w:val="auto"/>
              <w:sz w:val="24"/>
              <w:szCs w:val="24"/>
            </w:rPr>
            <w:fldChar w:fldCharType="begin"/>
          </w:r>
          <w:r>
            <w:rPr>
              <w:b/>
              <w:bCs/>
              <w:color w:val="auto"/>
              <w:sz w:val="24"/>
              <w:szCs w:val="24"/>
            </w:rPr>
            <w:instrText xml:space="preserve"> PAGEREF _Toc23791 \h </w:instrText>
          </w:r>
          <w:r>
            <w:rPr>
              <w:b/>
              <w:bCs/>
              <w:color w:val="auto"/>
              <w:sz w:val="24"/>
              <w:szCs w:val="24"/>
            </w:rPr>
            <w:fldChar w:fldCharType="separate"/>
          </w:r>
          <w:r>
            <w:rPr>
              <w:b/>
              <w:bCs/>
              <w:color w:val="auto"/>
              <w:sz w:val="24"/>
              <w:szCs w:val="24"/>
            </w:rPr>
            <w:t>51</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_Toc3694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3.2施工期工程分析及污染源分析</w:t>
          </w:r>
          <w:r>
            <w:rPr>
              <w:b/>
              <w:bCs/>
              <w:color w:val="auto"/>
              <w:sz w:val="24"/>
              <w:szCs w:val="24"/>
            </w:rPr>
            <w:tab/>
          </w:r>
          <w:r>
            <w:rPr>
              <w:b/>
              <w:bCs/>
              <w:color w:val="auto"/>
              <w:sz w:val="24"/>
              <w:szCs w:val="24"/>
            </w:rPr>
            <w:fldChar w:fldCharType="begin"/>
          </w:r>
          <w:r>
            <w:rPr>
              <w:b/>
              <w:bCs/>
              <w:color w:val="auto"/>
              <w:sz w:val="24"/>
              <w:szCs w:val="24"/>
            </w:rPr>
            <w:instrText xml:space="preserve"> PAGEREF _Toc3694 \h </w:instrText>
          </w:r>
          <w:r>
            <w:rPr>
              <w:b/>
              <w:bCs/>
              <w:color w:val="auto"/>
              <w:sz w:val="24"/>
              <w:szCs w:val="24"/>
            </w:rPr>
            <w:fldChar w:fldCharType="separate"/>
          </w:r>
          <w:r>
            <w:rPr>
              <w:b/>
              <w:bCs/>
              <w:color w:val="auto"/>
              <w:sz w:val="24"/>
              <w:szCs w:val="24"/>
            </w:rPr>
            <w:t>52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_Toc26237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3.2.1施工内容和施工工艺</w:t>
          </w:r>
          <w:r>
            <w:rPr>
              <w:b/>
              <w:bCs/>
              <w:color w:val="auto"/>
              <w:sz w:val="24"/>
              <w:szCs w:val="24"/>
            </w:rPr>
            <w:tab/>
          </w:r>
          <w:r>
            <w:rPr>
              <w:b/>
              <w:bCs/>
              <w:color w:val="auto"/>
              <w:sz w:val="24"/>
              <w:szCs w:val="24"/>
            </w:rPr>
            <w:fldChar w:fldCharType="begin"/>
          </w:r>
          <w:r>
            <w:rPr>
              <w:b/>
              <w:bCs/>
              <w:color w:val="auto"/>
              <w:sz w:val="24"/>
              <w:szCs w:val="24"/>
            </w:rPr>
            <w:instrText xml:space="preserve"> PAGEREF _Toc26237 \h </w:instrText>
          </w:r>
          <w:r>
            <w:rPr>
              <w:b/>
              <w:bCs/>
              <w:color w:val="auto"/>
              <w:sz w:val="24"/>
              <w:szCs w:val="24"/>
            </w:rPr>
            <w:fldChar w:fldCharType="separate"/>
          </w:r>
          <w:r>
            <w:rPr>
              <w:b/>
              <w:bCs/>
              <w:color w:val="auto"/>
              <w:sz w:val="24"/>
              <w:szCs w:val="24"/>
            </w:rPr>
            <w:t>52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_Toc14618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3.2.2施工期污染源分析</w:t>
          </w:r>
          <w:r>
            <w:rPr>
              <w:b/>
              <w:bCs/>
              <w:color w:val="auto"/>
              <w:sz w:val="24"/>
              <w:szCs w:val="24"/>
            </w:rPr>
            <w:tab/>
          </w:r>
          <w:r>
            <w:rPr>
              <w:b/>
              <w:bCs/>
              <w:color w:val="auto"/>
              <w:sz w:val="24"/>
              <w:szCs w:val="24"/>
            </w:rPr>
            <w:fldChar w:fldCharType="begin"/>
          </w:r>
          <w:r>
            <w:rPr>
              <w:b/>
              <w:bCs/>
              <w:color w:val="auto"/>
              <w:sz w:val="24"/>
              <w:szCs w:val="24"/>
            </w:rPr>
            <w:instrText xml:space="preserve"> PAGEREF _Toc14618 \h </w:instrText>
          </w:r>
          <w:r>
            <w:rPr>
              <w:b/>
              <w:bCs/>
              <w:color w:val="auto"/>
              <w:sz w:val="24"/>
              <w:szCs w:val="24"/>
            </w:rPr>
            <w:fldChar w:fldCharType="separate"/>
          </w:r>
          <w:r>
            <w:rPr>
              <w:b/>
              <w:bCs/>
              <w:color w:val="auto"/>
              <w:sz w:val="24"/>
              <w:szCs w:val="24"/>
            </w:rPr>
            <w:t>52</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_Toc3995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3.3营运期项目工艺流程及产污环节分析</w:t>
          </w:r>
          <w:r>
            <w:rPr>
              <w:b/>
              <w:bCs/>
              <w:color w:val="auto"/>
              <w:sz w:val="24"/>
              <w:szCs w:val="24"/>
            </w:rPr>
            <w:tab/>
          </w:r>
          <w:r>
            <w:rPr>
              <w:b/>
              <w:bCs/>
              <w:color w:val="auto"/>
              <w:sz w:val="24"/>
              <w:szCs w:val="24"/>
            </w:rPr>
            <w:fldChar w:fldCharType="begin"/>
          </w:r>
          <w:r>
            <w:rPr>
              <w:b/>
              <w:bCs/>
              <w:color w:val="auto"/>
              <w:sz w:val="24"/>
              <w:szCs w:val="24"/>
            </w:rPr>
            <w:instrText xml:space="preserve"> PAGEREF _Toc3995 \h </w:instrText>
          </w:r>
          <w:r>
            <w:rPr>
              <w:b/>
              <w:bCs/>
              <w:color w:val="auto"/>
              <w:sz w:val="24"/>
              <w:szCs w:val="24"/>
            </w:rPr>
            <w:fldChar w:fldCharType="separate"/>
          </w:r>
          <w:r>
            <w:rPr>
              <w:b/>
              <w:bCs/>
              <w:color w:val="auto"/>
              <w:sz w:val="24"/>
              <w:szCs w:val="24"/>
            </w:rPr>
            <w:t>55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_Toc17662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3.3.1变形镁合金圆铸锭</w:t>
          </w:r>
          <w:r>
            <w:rPr>
              <w:rFonts w:hint="default" w:ascii="Times New Roman" w:hAnsi="Times New Roman" w:eastAsia="宋体" w:cs="Times New Roman"/>
              <w:b/>
              <w:bCs/>
              <w:color w:val="auto"/>
              <w:sz w:val="24"/>
              <w:szCs w:val="24"/>
              <w:highlight w:val="none"/>
              <w:lang w:val="en-US" w:eastAsia="zh-CN"/>
            </w:rPr>
            <w:t>生产工艺流程</w:t>
          </w:r>
          <w:r>
            <w:rPr>
              <w:b/>
              <w:bCs/>
              <w:color w:val="auto"/>
              <w:sz w:val="24"/>
              <w:szCs w:val="24"/>
            </w:rPr>
            <w:tab/>
          </w:r>
          <w:r>
            <w:rPr>
              <w:b/>
              <w:bCs/>
              <w:color w:val="auto"/>
              <w:sz w:val="24"/>
              <w:szCs w:val="24"/>
            </w:rPr>
            <w:fldChar w:fldCharType="begin"/>
          </w:r>
          <w:r>
            <w:rPr>
              <w:b/>
              <w:bCs/>
              <w:color w:val="auto"/>
              <w:sz w:val="24"/>
              <w:szCs w:val="24"/>
            </w:rPr>
            <w:instrText xml:space="preserve"> PAGEREF _Toc17662 \h </w:instrText>
          </w:r>
          <w:r>
            <w:rPr>
              <w:b/>
              <w:bCs/>
              <w:color w:val="auto"/>
              <w:sz w:val="24"/>
              <w:szCs w:val="24"/>
            </w:rPr>
            <w:fldChar w:fldCharType="separate"/>
          </w:r>
          <w:r>
            <w:rPr>
              <w:b/>
              <w:bCs/>
              <w:color w:val="auto"/>
              <w:sz w:val="24"/>
              <w:szCs w:val="24"/>
            </w:rPr>
            <w:t>55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_Toc20048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lang w:val="en-US" w:eastAsia="zh-CN"/>
            </w:rPr>
            <w:t>3.3.2镁合金锻件工艺流程</w:t>
          </w:r>
          <w:r>
            <w:rPr>
              <w:b/>
              <w:bCs/>
              <w:color w:val="auto"/>
              <w:sz w:val="24"/>
              <w:szCs w:val="24"/>
            </w:rPr>
            <w:tab/>
          </w:r>
          <w:r>
            <w:rPr>
              <w:b/>
              <w:bCs/>
              <w:color w:val="auto"/>
              <w:sz w:val="24"/>
              <w:szCs w:val="24"/>
            </w:rPr>
            <w:fldChar w:fldCharType="begin"/>
          </w:r>
          <w:r>
            <w:rPr>
              <w:b/>
              <w:bCs/>
              <w:color w:val="auto"/>
              <w:sz w:val="24"/>
              <w:szCs w:val="24"/>
            </w:rPr>
            <w:instrText xml:space="preserve"> PAGEREF _Toc20048 \h </w:instrText>
          </w:r>
          <w:r>
            <w:rPr>
              <w:b/>
              <w:bCs/>
              <w:color w:val="auto"/>
              <w:sz w:val="24"/>
              <w:szCs w:val="24"/>
            </w:rPr>
            <w:fldChar w:fldCharType="separate"/>
          </w:r>
          <w:r>
            <w:rPr>
              <w:b/>
              <w:bCs/>
              <w:color w:val="auto"/>
              <w:sz w:val="24"/>
              <w:szCs w:val="24"/>
            </w:rPr>
            <w:t>57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_Toc31066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.3.3镁合金挤压材生产工艺</w:t>
          </w:r>
          <w:r>
            <w:rPr>
              <w:b/>
              <w:bCs/>
              <w:color w:val="auto"/>
              <w:sz w:val="24"/>
              <w:szCs w:val="24"/>
            </w:rPr>
            <w:tab/>
          </w:r>
          <w:r>
            <w:rPr>
              <w:b/>
              <w:bCs/>
              <w:color w:val="auto"/>
              <w:sz w:val="24"/>
              <w:szCs w:val="24"/>
            </w:rPr>
            <w:fldChar w:fldCharType="begin"/>
          </w:r>
          <w:r>
            <w:rPr>
              <w:b/>
              <w:bCs/>
              <w:color w:val="auto"/>
              <w:sz w:val="24"/>
              <w:szCs w:val="24"/>
            </w:rPr>
            <w:instrText xml:space="preserve"> PAGEREF _Toc31066 \h </w:instrText>
          </w:r>
          <w:r>
            <w:rPr>
              <w:b/>
              <w:bCs/>
              <w:color w:val="auto"/>
              <w:sz w:val="24"/>
              <w:szCs w:val="24"/>
            </w:rPr>
            <w:fldChar w:fldCharType="separate"/>
          </w:r>
          <w:r>
            <w:rPr>
              <w:b/>
              <w:bCs/>
              <w:color w:val="auto"/>
              <w:sz w:val="24"/>
              <w:szCs w:val="24"/>
            </w:rPr>
            <w:t>59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_Toc6376 </w:instrText>
          </w:r>
          <w:r>
            <w:rPr>
              <w:b/>
              <w:bCs/>
              <w:color w:val="auto"/>
              <w:sz w:val="24"/>
              <w:szCs w:val="24"/>
            </w:rPr>
            <w:fldChar w:fldCharType="separate"/>
          </w:r>
          <w:r>
            <w:rPr>
              <w:rFonts w:hint="default" w:ascii="Times New Roman" w:hAnsi="Times New Roman" w:eastAsia="宋体" w:cs="Times New Roman"/>
              <w:b/>
              <w:bCs/>
              <w:color w:val="auto"/>
              <w:kern w:val="0"/>
              <w:sz w:val="24"/>
              <w:szCs w:val="24"/>
              <w:highlight w:val="none"/>
              <w:lang w:val="en-US" w:eastAsia="zh-CN" w:bidi="ar"/>
            </w:rPr>
            <w:t>3.3.4</w:t>
          </w:r>
          <w:r>
            <w:rPr>
              <w:rFonts w:hint="default" w:ascii="Times New Roman" w:hAnsi="Times New Roman" w:eastAsia="宋体" w:cs="Times New Roman"/>
              <w:b/>
              <w:bCs/>
              <w:color w:val="auto"/>
              <w:sz w:val="24"/>
              <w:szCs w:val="24"/>
              <w:highlight w:val="none"/>
              <w:lang w:val="en-US" w:eastAsia="zh-CN"/>
            </w:rPr>
            <w:t>镁合金板材</w:t>
          </w:r>
          <w:r>
            <w:rPr>
              <w:rFonts w:hint="eastAsia" w:ascii="Times New Roman" w:hAnsi="Times New Roman" w:eastAsia="宋体" w:cs="Times New Roman"/>
              <w:b/>
              <w:bCs/>
              <w:color w:val="auto"/>
              <w:sz w:val="24"/>
              <w:szCs w:val="24"/>
              <w:highlight w:val="none"/>
              <w:lang w:val="en-US" w:eastAsia="zh-CN"/>
            </w:rPr>
            <w:t>生产工艺</w:t>
          </w:r>
          <w:r>
            <w:rPr>
              <w:b/>
              <w:bCs/>
              <w:color w:val="auto"/>
              <w:sz w:val="24"/>
              <w:szCs w:val="24"/>
            </w:rPr>
            <w:tab/>
          </w:r>
          <w:r>
            <w:rPr>
              <w:b/>
              <w:bCs/>
              <w:color w:val="auto"/>
              <w:sz w:val="24"/>
              <w:szCs w:val="24"/>
            </w:rPr>
            <w:fldChar w:fldCharType="begin"/>
          </w:r>
          <w:r>
            <w:rPr>
              <w:b/>
              <w:bCs/>
              <w:color w:val="auto"/>
              <w:sz w:val="24"/>
              <w:szCs w:val="24"/>
            </w:rPr>
            <w:instrText xml:space="preserve"> PAGEREF _Toc6376 \h </w:instrText>
          </w:r>
          <w:r>
            <w:rPr>
              <w:b/>
              <w:bCs/>
              <w:color w:val="auto"/>
              <w:sz w:val="24"/>
              <w:szCs w:val="24"/>
            </w:rPr>
            <w:fldChar w:fldCharType="separate"/>
          </w:r>
          <w:r>
            <w:rPr>
              <w:b/>
              <w:bCs/>
              <w:color w:val="auto"/>
              <w:sz w:val="24"/>
              <w:szCs w:val="24"/>
            </w:rPr>
            <w:t>61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_Toc14126 </w:instrText>
          </w:r>
          <w:r>
            <w:rPr>
              <w:b/>
              <w:bCs/>
              <w:color w:val="auto"/>
              <w:sz w:val="24"/>
              <w:szCs w:val="24"/>
            </w:rPr>
            <w:fldChar w:fldCharType="separate"/>
          </w:r>
          <w:r>
            <w:rPr>
              <w:rFonts w:hint="default" w:ascii="Times New Roman" w:hAnsi="Times New Roman" w:eastAsia="宋体" w:cs="Times New Roman"/>
              <w:b/>
              <w:bCs/>
              <w:color w:val="auto"/>
              <w:kern w:val="0"/>
              <w:sz w:val="24"/>
              <w:szCs w:val="24"/>
              <w:lang w:val="en-US" w:eastAsia="zh-CN" w:bidi="ar"/>
            </w:rPr>
            <w:t>3.3.</w:t>
          </w:r>
          <w:r>
            <w:rPr>
              <w:rFonts w:hint="eastAsia" w:ascii="Times New Roman" w:hAnsi="Times New Roman" w:eastAsia="宋体"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表面处理</w:t>
          </w:r>
          <w:r>
            <w:rPr>
              <w:rFonts w:hint="eastAsia" w:ascii="Times New Roman" w:hAnsi="Times New Roman" w:eastAsia="宋体" w:cs="Times New Roman"/>
              <w:b/>
              <w:bCs/>
              <w:color w:val="auto"/>
              <w:kern w:val="0"/>
              <w:sz w:val="24"/>
              <w:szCs w:val="24"/>
              <w:lang w:val="en-US" w:eastAsia="zh-CN" w:bidi="ar"/>
            </w:rPr>
            <w:t>工艺</w:t>
          </w:r>
          <w:r>
            <w:rPr>
              <w:b/>
              <w:bCs/>
              <w:color w:val="auto"/>
              <w:sz w:val="24"/>
              <w:szCs w:val="24"/>
            </w:rPr>
            <w:tab/>
          </w:r>
          <w:r>
            <w:rPr>
              <w:b/>
              <w:bCs/>
              <w:color w:val="auto"/>
              <w:sz w:val="24"/>
              <w:szCs w:val="24"/>
            </w:rPr>
            <w:fldChar w:fldCharType="begin"/>
          </w:r>
          <w:r>
            <w:rPr>
              <w:b/>
              <w:bCs/>
              <w:color w:val="auto"/>
              <w:sz w:val="24"/>
              <w:szCs w:val="24"/>
            </w:rPr>
            <w:instrText xml:space="preserve"> PAGEREF _Toc14126 \h </w:instrText>
          </w:r>
          <w:r>
            <w:rPr>
              <w:b/>
              <w:bCs/>
              <w:color w:val="auto"/>
              <w:sz w:val="24"/>
              <w:szCs w:val="24"/>
            </w:rPr>
            <w:fldChar w:fldCharType="separate"/>
          </w:r>
          <w:r>
            <w:rPr>
              <w:b/>
              <w:bCs/>
              <w:color w:val="auto"/>
              <w:sz w:val="24"/>
              <w:szCs w:val="24"/>
            </w:rPr>
            <w:t>63</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_Toc2237 </w:instrText>
          </w:r>
          <w:r>
            <w:rPr>
              <w:b/>
              <w:bCs/>
              <w:color w:val="auto"/>
              <w:sz w:val="24"/>
              <w:szCs w:val="24"/>
            </w:rPr>
            <w:fldChar w:fldCharType="separate"/>
          </w:r>
          <w:r>
            <w:rPr>
              <w:rFonts w:hint="eastAsia" w:cs="Times New Roman"/>
              <w:b/>
              <w:bCs/>
              <w:color w:val="auto"/>
              <w:sz w:val="24"/>
              <w:szCs w:val="24"/>
              <w:lang w:val="en-US" w:eastAsia="zh-CN"/>
            </w:rPr>
            <w:t>3.4</w:t>
          </w:r>
          <w:r>
            <w:rPr>
              <w:rFonts w:hint="default" w:ascii="Times New Roman" w:hAnsi="Times New Roman" w:eastAsia="宋体" w:cs="Times New Roman"/>
              <w:b/>
              <w:bCs/>
              <w:color w:val="auto"/>
              <w:sz w:val="24"/>
              <w:szCs w:val="24"/>
            </w:rPr>
            <w:t>产污环节</w:t>
          </w:r>
          <w:r>
            <w:rPr>
              <w:rFonts w:hint="eastAsia" w:ascii="Times New Roman" w:hAnsi="Times New Roman" w:eastAsia="宋体" w:cs="Times New Roman"/>
              <w:b/>
              <w:bCs/>
              <w:color w:val="auto"/>
              <w:sz w:val="24"/>
              <w:szCs w:val="24"/>
              <w:lang w:eastAsia="zh-CN"/>
            </w:rPr>
            <w:t>：</w:t>
          </w:r>
          <w:r>
            <w:rPr>
              <w:b/>
              <w:bCs/>
              <w:color w:val="auto"/>
              <w:sz w:val="24"/>
              <w:szCs w:val="24"/>
            </w:rPr>
            <w:tab/>
          </w:r>
          <w:r>
            <w:rPr>
              <w:b/>
              <w:bCs/>
              <w:color w:val="auto"/>
              <w:sz w:val="24"/>
              <w:szCs w:val="24"/>
            </w:rPr>
            <w:fldChar w:fldCharType="begin"/>
          </w:r>
          <w:r>
            <w:rPr>
              <w:b/>
              <w:bCs/>
              <w:color w:val="auto"/>
              <w:sz w:val="24"/>
              <w:szCs w:val="24"/>
            </w:rPr>
            <w:instrText xml:space="preserve"> PAGEREF _Toc2237 \h </w:instrText>
          </w:r>
          <w:r>
            <w:rPr>
              <w:b/>
              <w:bCs/>
              <w:color w:val="auto"/>
              <w:sz w:val="24"/>
              <w:szCs w:val="24"/>
            </w:rPr>
            <w:fldChar w:fldCharType="separate"/>
          </w:r>
          <w:r>
            <w:rPr>
              <w:b/>
              <w:bCs/>
              <w:color w:val="auto"/>
              <w:sz w:val="24"/>
              <w:szCs w:val="24"/>
            </w:rPr>
            <w:t>65</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_Toc25944 </w:instrText>
          </w:r>
          <w:r>
            <w:rPr>
              <w:b/>
              <w:bCs/>
              <w:color w:val="auto"/>
              <w:sz w:val="24"/>
              <w:szCs w:val="24"/>
            </w:rPr>
            <w:fldChar w:fldCharType="separate"/>
          </w:r>
          <w:r>
            <w:rPr>
              <w:rFonts w:hint="eastAsia" w:cs="Times New Roman"/>
              <w:b/>
              <w:bCs/>
              <w:color w:val="auto"/>
              <w:sz w:val="24"/>
              <w:szCs w:val="24"/>
              <w:lang w:val="en-US" w:eastAsia="zh-CN"/>
            </w:rPr>
            <w:t>3.5项目水平衡分析</w:t>
          </w:r>
          <w:r>
            <w:rPr>
              <w:b/>
              <w:bCs/>
              <w:color w:val="auto"/>
              <w:sz w:val="24"/>
              <w:szCs w:val="24"/>
            </w:rPr>
            <w:tab/>
          </w:r>
          <w:r>
            <w:rPr>
              <w:b/>
              <w:bCs/>
              <w:color w:val="auto"/>
              <w:sz w:val="24"/>
              <w:szCs w:val="24"/>
            </w:rPr>
            <w:fldChar w:fldCharType="begin"/>
          </w:r>
          <w:r>
            <w:rPr>
              <w:b/>
              <w:bCs/>
              <w:color w:val="auto"/>
              <w:sz w:val="24"/>
              <w:szCs w:val="24"/>
            </w:rPr>
            <w:instrText xml:space="preserve"> PAGEREF _Toc25944 \h </w:instrText>
          </w:r>
          <w:r>
            <w:rPr>
              <w:b/>
              <w:bCs/>
              <w:color w:val="auto"/>
              <w:sz w:val="24"/>
              <w:szCs w:val="24"/>
            </w:rPr>
            <w:fldChar w:fldCharType="separate"/>
          </w:r>
          <w:r>
            <w:rPr>
              <w:b/>
              <w:bCs/>
              <w:color w:val="auto"/>
              <w:sz w:val="24"/>
              <w:szCs w:val="24"/>
            </w:rPr>
            <w:t>65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_Toc6242 </w:instrText>
          </w:r>
          <w:r>
            <w:rPr>
              <w:b/>
              <w:bCs/>
              <w:color w:val="auto"/>
              <w:sz w:val="24"/>
              <w:szCs w:val="24"/>
            </w:rPr>
            <w:fldChar w:fldCharType="separate"/>
          </w:r>
          <w:r>
            <w:rPr>
              <w:rFonts w:hint="default" w:ascii="Times New Roman" w:hAnsi="Times New Roman" w:eastAsia="宋体" w:cs="Times New Roman"/>
              <w:b/>
              <w:bCs/>
              <w:color w:val="auto"/>
              <w:kern w:val="2"/>
              <w:sz w:val="24"/>
              <w:szCs w:val="24"/>
              <w:highlight w:val="none"/>
              <w:lang w:val="en-US" w:eastAsia="zh-CN" w:bidi="ar-SA"/>
            </w:rPr>
            <w:t>（1）生活用水</w:t>
          </w:r>
          <w:r>
            <w:rPr>
              <w:rFonts w:hint="eastAsia" w:ascii="Times New Roman" w:hAnsi="Times New Roman" w:eastAsia="宋体" w:cs="Times New Roman"/>
              <w:b/>
              <w:bCs/>
              <w:color w:val="auto"/>
              <w:kern w:val="2"/>
              <w:sz w:val="24"/>
              <w:szCs w:val="24"/>
              <w:highlight w:val="none"/>
              <w:lang w:val="en-US" w:eastAsia="zh-CN" w:bidi="ar-SA"/>
            </w:rPr>
            <w:t>及排水</w:t>
          </w:r>
          <w:r>
            <w:rPr>
              <w:b/>
              <w:bCs/>
              <w:color w:val="auto"/>
              <w:sz w:val="24"/>
              <w:szCs w:val="24"/>
            </w:rPr>
            <w:tab/>
          </w:r>
          <w:r>
            <w:rPr>
              <w:b/>
              <w:bCs/>
              <w:color w:val="auto"/>
              <w:sz w:val="24"/>
              <w:szCs w:val="24"/>
            </w:rPr>
            <w:fldChar w:fldCharType="begin"/>
          </w:r>
          <w:r>
            <w:rPr>
              <w:b/>
              <w:bCs/>
              <w:color w:val="auto"/>
              <w:sz w:val="24"/>
              <w:szCs w:val="24"/>
            </w:rPr>
            <w:instrText xml:space="preserve"> PAGEREF _Toc6242 \h </w:instrText>
          </w:r>
          <w:r>
            <w:rPr>
              <w:b/>
              <w:bCs/>
              <w:color w:val="auto"/>
              <w:sz w:val="24"/>
              <w:szCs w:val="24"/>
            </w:rPr>
            <w:fldChar w:fldCharType="separate"/>
          </w:r>
          <w:r>
            <w:rPr>
              <w:b/>
              <w:bCs/>
              <w:color w:val="auto"/>
              <w:sz w:val="24"/>
              <w:szCs w:val="24"/>
            </w:rPr>
            <w:t>68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_Toc11943 </w:instrText>
          </w:r>
          <w:r>
            <w:rPr>
              <w:b/>
              <w:bCs/>
              <w:color w:val="auto"/>
              <w:sz w:val="24"/>
              <w:szCs w:val="24"/>
            </w:rPr>
            <w:fldChar w:fldCharType="separate"/>
          </w:r>
          <w:r>
            <w:rPr>
              <w:rFonts w:hint="default"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冷却用水及排水</w:t>
          </w:r>
          <w:r>
            <w:rPr>
              <w:b/>
              <w:bCs/>
              <w:color w:val="auto"/>
              <w:sz w:val="24"/>
              <w:szCs w:val="24"/>
            </w:rPr>
            <w:tab/>
          </w:r>
          <w:r>
            <w:rPr>
              <w:b/>
              <w:bCs/>
              <w:color w:val="auto"/>
              <w:sz w:val="24"/>
              <w:szCs w:val="24"/>
            </w:rPr>
            <w:fldChar w:fldCharType="begin"/>
          </w:r>
          <w:r>
            <w:rPr>
              <w:b/>
              <w:bCs/>
              <w:color w:val="auto"/>
              <w:sz w:val="24"/>
              <w:szCs w:val="24"/>
            </w:rPr>
            <w:instrText xml:space="preserve"> PAGEREF _Toc11943 \h </w:instrText>
          </w:r>
          <w:r>
            <w:rPr>
              <w:b/>
              <w:bCs/>
              <w:color w:val="auto"/>
              <w:sz w:val="24"/>
              <w:szCs w:val="24"/>
            </w:rPr>
            <w:fldChar w:fldCharType="separate"/>
          </w:r>
          <w:r>
            <w:rPr>
              <w:b/>
              <w:bCs/>
              <w:color w:val="auto"/>
              <w:sz w:val="24"/>
              <w:szCs w:val="24"/>
            </w:rPr>
            <w:t>69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_Toc32736 </w:instrText>
          </w:r>
          <w:r>
            <w:rPr>
              <w:b/>
              <w:bCs/>
              <w:color w:val="auto"/>
              <w:sz w:val="24"/>
              <w:szCs w:val="24"/>
            </w:rPr>
            <w:fldChar w:fldCharType="separate"/>
          </w:r>
          <w:r>
            <w:rPr>
              <w:rFonts w:hint="eastAsia" w:ascii="Times New Roman" w:hAnsi="Times New Roman" w:eastAsia="宋体" w:cs="Times New Roman"/>
              <w:b/>
              <w:bCs/>
              <w:color w:val="auto"/>
              <w:kern w:val="2"/>
              <w:sz w:val="24"/>
              <w:szCs w:val="24"/>
              <w:highlight w:val="none"/>
              <w:lang w:val="en-US" w:eastAsia="zh-CN" w:bidi="ar-SA"/>
            </w:rPr>
            <w:t>（3）喷淋用水</w:t>
          </w:r>
          <w:r>
            <w:rPr>
              <w:b/>
              <w:bCs/>
              <w:color w:val="auto"/>
              <w:sz w:val="24"/>
              <w:szCs w:val="24"/>
            </w:rPr>
            <w:tab/>
          </w:r>
          <w:r>
            <w:rPr>
              <w:b/>
              <w:bCs/>
              <w:color w:val="auto"/>
              <w:sz w:val="24"/>
              <w:szCs w:val="24"/>
            </w:rPr>
            <w:fldChar w:fldCharType="begin"/>
          </w:r>
          <w:r>
            <w:rPr>
              <w:b/>
              <w:bCs/>
              <w:color w:val="auto"/>
              <w:sz w:val="24"/>
              <w:szCs w:val="24"/>
            </w:rPr>
            <w:instrText xml:space="preserve"> PAGEREF _Toc32736 \h </w:instrText>
          </w:r>
          <w:r>
            <w:rPr>
              <w:b/>
              <w:bCs/>
              <w:color w:val="auto"/>
              <w:sz w:val="24"/>
              <w:szCs w:val="24"/>
            </w:rPr>
            <w:fldChar w:fldCharType="separate"/>
          </w:r>
          <w:r>
            <w:rPr>
              <w:b/>
              <w:bCs/>
              <w:color w:val="auto"/>
              <w:sz w:val="24"/>
              <w:szCs w:val="24"/>
            </w:rPr>
            <w:t>69</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_Toc10637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3.6项目污染源分析</w:t>
          </w:r>
          <w:r>
            <w:rPr>
              <w:b/>
              <w:bCs/>
              <w:color w:val="auto"/>
              <w:sz w:val="24"/>
              <w:szCs w:val="24"/>
            </w:rPr>
            <w:tab/>
          </w:r>
          <w:r>
            <w:rPr>
              <w:b/>
              <w:bCs/>
              <w:color w:val="auto"/>
              <w:sz w:val="24"/>
              <w:szCs w:val="24"/>
            </w:rPr>
            <w:fldChar w:fldCharType="begin"/>
          </w:r>
          <w:r>
            <w:rPr>
              <w:b/>
              <w:bCs/>
              <w:color w:val="auto"/>
              <w:sz w:val="24"/>
              <w:szCs w:val="24"/>
            </w:rPr>
            <w:instrText xml:space="preserve"> PAGEREF _Toc10637 \h </w:instrText>
          </w:r>
          <w:r>
            <w:rPr>
              <w:b/>
              <w:bCs/>
              <w:color w:val="auto"/>
              <w:sz w:val="24"/>
              <w:szCs w:val="24"/>
            </w:rPr>
            <w:fldChar w:fldCharType="separate"/>
          </w:r>
          <w:r>
            <w:rPr>
              <w:b/>
              <w:bCs/>
              <w:color w:val="auto"/>
              <w:sz w:val="24"/>
              <w:szCs w:val="24"/>
            </w:rPr>
            <w:t>71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_Toc2090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3.6.1大气污染源分析</w:t>
          </w:r>
          <w:r>
            <w:rPr>
              <w:b/>
              <w:bCs/>
              <w:color w:val="auto"/>
              <w:sz w:val="24"/>
              <w:szCs w:val="24"/>
            </w:rPr>
            <w:tab/>
          </w:r>
          <w:r>
            <w:rPr>
              <w:b/>
              <w:bCs/>
              <w:color w:val="auto"/>
              <w:sz w:val="24"/>
              <w:szCs w:val="24"/>
            </w:rPr>
            <w:fldChar w:fldCharType="begin"/>
          </w:r>
          <w:r>
            <w:rPr>
              <w:b/>
              <w:bCs/>
              <w:color w:val="auto"/>
              <w:sz w:val="24"/>
              <w:szCs w:val="24"/>
            </w:rPr>
            <w:instrText xml:space="preserve"> PAGEREF _Toc2090 \h </w:instrText>
          </w:r>
          <w:r>
            <w:rPr>
              <w:b/>
              <w:bCs/>
              <w:color w:val="auto"/>
              <w:sz w:val="24"/>
              <w:szCs w:val="24"/>
            </w:rPr>
            <w:fldChar w:fldCharType="separate"/>
          </w:r>
          <w:r>
            <w:rPr>
              <w:b/>
              <w:bCs/>
              <w:color w:val="auto"/>
              <w:sz w:val="24"/>
              <w:szCs w:val="24"/>
            </w:rPr>
            <w:t>71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_Toc32342 </w:instrText>
          </w:r>
          <w:r>
            <w:rPr>
              <w:b/>
              <w:bCs/>
              <w:color w:val="auto"/>
              <w:sz w:val="24"/>
              <w:szCs w:val="24"/>
            </w:rPr>
            <w:fldChar w:fldCharType="separate"/>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）浇筑废气</w:t>
          </w:r>
          <w:r>
            <w:rPr>
              <w:b/>
              <w:bCs/>
              <w:color w:val="auto"/>
              <w:sz w:val="24"/>
              <w:szCs w:val="24"/>
            </w:rPr>
            <w:tab/>
          </w:r>
          <w:r>
            <w:rPr>
              <w:b/>
              <w:bCs/>
              <w:color w:val="auto"/>
              <w:sz w:val="24"/>
              <w:szCs w:val="24"/>
            </w:rPr>
            <w:fldChar w:fldCharType="begin"/>
          </w:r>
          <w:r>
            <w:rPr>
              <w:b/>
              <w:bCs/>
              <w:color w:val="auto"/>
              <w:sz w:val="24"/>
              <w:szCs w:val="24"/>
            </w:rPr>
            <w:instrText xml:space="preserve"> PAGEREF _Toc32342 \h </w:instrText>
          </w:r>
          <w:r>
            <w:rPr>
              <w:b/>
              <w:bCs/>
              <w:color w:val="auto"/>
              <w:sz w:val="24"/>
              <w:szCs w:val="24"/>
            </w:rPr>
            <w:fldChar w:fldCharType="separate"/>
          </w:r>
          <w:r>
            <w:rPr>
              <w:b/>
              <w:bCs/>
              <w:color w:val="auto"/>
              <w:sz w:val="24"/>
              <w:szCs w:val="24"/>
            </w:rPr>
            <w:t>71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_Toc14073 </w:instrText>
          </w:r>
          <w:r>
            <w:rPr>
              <w:b/>
              <w:bCs/>
              <w:color w:val="auto"/>
              <w:sz w:val="24"/>
              <w:szCs w:val="24"/>
            </w:rPr>
            <w:fldChar w:fldCharType="separate"/>
          </w:r>
          <w:r>
            <w:rPr>
              <w:rFonts w:hint="default" w:ascii="Times New Roman" w:hAnsi="Times New Roman" w:eastAsia="宋体" w:cs="Times New Roman"/>
              <w:b/>
              <w:bCs/>
              <w:color w:val="auto"/>
              <w:spacing w:val="3"/>
              <w:sz w:val="24"/>
              <w:szCs w:val="24"/>
              <w:lang w:val="en-US" w:eastAsia="zh-CN"/>
            </w:rPr>
            <w:t>(2)天然气燃烧废气</w:t>
          </w:r>
          <w:r>
            <w:rPr>
              <w:b/>
              <w:bCs/>
              <w:color w:val="auto"/>
              <w:sz w:val="24"/>
              <w:szCs w:val="24"/>
            </w:rPr>
            <w:tab/>
          </w:r>
          <w:r>
            <w:rPr>
              <w:b/>
              <w:bCs/>
              <w:color w:val="auto"/>
              <w:sz w:val="24"/>
              <w:szCs w:val="24"/>
            </w:rPr>
            <w:fldChar w:fldCharType="begin"/>
          </w:r>
          <w:r>
            <w:rPr>
              <w:b/>
              <w:bCs/>
              <w:color w:val="auto"/>
              <w:sz w:val="24"/>
              <w:szCs w:val="24"/>
            </w:rPr>
            <w:instrText xml:space="preserve"> PAGEREF _Toc14073 \h </w:instrText>
          </w:r>
          <w:r>
            <w:rPr>
              <w:b/>
              <w:bCs/>
              <w:color w:val="auto"/>
              <w:sz w:val="24"/>
              <w:szCs w:val="24"/>
            </w:rPr>
            <w:fldChar w:fldCharType="separate"/>
          </w:r>
          <w:r>
            <w:rPr>
              <w:b/>
              <w:bCs/>
              <w:color w:val="auto"/>
              <w:sz w:val="24"/>
              <w:szCs w:val="24"/>
            </w:rPr>
            <w:t>72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_Toc2056 </w:instrText>
          </w:r>
          <w:r>
            <w:rPr>
              <w:b/>
              <w:bCs/>
              <w:color w:val="auto"/>
              <w:sz w:val="24"/>
              <w:szCs w:val="24"/>
            </w:rPr>
            <w:fldChar w:fldCharType="separate"/>
          </w:r>
          <w:r>
            <w:rPr>
              <w:rFonts w:hint="eastAsia" w:ascii="Times New Roman" w:hAnsi="Times New Roman" w:eastAsia="宋体" w:cs="Times New Roman"/>
              <w:b/>
              <w:bCs/>
              <w:color w:val="auto"/>
              <w:spacing w:val="2"/>
              <w:sz w:val="24"/>
              <w:szCs w:val="24"/>
              <w:lang w:eastAsia="zh-CN"/>
            </w:rPr>
            <w:t>（</w:t>
          </w:r>
          <w:r>
            <w:rPr>
              <w:rFonts w:hint="eastAsia" w:ascii="Times New Roman" w:hAnsi="Times New Roman" w:eastAsia="宋体" w:cs="Times New Roman"/>
              <w:b/>
              <w:bCs/>
              <w:color w:val="auto"/>
              <w:spacing w:val="2"/>
              <w:sz w:val="24"/>
              <w:szCs w:val="24"/>
              <w:lang w:val="en-US" w:eastAsia="zh-CN"/>
            </w:rPr>
            <w:t>3</w:t>
          </w:r>
          <w:r>
            <w:rPr>
              <w:rFonts w:hint="eastAsia" w:ascii="Times New Roman" w:hAnsi="Times New Roman" w:eastAsia="宋体" w:cs="Times New Roman"/>
              <w:b/>
              <w:bCs/>
              <w:color w:val="auto"/>
              <w:spacing w:val="2"/>
              <w:sz w:val="24"/>
              <w:szCs w:val="24"/>
              <w:lang w:eastAsia="zh-CN"/>
            </w:rPr>
            <w:t>）</w:t>
          </w:r>
          <w:r>
            <w:rPr>
              <w:rFonts w:hint="default" w:ascii="Times New Roman" w:hAnsi="Times New Roman" w:eastAsia="宋体" w:cs="Times New Roman"/>
              <w:b/>
              <w:bCs/>
              <w:color w:val="auto"/>
              <w:spacing w:val="2"/>
              <w:sz w:val="24"/>
              <w:szCs w:val="24"/>
              <w:lang w:eastAsia="zh-CN"/>
            </w:rPr>
            <w:t>镁板轧机废气</w:t>
          </w:r>
          <w:r>
            <w:rPr>
              <w:b/>
              <w:bCs/>
              <w:color w:val="auto"/>
              <w:sz w:val="24"/>
              <w:szCs w:val="24"/>
            </w:rPr>
            <w:tab/>
          </w:r>
          <w:r>
            <w:rPr>
              <w:b/>
              <w:bCs/>
              <w:color w:val="auto"/>
              <w:sz w:val="24"/>
              <w:szCs w:val="24"/>
            </w:rPr>
            <w:fldChar w:fldCharType="begin"/>
          </w:r>
          <w:r>
            <w:rPr>
              <w:b/>
              <w:bCs/>
              <w:color w:val="auto"/>
              <w:sz w:val="24"/>
              <w:szCs w:val="24"/>
            </w:rPr>
            <w:instrText xml:space="preserve"> PAGEREF _Toc2056 \h </w:instrText>
          </w:r>
          <w:r>
            <w:rPr>
              <w:b/>
              <w:bCs/>
              <w:color w:val="auto"/>
              <w:sz w:val="24"/>
              <w:szCs w:val="24"/>
            </w:rPr>
            <w:fldChar w:fldCharType="separate"/>
          </w:r>
          <w:r>
            <w:rPr>
              <w:b/>
              <w:bCs/>
              <w:color w:val="auto"/>
              <w:sz w:val="24"/>
              <w:szCs w:val="24"/>
            </w:rPr>
            <w:t>73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_Toc32422 </w:instrText>
          </w:r>
          <w:r>
            <w:rPr>
              <w:b/>
              <w:bCs/>
              <w:color w:val="auto"/>
              <w:sz w:val="24"/>
              <w:szCs w:val="24"/>
            </w:rPr>
            <w:fldChar w:fldCharType="separate"/>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等离子喷涂粉尘</w:t>
          </w:r>
          <w:r>
            <w:rPr>
              <w:b/>
              <w:bCs/>
              <w:color w:val="auto"/>
              <w:sz w:val="24"/>
              <w:szCs w:val="24"/>
            </w:rPr>
            <w:tab/>
          </w:r>
          <w:r>
            <w:rPr>
              <w:b/>
              <w:bCs/>
              <w:color w:val="auto"/>
              <w:sz w:val="24"/>
              <w:szCs w:val="24"/>
            </w:rPr>
            <w:fldChar w:fldCharType="begin"/>
          </w:r>
          <w:r>
            <w:rPr>
              <w:b/>
              <w:bCs/>
              <w:color w:val="auto"/>
              <w:sz w:val="24"/>
              <w:szCs w:val="24"/>
            </w:rPr>
            <w:instrText xml:space="preserve"> PAGEREF _Toc32422 \h </w:instrText>
          </w:r>
          <w:r>
            <w:rPr>
              <w:b/>
              <w:bCs/>
              <w:color w:val="auto"/>
              <w:sz w:val="24"/>
              <w:szCs w:val="24"/>
            </w:rPr>
            <w:fldChar w:fldCharType="separate"/>
          </w:r>
          <w:r>
            <w:rPr>
              <w:b/>
              <w:bCs/>
              <w:color w:val="auto"/>
              <w:sz w:val="24"/>
              <w:szCs w:val="24"/>
            </w:rPr>
            <w:t>73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_Toc3419 </w:instrText>
          </w:r>
          <w:r>
            <w:rPr>
              <w:b/>
              <w:bCs/>
              <w:color w:val="auto"/>
              <w:sz w:val="24"/>
              <w:szCs w:val="24"/>
            </w:rPr>
            <w:fldChar w:fldCharType="separate"/>
          </w:r>
          <w:r>
            <w:rPr>
              <w:rFonts w:hint="default" w:ascii="Times New Roman" w:hAnsi="Times New Roman" w:eastAsia="宋体" w:cs="Times New Roman"/>
              <w:b/>
              <w:bCs/>
              <w:color w:val="auto"/>
              <w:sz w:val="24"/>
              <w:szCs w:val="24"/>
              <w:lang w:val="en-US" w:eastAsia="zh-CN"/>
            </w:rPr>
            <w:t>（4）喷漆</w:t>
          </w:r>
          <w:r>
            <w:rPr>
              <w:rFonts w:hint="eastAsia" w:ascii="Times New Roman" w:hAnsi="Times New Roman" w:eastAsia="宋体" w:cs="Times New Roman"/>
              <w:b/>
              <w:bCs/>
              <w:color w:val="auto"/>
              <w:sz w:val="24"/>
              <w:szCs w:val="24"/>
              <w:lang w:val="en-US" w:eastAsia="zh-CN"/>
            </w:rPr>
            <w:t>和烘干废气</w:t>
          </w:r>
          <w:r>
            <w:rPr>
              <w:b/>
              <w:bCs/>
              <w:color w:val="auto"/>
              <w:sz w:val="24"/>
              <w:szCs w:val="24"/>
            </w:rPr>
            <w:tab/>
          </w:r>
          <w:r>
            <w:rPr>
              <w:b/>
              <w:bCs/>
              <w:color w:val="auto"/>
              <w:sz w:val="24"/>
              <w:szCs w:val="24"/>
            </w:rPr>
            <w:fldChar w:fldCharType="begin"/>
          </w:r>
          <w:r>
            <w:rPr>
              <w:b/>
              <w:bCs/>
              <w:color w:val="auto"/>
              <w:sz w:val="24"/>
              <w:szCs w:val="24"/>
            </w:rPr>
            <w:instrText xml:space="preserve"> PAGEREF _Toc3419 \h </w:instrText>
          </w:r>
          <w:r>
            <w:rPr>
              <w:b/>
              <w:bCs/>
              <w:color w:val="auto"/>
              <w:sz w:val="24"/>
              <w:szCs w:val="24"/>
            </w:rPr>
            <w:fldChar w:fldCharType="separate"/>
          </w:r>
          <w:r>
            <w:rPr>
              <w:b/>
              <w:bCs/>
              <w:color w:val="auto"/>
              <w:sz w:val="24"/>
              <w:szCs w:val="24"/>
            </w:rPr>
            <w:t>73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_Toc14785 </w:instrText>
          </w:r>
          <w:r>
            <w:rPr>
              <w:b/>
              <w:bCs/>
              <w:color w:val="auto"/>
              <w:sz w:val="24"/>
              <w:szCs w:val="24"/>
            </w:rPr>
            <w:fldChar w:fldCharType="separate"/>
          </w:r>
          <w:r>
            <w:rPr>
              <w:rFonts w:hint="default" w:ascii="Times New Roman" w:hAnsi="Times New Roman" w:eastAsia="宋体" w:cs="Times New Roman"/>
              <w:b/>
              <w:bCs/>
              <w:color w:val="auto"/>
              <w:sz w:val="24"/>
              <w:szCs w:val="24"/>
              <w:lang w:val="en-US" w:eastAsia="zh-CN"/>
            </w:rPr>
            <w:t>（2）漆雾颗粒</w:t>
          </w:r>
          <w:r>
            <w:rPr>
              <w:b/>
              <w:bCs/>
              <w:color w:val="auto"/>
              <w:sz w:val="24"/>
              <w:szCs w:val="24"/>
            </w:rPr>
            <w:tab/>
          </w:r>
          <w:r>
            <w:rPr>
              <w:b/>
              <w:bCs/>
              <w:color w:val="auto"/>
              <w:sz w:val="24"/>
              <w:szCs w:val="24"/>
            </w:rPr>
            <w:fldChar w:fldCharType="begin"/>
          </w:r>
          <w:r>
            <w:rPr>
              <w:b/>
              <w:bCs/>
              <w:color w:val="auto"/>
              <w:sz w:val="24"/>
              <w:szCs w:val="24"/>
            </w:rPr>
            <w:instrText xml:space="preserve"> PAGEREF _Toc14785 \h </w:instrText>
          </w:r>
          <w:r>
            <w:rPr>
              <w:b/>
              <w:bCs/>
              <w:color w:val="auto"/>
              <w:sz w:val="24"/>
              <w:szCs w:val="24"/>
            </w:rPr>
            <w:fldChar w:fldCharType="separate"/>
          </w:r>
          <w:r>
            <w:rPr>
              <w:b/>
            </w:rPr>
            <w:t>错误！未定义书签。</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_Toc23150 </w:instrText>
          </w:r>
          <w:r>
            <w:rPr>
              <w:b/>
              <w:bCs/>
              <w:color w:val="auto"/>
              <w:sz w:val="24"/>
              <w:szCs w:val="24"/>
            </w:rPr>
            <w:fldChar w:fldCharType="separate"/>
          </w:r>
          <w:r>
            <w:rPr>
              <w:rFonts w:hint="eastAsia" w:ascii="Times New Roman" w:hAnsi="Times New Roman" w:eastAsia="宋体" w:cs="Times New Roman"/>
              <w:b/>
              <w:bCs/>
              <w:color w:val="auto"/>
              <w:sz w:val="24"/>
              <w:szCs w:val="24"/>
              <w:highlight w:val="none"/>
              <w:lang w:val="en-US" w:eastAsia="zh-CN"/>
            </w:rPr>
            <w:t>3.6.2废水污染源分析</w:t>
          </w:r>
          <w:r>
            <w:rPr>
              <w:b/>
              <w:bCs/>
              <w:color w:val="auto"/>
              <w:sz w:val="24"/>
              <w:szCs w:val="24"/>
            </w:rPr>
            <w:tab/>
          </w:r>
          <w:r>
            <w:rPr>
              <w:b/>
              <w:bCs/>
              <w:color w:val="auto"/>
              <w:sz w:val="24"/>
              <w:szCs w:val="24"/>
            </w:rPr>
            <w:fldChar w:fldCharType="begin"/>
          </w:r>
          <w:r>
            <w:rPr>
              <w:b/>
              <w:bCs/>
              <w:color w:val="auto"/>
              <w:sz w:val="24"/>
              <w:szCs w:val="24"/>
            </w:rPr>
            <w:instrText xml:space="preserve"> PAGEREF _Toc23150 \h </w:instrText>
          </w:r>
          <w:r>
            <w:rPr>
              <w:b/>
              <w:bCs/>
              <w:color w:val="auto"/>
              <w:sz w:val="24"/>
              <w:szCs w:val="24"/>
            </w:rPr>
            <w:fldChar w:fldCharType="separate"/>
          </w:r>
          <w:r>
            <w:rPr>
              <w:b/>
              <w:bCs/>
              <w:color w:val="auto"/>
              <w:sz w:val="24"/>
              <w:szCs w:val="24"/>
            </w:rPr>
            <w:t>77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_Toc14455 </w:instrText>
          </w:r>
          <w:r>
            <w:rPr>
              <w:b/>
              <w:bCs/>
              <w:color w:val="auto"/>
              <w:sz w:val="24"/>
              <w:szCs w:val="24"/>
            </w:rPr>
            <w:fldChar w:fldCharType="separate"/>
          </w:r>
          <w:r>
            <w:rPr>
              <w:rFonts w:hint="default" w:ascii="Times New Roman" w:hAnsi="Times New Roman" w:eastAsia="宋体" w:cs="Times New Roman"/>
              <w:b/>
              <w:bCs/>
              <w:color w:val="auto"/>
              <w:kern w:val="2"/>
              <w:sz w:val="24"/>
              <w:szCs w:val="24"/>
              <w:highlight w:val="none"/>
              <w:lang w:val="en-US" w:eastAsia="zh-CN" w:bidi="ar-SA"/>
            </w:rPr>
            <w:t>（1）生活</w:t>
          </w:r>
          <w:r>
            <w:rPr>
              <w:rFonts w:hint="eastAsia" w:ascii="Times New Roman" w:hAnsi="Times New Roman" w:eastAsia="宋体" w:cs="Times New Roman"/>
              <w:b/>
              <w:bCs/>
              <w:color w:val="auto"/>
              <w:kern w:val="2"/>
              <w:sz w:val="24"/>
              <w:szCs w:val="24"/>
              <w:highlight w:val="none"/>
              <w:lang w:val="en-US" w:eastAsia="zh-CN" w:bidi="ar-SA"/>
            </w:rPr>
            <w:t>污水</w:t>
          </w:r>
          <w:r>
            <w:rPr>
              <w:b/>
              <w:bCs/>
              <w:color w:val="auto"/>
              <w:sz w:val="24"/>
              <w:szCs w:val="24"/>
            </w:rPr>
            <w:tab/>
          </w:r>
          <w:r>
            <w:rPr>
              <w:b/>
              <w:bCs/>
              <w:color w:val="auto"/>
              <w:sz w:val="24"/>
              <w:szCs w:val="24"/>
            </w:rPr>
            <w:fldChar w:fldCharType="begin"/>
          </w:r>
          <w:r>
            <w:rPr>
              <w:b/>
              <w:bCs/>
              <w:color w:val="auto"/>
              <w:sz w:val="24"/>
              <w:szCs w:val="24"/>
            </w:rPr>
            <w:instrText xml:space="preserve"> PAGEREF _Toc14455 \h </w:instrText>
          </w:r>
          <w:r>
            <w:rPr>
              <w:b/>
              <w:bCs/>
              <w:color w:val="auto"/>
              <w:sz w:val="24"/>
              <w:szCs w:val="24"/>
            </w:rPr>
            <w:fldChar w:fldCharType="separate"/>
          </w:r>
          <w:r>
            <w:rPr>
              <w:b/>
              <w:bCs/>
              <w:color w:val="auto"/>
              <w:sz w:val="24"/>
              <w:szCs w:val="24"/>
            </w:rPr>
            <w:t>77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_Toc2338 </w:instrText>
          </w:r>
          <w:r>
            <w:rPr>
              <w:b/>
              <w:bCs/>
              <w:color w:val="auto"/>
              <w:sz w:val="24"/>
              <w:szCs w:val="24"/>
            </w:rPr>
            <w:fldChar w:fldCharType="separate"/>
          </w:r>
          <w:r>
            <w:rPr>
              <w:rFonts w:hint="default"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含油冷却排污水</w:t>
          </w:r>
          <w:r>
            <w:rPr>
              <w:b/>
              <w:bCs/>
              <w:color w:val="auto"/>
              <w:sz w:val="24"/>
              <w:szCs w:val="24"/>
            </w:rPr>
            <w:tab/>
          </w:r>
          <w:r>
            <w:rPr>
              <w:b/>
              <w:bCs/>
              <w:color w:val="auto"/>
              <w:sz w:val="24"/>
              <w:szCs w:val="24"/>
            </w:rPr>
            <w:fldChar w:fldCharType="begin"/>
          </w:r>
          <w:r>
            <w:rPr>
              <w:b/>
              <w:bCs/>
              <w:color w:val="auto"/>
              <w:sz w:val="24"/>
              <w:szCs w:val="24"/>
            </w:rPr>
            <w:instrText xml:space="preserve"> PAGEREF _Toc2338 \h </w:instrText>
          </w:r>
          <w:r>
            <w:rPr>
              <w:b/>
              <w:bCs/>
              <w:color w:val="auto"/>
              <w:sz w:val="24"/>
              <w:szCs w:val="24"/>
            </w:rPr>
            <w:fldChar w:fldCharType="separate"/>
          </w:r>
          <w:r>
            <w:rPr>
              <w:b/>
              <w:bCs/>
              <w:color w:val="auto"/>
              <w:sz w:val="24"/>
              <w:szCs w:val="24"/>
            </w:rPr>
            <w:t>77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_Toc5631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6.3</w:t>
          </w:r>
          <w:r>
            <w:rPr>
              <w:rFonts w:hint="default" w:ascii="Times New Roman" w:hAnsi="Times New Roman" w:eastAsia="宋体" w:cs="Times New Roman"/>
              <w:b/>
              <w:bCs/>
              <w:color w:val="auto"/>
              <w:sz w:val="24"/>
              <w:szCs w:val="24"/>
              <w:highlight w:val="none"/>
              <w:lang w:val="en-US" w:eastAsia="zh-CN"/>
            </w:rPr>
            <w:t>噪声</w:t>
          </w:r>
          <w:r>
            <w:rPr>
              <w:rFonts w:hint="eastAsia" w:ascii="Times New Roman" w:hAnsi="Times New Roman" w:eastAsia="宋体" w:cs="Times New Roman"/>
              <w:b/>
              <w:bCs/>
              <w:color w:val="auto"/>
              <w:sz w:val="24"/>
              <w:szCs w:val="24"/>
              <w:highlight w:val="none"/>
              <w:lang w:val="en-US" w:eastAsia="zh-CN"/>
            </w:rPr>
            <w:t>污染源分析</w:t>
          </w:r>
          <w:r>
            <w:rPr>
              <w:b/>
              <w:bCs/>
              <w:color w:val="auto"/>
              <w:sz w:val="24"/>
              <w:szCs w:val="24"/>
            </w:rPr>
            <w:tab/>
          </w:r>
          <w:r>
            <w:rPr>
              <w:b/>
              <w:bCs/>
              <w:color w:val="auto"/>
              <w:sz w:val="24"/>
              <w:szCs w:val="24"/>
            </w:rPr>
            <w:fldChar w:fldCharType="begin"/>
          </w:r>
          <w:r>
            <w:rPr>
              <w:b/>
              <w:bCs/>
              <w:color w:val="auto"/>
              <w:sz w:val="24"/>
              <w:szCs w:val="24"/>
            </w:rPr>
            <w:instrText xml:space="preserve"> PAGEREF _Toc5631 \h </w:instrText>
          </w:r>
          <w:r>
            <w:rPr>
              <w:b/>
              <w:bCs/>
              <w:color w:val="auto"/>
              <w:sz w:val="24"/>
              <w:szCs w:val="24"/>
            </w:rPr>
            <w:fldChar w:fldCharType="separate"/>
          </w:r>
          <w:r>
            <w:rPr>
              <w:b/>
              <w:bCs/>
              <w:color w:val="auto"/>
              <w:sz w:val="24"/>
              <w:szCs w:val="24"/>
            </w:rPr>
            <w:t>78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_Toc30015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6.4</w:t>
          </w:r>
          <w:r>
            <w:rPr>
              <w:rFonts w:hint="default" w:ascii="Times New Roman" w:hAnsi="Times New Roman" w:eastAsia="宋体" w:cs="Times New Roman"/>
              <w:b/>
              <w:bCs/>
              <w:color w:val="auto"/>
              <w:sz w:val="24"/>
              <w:szCs w:val="24"/>
              <w:highlight w:val="none"/>
              <w:lang w:val="en-US" w:eastAsia="zh-CN"/>
            </w:rPr>
            <w:t>固体废物</w:t>
          </w:r>
          <w:r>
            <w:rPr>
              <w:b/>
              <w:bCs/>
              <w:color w:val="auto"/>
              <w:sz w:val="24"/>
              <w:szCs w:val="24"/>
            </w:rPr>
            <w:tab/>
          </w:r>
          <w:r>
            <w:rPr>
              <w:b/>
              <w:bCs/>
              <w:color w:val="auto"/>
              <w:sz w:val="24"/>
              <w:szCs w:val="24"/>
            </w:rPr>
            <w:fldChar w:fldCharType="begin"/>
          </w:r>
          <w:r>
            <w:rPr>
              <w:b/>
              <w:bCs/>
              <w:color w:val="auto"/>
              <w:sz w:val="24"/>
              <w:szCs w:val="24"/>
            </w:rPr>
            <w:instrText xml:space="preserve"> PAGEREF _Toc30015 \h </w:instrText>
          </w:r>
          <w:r>
            <w:rPr>
              <w:b/>
              <w:bCs/>
              <w:color w:val="auto"/>
              <w:sz w:val="24"/>
              <w:szCs w:val="24"/>
            </w:rPr>
            <w:fldChar w:fldCharType="separate"/>
          </w:r>
          <w:r>
            <w:rPr>
              <w:b/>
              <w:bCs/>
              <w:color w:val="auto"/>
              <w:sz w:val="24"/>
              <w:szCs w:val="24"/>
            </w:rPr>
            <w:t>78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_Toc32427 </w:instrText>
          </w:r>
          <w:r>
            <w:rPr>
              <w:b/>
              <w:bCs/>
              <w:color w:val="auto"/>
              <w:sz w:val="24"/>
              <w:szCs w:val="24"/>
            </w:rPr>
            <w:fldChar w:fldCharType="separate"/>
          </w:r>
          <w:r>
            <w:rPr>
              <w:rFonts w:hint="eastAsia" w:ascii="Times New Roman" w:hAnsi="Times New Roman" w:eastAsia="宋体" w:cs="Times New Roman"/>
              <w:b/>
              <w:bCs/>
              <w:snapToGrid w:val="0"/>
              <w:color w:val="auto"/>
              <w:spacing w:val="7"/>
              <w:kern w:val="0"/>
              <w:sz w:val="24"/>
              <w:szCs w:val="24"/>
              <w:lang w:eastAsia="zh-CN"/>
            </w:rPr>
            <w:t>（</w:t>
          </w:r>
          <w:r>
            <w:rPr>
              <w:rFonts w:hint="eastAsia" w:ascii="Times New Roman" w:hAnsi="Times New Roman" w:eastAsia="宋体" w:cs="Times New Roman"/>
              <w:b/>
              <w:bCs/>
              <w:snapToGrid w:val="0"/>
              <w:color w:val="auto"/>
              <w:spacing w:val="7"/>
              <w:kern w:val="0"/>
              <w:sz w:val="24"/>
              <w:szCs w:val="24"/>
              <w:lang w:val="en-US" w:eastAsia="zh-CN"/>
            </w:rPr>
            <w:t>1</w:t>
          </w:r>
          <w:r>
            <w:rPr>
              <w:rFonts w:hint="eastAsia" w:ascii="Times New Roman" w:hAnsi="Times New Roman" w:eastAsia="宋体" w:cs="Times New Roman"/>
              <w:b/>
              <w:bCs/>
              <w:snapToGrid w:val="0"/>
              <w:color w:val="auto"/>
              <w:spacing w:val="7"/>
              <w:kern w:val="0"/>
              <w:sz w:val="24"/>
              <w:szCs w:val="24"/>
              <w:lang w:eastAsia="zh-CN"/>
            </w:rPr>
            <w:t>）</w:t>
          </w:r>
          <w:r>
            <w:rPr>
              <w:rFonts w:hint="default" w:ascii="Times New Roman" w:hAnsi="Times New Roman" w:eastAsia="宋体" w:cs="Times New Roman"/>
              <w:b/>
              <w:bCs/>
              <w:snapToGrid w:val="0"/>
              <w:color w:val="auto"/>
              <w:spacing w:val="7"/>
              <w:kern w:val="0"/>
              <w:sz w:val="24"/>
              <w:szCs w:val="24"/>
            </w:rPr>
            <w:t>一般固废</w:t>
          </w:r>
          <w:r>
            <w:rPr>
              <w:b/>
              <w:bCs/>
              <w:color w:val="auto"/>
              <w:sz w:val="24"/>
              <w:szCs w:val="24"/>
            </w:rPr>
            <w:tab/>
          </w:r>
          <w:r>
            <w:rPr>
              <w:b/>
              <w:bCs/>
              <w:color w:val="auto"/>
              <w:sz w:val="24"/>
              <w:szCs w:val="24"/>
            </w:rPr>
            <w:fldChar w:fldCharType="begin"/>
          </w:r>
          <w:r>
            <w:rPr>
              <w:b/>
              <w:bCs/>
              <w:color w:val="auto"/>
              <w:sz w:val="24"/>
              <w:szCs w:val="24"/>
            </w:rPr>
            <w:instrText xml:space="preserve"> PAGEREF _Toc32427 \h </w:instrText>
          </w:r>
          <w:r>
            <w:rPr>
              <w:b/>
              <w:bCs/>
              <w:color w:val="auto"/>
              <w:sz w:val="24"/>
              <w:szCs w:val="24"/>
            </w:rPr>
            <w:fldChar w:fldCharType="separate"/>
          </w:r>
          <w:r>
            <w:rPr>
              <w:b/>
              <w:bCs/>
              <w:color w:val="auto"/>
              <w:sz w:val="24"/>
              <w:szCs w:val="24"/>
            </w:rPr>
            <w:t>78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_Toc719 </w:instrText>
          </w:r>
          <w:r>
            <w:rPr>
              <w:b/>
              <w:bCs/>
              <w:color w:val="auto"/>
              <w:sz w:val="24"/>
              <w:szCs w:val="24"/>
            </w:rPr>
            <w:fldChar w:fldCharType="separate"/>
          </w:r>
          <w:r>
            <w:rPr>
              <w:rFonts w:hint="eastAsia" w:ascii="Times New Roman" w:hAnsi="Times New Roman" w:eastAsia="宋体" w:cs="Times New Roman"/>
              <w:b/>
              <w:bCs/>
              <w:snapToGrid w:val="0"/>
              <w:color w:val="auto"/>
              <w:spacing w:val="7"/>
              <w:kern w:val="0"/>
              <w:sz w:val="24"/>
              <w:szCs w:val="24"/>
              <w:lang w:eastAsia="zh-CN"/>
            </w:rPr>
            <w:t>（</w:t>
          </w:r>
          <w:r>
            <w:rPr>
              <w:rFonts w:hint="eastAsia" w:ascii="Times New Roman" w:hAnsi="Times New Roman" w:eastAsia="宋体" w:cs="Times New Roman"/>
              <w:b/>
              <w:bCs/>
              <w:snapToGrid w:val="0"/>
              <w:color w:val="auto"/>
              <w:spacing w:val="7"/>
              <w:kern w:val="0"/>
              <w:sz w:val="24"/>
              <w:szCs w:val="24"/>
              <w:lang w:val="en-US" w:eastAsia="zh-CN"/>
            </w:rPr>
            <w:t>2</w:t>
          </w:r>
          <w:r>
            <w:rPr>
              <w:rFonts w:hint="eastAsia" w:ascii="Times New Roman" w:hAnsi="Times New Roman" w:eastAsia="宋体" w:cs="Times New Roman"/>
              <w:b/>
              <w:bCs/>
              <w:snapToGrid w:val="0"/>
              <w:color w:val="auto"/>
              <w:spacing w:val="7"/>
              <w:kern w:val="0"/>
              <w:sz w:val="24"/>
              <w:szCs w:val="24"/>
              <w:lang w:eastAsia="zh-CN"/>
            </w:rPr>
            <w:t>）</w:t>
          </w:r>
          <w:r>
            <w:rPr>
              <w:rFonts w:hint="default" w:ascii="Times New Roman" w:hAnsi="Times New Roman" w:eastAsia="宋体" w:cs="Times New Roman"/>
              <w:b/>
              <w:bCs/>
              <w:snapToGrid w:val="0"/>
              <w:color w:val="auto"/>
              <w:spacing w:val="7"/>
              <w:kern w:val="0"/>
              <w:sz w:val="24"/>
              <w:szCs w:val="24"/>
            </w:rPr>
            <w:t>危险废物</w:t>
          </w:r>
          <w:r>
            <w:rPr>
              <w:b/>
              <w:bCs/>
              <w:color w:val="auto"/>
              <w:sz w:val="24"/>
              <w:szCs w:val="24"/>
            </w:rPr>
            <w:tab/>
          </w:r>
          <w:r>
            <w:rPr>
              <w:b/>
              <w:bCs/>
              <w:color w:val="auto"/>
              <w:sz w:val="24"/>
              <w:szCs w:val="24"/>
            </w:rPr>
            <w:fldChar w:fldCharType="begin"/>
          </w:r>
          <w:r>
            <w:rPr>
              <w:b/>
              <w:bCs/>
              <w:color w:val="auto"/>
              <w:sz w:val="24"/>
              <w:szCs w:val="24"/>
            </w:rPr>
            <w:instrText xml:space="preserve"> PAGEREF _Toc719 \h </w:instrText>
          </w:r>
          <w:r>
            <w:rPr>
              <w:b/>
              <w:bCs/>
              <w:color w:val="auto"/>
              <w:sz w:val="24"/>
              <w:szCs w:val="24"/>
            </w:rPr>
            <w:fldChar w:fldCharType="separate"/>
          </w:r>
          <w:r>
            <w:rPr>
              <w:b/>
              <w:bCs/>
              <w:color w:val="auto"/>
              <w:sz w:val="24"/>
              <w:szCs w:val="24"/>
            </w:rPr>
            <w:t>79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_Toc4950 </w:instrText>
          </w:r>
          <w:r>
            <w:rPr>
              <w:b/>
              <w:bCs/>
              <w:color w:val="auto"/>
              <w:sz w:val="24"/>
              <w:szCs w:val="24"/>
            </w:rPr>
            <w:fldChar w:fldCharType="separate"/>
          </w:r>
          <w:r>
            <w:rPr>
              <w:rFonts w:hint="eastAsia" w:ascii="Times New Roman" w:hAnsi="Times New Roman" w:eastAsia="宋体" w:cs="Times New Roman"/>
              <w:b/>
              <w:bCs/>
              <w:snapToGrid w:val="0"/>
              <w:color w:val="auto"/>
              <w:spacing w:val="22"/>
              <w:kern w:val="0"/>
              <w:sz w:val="24"/>
              <w:szCs w:val="24"/>
              <w:lang w:eastAsia="zh-CN"/>
            </w:rPr>
            <w:t>（</w:t>
          </w:r>
          <w:r>
            <w:rPr>
              <w:rFonts w:hint="eastAsia" w:ascii="Times New Roman" w:hAnsi="Times New Roman" w:eastAsia="宋体" w:cs="Times New Roman"/>
              <w:b/>
              <w:bCs/>
              <w:snapToGrid w:val="0"/>
              <w:color w:val="auto"/>
              <w:spacing w:val="22"/>
              <w:kern w:val="0"/>
              <w:sz w:val="24"/>
              <w:szCs w:val="24"/>
              <w:lang w:val="en-US" w:eastAsia="zh-CN"/>
            </w:rPr>
            <w:t>3</w:t>
          </w:r>
          <w:r>
            <w:rPr>
              <w:rFonts w:hint="eastAsia" w:ascii="Times New Roman" w:hAnsi="Times New Roman" w:eastAsia="宋体" w:cs="Times New Roman"/>
              <w:b/>
              <w:bCs/>
              <w:snapToGrid w:val="0"/>
              <w:color w:val="auto"/>
              <w:spacing w:val="22"/>
              <w:kern w:val="0"/>
              <w:sz w:val="24"/>
              <w:szCs w:val="24"/>
              <w:lang w:eastAsia="zh-CN"/>
            </w:rPr>
            <w:t>）</w:t>
          </w:r>
          <w:r>
            <w:rPr>
              <w:rFonts w:hint="default" w:ascii="Times New Roman" w:hAnsi="Times New Roman" w:eastAsia="宋体" w:cs="Times New Roman"/>
              <w:b/>
              <w:bCs/>
              <w:snapToGrid w:val="0"/>
              <w:color w:val="auto"/>
              <w:spacing w:val="11"/>
              <w:kern w:val="0"/>
              <w:sz w:val="24"/>
              <w:szCs w:val="24"/>
            </w:rPr>
            <w:t>生活垃圾</w:t>
          </w:r>
          <w:r>
            <w:rPr>
              <w:b/>
              <w:bCs/>
              <w:color w:val="auto"/>
              <w:sz w:val="24"/>
              <w:szCs w:val="24"/>
            </w:rPr>
            <w:tab/>
          </w:r>
          <w:r>
            <w:rPr>
              <w:b/>
              <w:bCs/>
              <w:color w:val="auto"/>
              <w:sz w:val="24"/>
              <w:szCs w:val="24"/>
            </w:rPr>
            <w:fldChar w:fldCharType="begin"/>
          </w:r>
          <w:r>
            <w:rPr>
              <w:b/>
              <w:bCs/>
              <w:color w:val="auto"/>
              <w:sz w:val="24"/>
              <w:szCs w:val="24"/>
            </w:rPr>
            <w:instrText xml:space="preserve"> PAGEREF _Toc4950 \h </w:instrText>
          </w:r>
          <w:r>
            <w:rPr>
              <w:b/>
              <w:bCs/>
              <w:color w:val="auto"/>
              <w:sz w:val="24"/>
              <w:szCs w:val="24"/>
            </w:rPr>
            <w:fldChar w:fldCharType="separate"/>
          </w:r>
          <w:r>
            <w:rPr>
              <w:b/>
              <w:bCs/>
              <w:color w:val="auto"/>
              <w:sz w:val="24"/>
              <w:szCs w:val="24"/>
            </w:rPr>
            <w:t>79</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_Toc20570 </w:instrText>
          </w:r>
          <w:r>
            <w:rPr>
              <w:b/>
              <w:bCs/>
              <w:color w:val="auto"/>
              <w:sz w:val="24"/>
              <w:szCs w:val="24"/>
            </w:rPr>
            <w:fldChar w:fldCharType="separate"/>
          </w:r>
          <w:r>
            <w:rPr>
              <w:rFonts w:hint="default"/>
              <w:b/>
              <w:bCs/>
              <w:color w:val="auto"/>
              <w:sz w:val="24"/>
              <w:szCs w:val="24"/>
            </w:rPr>
            <w:t>3.6污染物排放量汇总</w:t>
          </w:r>
          <w:r>
            <w:rPr>
              <w:b/>
              <w:bCs/>
              <w:color w:val="auto"/>
              <w:sz w:val="24"/>
              <w:szCs w:val="24"/>
            </w:rPr>
            <w:tab/>
          </w:r>
          <w:r>
            <w:rPr>
              <w:b/>
              <w:bCs/>
              <w:color w:val="auto"/>
              <w:sz w:val="24"/>
              <w:szCs w:val="24"/>
            </w:rPr>
            <w:fldChar w:fldCharType="begin"/>
          </w:r>
          <w:r>
            <w:rPr>
              <w:b/>
              <w:bCs/>
              <w:color w:val="auto"/>
              <w:sz w:val="24"/>
              <w:szCs w:val="24"/>
            </w:rPr>
            <w:instrText xml:space="preserve"> PAGEREF _Toc20570 \h </w:instrText>
          </w:r>
          <w:r>
            <w:rPr>
              <w:b/>
              <w:bCs/>
              <w:color w:val="auto"/>
              <w:sz w:val="24"/>
              <w:szCs w:val="24"/>
            </w:rPr>
            <w:fldChar w:fldCharType="separate"/>
          </w:r>
          <w:r>
            <w:rPr>
              <w:b/>
              <w:bCs/>
              <w:color w:val="auto"/>
              <w:sz w:val="24"/>
              <w:szCs w:val="24"/>
            </w:rPr>
            <w:t>81</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_Toc15668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第4章环境现状调查与评价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_Toc15668 \h </w:instrText>
          </w:r>
          <w:r>
            <w:rPr>
              <w:b/>
              <w:bCs/>
              <w:color w:val="auto"/>
              <w:sz w:val="24"/>
              <w:szCs w:val="24"/>
            </w:rPr>
            <w:fldChar w:fldCharType="separate"/>
          </w:r>
          <w:r>
            <w:rPr>
              <w:b/>
              <w:bCs/>
              <w:color w:val="auto"/>
              <w:sz w:val="24"/>
              <w:szCs w:val="24"/>
            </w:rPr>
            <w:t>84</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_Toc31712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4.1自然环境概况</w:t>
          </w:r>
          <w:r>
            <w:rPr>
              <w:b/>
              <w:bCs/>
              <w:color w:val="auto"/>
              <w:sz w:val="24"/>
              <w:szCs w:val="24"/>
            </w:rPr>
            <w:tab/>
          </w:r>
          <w:r>
            <w:rPr>
              <w:b/>
              <w:bCs/>
              <w:color w:val="auto"/>
              <w:sz w:val="24"/>
              <w:szCs w:val="24"/>
            </w:rPr>
            <w:fldChar w:fldCharType="begin"/>
          </w:r>
          <w:r>
            <w:rPr>
              <w:b/>
              <w:bCs/>
              <w:color w:val="auto"/>
              <w:sz w:val="24"/>
              <w:szCs w:val="24"/>
            </w:rPr>
            <w:instrText xml:space="preserve"> PAGEREF _Toc31712 \h </w:instrText>
          </w:r>
          <w:r>
            <w:rPr>
              <w:b/>
              <w:bCs/>
              <w:color w:val="auto"/>
              <w:sz w:val="24"/>
              <w:szCs w:val="24"/>
            </w:rPr>
            <w:fldChar w:fldCharType="separate"/>
          </w:r>
          <w:r>
            <w:rPr>
              <w:b/>
              <w:bCs/>
              <w:color w:val="auto"/>
              <w:sz w:val="24"/>
              <w:szCs w:val="24"/>
            </w:rPr>
            <w:t>84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_Toc7521 </w:instrText>
          </w:r>
          <w:r>
            <w:rPr>
              <w:b/>
              <w:bCs/>
              <w:color w:val="auto"/>
              <w:sz w:val="24"/>
              <w:szCs w:val="24"/>
            </w:rPr>
            <w:fldChar w:fldCharType="separate"/>
          </w:r>
          <w:r>
            <w:rPr>
              <w:rFonts w:hint="default"/>
              <w:b/>
              <w:bCs/>
              <w:color w:val="auto"/>
              <w:sz w:val="24"/>
              <w:szCs w:val="24"/>
              <w:lang w:val="en-US" w:eastAsia="zh-CN"/>
            </w:rPr>
            <w:t>4.1.1地理位置</w:t>
          </w:r>
          <w:r>
            <w:rPr>
              <w:b/>
              <w:bCs/>
              <w:color w:val="auto"/>
              <w:sz w:val="24"/>
              <w:szCs w:val="24"/>
            </w:rPr>
            <w:tab/>
          </w:r>
          <w:r>
            <w:rPr>
              <w:b/>
              <w:bCs/>
              <w:color w:val="auto"/>
              <w:sz w:val="24"/>
              <w:szCs w:val="24"/>
            </w:rPr>
            <w:fldChar w:fldCharType="begin"/>
          </w:r>
          <w:r>
            <w:rPr>
              <w:b/>
              <w:bCs/>
              <w:color w:val="auto"/>
              <w:sz w:val="24"/>
              <w:szCs w:val="24"/>
            </w:rPr>
            <w:instrText xml:space="preserve"> PAGEREF _Toc7521 \h </w:instrText>
          </w:r>
          <w:r>
            <w:rPr>
              <w:b/>
              <w:bCs/>
              <w:color w:val="auto"/>
              <w:sz w:val="24"/>
              <w:szCs w:val="24"/>
            </w:rPr>
            <w:fldChar w:fldCharType="separate"/>
          </w:r>
          <w:r>
            <w:rPr>
              <w:b/>
              <w:bCs/>
              <w:color w:val="auto"/>
              <w:sz w:val="24"/>
              <w:szCs w:val="24"/>
            </w:rPr>
            <w:t>84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_Toc6340 </w:instrText>
          </w:r>
          <w:r>
            <w:rPr>
              <w:b/>
              <w:bCs/>
              <w:color w:val="auto"/>
              <w:sz w:val="24"/>
              <w:szCs w:val="24"/>
            </w:rPr>
            <w:fldChar w:fldCharType="separate"/>
          </w:r>
          <w:r>
            <w:rPr>
              <w:rFonts w:hint="default" w:ascii="Times New Roman" w:hAnsi="Times New Roman" w:eastAsia="宋体"/>
              <w:b/>
              <w:bCs/>
              <w:color w:val="auto"/>
              <w:sz w:val="24"/>
              <w:szCs w:val="24"/>
              <w:lang w:val="en-US" w:eastAsia="zh-CN"/>
            </w:rPr>
            <w:t>4.1.2地质地貌</w:t>
          </w:r>
          <w:r>
            <w:rPr>
              <w:b/>
              <w:bCs/>
              <w:color w:val="auto"/>
              <w:sz w:val="24"/>
              <w:szCs w:val="24"/>
            </w:rPr>
            <w:tab/>
          </w:r>
          <w:r>
            <w:rPr>
              <w:b/>
              <w:bCs/>
              <w:color w:val="auto"/>
              <w:sz w:val="24"/>
              <w:szCs w:val="24"/>
            </w:rPr>
            <w:fldChar w:fldCharType="begin"/>
          </w:r>
          <w:r>
            <w:rPr>
              <w:b/>
              <w:bCs/>
              <w:color w:val="auto"/>
              <w:sz w:val="24"/>
              <w:szCs w:val="24"/>
            </w:rPr>
            <w:instrText xml:space="preserve"> PAGEREF _Toc6340 \h </w:instrText>
          </w:r>
          <w:r>
            <w:rPr>
              <w:b/>
              <w:bCs/>
              <w:color w:val="auto"/>
              <w:sz w:val="24"/>
              <w:szCs w:val="24"/>
            </w:rPr>
            <w:fldChar w:fldCharType="separate"/>
          </w:r>
          <w:r>
            <w:rPr>
              <w:b/>
              <w:bCs/>
              <w:color w:val="auto"/>
              <w:sz w:val="24"/>
              <w:szCs w:val="24"/>
            </w:rPr>
            <w:t>84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_Toc23961 </w:instrText>
          </w:r>
          <w:r>
            <w:rPr>
              <w:b/>
              <w:bCs/>
              <w:color w:val="auto"/>
              <w:sz w:val="24"/>
              <w:szCs w:val="24"/>
            </w:rPr>
            <w:fldChar w:fldCharType="separate"/>
          </w:r>
          <w:r>
            <w:rPr>
              <w:rFonts w:hint="default" w:ascii="Times New Roman" w:hAnsi="Times New Roman" w:eastAsia="宋体"/>
              <w:b/>
              <w:bCs/>
              <w:color w:val="auto"/>
              <w:sz w:val="24"/>
              <w:szCs w:val="24"/>
              <w:lang w:val="en-US" w:eastAsia="zh-CN"/>
            </w:rPr>
            <w:t>4.1.3气象气候</w:t>
          </w:r>
          <w:r>
            <w:rPr>
              <w:b/>
              <w:bCs/>
              <w:color w:val="auto"/>
              <w:sz w:val="24"/>
              <w:szCs w:val="24"/>
            </w:rPr>
            <w:tab/>
          </w:r>
          <w:r>
            <w:rPr>
              <w:b/>
              <w:bCs/>
              <w:color w:val="auto"/>
              <w:sz w:val="24"/>
              <w:szCs w:val="24"/>
            </w:rPr>
            <w:fldChar w:fldCharType="begin"/>
          </w:r>
          <w:r>
            <w:rPr>
              <w:b/>
              <w:bCs/>
              <w:color w:val="auto"/>
              <w:sz w:val="24"/>
              <w:szCs w:val="24"/>
            </w:rPr>
            <w:instrText xml:space="preserve"> PAGEREF _Toc23961 \h </w:instrText>
          </w:r>
          <w:r>
            <w:rPr>
              <w:b/>
              <w:bCs/>
              <w:color w:val="auto"/>
              <w:sz w:val="24"/>
              <w:szCs w:val="24"/>
            </w:rPr>
            <w:fldChar w:fldCharType="separate"/>
          </w:r>
          <w:r>
            <w:rPr>
              <w:b/>
              <w:bCs/>
              <w:color w:val="auto"/>
              <w:sz w:val="24"/>
              <w:szCs w:val="24"/>
            </w:rPr>
            <w:t>84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_Toc9741 </w:instrText>
          </w:r>
          <w:r>
            <w:rPr>
              <w:b/>
              <w:bCs/>
              <w:color w:val="auto"/>
              <w:sz w:val="24"/>
              <w:szCs w:val="24"/>
            </w:rPr>
            <w:fldChar w:fldCharType="separate"/>
          </w:r>
          <w:r>
            <w:rPr>
              <w:rFonts w:hint="default" w:ascii="Times New Roman" w:hAnsi="Times New Roman" w:eastAsia="宋体"/>
              <w:b/>
              <w:bCs/>
              <w:color w:val="auto"/>
              <w:sz w:val="24"/>
              <w:szCs w:val="24"/>
              <w:lang w:val="en-US" w:eastAsia="zh-CN"/>
            </w:rPr>
            <w:t>4.1.4水文</w:t>
          </w:r>
          <w:r>
            <w:rPr>
              <w:b/>
              <w:bCs/>
              <w:color w:val="auto"/>
              <w:sz w:val="24"/>
              <w:szCs w:val="24"/>
            </w:rPr>
            <w:tab/>
          </w:r>
          <w:r>
            <w:rPr>
              <w:b/>
              <w:bCs/>
              <w:color w:val="auto"/>
              <w:sz w:val="24"/>
              <w:szCs w:val="24"/>
            </w:rPr>
            <w:fldChar w:fldCharType="begin"/>
          </w:r>
          <w:r>
            <w:rPr>
              <w:b/>
              <w:bCs/>
              <w:color w:val="auto"/>
              <w:sz w:val="24"/>
              <w:szCs w:val="24"/>
            </w:rPr>
            <w:instrText xml:space="preserve"> PAGEREF _Toc9741 \h </w:instrText>
          </w:r>
          <w:r>
            <w:rPr>
              <w:b/>
              <w:bCs/>
              <w:color w:val="auto"/>
              <w:sz w:val="24"/>
              <w:szCs w:val="24"/>
            </w:rPr>
            <w:fldChar w:fldCharType="separate"/>
          </w:r>
          <w:r>
            <w:rPr>
              <w:b/>
              <w:bCs/>
              <w:color w:val="auto"/>
              <w:sz w:val="24"/>
              <w:szCs w:val="24"/>
            </w:rPr>
            <w:t>85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_Toc5122 </w:instrText>
          </w:r>
          <w:r>
            <w:rPr>
              <w:b/>
              <w:bCs/>
              <w:color w:val="auto"/>
              <w:sz w:val="24"/>
              <w:szCs w:val="24"/>
            </w:rPr>
            <w:fldChar w:fldCharType="separate"/>
          </w:r>
          <w:r>
            <w:rPr>
              <w:rFonts w:hint="default"/>
              <w:b/>
              <w:bCs/>
              <w:color w:val="auto"/>
              <w:sz w:val="24"/>
              <w:szCs w:val="24"/>
              <w:lang w:val="en-US" w:eastAsia="zh-CN"/>
            </w:rPr>
            <w:t>4.1.5土壤</w:t>
          </w:r>
          <w:r>
            <w:rPr>
              <w:b/>
              <w:bCs/>
              <w:color w:val="auto"/>
              <w:sz w:val="24"/>
              <w:szCs w:val="24"/>
            </w:rPr>
            <w:tab/>
          </w:r>
          <w:r>
            <w:rPr>
              <w:b/>
              <w:bCs/>
              <w:color w:val="auto"/>
              <w:sz w:val="24"/>
              <w:szCs w:val="24"/>
            </w:rPr>
            <w:fldChar w:fldCharType="begin"/>
          </w:r>
          <w:r>
            <w:rPr>
              <w:b/>
              <w:bCs/>
              <w:color w:val="auto"/>
              <w:sz w:val="24"/>
              <w:szCs w:val="24"/>
            </w:rPr>
            <w:instrText xml:space="preserve"> PAGEREF _Toc5122 \h </w:instrText>
          </w:r>
          <w:r>
            <w:rPr>
              <w:b/>
              <w:bCs/>
              <w:color w:val="auto"/>
              <w:sz w:val="24"/>
              <w:szCs w:val="24"/>
            </w:rPr>
            <w:fldChar w:fldCharType="separate"/>
          </w:r>
          <w:r>
            <w:rPr>
              <w:b/>
              <w:bCs/>
              <w:color w:val="auto"/>
              <w:sz w:val="24"/>
              <w:szCs w:val="24"/>
            </w:rPr>
            <w:t>87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_Toc4005 </w:instrText>
          </w:r>
          <w:r>
            <w:rPr>
              <w:b/>
              <w:bCs/>
              <w:color w:val="auto"/>
              <w:sz w:val="24"/>
              <w:szCs w:val="24"/>
            </w:rPr>
            <w:fldChar w:fldCharType="separate"/>
          </w:r>
          <w:r>
            <w:rPr>
              <w:rFonts w:hint="default"/>
              <w:b/>
              <w:bCs/>
              <w:color w:val="auto"/>
              <w:sz w:val="24"/>
              <w:szCs w:val="24"/>
              <w:lang w:val="en-US" w:eastAsia="zh-CN"/>
            </w:rPr>
            <w:t>4.1.6地震</w:t>
          </w:r>
          <w:r>
            <w:rPr>
              <w:b/>
              <w:bCs/>
              <w:color w:val="auto"/>
              <w:sz w:val="24"/>
              <w:szCs w:val="24"/>
            </w:rPr>
            <w:tab/>
          </w:r>
          <w:r>
            <w:rPr>
              <w:b/>
              <w:bCs/>
              <w:color w:val="auto"/>
              <w:sz w:val="24"/>
              <w:szCs w:val="24"/>
            </w:rPr>
            <w:fldChar w:fldCharType="begin"/>
          </w:r>
          <w:r>
            <w:rPr>
              <w:b/>
              <w:bCs/>
              <w:color w:val="auto"/>
              <w:sz w:val="24"/>
              <w:szCs w:val="24"/>
            </w:rPr>
            <w:instrText xml:space="preserve"> PAGEREF _Toc4005 \h </w:instrText>
          </w:r>
          <w:r>
            <w:rPr>
              <w:b/>
              <w:bCs/>
              <w:color w:val="auto"/>
              <w:sz w:val="24"/>
              <w:szCs w:val="24"/>
            </w:rPr>
            <w:fldChar w:fldCharType="separate"/>
          </w:r>
          <w:r>
            <w:rPr>
              <w:b/>
              <w:bCs/>
              <w:color w:val="auto"/>
              <w:sz w:val="24"/>
              <w:szCs w:val="24"/>
            </w:rPr>
            <w:t>87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_Toc14828 </w:instrText>
          </w:r>
          <w:r>
            <w:rPr>
              <w:b/>
              <w:bCs/>
              <w:color w:val="auto"/>
              <w:sz w:val="24"/>
              <w:szCs w:val="24"/>
            </w:rPr>
            <w:fldChar w:fldCharType="separate"/>
          </w:r>
          <w:r>
            <w:rPr>
              <w:rFonts w:hint="default"/>
              <w:b/>
              <w:bCs/>
              <w:color w:val="auto"/>
              <w:sz w:val="24"/>
              <w:szCs w:val="24"/>
              <w:lang w:val="en-US" w:eastAsia="zh-CN"/>
            </w:rPr>
            <w:t>4.1.7生态环境现状调查</w:t>
          </w:r>
          <w:r>
            <w:rPr>
              <w:b/>
              <w:bCs/>
              <w:color w:val="auto"/>
              <w:sz w:val="24"/>
              <w:szCs w:val="24"/>
            </w:rPr>
            <w:tab/>
          </w:r>
          <w:r>
            <w:rPr>
              <w:b/>
              <w:bCs/>
              <w:color w:val="auto"/>
              <w:sz w:val="24"/>
              <w:szCs w:val="24"/>
            </w:rPr>
            <w:fldChar w:fldCharType="begin"/>
          </w:r>
          <w:r>
            <w:rPr>
              <w:b/>
              <w:bCs/>
              <w:color w:val="auto"/>
              <w:sz w:val="24"/>
              <w:szCs w:val="24"/>
            </w:rPr>
            <w:instrText xml:space="preserve"> PAGEREF _Toc14828 \h </w:instrText>
          </w:r>
          <w:r>
            <w:rPr>
              <w:b/>
              <w:bCs/>
              <w:color w:val="auto"/>
              <w:sz w:val="24"/>
              <w:szCs w:val="24"/>
            </w:rPr>
            <w:fldChar w:fldCharType="separate"/>
          </w:r>
          <w:r>
            <w:rPr>
              <w:b/>
              <w:bCs/>
              <w:color w:val="auto"/>
              <w:sz w:val="24"/>
              <w:szCs w:val="24"/>
            </w:rPr>
            <w:t>88</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_Toc23155 </w:instrText>
          </w:r>
          <w:r>
            <w:rPr>
              <w:b/>
              <w:bCs/>
              <w:color w:val="auto"/>
              <w:sz w:val="24"/>
              <w:szCs w:val="24"/>
            </w:rPr>
            <w:fldChar w:fldCharType="separate"/>
          </w:r>
          <w:r>
            <w:rPr>
              <w:rFonts w:hint="default"/>
              <w:b/>
              <w:bCs/>
              <w:color w:val="auto"/>
              <w:sz w:val="24"/>
              <w:szCs w:val="24"/>
              <w:lang w:val="en-US" w:eastAsia="zh-CN"/>
            </w:rPr>
            <w:t>4.2湖南城陵矶临港产业新区概况</w:t>
          </w:r>
          <w:r>
            <w:rPr>
              <w:b/>
              <w:bCs/>
              <w:color w:val="auto"/>
              <w:sz w:val="24"/>
              <w:szCs w:val="24"/>
            </w:rPr>
            <w:tab/>
          </w:r>
          <w:r>
            <w:rPr>
              <w:b/>
              <w:bCs/>
              <w:color w:val="auto"/>
              <w:sz w:val="24"/>
              <w:szCs w:val="24"/>
            </w:rPr>
            <w:fldChar w:fldCharType="begin"/>
          </w:r>
          <w:r>
            <w:rPr>
              <w:b/>
              <w:bCs/>
              <w:color w:val="auto"/>
              <w:sz w:val="24"/>
              <w:szCs w:val="24"/>
            </w:rPr>
            <w:instrText xml:space="preserve"> PAGEREF _Toc23155 \h </w:instrText>
          </w:r>
          <w:r>
            <w:rPr>
              <w:b/>
              <w:bCs/>
              <w:color w:val="auto"/>
              <w:sz w:val="24"/>
              <w:szCs w:val="24"/>
            </w:rPr>
            <w:fldChar w:fldCharType="separate"/>
          </w:r>
          <w:r>
            <w:rPr>
              <w:b/>
              <w:bCs/>
              <w:color w:val="auto"/>
              <w:sz w:val="24"/>
              <w:szCs w:val="24"/>
            </w:rPr>
            <w:t>88</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_Toc23187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4.</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区域环境质量现状调查与评价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_Toc23187 \h </w:instrText>
          </w:r>
          <w:r>
            <w:rPr>
              <w:b/>
              <w:bCs/>
              <w:color w:val="auto"/>
              <w:sz w:val="24"/>
              <w:szCs w:val="24"/>
            </w:rPr>
            <w:fldChar w:fldCharType="separate"/>
          </w:r>
          <w:r>
            <w:rPr>
              <w:b/>
              <w:bCs/>
              <w:color w:val="auto"/>
              <w:sz w:val="24"/>
              <w:szCs w:val="24"/>
            </w:rPr>
            <w:t>89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_Toc15356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4.</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.1环境空气质量现状调查与评价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_Toc15356 \h </w:instrText>
          </w:r>
          <w:r>
            <w:rPr>
              <w:b/>
              <w:bCs/>
              <w:color w:val="auto"/>
              <w:sz w:val="24"/>
              <w:szCs w:val="24"/>
            </w:rPr>
            <w:fldChar w:fldCharType="separate"/>
          </w:r>
          <w:r>
            <w:rPr>
              <w:b/>
              <w:bCs/>
              <w:color w:val="auto"/>
              <w:sz w:val="24"/>
              <w:szCs w:val="24"/>
            </w:rPr>
            <w:t>89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_Toc3058 </w:instrText>
          </w:r>
          <w:r>
            <w:rPr>
              <w:b/>
              <w:bCs/>
              <w:color w:val="auto"/>
              <w:sz w:val="24"/>
              <w:szCs w:val="24"/>
            </w:rPr>
            <w:fldChar w:fldCharType="separate"/>
          </w:r>
          <w:r>
            <w:rPr>
              <w:rFonts w:hint="default"/>
              <w:b/>
              <w:bCs/>
              <w:color w:val="auto"/>
              <w:sz w:val="24"/>
              <w:szCs w:val="24"/>
            </w:rPr>
            <w:t>4.</w:t>
          </w:r>
          <w:r>
            <w:rPr>
              <w:rFonts w:hint="eastAsia"/>
              <w:b/>
              <w:bCs/>
              <w:color w:val="auto"/>
              <w:sz w:val="24"/>
              <w:szCs w:val="24"/>
              <w:lang w:val="en-US" w:eastAsia="zh-CN"/>
            </w:rPr>
            <w:t>4</w:t>
          </w:r>
          <w:r>
            <w:rPr>
              <w:rFonts w:hint="default"/>
              <w:b/>
              <w:bCs/>
              <w:color w:val="auto"/>
              <w:sz w:val="24"/>
              <w:szCs w:val="24"/>
            </w:rPr>
            <w:t>.2地表水环境质量现状调查与评价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_Toc3058 \h </w:instrText>
          </w:r>
          <w:r>
            <w:rPr>
              <w:b/>
              <w:bCs/>
              <w:color w:val="auto"/>
              <w:sz w:val="24"/>
              <w:szCs w:val="24"/>
            </w:rPr>
            <w:fldChar w:fldCharType="separate"/>
          </w:r>
          <w:r>
            <w:rPr>
              <w:b/>
              <w:bCs/>
              <w:color w:val="auto"/>
              <w:sz w:val="24"/>
              <w:szCs w:val="24"/>
            </w:rPr>
            <w:t>91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_Toc6573 </w:instrText>
          </w:r>
          <w:r>
            <w:rPr>
              <w:b/>
              <w:bCs/>
              <w:color w:val="auto"/>
              <w:sz w:val="24"/>
              <w:szCs w:val="24"/>
            </w:rPr>
            <w:fldChar w:fldCharType="separate"/>
          </w:r>
          <w:r>
            <w:rPr>
              <w:rFonts w:hint="default"/>
              <w:b/>
              <w:bCs/>
              <w:color w:val="auto"/>
              <w:sz w:val="24"/>
              <w:szCs w:val="24"/>
            </w:rPr>
            <w:t>4.</w:t>
          </w:r>
          <w:r>
            <w:rPr>
              <w:rFonts w:hint="eastAsia"/>
              <w:b/>
              <w:bCs/>
              <w:color w:val="auto"/>
              <w:sz w:val="24"/>
              <w:szCs w:val="24"/>
              <w:lang w:val="en-US" w:eastAsia="zh-CN"/>
            </w:rPr>
            <w:t>4</w:t>
          </w:r>
          <w:r>
            <w:rPr>
              <w:rFonts w:hint="default"/>
              <w:b/>
              <w:bCs/>
              <w:color w:val="auto"/>
              <w:sz w:val="24"/>
              <w:szCs w:val="24"/>
            </w:rPr>
            <w:t>.3地下水环境质量现状调查与评价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_Toc6573 \h </w:instrText>
          </w:r>
          <w:r>
            <w:rPr>
              <w:b/>
              <w:bCs/>
              <w:color w:val="auto"/>
              <w:sz w:val="24"/>
              <w:szCs w:val="24"/>
            </w:rPr>
            <w:fldChar w:fldCharType="separate"/>
          </w:r>
          <w:r>
            <w:rPr>
              <w:b/>
              <w:bCs/>
              <w:color w:val="auto"/>
              <w:sz w:val="24"/>
              <w:szCs w:val="24"/>
            </w:rPr>
            <w:t>93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_Toc10515 </w:instrText>
          </w:r>
          <w:r>
            <w:rPr>
              <w:b/>
              <w:bCs/>
              <w:color w:val="auto"/>
              <w:sz w:val="24"/>
              <w:szCs w:val="24"/>
            </w:rPr>
            <w:fldChar w:fldCharType="separate"/>
          </w:r>
          <w:r>
            <w:rPr>
              <w:rFonts w:hint="default"/>
              <w:b/>
              <w:bCs/>
              <w:color w:val="auto"/>
              <w:sz w:val="24"/>
              <w:szCs w:val="24"/>
            </w:rPr>
            <w:t>4.</w:t>
          </w:r>
          <w:r>
            <w:rPr>
              <w:rFonts w:hint="eastAsia"/>
              <w:b/>
              <w:bCs/>
              <w:color w:val="auto"/>
              <w:sz w:val="24"/>
              <w:szCs w:val="24"/>
              <w:lang w:val="en-US" w:eastAsia="zh-CN"/>
            </w:rPr>
            <w:t>4</w:t>
          </w:r>
          <w:r>
            <w:rPr>
              <w:rFonts w:hint="default"/>
              <w:b/>
              <w:bCs/>
              <w:color w:val="auto"/>
              <w:sz w:val="24"/>
              <w:szCs w:val="24"/>
            </w:rPr>
            <w:t>.4声环境质量现状调查与评价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_Toc10515 \h </w:instrText>
          </w:r>
          <w:r>
            <w:rPr>
              <w:b/>
              <w:bCs/>
              <w:color w:val="auto"/>
              <w:sz w:val="24"/>
              <w:szCs w:val="24"/>
            </w:rPr>
            <w:fldChar w:fldCharType="separate"/>
          </w:r>
          <w:r>
            <w:rPr>
              <w:b/>
              <w:bCs/>
              <w:color w:val="auto"/>
              <w:sz w:val="24"/>
              <w:szCs w:val="24"/>
            </w:rPr>
            <w:t>97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_Toc31947 </w:instrText>
          </w:r>
          <w:r>
            <w:rPr>
              <w:b/>
              <w:bCs/>
              <w:color w:val="auto"/>
              <w:sz w:val="24"/>
              <w:szCs w:val="24"/>
            </w:rPr>
            <w:fldChar w:fldCharType="separate"/>
          </w:r>
          <w:r>
            <w:rPr>
              <w:rFonts w:hint="default"/>
              <w:b/>
              <w:bCs/>
              <w:color w:val="auto"/>
              <w:sz w:val="24"/>
              <w:szCs w:val="24"/>
            </w:rPr>
            <w:t>4.</w:t>
          </w:r>
          <w:r>
            <w:rPr>
              <w:rFonts w:hint="eastAsia"/>
              <w:b/>
              <w:bCs/>
              <w:color w:val="auto"/>
              <w:sz w:val="24"/>
              <w:szCs w:val="24"/>
              <w:lang w:val="en-US" w:eastAsia="zh-CN"/>
            </w:rPr>
            <w:t>4</w:t>
          </w:r>
          <w:r>
            <w:rPr>
              <w:rFonts w:hint="default"/>
              <w:b/>
              <w:bCs/>
              <w:color w:val="auto"/>
              <w:sz w:val="24"/>
              <w:szCs w:val="24"/>
            </w:rPr>
            <w:t>.5土壤环境质量现状调查与评价</w:t>
          </w:r>
          <w:r>
            <w:rPr>
              <w:b/>
              <w:bCs/>
              <w:color w:val="auto"/>
              <w:sz w:val="24"/>
              <w:szCs w:val="24"/>
            </w:rPr>
            <w:tab/>
          </w:r>
          <w:r>
            <w:rPr>
              <w:b/>
              <w:bCs/>
              <w:color w:val="auto"/>
              <w:sz w:val="24"/>
              <w:szCs w:val="24"/>
            </w:rPr>
            <w:fldChar w:fldCharType="begin"/>
          </w:r>
          <w:r>
            <w:rPr>
              <w:b/>
              <w:bCs/>
              <w:color w:val="auto"/>
              <w:sz w:val="24"/>
              <w:szCs w:val="24"/>
            </w:rPr>
            <w:instrText xml:space="preserve"> PAGEREF _Toc31947 \h </w:instrText>
          </w:r>
          <w:r>
            <w:rPr>
              <w:b/>
              <w:bCs/>
              <w:color w:val="auto"/>
              <w:sz w:val="24"/>
              <w:szCs w:val="24"/>
            </w:rPr>
            <w:fldChar w:fldCharType="separate"/>
          </w:r>
          <w:r>
            <w:rPr>
              <w:b/>
              <w:bCs/>
              <w:color w:val="auto"/>
              <w:sz w:val="24"/>
              <w:szCs w:val="24"/>
            </w:rPr>
            <w:t>98</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_Toc14548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第5章环境影响预测与评价</w:t>
          </w:r>
          <w:r>
            <w:rPr>
              <w:b/>
              <w:bCs/>
              <w:color w:val="auto"/>
              <w:sz w:val="24"/>
              <w:szCs w:val="24"/>
            </w:rPr>
            <w:tab/>
          </w:r>
          <w:r>
            <w:rPr>
              <w:b/>
              <w:bCs/>
              <w:color w:val="auto"/>
              <w:sz w:val="24"/>
              <w:szCs w:val="24"/>
            </w:rPr>
            <w:fldChar w:fldCharType="begin"/>
          </w:r>
          <w:r>
            <w:rPr>
              <w:b/>
              <w:bCs/>
              <w:color w:val="auto"/>
              <w:sz w:val="24"/>
              <w:szCs w:val="24"/>
            </w:rPr>
            <w:instrText xml:space="preserve"> PAGEREF _Toc14548 \h </w:instrText>
          </w:r>
          <w:r>
            <w:rPr>
              <w:b/>
              <w:bCs/>
              <w:color w:val="auto"/>
              <w:sz w:val="24"/>
              <w:szCs w:val="24"/>
            </w:rPr>
            <w:fldChar w:fldCharType="separate"/>
          </w:r>
          <w:r>
            <w:rPr>
              <w:b/>
              <w:bCs/>
              <w:color w:val="auto"/>
              <w:sz w:val="24"/>
              <w:szCs w:val="24"/>
            </w:rPr>
            <w:t>104</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_Toc26713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5.1施工期环境影响分析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_Toc26713 \h </w:instrText>
          </w:r>
          <w:r>
            <w:rPr>
              <w:b/>
              <w:bCs/>
              <w:color w:val="auto"/>
              <w:sz w:val="24"/>
              <w:szCs w:val="24"/>
            </w:rPr>
            <w:fldChar w:fldCharType="separate"/>
          </w:r>
          <w:r>
            <w:rPr>
              <w:b/>
              <w:bCs/>
              <w:color w:val="auto"/>
              <w:sz w:val="24"/>
              <w:szCs w:val="24"/>
            </w:rPr>
            <w:t>104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_Toc21341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5.1.1废气影响分析</w:t>
          </w:r>
          <w:r>
            <w:rPr>
              <w:b/>
              <w:bCs/>
              <w:color w:val="auto"/>
              <w:sz w:val="24"/>
              <w:szCs w:val="24"/>
            </w:rPr>
            <w:tab/>
          </w:r>
          <w:r>
            <w:rPr>
              <w:b/>
              <w:bCs/>
              <w:color w:val="auto"/>
              <w:sz w:val="24"/>
              <w:szCs w:val="24"/>
            </w:rPr>
            <w:fldChar w:fldCharType="begin"/>
          </w:r>
          <w:r>
            <w:rPr>
              <w:b/>
              <w:bCs/>
              <w:color w:val="auto"/>
              <w:sz w:val="24"/>
              <w:szCs w:val="24"/>
            </w:rPr>
            <w:instrText xml:space="preserve"> PAGEREF _Toc21341 \h </w:instrText>
          </w:r>
          <w:r>
            <w:rPr>
              <w:b/>
              <w:bCs/>
              <w:color w:val="auto"/>
              <w:sz w:val="24"/>
              <w:szCs w:val="24"/>
            </w:rPr>
            <w:fldChar w:fldCharType="separate"/>
          </w:r>
          <w:r>
            <w:rPr>
              <w:b/>
              <w:bCs/>
              <w:color w:val="auto"/>
              <w:sz w:val="24"/>
              <w:szCs w:val="24"/>
            </w:rPr>
            <w:t>104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_Toc30787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5.1.2水环境影响分析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_Toc30787 \h </w:instrText>
          </w:r>
          <w:r>
            <w:rPr>
              <w:b/>
              <w:bCs/>
              <w:color w:val="auto"/>
              <w:sz w:val="24"/>
              <w:szCs w:val="24"/>
            </w:rPr>
            <w:fldChar w:fldCharType="separate"/>
          </w:r>
          <w:r>
            <w:rPr>
              <w:b/>
              <w:bCs/>
              <w:color w:val="auto"/>
              <w:sz w:val="24"/>
              <w:szCs w:val="24"/>
            </w:rPr>
            <w:t>104</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_Toc8111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5.1.3声环境影响分析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_Toc8111 \h </w:instrText>
          </w:r>
          <w:r>
            <w:rPr>
              <w:b/>
              <w:bCs/>
              <w:color w:val="auto"/>
              <w:sz w:val="24"/>
              <w:szCs w:val="24"/>
            </w:rPr>
            <w:fldChar w:fldCharType="separate"/>
          </w:r>
          <w:r>
            <w:rPr>
              <w:b/>
              <w:bCs/>
              <w:color w:val="auto"/>
              <w:sz w:val="24"/>
              <w:szCs w:val="24"/>
            </w:rPr>
            <w:t>105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_Toc20294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5.1.4固体废物环境影响分析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_Toc20294 \h </w:instrText>
          </w:r>
          <w:r>
            <w:rPr>
              <w:b/>
              <w:bCs/>
              <w:color w:val="auto"/>
              <w:sz w:val="24"/>
              <w:szCs w:val="24"/>
            </w:rPr>
            <w:fldChar w:fldCharType="separate"/>
          </w:r>
          <w:r>
            <w:rPr>
              <w:b/>
              <w:bCs/>
              <w:color w:val="auto"/>
              <w:sz w:val="24"/>
              <w:szCs w:val="24"/>
            </w:rPr>
            <w:t>106</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_Toc22112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5.1.5生态环境影响分析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_Toc22112 \h </w:instrText>
          </w:r>
          <w:r>
            <w:rPr>
              <w:b/>
              <w:bCs/>
              <w:color w:val="auto"/>
              <w:sz w:val="24"/>
              <w:szCs w:val="24"/>
            </w:rPr>
            <w:fldChar w:fldCharType="separate"/>
          </w:r>
          <w:r>
            <w:rPr>
              <w:b/>
              <w:bCs/>
              <w:color w:val="auto"/>
              <w:sz w:val="24"/>
              <w:szCs w:val="24"/>
            </w:rPr>
            <w:t>106</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_Toc10532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5.2运营期环境影响预测与评价</w:t>
          </w:r>
          <w:r>
            <w:rPr>
              <w:b/>
              <w:bCs/>
              <w:color w:val="auto"/>
              <w:sz w:val="24"/>
              <w:szCs w:val="24"/>
            </w:rPr>
            <w:tab/>
          </w:r>
          <w:r>
            <w:rPr>
              <w:b/>
              <w:bCs/>
              <w:color w:val="auto"/>
              <w:sz w:val="24"/>
              <w:szCs w:val="24"/>
            </w:rPr>
            <w:fldChar w:fldCharType="begin"/>
          </w:r>
          <w:r>
            <w:rPr>
              <w:b/>
              <w:bCs/>
              <w:color w:val="auto"/>
              <w:sz w:val="24"/>
              <w:szCs w:val="24"/>
            </w:rPr>
            <w:instrText xml:space="preserve"> PAGEREF _Toc10532 \h </w:instrText>
          </w:r>
          <w:r>
            <w:rPr>
              <w:b/>
              <w:bCs/>
              <w:color w:val="auto"/>
              <w:sz w:val="24"/>
              <w:szCs w:val="24"/>
            </w:rPr>
            <w:fldChar w:fldCharType="separate"/>
          </w:r>
          <w:r>
            <w:rPr>
              <w:b/>
              <w:bCs/>
              <w:color w:val="auto"/>
              <w:sz w:val="24"/>
              <w:szCs w:val="24"/>
            </w:rPr>
            <w:t>106</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_Toc15244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5.2.1大气环境影响预测与评价</w:t>
          </w:r>
          <w:r>
            <w:rPr>
              <w:b/>
              <w:bCs/>
              <w:color w:val="auto"/>
              <w:sz w:val="24"/>
              <w:szCs w:val="24"/>
            </w:rPr>
            <w:tab/>
          </w:r>
          <w:r>
            <w:rPr>
              <w:b/>
              <w:bCs/>
              <w:color w:val="auto"/>
              <w:sz w:val="24"/>
              <w:szCs w:val="24"/>
            </w:rPr>
            <w:fldChar w:fldCharType="begin"/>
          </w:r>
          <w:r>
            <w:rPr>
              <w:b/>
              <w:bCs/>
              <w:color w:val="auto"/>
              <w:sz w:val="24"/>
              <w:szCs w:val="24"/>
            </w:rPr>
            <w:instrText xml:space="preserve"> PAGEREF _Toc15244 \h </w:instrText>
          </w:r>
          <w:r>
            <w:rPr>
              <w:b/>
              <w:bCs/>
              <w:color w:val="auto"/>
              <w:sz w:val="24"/>
              <w:szCs w:val="24"/>
            </w:rPr>
            <w:fldChar w:fldCharType="separate"/>
          </w:r>
          <w:r>
            <w:rPr>
              <w:b/>
              <w:bCs/>
              <w:color w:val="auto"/>
              <w:sz w:val="24"/>
              <w:szCs w:val="24"/>
            </w:rPr>
            <w:t>106</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_Toc23401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5.2.2地表水环境影响预测与评价</w:t>
          </w:r>
          <w:r>
            <w:rPr>
              <w:b/>
              <w:bCs/>
              <w:color w:val="auto"/>
              <w:sz w:val="24"/>
              <w:szCs w:val="24"/>
            </w:rPr>
            <w:tab/>
          </w:r>
          <w:r>
            <w:rPr>
              <w:b/>
              <w:bCs/>
              <w:color w:val="auto"/>
              <w:sz w:val="24"/>
              <w:szCs w:val="24"/>
            </w:rPr>
            <w:fldChar w:fldCharType="begin"/>
          </w:r>
          <w:r>
            <w:rPr>
              <w:b/>
              <w:bCs/>
              <w:color w:val="auto"/>
              <w:sz w:val="24"/>
              <w:szCs w:val="24"/>
            </w:rPr>
            <w:instrText xml:space="preserve"> PAGEREF _Toc23401 \h </w:instrText>
          </w:r>
          <w:r>
            <w:rPr>
              <w:b/>
              <w:bCs/>
              <w:color w:val="auto"/>
              <w:sz w:val="24"/>
              <w:szCs w:val="24"/>
            </w:rPr>
            <w:fldChar w:fldCharType="separate"/>
          </w:r>
          <w:r>
            <w:rPr>
              <w:b/>
              <w:bCs/>
              <w:color w:val="auto"/>
              <w:sz w:val="24"/>
              <w:szCs w:val="24"/>
            </w:rPr>
            <w:t>122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_Toc20742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5.2.3地下水环境影响分析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_Toc20742 \h </w:instrText>
          </w:r>
          <w:r>
            <w:rPr>
              <w:b/>
              <w:bCs/>
              <w:color w:val="auto"/>
              <w:sz w:val="24"/>
              <w:szCs w:val="24"/>
            </w:rPr>
            <w:fldChar w:fldCharType="separate"/>
          </w:r>
          <w:r>
            <w:rPr>
              <w:b/>
              <w:bCs/>
              <w:color w:val="auto"/>
              <w:sz w:val="24"/>
              <w:szCs w:val="24"/>
            </w:rPr>
            <w:t>126</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_Toc8513 </w:instrText>
          </w:r>
          <w:r>
            <w:rPr>
              <w:b/>
              <w:bCs/>
              <w:color w:val="auto"/>
              <w:sz w:val="24"/>
              <w:szCs w:val="24"/>
            </w:rPr>
            <w:fldChar w:fldCharType="separate"/>
          </w:r>
          <w:r>
            <w:rPr>
              <w:rFonts w:hint="eastAsia"/>
              <w:b/>
              <w:bCs/>
              <w:color w:val="auto"/>
              <w:sz w:val="24"/>
              <w:szCs w:val="24"/>
              <w:lang w:val="en-US" w:eastAsia="zh-CN"/>
            </w:rPr>
            <w:t>5.2.4</w:t>
          </w:r>
          <w:r>
            <w:rPr>
              <w:rFonts w:hint="default"/>
              <w:b/>
              <w:bCs/>
              <w:color w:val="auto"/>
              <w:sz w:val="24"/>
              <w:szCs w:val="24"/>
            </w:rPr>
            <w:t>营运期噪声环境影响分析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_Toc8513 \h </w:instrText>
          </w:r>
          <w:r>
            <w:rPr>
              <w:b/>
              <w:bCs/>
              <w:color w:val="auto"/>
              <w:sz w:val="24"/>
              <w:szCs w:val="24"/>
            </w:rPr>
            <w:fldChar w:fldCharType="separate"/>
          </w:r>
          <w:r>
            <w:rPr>
              <w:b/>
              <w:bCs/>
              <w:color w:val="auto"/>
              <w:sz w:val="24"/>
              <w:szCs w:val="24"/>
            </w:rPr>
            <w:t>129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_Toc19272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5.2.5运营期固体废物环境影响分析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_Toc19272 \h </w:instrText>
          </w:r>
          <w:r>
            <w:rPr>
              <w:b/>
              <w:bCs/>
              <w:color w:val="auto"/>
              <w:sz w:val="24"/>
              <w:szCs w:val="24"/>
            </w:rPr>
            <w:fldChar w:fldCharType="separate"/>
          </w:r>
          <w:r>
            <w:rPr>
              <w:b/>
              <w:bCs/>
              <w:color w:val="auto"/>
              <w:sz w:val="24"/>
              <w:szCs w:val="24"/>
            </w:rPr>
            <w:t>131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_Toc13115 </w:instrText>
          </w:r>
          <w:r>
            <w:rPr>
              <w:b/>
              <w:bCs/>
              <w:color w:val="auto"/>
              <w:sz w:val="24"/>
              <w:szCs w:val="24"/>
            </w:rPr>
            <w:fldChar w:fldCharType="separate"/>
          </w:r>
          <w:r>
            <w:rPr>
              <w:rFonts w:hint="default"/>
              <w:b/>
              <w:bCs/>
              <w:color w:val="auto"/>
              <w:sz w:val="24"/>
              <w:szCs w:val="24"/>
            </w:rPr>
            <w:t>5.2.6营运期土壤环境影响分析</w:t>
          </w:r>
          <w:r>
            <w:rPr>
              <w:b/>
              <w:bCs/>
              <w:color w:val="auto"/>
              <w:sz w:val="24"/>
              <w:szCs w:val="24"/>
            </w:rPr>
            <w:tab/>
          </w:r>
          <w:r>
            <w:rPr>
              <w:b/>
              <w:bCs/>
              <w:color w:val="auto"/>
              <w:sz w:val="24"/>
              <w:szCs w:val="24"/>
            </w:rPr>
            <w:fldChar w:fldCharType="begin"/>
          </w:r>
          <w:r>
            <w:rPr>
              <w:b/>
              <w:bCs/>
              <w:color w:val="auto"/>
              <w:sz w:val="24"/>
              <w:szCs w:val="24"/>
            </w:rPr>
            <w:instrText xml:space="preserve"> PAGEREF _Toc13115 \h </w:instrText>
          </w:r>
          <w:r>
            <w:rPr>
              <w:b/>
              <w:bCs/>
              <w:color w:val="auto"/>
              <w:sz w:val="24"/>
              <w:szCs w:val="24"/>
            </w:rPr>
            <w:fldChar w:fldCharType="separate"/>
          </w:r>
          <w:r>
            <w:rPr>
              <w:b/>
              <w:bCs/>
              <w:color w:val="auto"/>
              <w:sz w:val="24"/>
              <w:szCs w:val="24"/>
            </w:rPr>
            <w:t>133</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_Toc26297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5.2.7营运期环境风险影响分析</w:t>
          </w:r>
          <w:r>
            <w:rPr>
              <w:b/>
              <w:bCs/>
              <w:color w:val="auto"/>
              <w:sz w:val="24"/>
              <w:szCs w:val="24"/>
            </w:rPr>
            <w:tab/>
          </w:r>
          <w:r>
            <w:rPr>
              <w:b/>
              <w:bCs/>
              <w:color w:val="auto"/>
              <w:sz w:val="24"/>
              <w:szCs w:val="24"/>
            </w:rPr>
            <w:fldChar w:fldCharType="begin"/>
          </w:r>
          <w:r>
            <w:rPr>
              <w:b/>
              <w:bCs/>
              <w:color w:val="auto"/>
              <w:sz w:val="24"/>
              <w:szCs w:val="24"/>
            </w:rPr>
            <w:instrText xml:space="preserve"> PAGEREF _Toc26297 \h </w:instrText>
          </w:r>
          <w:r>
            <w:rPr>
              <w:b/>
              <w:bCs/>
              <w:color w:val="auto"/>
              <w:sz w:val="24"/>
              <w:szCs w:val="24"/>
            </w:rPr>
            <w:fldChar w:fldCharType="separate"/>
          </w:r>
          <w:r>
            <w:rPr>
              <w:b/>
              <w:bCs/>
              <w:color w:val="auto"/>
              <w:sz w:val="24"/>
              <w:szCs w:val="24"/>
            </w:rPr>
            <w:t>136</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_Toc29164 </w:instrText>
          </w:r>
          <w:r>
            <w:rPr>
              <w:b/>
              <w:bCs/>
              <w:color w:val="auto"/>
              <w:sz w:val="24"/>
              <w:szCs w:val="24"/>
            </w:rPr>
            <w:fldChar w:fldCharType="separate"/>
          </w:r>
          <w:r>
            <w:rPr>
              <w:rFonts w:hint="eastAsia" w:ascii="Times New Roman" w:hAnsi="Times New Roman" w:eastAsia="宋体" w:cs="Times New Roman"/>
              <w:b/>
              <w:bCs/>
              <w:snapToGrid w:val="0"/>
              <w:color w:val="auto"/>
              <w:spacing w:val="7"/>
              <w:kern w:val="0"/>
              <w:sz w:val="24"/>
              <w:szCs w:val="24"/>
              <w:lang w:val="en-US" w:eastAsia="zh-CN"/>
            </w:rPr>
            <w:t>5.2-37</w:t>
          </w:r>
          <w:r>
            <w:rPr>
              <w:rFonts w:hint="default" w:ascii="Times New Roman" w:hAnsi="Times New Roman" w:eastAsia="宋体" w:cs="Times New Roman"/>
              <w:b/>
              <w:bCs/>
              <w:snapToGrid w:val="0"/>
              <w:color w:val="auto"/>
              <w:spacing w:val="7"/>
              <w:kern w:val="0"/>
              <w:sz w:val="24"/>
              <w:szCs w:val="24"/>
            </w:rPr>
            <w:t>建设项目环境风险简单分析内容表</w:t>
          </w:r>
          <w:r>
            <w:rPr>
              <w:b/>
              <w:bCs/>
              <w:color w:val="auto"/>
              <w:sz w:val="24"/>
              <w:szCs w:val="24"/>
            </w:rPr>
            <w:tab/>
          </w:r>
          <w:r>
            <w:rPr>
              <w:b/>
              <w:bCs/>
              <w:color w:val="auto"/>
              <w:sz w:val="24"/>
              <w:szCs w:val="24"/>
            </w:rPr>
            <w:fldChar w:fldCharType="begin"/>
          </w:r>
          <w:r>
            <w:rPr>
              <w:b/>
              <w:bCs/>
              <w:color w:val="auto"/>
              <w:sz w:val="24"/>
              <w:szCs w:val="24"/>
            </w:rPr>
            <w:instrText xml:space="preserve"> PAGEREF _Toc29164 \h </w:instrText>
          </w:r>
          <w:r>
            <w:rPr>
              <w:b/>
              <w:bCs/>
              <w:color w:val="auto"/>
              <w:sz w:val="24"/>
              <w:szCs w:val="24"/>
            </w:rPr>
            <w:fldChar w:fldCharType="separate"/>
          </w:r>
          <w:r>
            <w:rPr>
              <w:b/>
              <w:bCs/>
              <w:color w:val="auto"/>
              <w:sz w:val="24"/>
              <w:szCs w:val="24"/>
            </w:rPr>
            <w:t>149</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_Toc26683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第6章环境保护措施及其可行性论证</w:t>
          </w:r>
          <w:r>
            <w:rPr>
              <w:b/>
              <w:bCs/>
              <w:color w:val="auto"/>
              <w:sz w:val="24"/>
              <w:szCs w:val="24"/>
            </w:rPr>
            <w:tab/>
          </w:r>
          <w:r>
            <w:rPr>
              <w:b/>
              <w:bCs/>
              <w:color w:val="auto"/>
              <w:sz w:val="24"/>
              <w:szCs w:val="24"/>
            </w:rPr>
            <w:fldChar w:fldCharType="begin"/>
          </w:r>
          <w:r>
            <w:rPr>
              <w:b/>
              <w:bCs/>
              <w:color w:val="auto"/>
              <w:sz w:val="24"/>
              <w:szCs w:val="24"/>
            </w:rPr>
            <w:instrText xml:space="preserve"> PAGEREF _Toc26683 \h </w:instrText>
          </w:r>
          <w:r>
            <w:rPr>
              <w:b/>
              <w:bCs/>
              <w:color w:val="auto"/>
              <w:sz w:val="24"/>
              <w:szCs w:val="24"/>
            </w:rPr>
            <w:fldChar w:fldCharType="separate"/>
          </w:r>
          <w:r>
            <w:rPr>
              <w:b/>
              <w:bCs/>
              <w:color w:val="auto"/>
              <w:sz w:val="24"/>
              <w:szCs w:val="24"/>
            </w:rPr>
            <w:t>150</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_Toc25288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6.1施工期污染治理措施</w:t>
          </w:r>
          <w:r>
            <w:rPr>
              <w:b/>
              <w:bCs/>
              <w:color w:val="auto"/>
              <w:sz w:val="24"/>
              <w:szCs w:val="24"/>
            </w:rPr>
            <w:tab/>
          </w:r>
          <w:r>
            <w:rPr>
              <w:b/>
              <w:bCs/>
              <w:color w:val="auto"/>
              <w:sz w:val="24"/>
              <w:szCs w:val="24"/>
            </w:rPr>
            <w:fldChar w:fldCharType="begin"/>
          </w:r>
          <w:r>
            <w:rPr>
              <w:b/>
              <w:bCs/>
              <w:color w:val="auto"/>
              <w:sz w:val="24"/>
              <w:szCs w:val="24"/>
            </w:rPr>
            <w:instrText xml:space="preserve"> PAGEREF _Toc25288 \h </w:instrText>
          </w:r>
          <w:r>
            <w:rPr>
              <w:b/>
              <w:bCs/>
              <w:color w:val="auto"/>
              <w:sz w:val="24"/>
              <w:szCs w:val="24"/>
            </w:rPr>
            <w:fldChar w:fldCharType="separate"/>
          </w:r>
          <w:r>
            <w:rPr>
              <w:b/>
              <w:bCs/>
              <w:color w:val="auto"/>
              <w:sz w:val="24"/>
              <w:szCs w:val="24"/>
            </w:rPr>
            <w:t>150</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_Toc11046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6.1.1大气环境保护措施</w:t>
          </w:r>
          <w:r>
            <w:rPr>
              <w:b/>
              <w:bCs/>
              <w:color w:val="auto"/>
              <w:sz w:val="24"/>
              <w:szCs w:val="24"/>
            </w:rPr>
            <w:tab/>
          </w:r>
          <w:r>
            <w:rPr>
              <w:b/>
              <w:bCs/>
              <w:color w:val="auto"/>
              <w:sz w:val="24"/>
              <w:szCs w:val="24"/>
            </w:rPr>
            <w:fldChar w:fldCharType="begin"/>
          </w:r>
          <w:r>
            <w:rPr>
              <w:b/>
              <w:bCs/>
              <w:color w:val="auto"/>
              <w:sz w:val="24"/>
              <w:szCs w:val="24"/>
            </w:rPr>
            <w:instrText xml:space="preserve"> PAGEREF _Toc11046 \h </w:instrText>
          </w:r>
          <w:r>
            <w:rPr>
              <w:b/>
              <w:bCs/>
              <w:color w:val="auto"/>
              <w:sz w:val="24"/>
              <w:szCs w:val="24"/>
            </w:rPr>
            <w:fldChar w:fldCharType="separate"/>
          </w:r>
          <w:r>
            <w:rPr>
              <w:b/>
              <w:bCs/>
              <w:color w:val="auto"/>
              <w:sz w:val="24"/>
              <w:szCs w:val="24"/>
            </w:rPr>
            <w:t>150</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_Toc30895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6.1.2水环境保护措施</w:t>
          </w:r>
          <w:r>
            <w:rPr>
              <w:b/>
              <w:bCs/>
              <w:color w:val="auto"/>
              <w:sz w:val="24"/>
              <w:szCs w:val="24"/>
            </w:rPr>
            <w:tab/>
          </w:r>
          <w:r>
            <w:rPr>
              <w:b/>
              <w:bCs/>
              <w:color w:val="auto"/>
              <w:sz w:val="24"/>
              <w:szCs w:val="24"/>
            </w:rPr>
            <w:fldChar w:fldCharType="begin"/>
          </w:r>
          <w:r>
            <w:rPr>
              <w:b/>
              <w:bCs/>
              <w:color w:val="auto"/>
              <w:sz w:val="24"/>
              <w:szCs w:val="24"/>
            </w:rPr>
            <w:instrText xml:space="preserve"> PAGEREF _Toc30895 \h </w:instrText>
          </w:r>
          <w:r>
            <w:rPr>
              <w:b/>
              <w:bCs/>
              <w:color w:val="auto"/>
              <w:sz w:val="24"/>
              <w:szCs w:val="24"/>
            </w:rPr>
            <w:fldChar w:fldCharType="separate"/>
          </w:r>
          <w:r>
            <w:rPr>
              <w:b/>
              <w:bCs/>
              <w:color w:val="auto"/>
              <w:sz w:val="24"/>
              <w:szCs w:val="24"/>
            </w:rPr>
            <w:t>151</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_Toc28696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6.1.3噪声防治措施</w:t>
          </w:r>
          <w:r>
            <w:rPr>
              <w:b/>
              <w:bCs/>
              <w:color w:val="auto"/>
              <w:sz w:val="24"/>
              <w:szCs w:val="24"/>
            </w:rPr>
            <w:tab/>
          </w:r>
          <w:r>
            <w:rPr>
              <w:b/>
              <w:bCs/>
              <w:color w:val="auto"/>
              <w:sz w:val="24"/>
              <w:szCs w:val="24"/>
            </w:rPr>
            <w:fldChar w:fldCharType="begin"/>
          </w:r>
          <w:r>
            <w:rPr>
              <w:b/>
              <w:bCs/>
              <w:color w:val="auto"/>
              <w:sz w:val="24"/>
              <w:szCs w:val="24"/>
            </w:rPr>
            <w:instrText xml:space="preserve"> PAGEREF _Toc28696 \h </w:instrText>
          </w:r>
          <w:r>
            <w:rPr>
              <w:b/>
              <w:bCs/>
              <w:color w:val="auto"/>
              <w:sz w:val="24"/>
              <w:szCs w:val="24"/>
            </w:rPr>
            <w:fldChar w:fldCharType="separate"/>
          </w:r>
          <w:r>
            <w:rPr>
              <w:b/>
              <w:bCs/>
              <w:color w:val="auto"/>
              <w:sz w:val="24"/>
              <w:szCs w:val="24"/>
            </w:rPr>
            <w:t>152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_Toc11778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6.1.4固体废物处置措施</w:t>
          </w:r>
          <w:r>
            <w:rPr>
              <w:b/>
              <w:bCs/>
              <w:color w:val="auto"/>
              <w:sz w:val="24"/>
              <w:szCs w:val="24"/>
            </w:rPr>
            <w:tab/>
          </w:r>
          <w:r>
            <w:rPr>
              <w:b/>
              <w:bCs/>
              <w:color w:val="auto"/>
              <w:sz w:val="24"/>
              <w:szCs w:val="24"/>
            </w:rPr>
            <w:fldChar w:fldCharType="begin"/>
          </w:r>
          <w:r>
            <w:rPr>
              <w:b/>
              <w:bCs/>
              <w:color w:val="auto"/>
              <w:sz w:val="24"/>
              <w:szCs w:val="24"/>
            </w:rPr>
            <w:instrText xml:space="preserve"> PAGEREF _Toc11778 \h </w:instrText>
          </w:r>
          <w:r>
            <w:rPr>
              <w:b/>
              <w:bCs/>
              <w:color w:val="auto"/>
              <w:sz w:val="24"/>
              <w:szCs w:val="24"/>
            </w:rPr>
            <w:fldChar w:fldCharType="separate"/>
          </w:r>
          <w:r>
            <w:rPr>
              <w:b/>
              <w:bCs/>
              <w:color w:val="auto"/>
              <w:sz w:val="24"/>
              <w:szCs w:val="24"/>
            </w:rPr>
            <w:t>152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_Toc31553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6.1.5生态保护措施</w:t>
          </w:r>
          <w:r>
            <w:rPr>
              <w:b/>
              <w:bCs/>
              <w:color w:val="auto"/>
              <w:sz w:val="24"/>
              <w:szCs w:val="24"/>
            </w:rPr>
            <w:tab/>
          </w:r>
          <w:r>
            <w:rPr>
              <w:b/>
              <w:bCs/>
              <w:color w:val="auto"/>
              <w:sz w:val="24"/>
              <w:szCs w:val="24"/>
            </w:rPr>
            <w:fldChar w:fldCharType="begin"/>
          </w:r>
          <w:r>
            <w:rPr>
              <w:b/>
              <w:bCs/>
              <w:color w:val="auto"/>
              <w:sz w:val="24"/>
              <w:szCs w:val="24"/>
            </w:rPr>
            <w:instrText xml:space="preserve"> PAGEREF _Toc31553 \h </w:instrText>
          </w:r>
          <w:r>
            <w:rPr>
              <w:b/>
              <w:bCs/>
              <w:color w:val="auto"/>
              <w:sz w:val="24"/>
              <w:szCs w:val="24"/>
            </w:rPr>
            <w:fldChar w:fldCharType="separate"/>
          </w:r>
          <w:r>
            <w:rPr>
              <w:b/>
              <w:bCs/>
              <w:color w:val="auto"/>
              <w:sz w:val="24"/>
              <w:szCs w:val="24"/>
            </w:rPr>
            <w:t>152</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_Toc25661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6.2运营期大气污染防治措施及可行性分析</w:t>
          </w:r>
          <w:r>
            <w:rPr>
              <w:b/>
              <w:bCs/>
              <w:color w:val="auto"/>
              <w:sz w:val="24"/>
              <w:szCs w:val="24"/>
            </w:rPr>
            <w:tab/>
          </w:r>
          <w:r>
            <w:rPr>
              <w:b/>
              <w:bCs/>
              <w:color w:val="auto"/>
              <w:sz w:val="24"/>
              <w:szCs w:val="24"/>
            </w:rPr>
            <w:fldChar w:fldCharType="begin"/>
          </w:r>
          <w:r>
            <w:rPr>
              <w:b/>
              <w:bCs/>
              <w:color w:val="auto"/>
              <w:sz w:val="24"/>
              <w:szCs w:val="24"/>
            </w:rPr>
            <w:instrText xml:space="preserve"> PAGEREF _Toc25661 \h </w:instrText>
          </w:r>
          <w:r>
            <w:rPr>
              <w:b/>
              <w:bCs/>
              <w:color w:val="auto"/>
              <w:sz w:val="24"/>
              <w:szCs w:val="24"/>
            </w:rPr>
            <w:fldChar w:fldCharType="separate"/>
          </w:r>
          <w:r>
            <w:rPr>
              <w:b/>
              <w:bCs/>
              <w:color w:val="auto"/>
              <w:sz w:val="24"/>
              <w:szCs w:val="24"/>
            </w:rPr>
            <w:t>152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_Toc17940 </w:instrText>
          </w:r>
          <w:r>
            <w:rPr>
              <w:b/>
              <w:bCs/>
              <w:color w:val="auto"/>
              <w:sz w:val="24"/>
              <w:szCs w:val="24"/>
            </w:rPr>
            <w:fldChar w:fldCharType="separate"/>
          </w:r>
          <w:r>
            <w:rPr>
              <w:rFonts w:hint="default"/>
              <w:b/>
              <w:bCs/>
              <w:color w:val="auto"/>
              <w:sz w:val="24"/>
              <w:szCs w:val="24"/>
            </w:rPr>
            <w:t>6.2.1废气防治措施及其可行性分析</w:t>
          </w:r>
          <w:r>
            <w:rPr>
              <w:b/>
              <w:bCs/>
              <w:color w:val="auto"/>
              <w:sz w:val="24"/>
              <w:szCs w:val="24"/>
            </w:rPr>
            <w:tab/>
          </w:r>
          <w:r>
            <w:rPr>
              <w:b/>
              <w:bCs/>
              <w:color w:val="auto"/>
              <w:sz w:val="24"/>
              <w:szCs w:val="24"/>
            </w:rPr>
            <w:fldChar w:fldCharType="begin"/>
          </w:r>
          <w:r>
            <w:rPr>
              <w:b/>
              <w:bCs/>
              <w:color w:val="auto"/>
              <w:sz w:val="24"/>
              <w:szCs w:val="24"/>
            </w:rPr>
            <w:instrText xml:space="preserve"> PAGEREF _Toc17940 \h </w:instrText>
          </w:r>
          <w:r>
            <w:rPr>
              <w:b/>
              <w:bCs/>
              <w:color w:val="auto"/>
              <w:sz w:val="24"/>
              <w:szCs w:val="24"/>
            </w:rPr>
            <w:fldChar w:fldCharType="separate"/>
          </w:r>
          <w:r>
            <w:rPr>
              <w:b/>
              <w:bCs/>
              <w:color w:val="auto"/>
              <w:sz w:val="24"/>
              <w:szCs w:val="24"/>
            </w:rPr>
            <w:t>152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_Toc23900 </w:instrText>
          </w:r>
          <w:r>
            <w:rPr>
              <w:b/>
              <w:bCs/>
              <w:color w:val="auto"/>
              <w:sz w:val="24"/>
              <w:szCs w:val="24"/>
            </w:rPr>
            <w:fldChar w:fldCharType="separate"/>
          </w:r>
          <w:r>
            <w:rPr>
              <w:rFonts w:hint="default"/>
              <w:b/>
              <w:bCs/>
              <w:color w:val="auto"/>
              <w:sz w:val="24"/>
              <w:szCs w:val="24"/>
            </w:rPr>
            <w:t>6.2.2废水防治措施及其可行性分析</w:t>
          </w:r>
          <w:r>
            <w:rPr>
              <w:b/>
              <w:bCs/>
              <w:color w:val="auto"/>
              <w:sz w:val="24"/>
              <w:szCs w:val="24"/>
            </w:rPr>
            <w:tab/>
          </w:r>
          <w:r>
            <w:rPr>
              <w:b/>
              <w:bCs/>
              <w:color w:val="auto"/>
              <w:sz w:val="24"/>
              <w:szCs w:val="24"/>
            </w:rPr>
            <w:fldChar w:fldCharType="begin"/>
          </w:r>
          <w:r>
            <w:rPr>
              <w:b/>
              <w:bCs/>
              <w:color w:val="auto"/>
              <w:sz w:val="24"/>
              <w:szCs w:val="24"/>
            </w:rPr>
            <w:instrText xml:space="preserve"> PAGEREF _Toc23900 \h </w:instrText>
          </w:r>
          <w:r>
            <w:rPr>
              <w:b/>
              <w:bCs/>
              <w:color w:val="auto"/>
              <w:sz w:val="24"/>
              <w:szCs w:val="24"/>
            </w:rPr>
            <w:fldChar w:fldCharType="separate"/>
          </w:r>
          <w:r>
            <w:rPr>
              <w:b/>
              <w:bCs/>
              <w:color w:val="auto"/>
              <w:sz w:val="24"/>
              <w:szCs w:val="24"/>
            </w:rPr>
            <w:t>155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_Toc26505 </w:instrText>
          </w:r>
          <w:r>
            <w:rPr>
              <w:b/>
              <w:bCs/>
              <w:color w:val="auto"/>
              <w:sz w:val="24"/>
              <w:szCs w:val="24"/>
            </w:rPr>
            <w:fldChar w:fldCharType="separate"/>
          </w:r>
          <w:r>
            <w:rPr>
              <w:rFonts w:hint="default"/>
              <w:b/>
              <w:bCs/>
              <w:color w:val="auto"/>
              <w:sz w:val="24"/>
              <w:szCs w:val="24"/>
            </w:rPr>
            <w:t>6.2.3地下水、土壤污染防治措施及其可行性分析</w:t>
          </w:r>
          <w:r>
            <w:rPr>
              <w:b/>
              <w:bCs/>
              <w:color w:val="auto"/>
              <w:sz w:val="24"/>
              <w:szCs w:val="24"/>
            </w:rPr>
            <w:tab/>
          </w:r>
          <w:r>
            <w:rPr>
              <w:b/>
              <w:bCs/>
              <w:color w:val="auto"/>
              <w:sz w:val="24"/>
              <w:szCs w:val="24"/>
            </w:rPr>
            <w:fldChar w:fldCharType="begin"/>
          </w:r>
          <w:r>
            <w:rPr>
              <w:b/>
              <w:bCs/>
              <w:color w:val="auto"/>
              <w:sz w:val="24"/>
              <w:szCs w:val="24"/>
            </w:rPr>
            <w:instrText xml:space="preserve"> PAGEREF _Toc26505 \h </w:instrText>
          </w:r>
          <w:r>
            <w:rPr>
              <w:b/>
              <w:bCs/>
              <w:color w:val="auto"/>
              <w:sz w:val="24"/>
              <w:szCs w:val="24"/>
            </w:rPr>
            <w:fldChar w:fldCharType="separate"/>
          </w:r>
          <w:r>
            <w:rPr>
              <w:b/>
              <w:bCs/>
              <w:color w:val="auto"/>
              <w:sz w:val="24"/>
              <w:szCs w:val="24"/>
            </w:rPr>
            <w:t>156</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_Toc1447 </w:instrText>
          </w:r>
          <w:r>
            <w:rPr>
              <w:b/>
              <w:bCs/>
              <w:color w:val="auto"/>
              <w:sz w:val="24"/>
              <w:szCs w:val="24"/>
            </w:rPr>
            <w:fldChar w:fldCharType="separate"/>
          </w:r>
          <w:r>
            <w:rPr>
              <w:rFonts w:hint="default" w:ascii="Times New Roman" w:hAnsi="Times New Roman" w:eastAsia="宋体" w:cs="Times New Roman"/>
              <w:b/>
              <w:bCs/>
              <w:color w:val="auto"/>
              <w:spacing w:val="1"/>
              <w:sz w:val="24"/>
              <w:szCs w:val="24"/>
            </w:rPr>
            <w:t>6</w:t>
          </w:r>
          <w:r>
            <w:rPr>
              <w:rFonts w:hint="default" w:ascii="Times New Roman" w:hAnsi="Times New Roman" w:eastAsia="宋体" w:cs="Times New Roman"/>
              <w:b/>
              <w:bCs/>
              <w:color w:val="auto"/>
              <w:sz w:val="24"/>
              <w:szCs w:val="24"/>
            </w:rPr>
            <w:t>.2.4</w:t>
          </w:r>
          <w:r>
            <w:rPr>
              <w:rFonts w:hint="default"/>
              <w:b/>
              <w:bCs/>
              <w:color w:val="auto"/>
              <w:sz w:val="24"/>
              <w:szCs w:val="24"/>
            </w:rPr>
            <w:t>噪声防治措施及其可行性分析</w:t>
          </w:r>
          <w:r>
            <w:rPr>
              <w:b/>
              <w:bCs/>
              <w:color w:val="auto"/>
              <w:sz w:val="24"/>
              <w:szCs w:val="24"/>
            </w:rPr>
            <w:tab/>
          </w:r>
          <w:r>
            <w:rPr>
              <w:b/>
              <w:bCs/>
              <w:color w:val="auto"/>
              <w:sz w:val="24"/>
              <w:szCs w:val="24"/>
            </w:rPr>
            <w:fldChar w:fldCharType="begin"/>
          </w:r>
          <w:r>
            <w:rPr>
              <w:b/>
              <w:bCs/>
              <w:color w:val="auto"/>
              <w:sz w:val="24"/>
              <w:szCs w:val="24"/>
            </w:rPr>
            <w:instrText xml:space="preserve"> PAGEREF _Toc1447 \h </w:instrText>
          </w:r>
          <w:r>
            <w:rPr>
              <w:b/>
              <w:bCs/>
              <w:color w:val="auto"/>
              <w:sz w:val="24"/>
              <w:szCs w:val="24"/>
            </w:rPr>
            <w:fldChar w:fldCharType="separate"/>
          </w:r>
          <w:r>
            <w:rPr>
              <w:b/>
              <w:bCs/>
              <w:color w:val="auto"/>
              <w:sz w:val="24"/>
              <w:szCs w:val="24"/>
            </w:rPr>
            <w:t>158</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_Toc12107 </w:instrText>
          </w:r>
          <w:r>
            <w:rPr>
              <w:b/>
              <w:bCs/>
              <w:color w:val="auto"/>
              <w:sz w:val="24"/>
              <w:szCs w:val="24"/>
            </w:rPr>
            <w:fldChar w:fldCharType="separate"/>
          </w:r>
          <w:r>
            <w:rPr>
              <w:rFonts w:hint="default"/>
              <w:b/>
              <w:bCs/>
              <w:color w:val="auto"/>
              <w:sz w:val="24"/>
              <w:szCs w:val="24"/>
            </w:rPr>
            <w:t>6.2.5固体废弃物防治措施及其可行性分析</w:t>
          </w:r>
          <w:r>
            <w:rPr>
              <w:b/>
              <w:bCs/>
              <w:color w:val="auto"/>
              <w:sz w:val="24"/>
              <w:szCs w:val="24"/>
            </w:rPr>
            <w:tab/>
          </w:r>
          <w:r>
            <w:rPr>
              <w:b/>
              <w:bCs/>
              <w:color w:val="auto"/>
              <w:sz w:val="24"/>
              <w:szCs w:val="24"/>
            </w:rPr>
            <w:fldChar w:fldCharType="begin"/>
          </w:r>
          <w:r>
            <w:rPr>
              <w:b/>
              <w:bCs/>
              <w:color w:val="auto"/>
              <w:sz w:val="24"/>
              <w:szCs w:val="24"/>
            </w:rPr>
            <w:instrText xml:space="preserve"> PAGEREF _Toc12107 \h </w:instrText>
          </w:r>
          <w:r>
            <w:rPr>
              <w:b/>
              <w:bCs/>
              <w:color w:val="auto"/>
              <w:sz w:val="24"/>
              <w:szCs w:val="24"/>
            </w:rPr>
            <w:fldChar w:fldCharType="separate"/>
          </w:r>
          <w:r>
            <w:rPr>
              <w:b/>
              <w:bCs/>
              <w:color w:val="auto"/>
              <w:sz w:val="24"/>
              <w:szCs w:val="24"/>
            </w:rPr>
            <w:t>159</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_Toc14484 </w:instrText>
          </w:r>
          <w:r>
            <w:rPr>
              <w:b/>
              <w:bCs/>
              <w:color w:val="auto"/>
              <w:sz w:val="24"/>
              <w:szCs w:val="24"/>
            </w:rPr>
            <w:fldChar w:fldCharType="separate"/>
          </w:r>
          <w:r>
            <w:rPr>
              <w:rFonts w:hint="default"/>
              <w:b/>
              <w:bCs/>
              <w:color w:val="auto"/>
              <w:sz w:val="24"/>
              <w:szCs w:val="24"/>
            </w:rPr>
            <w:t>6.2.6环保措施及投资估算</w:t>
          </w:r>
          <w:r>
            <w:rPr>
              <w:b/>
              <w:bCs/>
              <w:color w:val="auto"/>
              <w:sz w:val="24"/>
              <w:szCs w:val="24"/>
            </w:rPr>
            <w:tab/>
          </w:r>
          <w:r>
            <w:rPr>
              <w:b/>
              <w:bCs/>
              <w:color w:val="auto"/>
              <w:sz w:val="24"/>
              <w:szCs w:val="24"/>
            </w:rPr>
            <w:fldChar w:fldCharType="begin"/>
          </w:r>
          <w:r>
            <w:rPr>
              <w:b/>
              <w:bCs/>
              <w:color w:val="auto"/>
              <w:sz w:val="24"/>
              <w:szCs w:val="24"/>
            </w:rPr>
            <w:instrText xml:space="preserve"> PAGEREF _Toc14484 \h </w:instrText>
          </w:r>
          <w:r>
            <w:rPr>
              <w:b/>
              <w:bCs/>
              <w:color w:val="auto"/>
              <w:sz w:val="24"/>
              <w:szCs w:val="24"/>
            </w:rPr>
            <w:fldChar w:fldCharType="separate"/>
          </w:r>
          <w:r>
            <w:rPr>
              <w:b/>
              <w:bCs/>
              <w:color w:val="auto"/>
              <w:sz w:val="24"/>
              <w:szCs w:val="24"/>
            </w:rPr>
            <w:t>160</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_Toc5005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第7章环境影响经济损益分析</w:t>
          </w:r>
          <w:r>
            <w:rPr>
              <w:b/>
              <w:bCs/>
              <w:color w:val="auto"/>
              <w:sz w:val="24"/>
              <w:szCs w:val="24"/>
            </w:rPr>
            <w:tab/>
          </w:r>
          <w:r>
            <w:rPr>
              <w:b/>
              <w:bCs/>
              <w:color w:val="auto"/>
              <w:sz w:val="24"/>
              <w:szCs w:val="24"/>
            </w:rPr>
            <w:fldChar w:fldCharType="begin"/>
          </w:r>
          <w:r>
            <w:rPr>
              <w:b/>
              <w:bCs/>
              <w:color w:val="auto"/>
              <w:sz w:val="24"/>
              <w:szCs w:val="24"/>
            </w:rPr>
            <w:instrText xml:space="preserve"> PAGEREF _Toc5005 \h </w:instrText>
          </w:r>
          <w:r>
            <w:rPr>
              <w:b/>
              <w:bCs/>
              <w:color w:val="auto"/>
              <w:sz w:val="24"/>
              <w:szCs w:val="24"/>
            </w:rPr>
            <w:fldChar w:fldCharType="separate"/>
          </w:r>
          <w:r>
            <w:rPr>
              <w:b/>
              <w:bCs/>
              <w:color w:val="auto"/>
              <w:sz w:val="24"/>
              <w:szCs w:val="24"/>
            </w:rPr>
            <w:t>162</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_Toc16851 </w:instrText>
          </w:r>
          <w:r>
            <w:rPr>
              <w:b/>
              <w:bCs/>
              <w:color w:val="auto"/>
              <w:sz w:val="24"/>
              <w:szCs w:val="24"/>
            </w:rPr>
            <w:fldChar w:fldCharType="separate"/>
          </w:r>
          <w:r>
            <w:rPr>
              <w:rFonts w:hint="default"/>
              <w:b/>
              <w:bCs/>
              <w:color w:val="auto"/>
              <w:sz w:val="24"/>
              <w:szCs w:val="24"/>
            </w:rPr>
            <w:t>7.1环境效益分析</w:t>
          </w:r>
          <w:r>
            <w:rPr>
              <w:b/>
              <w:bCs/>
              <w:color w:val="auto"/>
              <w:sz w:val="24"/>
              <w:szCs w:val="24"/>
            </w:rPr>
            <w:tab/>
          </w:r>
          <w:r>
            <w:rPr>
              <w:b/>
              <w:bCs/>
              <w:color w:val="auto"/>
              <w:sz w:val="24"/>
              <w:szCs w:val="24"/>
            </w:rPr>
            <w:fldChar w:fldCharType="begin"/>
          </w:r>
          <w:r>
            <w:rPr>
              <w:b/>
              <w:bCs/>
              <w:color w:val="auto"/>
              <w:sz w:val="24"/>
              <w:szCs w:val="24"/>
            </w:rPr>
            <w:instrText xml:space="preserve"> PAGEREF _Toc16851 \h </w:instrText>
          </w:r>
          <w:r>
            <w:rPr>
              <w:b/>
              <w:bCs/>
              <w:color w:val="auto"/>
              <w:sz w:val="24"/>
              <w:szCs w:val="24"/>
            </w:rPr>
            <w:fldChar w:fldCharType="separate"/>
          </w:r>
          <w:r>
            <w:rPr>
              <w:b/>
              <w:bCs/>
              <w:color w:val="auto"/>
              <w:sz w:val="24"/>
              <w:szCs w:val="24"/>
            </w:rPr>
            <w:t>162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_Toc20063 </w:instrText>
          </w:r>
          <w:r>
            <w:rPr>
              <w:b/>
              <w:bCs/>
              <w:color w:val="auto"/>
              <w:sz w:val="24"/>
              <w:szCs w:val="24"/>
            </w:rPr>
            <w:fldChar w:fldCharType="separate"/>
          </w:r>
          <w:r>
            <w:rPr>
              <w:rFonts w:hint="default"/>
              <w:b/>
              <w:bCs/>
              <w:color w:val="auto"/>
              <w:sz w:val="24"/>
              <w:szCs w:val="24"/>
            </w:rPr>
            <w:t>7.1.1环境成本</w:t>
          </w:r>
          <w:r>
            <w:rPr>
              <w:b/>
              <w:bCs/>
              <w:color w:val="auto"/>
              <w:sz w:val="24"/>
              <w:szCs w:val="24"/>
            </w:rPr>
            <w:tab/>
          </w:r>
          <w:r>
            <w:rPr>
              <w:b/>
              <w:bCs/>
              <w:color w:val="auto"/>
              <w:sz w:val="24"/>
              <w:szCs w:val="24"/>
            </w:rPr>
            <w:fldChar w:fldCharType="begin"/>
          </w:r>
          <w:r>
            <w:rPr>
              <w:b/>
              <w:bCs/>
              <w:color w:val="auto"/>
              <w:sz w:val="24"/>
              <w:szCs w:val="24"/>
            </w:rPr>
            <w:instrText xml:space="preserve"> PAGEREF _Toc20063 \h </w:instrText>
          </w:r>
          <w:r>
            <w:rPr>
              <w:b/>
              <w:bCs/>
              <w:color w:val="auto"/>
              <w:sz w:val="24"/>
              <w:szCs w:val="24"/>
            </w:rPr>
            <w:fldChar w:fldCharType="separate"/>
          </w:r>
          <w:r>
            <w:rPr>
              <w:b/>
              <w:bCs/>
              <w:color w:val="auto"/>
              <w:sz w:val="24"/>
              <w:szCs w:val="24"/>
            </w:rPr>
            <w:t>162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_Toc9168 </w:instrText>
          </w:r>
          <w:r>
            <w:rPr>
              <w:b/>
              <w:bCs/>
              <w:color w:val="auto"/>
              <w:sz w:val="24"/>
              <w:szCs w:val="24"/>
            </w:rPr>
            <w:fldChar w:fldCharType="separate"/>
          </w:r>
          <w:r>
            <w:rPr>
              <w:rFonts w:hint="default"/>
              <w:b/>
              <w:bCs/>
              <w:color w:val="auto"/>
              <w:sz w:val="24"/>
              <w:szCs w:val="24"/>
            </w:rPr>
            <w:t>7.1.2环境收益</w:t>
          </w:r>
          <w:r>
            <w:rPr>
              <w:b/>
              <w:bCs/>
              <w:color w:val="auto"/>
              <w:sz w:val="24"/>
              <w:szCs w:val="24"/>
            </w:rPr>
            <w:tab/>
          </w:r>
          <w:r>
            <w:rPr>
              <w:b/>
              <w:bCs/>
              <w:color w:val="auto"/>
              <w:sz w:val="24"/>
              <w:szCs w:val="24"/>
            </w:rPr>
            <w:fldChar w:fldCharType="begin"/>
          </w:r>
          <w:r>
            <w:rPr>
              <w:b/>
              <w:bCs/>
              <w:color w:val="auto"/>
              <w:sz w:val="24"/>
              <w:szCs w:val="24"/>
            </w:rPr>
            <w:instrText xml:space="preserve"> PAGEREF _Toc9168 \h </w:instrText>
          </w:r>
          <w:r>
            <w:rPr>
              <w:b/>
              <w:bCs/>
              <w:color w:val="auto"/>
              <w:sz w:val="24"/>
              <w:szCs w:val="24"/>
            </w:rPr>
            <w:fldChar w:fldCharType="separate"/>
          </w:r>
          <w:r>
            <w:rPr>
              <w:b/>
              <w:bCs/>
              <w:color w:val="auto"/>
              <w:sz w:val="24"/>
              <w:szCs w:val="24"/>
            </w:rPr>
            <w:t>162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_Toc11951 </w:instrText>
          </w:r>
          <w:r>
            <w:rPr>
              <w:b/>
              <w:bCs/>
              <w:color w:val="auto"/>
              <w:sz w:val="24"/>
              <w:szCs w:val="24"/>
            </w:rPr>
            <w:fldChar w:fldCharType="separate"/>
          </w:r>
          <w:r>
            <w:rPr>
              <w:rFonts w:hint="default"/>
              <w:b/>
              <w:bCs/>
              <w:color w:val="auto"/>
              <w:sz w:val="24"/>
              <w:szCs w:val="24"/>
            </w:rPr>
            <w:t>7.1.3经济损益分析</w:t>
          </w:r>
          <w:r>
            <w:rPr>
              <w:b/>
              <w:bCs/>
              <w:color w:val="auto"/>
              <w:sz w:val="24"/>
              <w:szCs w:val="24"/>
            </w:rPr>
            <w:tab/>
          </w:r>
          <w:r>
            <w:rPr>
              <w:b/>
              <w:bCs/>
              <w:color w:val="auto"/>
              <w:sz w:val="24"/>
              <w:szCs w:val="24"/>
            </w:rPr>
            <w:fldChar w:fldCharType="begin"/>
          </w:r>
          <w:r>
            <w:rPr>
              <w:b/>
              <w:bCs/>
              <w:color w:val="auto"/>
              <w:sz w:val="24"/>
              <w:szCs w:val="24"/>
            </w:rPr>
            <w:instrText xml:space="preserve"> PAGEREF _Toc11951 \h </w:instrText>
          </w:r>
          <w:r>
            <w:rPr>
              <w:b/>
              <w:bCs/>
              <w:color w:val="auto"/>
              <w:sz w:val="24"/>
              <w:szCs w:val="24"/>
            </w:rPr>
            <w:fldChar w:fldCharType="separate"/>
          </w:r>
          <w:r>
            <w:rPr>
              <w:b/>
              <w:bCs/>
              <w:color w:val="auto"/>
              <w:sz w:val="24"/>
              <w:szCs w:val="24"/>
            </w:rPr>
            <w:t>163</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_Toc14123 </w:instrText>
          </w:r>
          <w:r>
            <w:rPr>
              <w:b/>
              <w:bCs/>
              <w:color w:val="auto"/>
              <w:sz w:val="24"/>
              <w:szCs w:val="24"/>
            </w:rPr>
            <w:fldChar w:fldCharType="separate"/>
          </w:r>
          <w:r>
            <w:rPr>
              <w:rFonts w:hint="default"/>
              <w:b/>
              <w:bCs/>
              <w:color w:val="auto"/>
              <w:sz w:val="24"/>
              <w:szCs w:val="24"/>
            </w:rPr>
            <w:t>7.2社会效益分析</w:t>
          </w:r>
          <w:r>
            <w:rPr>
              <w:b/>
              <w:bCs/>
              <w:color w:val="auto"/>
              <w:sz w:val="24"/>
              <w:szCs w:val="24"/>
            </w:rPr>
            <w:tab/>
          </w:r>
          <w:r>
            <w:rPr>
              <w:b/>
              <w:bCs/>
              <w:color w:val="auto"/>
              <w:sz w:val="24"/>
              <w:szCs w:val="24"/>
            </w:rPr>
            <w:fldChar w:fldCharType="begin"/>
          </w:r>
          <w:r>
            <w:rPr>
              <w:b/>
              <w:bCs/>
              <w:color w:val="auto"/>
              <w:sz w:val="24"/>
              <w:szCs w:val="24"/>
            </w:rPr>
            <w:instrText xml:space="preserve"> PAGEREF _Toc14123 \h </w:instrText>
          </w:r>
          <w:r>
            <w:rPr>
              <w:b/>
              <w:bCs/>
              <w:color w:val="auto"/>
              <w:sz w:val="24"/>
              <w:szCs w:val="24"/>
            </w:rPr>
            <w:fldChar w:fldCharType="separate"/>
          </w:r>
          <w:r>
            <w:rPr>
              <w:b/>
              <w:bCs/>
              <w:color w:val="auto"/>
              <w:sz w:val="24"/>
              <w:szCs w:val="24"/>
            </w:rPr>
            <w:t>164</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_Toc610 </w:instrText>
          </w:r>
          <w:r>
            <w:rPr>
              <w:b/>
              <w:bCs/>
              <w:color w:val="auto"/>
              <w:sz w:val="24"/>
              <w:szCs w:val="24"/>
            </w:rPr>
            <w:fldChar w:fldCharType="separate"/>
          </w:r>
          <w:r>
            <w:rPr>
              <w:rFonts w:hint="default"/>
              <w:b/>
              <w:bCs/>
              <w:color w:val="auto"/>
              <w:sz w:val="24"/>
              <w:szCs w:val="24"/>
            </w:rPr>
            <w:t>7.3综合分析</w:t>
          </w:r>
          <w:r>
            <w:rPr>
              <w:b/>
              <w:bCs/>
              <w:color w:val="auto"/>
              <w:sz w:val="24"/>
              <w:szCs w:val="24"/>
            </w:rPr>
            <w:tab/>
          </w:r>
          <w:r>
            <w:rPr>
              <w:b/>
              <w:bCs/>
              <w:color w:val="auto"/>
              <w:sz w:val="24"/>
              <w:szCs w:val="24"/>
            </w:rPr>
            <w:fldChar w:fldCharType="begin"/>
          </w:r>
          <w:r>
            <w:rPr>
              <w:b/>
              <w:bCs/>
              <w:color w:val="auto"/>
              <w:sz w:val="24"/>
              <w:szCs w:val="24"/>
            </w:rPr>
            <w:instrText xml:space="preserve"> PAGEREF _Toc610 \h </w:instrText>
          </w:r>
          <w:r>
            <w:rPr>
              <w:b/>
              <w:bCs/>
              <w:color w:val="auto"/>
              <w:sz w:val="24"/>
              <w:szCs w:val="24"/>
            </w:rPr>
            <w:fldChar w:fldCharType="separate"/>
          </w:r>
          <w:r>
            <w:rPr>
              <w:b/>
              <w:bCs/>
              <w:color w:val="auto"/>
              <w:sz w:val="24"/>
              <w:szCs w:val="24"/>
            </w:rPr>
            <w:t>164</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_Toc4845 </w:instrText>
          </w:r>
          <w:r>
            <w:rPr>
              <w:b/>
              <w:bCs/>
              <w:color w:val="auto"/>
              <w:sz w:val="24"/>
              <w:szCs w:val="24"/>
            </w:rPr>
            <w:fldChar w:fldCharType="separate"/>
          </w:r>
          <w:r>
            <w:rPr>
              <w:rFonts w:hint="default" w:ascii="Times New Roman" w:hAnsi="Times New Roman" w:eastAsia="宋体" w:cs="Times New Roman"/>
              <w:b/>
              <w:bCs/>
              <w:color w:val="auto"/>
              <w:sz w:val="24"/>
              <w:szCs w:val="24"/>
              <w:highlight w:val="none"/>
            </w:rPr>
            <w:t>第8章环境管理与监测计划</w:t>
          </w:r>
          <w:r>
            <w:rPr>
              <w:b/>
              <w:bCs/>
              <w:color w:val="auto"/>
              <w:sz w:val="24"/>
              <w:szCs w:val="24"/>
            </w:rPr>
            <w:tab/>
          </w:r>
          <w:r>
            <w:rPr>
              <w:b/>
              <w:bCs/>
              <w:color w:val="auto"/>
              <w:sz w:val="24"/>
              <w:szCs w:val="24"/>
            </w:rPr>
            <w:fldChar w:fldCharType="begin"/>
          </w:r>
          <w:r>
            <w:rPr>
              <w:b/>
              <w:bCs/>
              <w:color w:val="auto"/>
              <w:sz w:val="24"/>
              <w:szCs w:val="24"/>
            </w:rPr>
            <w:instrText xml:space="preserve"> PAGEREF _Toc4845 \h </w:instrText>
          </w:r>
          <w:r>
            <w:rPr>
              <w:b/>
              <w:bCs/>
              <w:color w:val="auto"/>
              <w:sz w:val="24"/>
              <w:szCs w:val="24"/>
            </w:rPr>
            <w:fldChar w:fldCharType="separate"/>
          </w:r>
          <w:r>
            <w:rPr>
              <w:b/>
              <w:bCs/>
              <w:color w:val="auto"/>
              <w:sz w:val="24"/>
              <w:szCs w:val="24"/>
            </w:rPr>
            <w:t>165</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_Toc27176 </w:instrText>
          </w:r>
          <w:r>
            <w:rPr>
              <w:b/>
              <w:bCs/>
              <w:color w:val="auto"/>
              <w:sz w:val="24"/>
              <w:szCs w:val="24"/>
            </w:rPr>
            <w:fldChar w:fldCharType="separate"/>
          </w:r>
          <w:r>
            <w:rPr>
              <w:rFonts w:hint="default"/>
              <w:b/>
              <w:bCs/>
              <w:color w:val="auto"/>
              <w:sz w:val="24"/>
              <w:szCs w:val="24"/>
            </w:rPr>
            <w:t>8.1环境管理</w:t>
          </w:r>
          <w:r>
            <w:rPr>
              <w:b/>
              <w:bCs/>
              <w:color w:val="auto"/>
              <w:sz w:val="24"/>
              <w:szCs w:val="24"/>
            </w:rPr>
            <w:tab/>
          </w:r>
          <w:r>
            <w:rPr>
              <w:b/>
              <w:bCs/>
              <w:color w:val="auto"/>
              <w:sz w:val="24"/>
              <w:szCs w:val="24"/>
            </w:rPr>
            <w:fldChar w:fldCharType="begin"/>
          </w:r>
          <w:r>
            <w:rPr>
              <w:b/>
              <w:bCs/>
              <w:color w:val="auto"/>
              <w:sz w:val="24"/>
              <w:szCs w:val="24"/>
            </w:rPr>
            <w:instrText xml:space="preserve"> PAGEREF _Toc27176 \h </w:instrText>
          </w:r>
          <w:r>
            <w:rPr>
              <w:b/>
              <w:bCs/>
              <w:color w:val="auto"/>
              <w:sz w:val="24"/>
              <w:szCs w:val="24"/>
            </w:rPr>
            <w:fldChar w:fldCharType="separate"/>
          </w:r>
          <w:r>
            <w:rPr>
              <w:b/>
              <w:bCs/>
              <w:color w:val="auto"/>
              <w:sz w:val="24"/>
              <w:szCs w:val="24"/>
            </w:rPr>
            <w:t>165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_Toc27538 </w:instrText>
          </w:r>
          <w:r>
            <w:rPr>
              <w:b/>
              <w:bCs/>
              <w:color w:val="auto"/>
              <w:sz w:val="24"/>
              <w:szCs w:val="24"/>
            </w:rPr>
            <w:fldChar w:fldCharType="separate"/>
          </w:r>
          <w:r>
            <w:rPr>
              <w:rFonts w:hint="default"/>
              <w:b/>
              <w:bCs/>
              <w:color w:val="auto"/>
              <w:sz w:val="24"/>
              <w:szCs w:val="24"/>
            </w:rPr>
            <w:t>8.1.1环境保护管理目标</w:t>
          </w:r>
          <w:r>
            <w:rPr>
              <w:b/>
              <w:bCs/>
              <w:color w:val="auto"/>
              <w:sz w:val="24"/>
              <w:szCs w:val="24"/>
            </w:rPr>
            <w:tab/>
          </w:r>
          <w:r>
            <w:rPr>
              <w:b/>
              <w:bCs/>
              <w:color w:val="auto"/>
              <w:sz w:val="24"/>
              <w:szCs w:val="24"/>
            </w:rPr>
            <w:fldChar w:fldCharType="begin"/>
          </w:r>
          <w:r>
            <w:rPr>
              <w:b/>
              <w:bCs/>
              <w:color w:val="auto"/>
              <w:sz w:val="24"/>
              <w:szCs w:val="24"/>
            </w:rPr>
            <w:instrText xml:space="preserve"> PAGEREF _Toc27538 \h </w:instrText>
          </w:r>
          <w:r>
            <w:rPr>
              <w:b/>
              <w:bCs/>
              <w:color w:val="auto"/>
              <w:sz w:val="24"/>
              <w:szCs w:val="24"/>
            </w:rPr>
            <w:fldChar w:fldCharType="separate"/>
          </w:r>
          <w:r>
            <w:rPr>
              <w:b/>
              <w:bCs/>
              <w:color w:val="auto"/>
              <w:sz w:val="24"/>
              <w:szCs w:val="24"/>
            </w:rPr>
            <w:t>165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_Toc11510 </w:instrText>
          </w:r>
          <w:r>
            <w:rPr>
              <w:b/>
              <w:bCs/>
              <w:color w:val="auto"/>
              <w:sz w:val="24"/>
              <w:szCs w:val="24"/>
            </w:rPr>
            <w:fldChar w:fldCharType="separate"/>
          </w:r>
          <w:r>
            <w:rPr>
              <w:rFonts w:hint="default"/>
              <w:b/>
              <w:bCs/>
              <w:color w:val="auto"/>
              <w:sz w:val="24"/>
              <w:szCs w:val="24"/>
            </w:rPr>
            <w:t>8.1.2环境管理机构设置</w:t>
          </w:r>
          <w:r>
            <w:rPr>
              <w:b/>
              <w:bCs/>
              <w:color w:val="auto"/>
              <w:sz w:val="24"/>
              <w:szCs w:val="24"/>
            </w:rPr>
            <w:tab/>
          </w:r>
          <w:r>
            <w:rPr>
              <w:b/>
              <w:bCs/>
              <w:color w:val="auto"/>
              <w:sz w:val="24"/>
              <w:szCs w:val="24"/>
            </w:rPr>
            <w:fldChar w:fldCharType="begin"/>
          </w:r>
          <w:r>
            <w:rPr>
              <w:b/>
              <w:bCs/>
              <w:color w:val="auto"/>
              <w:sz w:val="24"/>
              <w:szCs w:val="24"/>
            </w:rPr>
            <w:instrText xml:space="preserve"> PAGEREF _Toc11510 \h </w:instrText>
          </w:r>
          <w:r>
            <w:rPr>
              <w:b/>
              <w:bCs/>
              <w:color w:val="auto"/>
              <w:sz w:val="24"/>
              <w:szCs w:val="24"/>
            </w:rPr>
            <w:fldChar w:fldCharType="separate"/>
          </w:r>
          <w:r>
            <w:rPr>
              <w:b/>
              <w:bCs/>
              <w:color w:val="auto"/>
              <w:sz w:val="24"/>
              <w:szCs w:val="24"/>
            </w:rPr>
            <w:t>165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_Toc18196 </w:instrText>
          </w:r>
          <w:r>
            <w:rPr>
              <w:b/>
              <w:bCs/>
              <w:color w:val="auto"/>
              <w:sz w:val="24"/>
              <w:szCs w:val="24"/>
            </w:rPr>
            <w:fldChar w:fldCharType="separate"/>
          </w:r>
          <w:r>
            <w:rPr>
              <w:rFonts w:hint="default"/>
              <w:b/>
              <w:bCs/>
              <w:color w:val="auto"/>
              <w:sz w:val="24"/>
              <w:szCs w:val="24"/>
            </w:rPr>
            <w:t>8.1.3环境管理机构的职责</w:t>
          </w:r>
          <w:r>
            <w:rPr>
              <w:b/>
              <w:bCs/>
              <w:color w:val="auto"/>
              <w:sz w:val="24"/>
              <w:szCs w:val="24"/>
            </w:rPr>
            <w:tab/>
          </w:r>
          <w:r>
            <w:rPr>
              <w:b/>
              <w:bCs/>
              <w:color w:val="auto"/>
              <w:sz w:val="24"/>
              <w:szCs w:val="24"/>
            </w:rPr>
            <w:fldChar w:fldCharType="begin"/>
          </w:r>
          <w:r>
            <w:rPr>
              <w:b/>
              <w:bCs/>
              <w:color w:val="auto"/>
              <w:sz w:val="24"/>
              <w:szCs w:val="24"/>
            </w:rPr>
            <w:instrText xml:space="preserve"> PAGEREF _Toc18196 \h </w:instrText>
          </w:r>
          <w:r>
            <w:rPr>
              <w:b/>
              <w:bCs/>
              <w:color w:val="auto"/>
              <w:sz w:val="24"/>
              <w:szCs w:val="24"/>
            </w:rPr>
            <w:fldChar w:fldCharType="separate"/>
          </w:r>
          <w:r>
            <w:rPr>
              <w:b/>
              <w:bCs/>
              <w:color w:val="auto"/>
              <w:sz w:val="24"/>
              <w:szCs w:val="24"/>
            </w:rPr>
            <w:t>165</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_Toc4172 </w:instrText>
          </w:r>
          <w:r>
            <w:rPr>
              <w:b/>
              <w:bCs/>
              <w:color w:val="auto"/>
              <w:sz w:val="24"/>
              <w:szCs w:val="24"/>
            </w:rPr>
            <w:fldChar w:fldCharType="separate"/>
          </w:r>
          <w:r>
            <w:rPr>
              <w:rFonts w:hint="default"/>
              <w:b/>
              <w:bCs/>
              <w:color w:val="auto"/>
              <w:sz w:val="24"/>
              <w:szCs w:val="24"/>
            </w:rPr>
            <w:t>8.1.4环境管理规章制度</w:t>
          </w:r>
          <w:r>
            <w:rPr>
              <w:b/>
              <w:bCs/>
              <w:color w:val="auto"/>
              <w:sz w:val="24"/>
              <w:szCs w:val="24"/>
            </w:rPr>
            <w:tab/>
          </w:r>
          <w:r>
            <w:rPr>
              <w:b/>
              <w:bCs/>
              <w:color w:val="auto"/>
              <w:sz w:val="24"/>
              <w:szCs w:val="24"/>
            </w:rPr>
            <w:fldChar w:fldCharType="begin"/>
          </w:r>
          <w:r>
            <w:rPr>
              <w:b/>
              <w:bCs/>
              <w:color w:val="auto"/>
              <w:sz w:val="24"/>
              <w:szCs w:val="24"/>
            </w:rPr>
            <w:instrText xml:space="preserve"> PAGEREF _Toc4172 \h </w:instrText>
          </w:r>
          <w:r>
            <w:rPr>
              <w:b/>
              <w:bCs/>
              <w:color w:val="auto"/>
              <w:sz w:val="24"/>
              <w:szCs w:val="24"/>
            </w:rPr>
            <w:fldChar w:fldCharType="separate"/>
          </w:r>
          <w:r>
            <w:rPr>
              <w:b/>
              <w:bCs/>
              <w:color w:val="auto"/>
              <w:sz w:val="24"/>
              <w:szCs w:val="24"/>
            </w:rPr>
            <w:t>166</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_Toc5788 </w:instrText>
          </w:r>
          <w:r>
            <w:rPr>
              <w:b/>
              <w:bCs/>
              <w:color w:val="auto"/>
              <w:sz w:val="24"/>
              <w:szCs w:val="24"/>
            </w:rPr>
            <w:fldChar w:fldCharType="separate"/>
          </w:r>
          <w:r>
            <w:rPr>
              <w:rFonts w:hint="default"/>
              <w:b/>
              <w:bCs/>
              <w:color w:val="auto"/>
              <w:sz w:val="24"/>
              <w:szCs w:val="24"/>
            </w:rPr>
            <w:t>8.1.5环境管理计划</w:t>
          </w:r>
          <w:r>
            <w:rPr>
              <w:b/>
              <w:bCs/>
              <w:color w:val="auto"/>
              <w:sz w:val="24"/>
              <w:szCs w:val="24"/>
            </w:rPr>
            <w:tab/>
          </w:r>
          <w:r>
            <w:rPr>
              <w:b/>
              <w:bCs/>
              <w:color w:val="auto"/>
              <w:sz w:val="24"/>
              <w:szCs w:val="24"/>
            </w:rPr>
            <w:fldChar w:fldCharType="begin"/>
          </w:r>
          <w:r>
            <w:rPr>
              <w:b/>
              <w:bCs/>
              <w:color w:val="auto"/>
              <w:sz w:val="24"/>
              <w:szCs w:val="24"/>
            </w:rPr>
            <w:instrText xml:space="preserve"> PAGEREF _Toc5788 \h </w:instrText>
          </w:r>
          <w:r>
            <w:rPr>
              <w:b/>
              <w:bCs/>
              <w:color w:val="auto"/>
              <w:sz w:val="24"/>
              <w:szCs w:val="24"/>
            </w:rPr>
            <w:fldChar w:fldCharType="separate"/>
          </w:r>
          <w:r>
            <w:rPr>
              <w:b/>
              <w:bCs/>
              <w:color w:val="auto"/>
              <w:sz w:val="24"/>
              <w:szCs w:val="24"/>
            </w:rPr>
            <w:t>167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_Toc9138 </w:instrText>
          </w:r>
          <w:r>
            <w:rPr>
              <w:b/>
              <w:bCs/>
              <w:color w:val="auto"/>
              <w:sz w:val="24"/>
              <w:szCs w:val="24"/>
            </w:rPr>
            <w:fldChar w:fldCharType="separate"/>
          </w:r>
          <w:r>
            <w:rPr>
              <w:rFonts w:hint="default"/>
              <w:b/>
              <w:bCs/>
              <w:color w:val="auto"/>
              <w:sz w:val="24"/>
              <w:szCs w:val="24"/>
            </w:rPr>
            <w:t>8.1.6排污口管理</w:t>
          </w:r>
          <w:r>
            <w:rPr>
              <w:b/>
              <w:bCs/>
              <w:color w:val="auto"/>
              <w:sz w:val="24"/>
              <w:szCs w:val="24"/>
            </w:rPr>
            <w:tab/>
          </w:r>
          <w:r>
            <w:rPr>
              <w:b/>
              <w:bCs/>
              <w:color w:val="auto"/>
              <w:sz w:val="24"/>
              <w:szCs w:val="24"/>
            </w:rPr>
            <w:fldChar w:fldCharType="begin"/>
          </w:r>
          <w:r>
            <w:rPr>
              <w:b/>
              <w:bCs/>
              <w:color w:val="auto"/>
              <w:sz w:val="24"/>
              <w:szCs w:val="24"/>
            </w:rPr>
            <w:instrText xml:space="preserve"> PAGEREF _Toc9138 \h </w:instrText>
          </w:r>
          <w:r>
            <w:rPr>
              <w:b/>
              <w:bCs/>
              <w:color w:val="auto"/>
              <w:sz w:val="24"/>
              <w:szCs w:val="24"/>
            </w:rPr>
            <w:fldChar w:fldCharType="separate"/>
          </w:r>
          <w:r>
            <w:rPr>
              <w:b/>
              <w:bCs/>
              <w:color w:val="auto"/>
              <w:sz w:val="24"/>
              <w:szCs w:val="24"/>
            </w:rPr>
            <w:t>169</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_Toc2702 </w:instrText>
          </w:r>
          <w:r>
            <w:rPr>
              <w:b/>
              <w:bCs/>
              <w:color w:val="auto"/>
              <w:sz w:val="24"/>
              <w:szCs w:val="24"/>
            </w:rPr>
            <w:fldChar w:fldCharType="separate"/>
          </w:r>
          <w:r>
            <w:rPr>
              <w:rFonts w:hint="default"/>
              <w:b/>
              <w:bCs/>
              <w:color w:val="auto"/>
              <w:sz w:val="24"/>
              <w:szCs w:val="24"/>
            </w:rPr>
            <w:t>8.2环境监测计划</w:t>
          </w:r>
          <w:r>
            <w:rPr>
              <w:b/>
              <w:bCs/>
              <w:color w:val="auto"/>
              <w:sz w:val="24"/>
              <w:szCs w:val="24"/>
            </w:rPr>
            <w:tab/>
          </w:r>
          <w:r>
            <w:rPr>
              <w:b/>
              <w:bCs/>
              <w:color w:val="auto"/>
              <w:sz w:val="24"/>
              <w:szCs w:val="24"/>
            </w:rPr>
            <w:fldChar w:fldCharType="begin"/>
          </w:r>
          <w:r>
            <w:rPr>
              <w:b/>
              <w:bCs/>
              <w:color w:val="auto"/>
              <w:sz w:val="24"/>
              <w:szCs w:val="24"/>
            </w:rPr>
            <w:instrText xml:space="preserve"> PAGEREF _Toc2702 \h </w:instrText>
          </w:r>
          <w:r>
            <w:rPr>
              <w:b/>
              <w:bCs/>
              <w:color w:val="auto"/>
              <w:sz w:val="24"/>
              <w:szCs w:val="24"/>
            </w:rPr>
            <w:fldChar w:fldCharType="separate"/>
          </w:r>
          <w:r>
            <w:rPr>
              <w:b/>
              <w:bCs/>
              <w:color w:val="auto"/>
              <w:sz w:val="24"/>
              <w:szCs w:val="24"/>
            </w:rPr>
            <w:t>170</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_Toc8463 </w:instrText>
          </w:r>
          <w:r>
            <w:rPr>
              <w:b/>
              <w:bCs/>
              <w:color w:val="auto"/>
              <w:sz w:val="24"/>
              <w:szCs w:val="24"/>
            </w:rPr>
            <w:fldChar w:fldCharType="separate"/>
          </w:r>
          <w:r>
            <w:rPr>
              <w:rFonts w:hint="default"/>
              <w:b/>
              <w:bCs/>
              <w:color w:val="auto"/>
              <w:sz w:val="24"/>
              <w:szCs w:val="24"/>
            </w:rPr>
            <w:t>8.3环保设施竣工验收</w:t>
          </w:r>
          <w:r>
            <w:rPr>
              <w:b/>
              <w:bCs/>
              <w:color w:val="auto"/>
              <w:sz w:val="24"/>
              <w:szCs w:val="24"/>
            </w:rPr>
            <w:tab/>
          </w:r>
          <w:r>
            <w:rPr>
              <w:b/>
              <w:bCs/>
              <w:color w:val="auto"/>
              <w:sz w:val="24"/>
              <w:szCs w:val="24"/>
            </w:rPr>
            <w:fldChar w:fldCharType="begin"/>
          </w:r>
          <w:r>
            <w:rPr>
              <w:b/>
              <w:bCs/>
              <w:color w:val="auto"/>
              <w:sz w:val="24"/>
              <w:szCs w:val="24"/>
            </w:rPr>
            <w:instrText xml:space="preserve"> PAGEREF _Toc8463 \h </w:instrText>
          </w:r>
          <w:r>
            <w:rPr>
              <w:b/>
              <w:bCs/>
              <w:color w:val="auto"/>
              <w:sz w:val="24"/>
              <w:szCs w:val="24"/>
            </w:rPr>
            <w:fldChar w:fldCharType="separate"/>
          </w:r>
          <w:r>
            <w:rPr>
              <w:b/>
              <w:bCs/>
              <w:color w:val="auto"/>
              <w:sz w:val="24"/>
              <w:szCs w:val="24"/>
            </w:rPr>
            <w:t>171</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_Toc23550 </w:instrText>
          </w:r>
          <w:r>
            <w:rPr>
              <w:b/>
              <w:bCs/>
              <w:color w:val="auto"/>
              <w:sz w:val="24"/>
              <w:szCs w:val="24"/>
            </w:rPr>
            <w:fldChar w:fldCharType="separate"/>
          </w:r>
          <w:r>
            <w:rPr>
              <w:rFonts w:hint="default"/>
              <w:b/>
              <w:bCs/>
              <w:color w:val="auto"/>
              <w:sz w:val="24"/>
              <w:szCs w:val="24"/>
            </w:rPr>
            <w:t>8.4总量控制</w:t>
          </w:r>
          <w:r>
            <w:rPr>
              <w:b/>
              <w:bCs/>
              <w:color w:val="auto"/>
              <w:sz w:val="24"/>
              <w:szCs w:val="24"/>
            </w:rPr>
            <w:tab/>
          </w:r>
          <w:r>
            <w:rPr>
              <w:b/>
              <w:bCs/>
              <w:color w:val="auto"/>
              <w:sz w:val="24"/>
              <w:szCs w:val="24"/>
            </w:rPr>
            <w:fldChar w:fldCharType="begin"/>
          </w:r>
          <w:r>
            <w:rPr>
              <w:b/>
              <w:bCs/>
              <w:color w:val="auto"/>
              <w:sz w:val="24"/>
              <w:szCs w:val="24"/>
            </w:rPr>
            <w:instrText xml:space="preserve"> PAGEREF _Toc23550 \h </w:instrText>
          </w:r>
          <w:r>
            <w:rPr>
              <w:b/>
              <w:bCs/>
              <w:color w:val="auto"/>
              <w:sz w:val="24"/>
              <w:szCs w:val="24"/>
            </w:rPr>
            <w:fldChar w:fldCharType="separate"/>
          </w:r>
          <w:r>
            <w:rPr>
              <w:b/>
              <w:bCs/>
              <w:color w:val="auto"/>
              <w:sz w:val="24"/>
              <w:szCs w:val="24"/>
            </w:rPr>
            <w:t>172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_Toc20680 </w:instrText>
          </w:r>
          <w:r>
            <w:rPr>
              <w:b/>
              <w:bCs/>
              <w:color w:val="auto"/>
              <w:sz w:val="24"/>
              <w:szCs w:val="24"/>
            </w:rPr>
            <w:fldChar w:fldCharType="separate"/>
          </w:r>
          <w:r>
            <w:rPr>
              <w:rFonts w:hint="default"/>
              <w:b/>
              <w:bCs/>
              <w:color w:val="auto"/>
              <w:sz w:val="24"/>
              <w:szCs w:val="24"/>
            </w:rPr>
            <w:t>8.4.1总量控制指标的确定</w:t>
          </w:r>
          <w:r>
            <w:rPr>
              <w:b/>
              <w:bCs/>
              <w:color w:val="auto"/>
              <w:sz w:val="24"/>
              <w:szCs w:val="24"/>
            </w:rPr>
            <w:tab/>
          </w:r>
          <w:r>
            <w:rPr>
              <w:b/>
              <w:bCs/>
              <w:color w:val="auto"/>
              <w:sz w:val="24"/>
              <w:szCs w:val="24"/>
            </w:rPr>
            <w:fldChar w:fldCharType="begin"/>
          </w:r>
          <w:r>
            <w:rPr>
              <w:b/>
              <w:bCs/>
              <w:color w:val="auto"/>
              <w:sz w:val="24"/>
              <w:szCs w:val="24"/>
            </w:rPr>
            <w:instrText xml:space="preserve"> PAGEREF _Toc20680 \h </w:instrText>
          </w:r>
          <w:r>
            <w:rPr>
              <w:b/>
              <w:bCs/>
              <w:color w:val="auto"/>
              <w:sz w:val="24"/>
              <w:szCs w:val="24"/>
            </w:rPr>
            <w:fldChar w:fldCharType="separate"/>
          </w:r>
          <w:r>
            <w:rPr>
              <w:b/>
              <w:bCs/>
              <w:color w:val="auto"/>
              <w:sz w:val="24"/>
              <w:szCs w:val="24"/>
            </w:rPr>
            <w:t>172</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_Toc24281 </w:instrText>
          </w:r>
          <w:r>
            <w:rPr>
              <w:b/>
              <w:bCs/>
              <w:color w:val="auto"/>
              <w:sz w:val="24"/>
              <w:szCs w:val="24"/>
            </w:rPr>
            <w:fldChar w:fldCharType="separate"/>
          </w:r>
          <w:r>
            <w:rPr>
              <w:rFonts w:hint="default"/>
              <w:b/>
              <w:bCs/>
              <w:color w:val="auto"/>
              <w:sz w:val="24"/>
              <w:szCs w:val="24"/>
            </w:rPr>
            <w:t>8.4.2总量控制因子筛选</w:t>
          </w:r>
          <w:r>
            <w:rPr>
              <w:b/>
              <w:bCs/>
              <w:color w:val="auto"/>
              <w:sz w:val="24"/>
              <w:szCs w:val="24"/>
            </w:rPr>
            <w:tab/>
          </w:r>
          <w:r>
            <w:rPr>
              <w:b/>
              <w:bCs/>
              <w:color w:val="auto"/>
              <w:sz w:val="24"/>
              <w:szCs w:val="24"/>
            </w:rPr>
            <w:fldChar w:fldCharType="begin"/>
          </w:r>
          <w:r>
            <w:rPr>
              <w:b/>
              <w:bCs/>
              <w:color w:val="auto"/>
              <w:sz w:val="24"/>
              <w:szCs w:val="24"/>
            </w:rPr>
            <w:instrText xml:space="preserve"> PAGEREF _Toc24281 \h </w:instrText>
          </w:r>
          <w:r>
            <w:rPr>
              <w:b/>
              <w:bCs/>
              <w:color w:val="auto"/>
              <w:sz w:val="24"/>
              <w:szCs w:val="24"/>
            </w:rPr>
            <w:fldChar w:fldCharType="separate"/>
          </w:r>
          <w:r>
            <w:rPr>
              <w:b/>
              <w:bCs/>
              <w:color w:val="auto"/>
              <w:sz w:val="24"/>
              <w:szCs w:val="24"/>
            </w:rPr>
            <w:t>172</w:t>
          </w:r>
          <w:r>
            <w:rPr>
              <w:b/>
              <w:bCs/>
              <w:color w:val="auto"/>
              <w:sz w:val="24"/>
              <w:szCs w:val="24"/>
            </w:rPr>
            <w:fldChar w:fldCharType="end"/>
          </w:r>
          <w:r>
            <w:rPr>
              <w:b/>
              <w:bCs/>
              <w:color w:val="auto"/>
              <w:sz w:val="24"/>
              <w:szCs w:val="24"/>
            </w:rPr>
            <w:fldChar w:fldCharType="end"/>
          </w:r>
        </w:p>
        <w:p>
          <w:pPr>
            <w:pStyle w:val="97"/>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_Toc6089 </w:instrText>
          </w:r>
          <w:r>
            <w:rPr>
              <w:b/>
              <w:bCs/>
              <w:color w:val="auto"/>
              <w:sz w:val="24"/>
              <w:szCs w:val="24"/>
            </w:rPr>
            <w:fldChar w:fldCharType="separate"/>
          </w:r>
          <w:r>
            <w:rPr>
              <w:rFonts w:hint="default" w:ascii="Times New Roman" w:hAnsi="Times New Roman" w:eastAsia="宋体" w:cs="Times New Roman"/>
              <w:b/>
              <w:bCs/>
              <w:snapToGrid w:val="0"/>
              <w:color w:val="auto"/>
              <w:spacing w:val="-4"/>
              <w:kern w:val="0"/>
              <w:sz w:val="24"/>
              <w:szCs w:val="24"/>
            </w:rPr>
            <w:t>9</w:t>
          </w:r>
          <w:r>
            <w:rPr>
              <w:rFonts w:hint="default" w:ascii="Times New Roman" w:hAnsi="Times New Roman" w:eastAsia="宋体" w:cs="Times New Roman"/>
              <w:b/>
              <w:bCs/>
              <w:snapToGrid w:val="0"/>
              <w:color w:val="auto"/>
              <w:spacing w:val="-2"/>
              <w:kern w:val="0"/>
              <w:sz w:val="24"/>
              <w:szCs w:val="24"/>
              <w14:textOutline w14:w="5793" w14:cap="sq" w14:cmpd="sng">
                <w14:solidFill>
                  <w14:srgbClr w14:val="000000"/>
                </w14:solidFill>
                <w14:prstDash w14:val="solid"/>
                <w14:bevel/>
              </w14:textOutline>
            </w:rPr>
            <w:t>、结论与建议</w:t>
          </w:r>
          <w:r>
            <w:rPr>
              <w:b/>
              <w:bCs/>
              <w:color w:val="auto"/>
              <w:sz w:val="24"/>
              <w:szCs w:val="24"/>
            </w:rPr>
            <w:tab/>
          </w:r>
          <w:r>
            <w:rPr>
              <w:b/>
              <w:bCs/>
              <w:color w:val="auto"/>
              <w:sz w:val="24"/>
              <w:szCs w:val="24"/>
            </w:rPr>
            <w:fldChar w:fldCharType="begin"/>
          </w:r>
          <w:r>
            <w:rPr>
              <w:b/>
              <w:bCs/>
              <w:color w:val="auto"/>
              <w:sz w:val="24"/>
              <w:szCs w:val="24"/>
            </w:rPr>
            <w:instrText xml:space="preserve"> PAGEREF _Toc6089 \h </w:instrText>
          </w:r>
          <w:r>
            <w:rPr>
              <w:b/>
              <w:bCs/>
              <w:color w:val="auto"/>
              <w:sz w:val="24"/>
              <w:szCs w:val="24"/>
            </w:rPr>
            <w:fldChar w:fldCharType="separate"/>
          </w:r>
          <w:r>
            <w:rPr>
              <w:b/>
              <w:bCs/>
              <w:color w:val="auto"/>
              <w:sz w:val="24"/>
              <w:szCs w:val="24"/>
            </w:rPr>
            <w:t>174</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_Toc2627 </w:instrText>
          </w:r>
          <w:r>
            <w:rPr>
              <w:b/>
              <w:bCs/>
              <w:color w:val="auto"/>
              <w:sz w:val="24"/>
              <w:szCs w:val="24"/>
            </w:rPr>
            <w:fldChar w:fldCharType="separate"/>
          </w:r>
          <w:r>
            <w:rPr>
              <w:rFonts w:hint="default"/>
              <w:b/>
              <w:bCs/>
              <w:color w:val="auto"/>
              <w:sz w:val="24"/>
              <w:szCs w:val="24"/>
            </w:rPr>
            <w:t>9.1项目概况</w:t>
          </w:r>
          <w:r>
            <w:rPr>
              <w:b/>
              <w:bCs/>
              <w:color w:val="auto"/>
              <w:sz w:val="24"/>
              <w:szCs w:val="24"/>
            </w:rPr>
            <w:tab/>
          </w:r>
          <w:r>
            <w:rPr>
              <w:b/>
              <w:bCs/>
              <w:color w:val="auto"/>
              <w:sz w:val="24"/>
              <w:szCs w:val="24"/>
            </w:rPr>
            <w:fldChar w:fldCharType="begin"/>
          </w:r>
          <w:r>
            <w:rPr>
              <w:b/>
              <w:bCs/>
              <w:color w:val="auto"/>
              <w:sz w:val="24"/>
              <w:szCs w:val="24"/>
            </w:rPr>
            <w:instrText xml:space="preserve"> PAGEREF _Toc2627 \h </w:instrText>
          </w:r>
          <w:r>
            <w:rPr>
              <w:b/>
              <w:bCs/>
              <w:color w:val="auto"/>
              <w:sz w:val="24"/>
              <w:szCs w:val="24"/>
            </w:rPr>
            <w:fldChar w:fldCharType="separate"/>
          </w:r>
          <w:r>
            <w:rPr>
              <w:b/>
              <w:bCs/>
              <w:color w:val="auto"/>
              <w:sz w:val="24"/>
              <w:szCs w:val="24"/>
            </w:rPr>
            <w:t>174</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_Toc12737 </w:instrText>
          </w:r>
          <w:r>
            <w:rPr>
              <w:b/>
              <w:bCs/>
              <w:color w:val="auto"/>
              <w:sz w:val="24"/>
              <w:szCs w:val="24"/>
            </w:rPr>
            <w:fldChar w:fldCharType="separate"/>
          </w:r>
          <w:r>
            <w:rPr>
              <w:rFonts w:hint="default"/>
              <w:b/>
              <w:bCs/>
              <w:color w:val="auto"/>
              <w:sz w:val="24"/>
              <w:szCs w:val="24"/>
            </w:rPr>
            <w:t>9.2环境质量现状评价结论</w:t>
          </w:r>
          <w:r>
            <w:rPr>
              <w:b/>
              <w:bCs/>
              <w:color w:val="auto"/>
              <w:sz w:val="24"/>
              <w:szCs w:val="24"/>
            </w:rPr>
            <w:tab/>
          </w:r>
          <w:r>
            <w:rPr>
              <w:b/>
              <w:bCs/>
              <w:color w:val="auto"/>
              <w:sz w:val="24"/>
              <w:szCs w:val="24"/>
            </w:rPr>
            <w:fldChar w:fldCharType="begin"/>
          </w:r>
          <w:r>
            <w:rPr>
              <w:b/>
              <w:bCs/>
              <w:color w:val="auto"/>
              <w:sz w:val="24"/>
              <w:szCs w:val="24"/>
            </w:rPr>
            <w:instrText xml:space="preserve"> PAGEREF _Toc12737 \h </w:instrText>
          </w:r>
          <w:r>
            <w:rPr>
              <w:b/>
              <w:bCs/>
              <w:color w:val="auto"/>
              <w:sz w:val="24"/>
              <w:szCs w:val="24"/>
            </w:rPr>
            <w:fldChar w:fldCharType="separate"/>
          </w:r>
          <w:r>
            <w:rPr>
              <w:b/>
              <w:bCs/>
              <w:color w:val="auto"/>
              <w:sz w:val="24"/>
              <w:szCs w:val="24"/>
            </w:rPr>
            <w:t>174</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_Toc25149 </w:instrText>
          </w:r>
          <w:r>
            <w:rPr>
              <w:b/>
              <w:bCs/>
              <w:color w:val="auto"/>
              <w:sz w:val="24"/>
              <w:szCs w:val="24"/>
            </w:rPr>
            <w:fldChar w:fldCharType="separate"/>
          </w:r>
          <w:r>
            <w:rPr>
              <w:rFonts w:hint="default"/>
              <w:b/>
              <w:bCs/>
              <w:color w:val="auto"/>
              <w:sz w:val="24"/>
              <w:szCs w:val="24"/>
            </w:rPr>
            <w:t>9.3项目环境可行性</w:t>
          </w:r>
          <w:r>
            <w:rPr>
              <w:b/>
              <w:bCs/>
              <w:color w:val="auto"/>
              <w:sz w:val="24"/>
              <w:szCs w:val="24"/>
            </w:rPr>
            <w:tab/>
          </w:r>
          <w:r>
            <w:rPr>
              <w:b/>
              <w:bCs/>
              <w:color w:val="auto"/>
              <w:sz w:val="24"/>
              <w:szCs w:val="24"/>
            </w:rPr>
            <w:fldChar w:fldCharType="begin"/>
          </w:r>
          <w:r>
            <w:rPr>
              <w:b/>
              <w:bCs/>
              <w:color w:val="auto"/>
              <w:sz w:val="24"/>
              <w:szCs w:val="24"/>
            </w:rPr>
            <w:instrText xml:space="preserve"> PAGEREF _Toc25149 \h </w:instrText>
          </w:r>
          <w:r>
            <w:rPr>
              <w:b/>
              <w:bCs/>
              <w:color w:val="auto"/>
              <w:sz w:val="24"/>
              <w:szCs w:val="24"/>
            </w:rPr>
            <w:fldChar w:fldCharType="separate"/>
          </w:r>
          <w:r>
            <w:rPr>
              <w:b/>
              <w:bCs/>
              <w:color w:val="auto"/>
              <w:sz w:val="24"/>
              <w:szCs w:val="24"/>
            </w:rPr>
            <w:t>175</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_Toc23429 </w:instrText>
          </w:r>
          <w:r>
            <w:rPr>
              <w:b/>
              <w:bCs/>
              <w:color w:val="auto"/>
              <w:sz w:val="24"/>
              <w:szCs w:val="24"/>
            </w:rPr>
            <w:fldChar w:fldCharType="separate"/>
          </w:r>
          <w:r>
            <w:rPr>
              <w:rFonts w:hint="default"/>
              <w:b/>
              <w:bCs/>
              <w:color w:val="auto"/>
              <w:sz w:val="24"/>
              <w:szCs w:val="24"/>
            </w:rPr>
            <w:t>9.4环境影响评价结论</w:t>
          </w:r>
          <w:r>
            <w:rPr>
              <w:b/>
              <w:bCs/>
              <w:color w:val="auto"/>
              <w:sz w:val="24"/>
              <w:szCs w:val="24"/>
            </w:rPr>
            <w:tab/>
          </w:r>
          <w:r>
            <w:rPr>
              <w:b/>
              <w:bCs/>
              <w:color w:val="auto"/>
              <w:sz w:val="24"/>
              <w:szCs w:val="24"/>
            </w:rPr>
            <w:fldChar w:fldCharType="begin"/>
          </w:r>
          <w:r>
            <w:rPr>
              <w:b/>
              <w:bCs/>
              <w:color w:val="auto"/>
              <w:sz w:val="24"/>
              <w:szCs w:val="24"/>
            </w:rPr>
            <w:instrText xml:space="preserve"> PAGEREF _Toc23429 \h </w:instrText>
          </w:r>
          <w:r>
            <w:rPr>
              <w:b/>
              <w:bCs/>
              <w:color w:val="auto"/>
              <w:sz w:val="24"/>
              <w:szCs w:val="24"/>
            </w:rPr>
            <w:fldChar w:fldCharType="separate"/>
          </w:r>
          <w:r>
            <w:rPr>
              <w:b/>
              <w:bCs/>
              <w:color w:val="auto"/>
              <w:sz w:val="24"/>
              <w:szCs w:val="24"/>
            </w:rPr>
            <w:t>176</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_Toc31584 </w:instrText>
          </w:r>
          <w:r>
            <w:rPr>
              <w:b/>
              <w:bCs/>
              <w:color w:val="auto"/>
              <w:sz w:val="24"/>
              <w:szCs w:val="24"/>
            </w:rPr>
            <w:fldChar w:fldCharType="separate"/>
          </w:r>
          <w:r>
            <w:rPr>
              <w:rFonts w:hint="default"/>
              <w:b/>
              <w:bCs/>
              <w:color w:val="auto"/>
              <w:sz w:val="24"/>
              <w:szCs w:val="24"/>
            </w:rPr>
            <w:t>9.5总结论</w:t>
          </w:r>
          <w:r>
            <w:rPr>
              <w:b/>
              <w:bCs/>
              <w:color w:val="auto"/>
              <w:sz w:val="24"/>
              <w:szCs w:val="24"/>
            </w:rPr>
            <w:tab/>
          </w:r>
          <w:r>
            <w:rPr>
              <w:b/>
              <w:bCs/>
              <w:color w:val="auto"/>
              <w:sz w:val="24"/>
              <w:szCs w:val="24"/>
            </w:rPr>
            <w:fldChar w:fldCharType="begin"/>
          </w:r>
          <w:r>
            <w:rPr>
              <w:b/>
              <w:bCs/>
              <w:color w:val="auto"/>
              <w:sz w:val="24"/>
              <w:szCs w:val="24"/>
            </w:rPr>
            <w:instrText xml:space="preserve"> PAGEREF _Toc31584 \h </w:instrText>
          </w:r>
          <w:r>
            <w:rPr>
              <w:b/>
              <w:bCs/>
              <w:color w:val="auto"/>
              <w:sz w:val="24"/>
              <w:szCs w:val="24"/>
            </w:rPr>
            <w:fldChar w:fldCharType="separate"/>
          </w:r>
          <w:r>
            <w:rPr>
              <w:b/>
              <w:bCs/>
              <w:color w:val="auto"/>
              <w:sz w:val="24"/>
              <w:szCs w:val="24"/>
            </w:rPr>
            <w:t>177</w:t>
          </w:r>
          <w:r>
            <w:rPr>
              <w:b/>
              <w:bCs/>
              <w:color w:val="auto"/>
              <w:sz w:val="24"/>
              <w:szCs w:val="24"/>
            </w:rPr>
            <w:fldChar w:fldCharType="end"/>
          </w:r>
          <w:r>
            <w:rPr>
              <w:b/>
              <w:bCs/>
              <w:color w:val="auto"/>
              <w:sz w:val="24"/>
              <w:szCs w:val="24"/>
            </w:rPr>
            <w:fldChar w:fldCharType="end"/>
          </w:r>
        </w:p>
        <w:p>
          <w:pPr>
            <w:pStyle w:val="98"/>
            <w:tabs>
              <w:tab w:val="right" w:leader="dot" w:pos="8306"/>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_Toc20941 </w:instrText>
          </w:r>
          <w:r>
            <w:rPr>
              <w:b/>
              <w:bCs/>
              <w:color w:val="auto"/>
              <w:sz w:val="24"/>
              <w:szCs w:val="24"/>
            </w:rPr>
            <w:fldChar w:fldCharType="separate"/>
          </w:r>
          <w:r>
            <w:rPr>
              <w:rFonts w:hint="default"/>
              <w:b/>
              <w:bCs/>
              <w:color w:val="auto"/>
              <w:sz w:val="24"/>
              <w:szCs w:val="24"/>
            </w:rPr>
            <w:t>9.6建议</w:t>
          </w:r>
          <w:r>
            <w:rPr>
              <w:b/>
              <w:bCs/>
              <w:color w:val="auto"/>
              <w:sz w:val="24"/>
              <w:szCs w:val="24"/>
            </w:rPr>
            <w:tab/>
          </w:r>
          <w:r>
            <w:rPr>
              <w:b/>
              <w:bCs/>
              <w:color w:val="auto"/>
              <w:sz w:val="24"/>
              <w:szCs w:val="24"/>
            </w:rPr>
            <w:fldChar w:fldCharType="begin"/>
          </w:r>
          <w:r>
            <w:rPr>
              <w:b/>
              <w:bCs/>
              <w:color w:val="auto"/>
              <w:sz w:val="24"/>
              <w:szCs w:val="24"/>
            </w:rPr>
            <w:instrText xml:space="preserve"> PAGEREF _Toc20941 \h </w:instrText>
          </w:r>
          <w:r>
            <w:rPr>
              <w:b/>
              <w:bCs/>
              <w:color w:val="auto"/>
              <w:sz w:val="24"/>
              <w:szCs w:val="24"/>
            </w:rPr>
            <w:fldChar w:fldCharType="separate"/>
          </w:r>
          <w:r>
            <w:rPr>
              <w:b/>
              <w:bCs/>
              <w:color w:val="auto"/>
              <w:sz w:val="24"/>
              <w:szCs w:val="24"/>
            </w:rPr>
            <w:t>177</w:t>
          </w:r>
          <w:r>
            <w:rPr>
              <w:b/>
              <w:bCs/>
              <w:color w:val="auto"/>
              <w:sz w:val="24"/>
              <w:szCs w:val="24"/>
            </w:rPr>
            <w:fldChar w:fldCharType="end"/>
          </w:r>
          <w:r>
            <w:rPr>
              <w:b/>
              <w:bCs/>
              <w:color w:val="auto"/>
              <w:sz w:val="24"/>
              <w:szCs w:val="24"/>
            </w:rPr>
            <w:fldChar w:fldCharType="end"/>
          </w:r>
        </w:p>
        <w:p>
          <w:pPr>
            <w:pStyle w:val="99"/>
            <w:tabs>
              <w:tab w:val="right" w:leader="dot" w:pos="8306"/>
            </w:tabs>
            <w:spacing w:line="360" w:lineRule="auto"/>
            <w:rPr>
              <w:color w:val="auto"/>
            </w:rPr>
          </w:pPr>
        </w:p>
        <w:p>
          <w:pPr>
            <w:rPr>
              <w:color w:val="auto"/>
            </w:rPr>
          </w:pPr>
          <w:r>
            <w:rPr>
              <w:color w:val="auto"/>
            </w:rPr>
            <w:fldChar w:fldCharType="end"/>
          </w:r>
        </w:p>
      </w:sdtContent>
    </w:sdt>
    <w:p>
      <w:pPr>
        <w:pStyle w:val="32"/>
        <w:pageBreakBefore w:val="0"/>
        <w:tabs>
          <w:tab w:val="right" w:leader="dot" w:pos="8306"/>
          <w:tab w:val="clear" w:pos="8296"/>
        </w:tabs>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highlight w:val="none"/>
          <w:u w:val="none" w:color="auto"/>
        </w:rPr>
        <w:fldChar w:fldCharType="begin"/>
      </w:r>
      <w:r>
        <w:rPr>
          <w:rFonts w:hint="default" w:ascii="Times New Roman" w:hAnsi="Times New Roman" w:eastAsia="宋体" w:cs="Times New Roman"/>
          <w:color w:val="auto"/>
          <w:highlight w:val="none"/>
          <w:u w:val="none" w:color="auto"/>
        </w:rPr>
        <w:instrText xml:space="preserve">TOC \o "1-3" \h \u </w:instrText>
      </w:r>
      <w:r>
        <w:rPr>
          <w:rFonts w:hint="default" w:ascii="Times New Roman" w:hAnsi="Times New Roman" w:eastAsia="宋体" w:cs="Times New Roman"/>
          <w:color w:val="auto"/>
          <w:highlight w:val="none"/>
          <w:u w:val="none" w:color="auto"/>
        </w:rPr>
        <w:fldChar w:fldCharType="separate"/>
      </w:r>
    </w:p>
    <w:p>
      <w:pPr>
        <w:pStyle w:val="58"/>
        <w:pageBreakBefore w:val="0"/>
        <w:kinsoku/>
        <w:wordWrap/>
        <w:overflowPunct w:val="0"/>
        <w:topLinePunct/>
        <w:autoSpaceDE w:val="0"/>
        <w:autoSpaceDN w:val="0"/>
        <w:bidi w:val="0"/>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fldChar w:fldCharType="end"/>
      </w:r>
    </w:p>
    <w:p>
      <w:pPr>
        <w:pStyle w:val="58"/>
        <w:pageBreakBefore w:val="0"/>
        <w:kinsoku/>
        <w:wordWrap/>
        <w:overflowPunct w:val="0"/>
        <w:topLinePunct/>
        <w:autoSpaceDE w:val="0"/>
        <w:autoSpaceDN w:val="0"/>
        <w:bidi w:val="0"/>
        <w:ind w:firstLine="480"/>
        <w:rPr>
          <w:rFonts w:hint="default" w:ascii="Times New Roman" w:hAnsi="Times New Roman" w:eastAsia="宋体" w:cs="Times New Roman"/>
          <w:color w:val="auto"/>
          <w:highlight w:val="none"/>
          <w:u w:val="none" w:color="auto"/>
        </w:rPr>
        <w:sectPr>
          <w:pgSz w:w="11906" w:h="16838"/>
          <w:pgMar w:top="1440" w:right="1800" w:bottom="1440" w:left="1800" w:header="794"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4" w:name="_Toc7987"/>
      <w:bookmarkStart w:id="5" w:name="_Toc32298"/>
      <w:bookmarkStart w:id="6" w:name="_Toc18393"/>
      <w:r>
        <w:rPr>
          <w:rFonts w:hint="default" w:ascii="Times New Roman" w:hAnsi="Times New Roman" w:eastAsia="宋体" w:cs="Times New Roman"/>
          <w:color w:val="auto"/>
          <w:highlight w:val="none"/>
          <w:u w:val="none" w:color="auto"/>
        </w:rPr>
        <w:t>第1章概述</w:t>
      </w:r>
      <w:bookmarkEnd w:id="4"/>
      <w:bookmarkEnd w:id="5"/>
    </w:p>
    <w:p>
      <w:pPr>
        <w:pStyle w:val="6"/>
        <w:pageBreakBefore w:val="0"/>
        <w:kinsoku/>
        <w:wordWrap/>
        <w:overflowPunct w:val="0"/>
        <w:topLinePunct/>
        <w:autoSpaceDE w:val="0"/>
        <w:autoSpaceDN w:val="0"/>
        <w:bidi w:val="0"/>
        <w:outlineLvl w:val="1"/>
        <w:rPr>
          <w:rFonts w:hint="default" w:ascii="Times New Roman" w:hAnsi="Times New Roman" w:eastAsia="宋体" w:cs="Times New Roman"/>
          <w:color w:val="auto"/>
          <w:highlight w:val="none"/>
          <w:u w:val="none" w:color="auto"/>
        </w:rPr>
      </w:pPr>
      <w:bookmarkStart w:id="7" w:name="_Toc18201"/>
      <w:bookmarkStart w:id="8" w:name="_Toc25006"/>
      <w:r>
        <w:rPr>
          <w:rFonts w:hint="default" w:ascii="Times New Roman" w:hAnsi="Times New Roman" w:eastAsia="宋体" w:cs="Times New Roman"/>
          <w:color w:val="auto"/>
          <w:highlight w:val="none"/>
          <w:u w:val="none" w:color="auto"/>
        </w:rPr>
        <w:t>1.1项目由来</w:t>
      </w:r>
      <w:bookmarkEnd w:id="7"/>
      <w:bookmarkEnd w:id="8"/>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镁合金作为最轻的金属结构材料，在航空、航天、汽车、高铁、通信等领域有着巨大的应用潜力，成为最具发展前景的金属结构材料之一。进入21世纪以来，能源危机、环境污染和主要金属矿产资源短缺已成为全球性重大战略性问题，我国尤为突出。根据商务部的数据，我国铁矿石对外依存度高达80%以上，铝土矿对外依存度高达60%。我国是镁资源大国，占世界镁资源的70%以上；我国也是世界镁材料与制品生产大国，镁及镁合金产量占全球比重已连续十多年超过80%，镁及镁合金是我国在世界上最具话语权的金属材料。镁合金又是最有潜力的轻量化材料之一，其大规模应用对节能减排、缓解我国金属矿产资源紧缺等有非常重要的战略意义。我国提出了“国内大循环、国际国内双循环”发展战略，特别是在复杂多变国际形势下，独具资源优势的镁合金可从战略上确保我国新型金属材料应用安全和可持续发展。</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十四五以来，湖南省新型合金产业践行“三高四新”战略，发展迅速，形成了以长沙、株洲为中心，常德、益阳、岳阳、衡阳、郴州、娄底为辐射区的产业集聚态势，以及从原材料生产、合金材料制备加工到器件及装备应用的较为完备的产业链条，具备较好的产业链基础条件。以中南大学轻合金研究院、长沙新材料产业研究院为代表，通过技术创新，在镁合金领域拥有大量科研成果，具有较强的发展后劲。</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中南大学在金属材料工程方面具有强大的科研和技术实力，在镁合金材料研发和生产方面以刘楚明教授团队为代表，在国际上享有盛誉。刘楚明教授团队在高性能变形镁合金材料的研制及其大构件制备关键技术上具有强大的技术实力。其发明的新型中强耐热镁合金（AQ80M）、高强耐热镁合金（VW64M）和超高强耐高温镁合金（VW93M），突破了镁合金在锭坯制备以及塑性加工变形中的多项技术瓶颈，丰富和完善了镁合金塑性成形理论，制备的大规格高性能变形镁合金承载结构件满足型号技术指标需求，并在航天航空领域取得成功应用。历经数十年的研发，该团队不仅实现了技术突破，同时还培养了一大批在镁合金领域的高端人才，有利于我国今后镁合金加工产业的持续发展。</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2022年9月，岳阳临港产业投资有限公司与中南大学在岳阳市签约合资成立湖南镁宇科技有限公司，计划投资建设年产10000吨变形镁合金产业链产业化项目。本项目拟对中南大学、刘楚明教授团队发明的高强、耐热和超高强新型镁合金材料的进行产业化，打通高端镁合金生产的产业链条，产品可满足航空航天、军工、轨道交通和汽车等领域对自主高性能镁合金材料、制品和零部件的需求，对我国镁产业链高端化、自主化，推动镁产业高质量发展具有重大意义。</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zh-CN" w:eastAsia="zh-CN"/>
        </w:rPr>
        <w:t>本项目己于2022年11月25日在湖南省投资项目在线审批监管平台备案，项目代码:2211-430600-04-01-764210，主要建设内容如下：用地面积130844.41m</w:t>
      </w:r>
      <w:r>
        <w:rPr>
          <w:rFonts w:hint="default" w:ascii="Times New Roman" w:hAnsi="Times New Roman" w:eastAsia="宋体" w:cs="Times New Roman"/>
          <w:color w:val="auto"/>
          <w:sz w:val="24"/>
          <w:highlight w:val="none"/>
          <w:u w:val="none" w:color="auto"/>
          <w:vertAlign w:val="superscript"/>
          <w:lang w:val="zh-CN" w:eastAsia="zh-CN"/>
        </w:rPr>
        <w:t>2</w:t>
      </w:r>
      <w:r>
        <w:rPr>
          <w:rFonts w:hint="default" w:ascii="Times New Roman" w:hAnsi="Times New Roman" w:eastAsia="宋体" w:cs="Times New Roman"/>
          <w:color w:val="auto"/>
          <w:sz w:val="24"/>
          <w:highlight w:val="none"/>
          <w:u w:val="none" w:color="auto"/>
          <w:lang w:val="zh-CN" w:eastAsia="zh-CN"/>
        </w:rPr>
        <w:t>，总建筑面积145000m</w:t>
      </w:r>
      <w:r>
        <w:rPr>
          <w:rFonts w:hint="default" w:ascii="Times New Roman" w:hAnsi="Times New Roman" w:eastAsia="宋体" w:cs="Times New Roman"/>
          <w:color w:val="auto"/>
          <w:sz w:val="24"/>
          <w:highlight w:val="none"/>
          <w:u w:val="none" w:color="auto"/>
          <w:vertAlign w:val="superscript"/>
          <w:lang w:val="zh-CN" w:eastAsia="zh-CN"/>
        </w:rPr>
        <w:t>2</w:t>
      </w:r>
      <w:r>
        <w:rPr>
          <w:rFonts w:hint="default" w:ascii="Times New Roman" w:hAnsi="Times New Roman" w:eastAsia="宋体" w:cs="Times New Roman"/>
          <w:color w:val="auto"/>
          <w:sz w:val="24"/>
          <w:highlight w:val="none"/>
          <w:u w:val="none" w:color="auto"/>
          <w:lang w:val="zh-CN" w:eastAsia="zh-CN"/>
        </w:rPr>
        <w:t>，主要建设内容包括:建设挤压车间、板材车间、熔铸车间、锻造车间、表面处理车间、机加工和热处理车间、综合楼、宿舍食堂等主体工程，购置安装镁合金生产线设备、公用设备等，以及给排水、供配电、道路、绿化等配套工程，年产10000吨变形镁合金。</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中华人民共和国环境保护法》(2015年1月1日)、《中华人民共和国环境影响评价法》(2018年12月29日)、《建设项目环境影响评价分类管理名录(2021年版)》(生态环境部令第16号)的有关规定，本项目属于“二十九、有色金属冶炼和压延加工业-64常用有色金属冶炼”中的“全部</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利用单质金属混配重熔生产合金的除外</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”按要求应编制环境影响报告书</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“二十九、有色金属冶炼和压延加工业-65有色金属压延加工”中的“全部”</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按要求应编制环境影响报告表</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二者取高值综合判定，因此本项目应编制环境影响报告书。</w:t>
      </w:r>
      <w:r>
        <w:rPr>
          <w:rFonts w:hint="default" w:ascii="Times New Roman" w:hAnsi="Times New Roman" w:eastAsia="宋体" w:cs="Times New Roman"/>
          <w:color w:val="auto"/>
          <w:sz w:val="24"/>
          <w:highlight w:val="none"/>
          <w:u w:val="none" w:color="auto"/>
          <w:lang w:val="zh-CN"/>
        </w:rPr>
        <w:t>湖南镁宇科技有限公司</w:t>
      </w:r>
      <w:r>
        <w:rPr>
          <w:rFonts w:hint="default" w:ascii="Times New Roman" w:hAnsi="Times New Roman" w:eastAsia="宋体" w:cs="Times New Roman"/>
          <w:color w:val="auto"/>
          <w:sz w:val="24"/>
          <w:highlight w:val="none"/>
          <w:u w:val="none" w:color="auto"/>
        </w:rPr>
        <w:t>委托湖南佳蓝检测技术有限公司(以下简称“环评单位”)承担该项目的环境影响评价编制工作。评价单位在充分收集有关资料并深入进行现场踏勘后，依据国家、地方的有关环保法律、法规，在建设单位大力支持下，完成了项目环境影响报告书的编制工作，上报有关生态环境主管部门审批。</w:t>
      </w:r>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9" w:name="_Toc18095"/>
      <w:bookmarkStart w:id="10" w:name="_Toc7659"/>
      <w:bookmarkStart w:id="11" w:name="_Toc41310088"/>
      <w:r>
        <w:rPr>
          <w:rFonts w:hint="default" w:ascii="Times New Roman" w:hAnsi="Times New Roman" w:eastAsia="宋体" w:cs="Times New Roman"/>
          <w:color w:val="auto"/>
          <w:highlight w:val="none"/>
          <w:u w:val="none" w:color="auto"/>
        </w:rPr>
        <w:t>1.2环境影响评价工作过程</w:t>
      </w:r>
      <w:bookmarkEnd w:id="9"/>
      <w:bookmarkEnd w:id="10"/>
      <w:bookmarkEnd w:id="11"/>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kern w:val="0"/>
          <w:sz w:val="24"/>
          <w:highlight w:val="none"/>
          <w:u w:val="none" w:color="auto"/>
          <w:lang w:eastAsia="zh-CN" w:bidi="ar"/>
        </w:rPr>
      </w:pPr>
      <w:r>
        <w:rPr>
          <w:rFonts w:hint="default" w:ascii="Times New Roman" w:hAnsi="Times New Roman" w:eastAsia="宋体" w:cs="Times New Roman"/>
          <w:color w:val="auto"/>
          <w:kern w:val="0"/>
          <w:sz w:val="24"/>
          <w:highlight w:val="none"/>
          <w:u w:val="none" w:color="auto"/>
          <w:lang w:eastAsia="zh-CN" w:bidi="ar"/>
        </w:rPr>
        <w:t>202</w:t>
      </w:r>
      <w:r>
        <w:rPr>
          <w:rFonts w:hint="default" w:ascii="Times New Roman" w:hAnsi="Times New Roman" w:eastAsia="宋体" w:cs="Times New Roman"/>
          <w:color w:val="auto"/>
          <w:kern w:val="0"/>
          <w:sz w:val="24"/>
          <w:highlight w:val="none"/>
          <w:u w:val="none" w:color="auto"/>
          <w:lang w:val="en-US" w:eastAsia="zh-CN" w:bidi="ar"/>
        </w:rPr>
        <w:t>3</w:t>
      </w:r>
      <w:r>
        <w:rPr>
          <w:rFonts w:hint="default" w:ascii="Times New Roman" w:hAnsi="Times New Roman" w:eastAsia="宋体" w:cs="Times New Roman"/>
          <w:color w:val="auto"/>
          <w:kern w:val="0"/>
          <w:sz w:val="24"/>
          <w:highlight w:val="none"/>
          <w:u w:val="none" w:color="auto"/>
          <w:lang w:eastAsia="zh-CN" w:bidi="ar"/>
        </w:rPr>
        <w:t>年</w:t>
      </w:r>
      <w:r>
        <w:rPr>
          <w:rFonts w:hint="default" w:ascii="Times New Roman" w:hAnsi="Times New Roman" w:eastAsia="宋体" w:cs="Times New Roman"/>
          <w:color w:val="auto"/>
          <w:kern w:val="0"/>
          <w:sz w:val="24"/>
          <w:highlight w:val="none"/>
          <w:u w:val="none" w:color="auto"/>
          <w:lang w:val="en-US" w:eastAsia="zh-CN" w:bidi="ar"/>
        </w:rPr>
        <w:t>2</w:t>
      </w:r>
      <w:r>
        <w:rPr>
          <w:rFonts w:hint="default" w:ascii="Times New Roman" w:hAnsi="Times New Roman" w:eastAsia="宋体" w:cs="Times New Roman"/>
          <w:color w:val="auto"/>
          <w:kern w:val="0"/>
          <w:sz w:val="24"/>
          <w:highlight w:val="none"/>
          <w:u w:val="none" w:color="auto"/>
          <w:lang w:eastAsia="zh-CN" w:bidi="ar"/>
        </w:rPr>
        <w:t>月，</w:t>
      </w:r>
      <w:r>
        <w:rPr>
          <w:rFonts w:hint="default" w:ascii="Times New Roman" w:hAnsi="Times New Roman" w:eastAsia="宋体" w:cs="Times New Roman"/>
          <w:color w:val="auto"/>
          <w:sz w:val="24"/>
          <w:highlight w:val="none"/>
          <w:u w:val="none" w:color="auto"/>
          <w:lang w:val="zh-CN"/>
        </w:rPr>
        <w:t>湖南镁宇科技有限公司</w:t>
      </w:r>
      <w:r>
        <w:rPr>
          <w:rFonts w:hint="default" w:ascii="Times New Roman" w:hAnsi="Times New Roman" w:eastAsia="宋体" w:cs="Times New Roman"/>
          <w:color w:val="auto"/>
          <w:sz w:val="24"/>
          <w:highlight w:val="none"/>
          <w:u w:val="none" w:color="auto"/>
        </w:rPr>
        <w:t>委托湖南佳蓝检测技术有限公司</w:t>
      </w:r>
      <w:r>
        <w:rPr>
          <w:rFonts w:hint="default" w:ascii="Times New Roman" w:hAnsi="Times New Roman" w:eastAsia="宋体" w:cs="Times New Roman"/>
          <w:color w:val="auto"/>
          <w:kern w:val="0"/>
          <w:sz w:val="24"/>
          <w:highlight w:val="none"/>
          <w:u w:val="none" w:color="auto"/>
          <w:lang w:eastAsia="zh-CN" w:bidi="ar"/>
        </w:rPr>
        <w:t>承担</w:t>
      </w:r>
      <w:r>
        <w:rPr>
          <w:rFonts w:hint="default" w:ascii="Times New Roman" w:hAnsi="Times New Roman" w:eastAsia="宋体" w:cs="Times New Roman"/>
          <w:color w:val="auto"/>
          <w:sz w:val="24"/>
          <w:highlight w:val="none"/>
          <w:u w:val="none" w:color="auto"/>
          <w:lang w:val="zh-CN"/>
        </w:rPr>
        <w:t>湖南镁宇科技有限公司</w:t>
      </w:r>
      <w:r>
        <w:rPr>
          <w:rFonts w:hint="default" w:ascii="Times New Roman" w:hAnsi="Times New Roman" w:eastAsia="宋体" w:cs="Times New Roman"/>
          <w:color w:val="auto"/>
          <w:sz w:val="24"/>
          <w:szCs w:val="24"/>
          <w:u w:val="none" w:color="auto"/>
          <w:lang w:val="en-US" w:eastAsia="zh-CN"/>
        </w:rPr>
        <w:t>高性能变形镁合金产业链产业化项目</w:t>
      </w:r>
      <w:r>
        <w:rPr>
          <w:rFonts w:hint="default" w:ascii="Times New Roman" w:hAnsi="Times New Roman" w:eastAsia="宋体" w:cs="Times New Roman"/>
          <w:color w:val="auto"/>
          <w:kern w:val="0"/>
          <w:sz w:val="24"/>
          <w:highlight w:val="none"/>
          <w:u w:val="none" w:color="auto"/>
          <w:lang w:eastAsia="zh-CN" w:bidi="ar"/>
        </w:rPr>
        <w:t>项目的环境影响评价工作。我单位承接任务后，随即组成环境影响评价工作组，安排有关环评技术人员赴现场进行调查，收集有关资料，调查厂址周围的地表水、环境空气、声环境和地下水环境质量现状资料，收集了项目所在区域近期环境质量现状监测数据以及业主征询当地群众及企业单位的意见；并根据项目的规模、污染物排放量及其“三废”处理措施，分析和预测项目可能对周围环境产生的影响程度和范围,提出相应的减缓环境影响的对策和措施。在以上基础上，根据国家、省市的有关环保法规及环境影响评价技术导则的要求，并结合本项目的工程特点，编制完成了《</w:t>
      </w:r>
      <w:r>
        <w:rPr>
          <w:rFonts w:hint="default" w:ascii="Times New Roman" w:hAnsi="Times New Roman" w:eastAsia="宋体" w:cs="Times New Roman"/>
          <w:color w:val="auto"/>
          <w:sz w:val="24"/>
          <w:highlight w:val="none"/>
          <w:u w:val="none" w:color="auto"/>
          <w:lang w:val="zh-CN"/>
        </w:rPr>
        <w:t>湖南镁宇科技有限公司</w:t>
      </w:r>
      <w:r>
        <w:rPr>
          <w:rFonts w:hint="default" w:ascii="Times New Roman" w:hAnsi="Times New Roman" w:eastAsia="宋体" w:cs="Times New Roman"/>
          <w:color w:val="auto"/>
          <w:sz w:val="24"/>
          <w:szCs w:val="24"/>
          <w:u w:val="none" w:color="auto"/>
          <w:lang w:val="en-US" w:eastAsia="zh-CN"/>
        </w:rPr>
        <w:t>高性能变形镁合金产业链产业化</w:t>
      </w:r>
      <w:r>
        <w:rPr>
          <w:rFonts w:hint="default" w:ascii="Times New Roman" w:hAnsi="Times New Roman" w:eastAsia="宋体" w:cs="Times New Roman"/>
          <w:color w:val="auto"/>
          <w:kern w:val="0"/>
          <w:sz w:val="24"/>
          <w:highlight w:val="none"/>
          <w:u w:val="none" w:color="auto"/>
          <w:lang w:eastAsia="zh-CN" w:bidi="ar"/>
        </w:rPr>
        <w:t>项目环境影响报告书》</w:t>
      </w:r>
      <w:r>
        <w:rPr>
          <w:rFonts w:hint="default" w:ascii="Times New Roman" w:hAnsi="Times New Roman" w:eastAsia="宋体" w:cs="Times New Roman"/>
          <w:color w:val="auto"/>
          <w:kern w:val="0"/>
          <w:sz w:val="24"/>
          <w:highlight w:val="none"/>
          <w:u w:val="none" w:color="auto"/>
          <w:lang w:val="en-US" w:eastAsia="zh-CN" w:bidi="ar"/>
        </w:rPr>
        <w:t>（</w:t>
      </w:r>
      <w:r>
        <w:rPr>
          <w:rFonts w:hint="default" w:ascii="Times New Roman" w:hAnsi="Times New Roman" w:eastAsia="宋体" w:cs="Times New Roman"/>
          <w:color w:val="auto"/>
          <w:kern w:val="0"/>
          <w:sz w:val="24"/>
          <w:highlight w:val="none"/>
          <w:u w:val="none" w:color="auto"/>
          <w:lang w:eastAsia="zh-CN" w:bidi="ar"/>
        </w:rPr>
        <w:t>送审稿</w:t>
      </w:r>
      <w:r>
        <w:rPr>
          <w:rFonts w:hint="default" w:ascii="Times New Roman" w:hAnsi="Times New Roman" w:eastAsia="宋体" w:cs="Times New Roman"/>
          <w:color w:val="auto"/>
          <w:kern w:val="0"/>
          <w:sz w:val="24"/>
          <w:highlight w:val="none"/>
          <w:u w:val="none" w:color="auto"/>
          <w:lang w:val="en-US" w:eastAsia="zh-CN" w:bidi="ar"/>
        </w:rPr>
        <w:t>）</w:t>
      </w:r>
      <w:r>
        <w:rPr>
          <w:rFonts w:hint="default" w:ascii="Times New Roman" w:hAnsi="Times New Roman" w:eastAsia="宋体" w:cs="Times New Roman"/>
          <w:color w:val="auto"/>
          <w:kern w:val="0"/>
          <w:sz w:val="24"/>
          <w:highlight w:val="none"/>
          <w:u w:val="none" w:color="auto"/>
          <w:lang w:eastAsia="zh-CN" w:bidi="ar"/>
        </w:rPr>
        <w:t>，现提交建设单位呈送生态环境主管部门审查。</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建设项目环境影响评价技术导则-总纲》（HJ2.1-2016）中环境影响评价的工作程序要求进行，即调查分析和工作方案制定阶段，分析论证和预测评价阶段，环境影响报告书编制阶段三个阶段，具体工作流程见图1.2-1。</w:t>
      </w:r>
    </w:p>
    <w:p>
      <w:pPr>
        <w:pStyle w:val="93"/>
        <w:pageBreakBefore w:val="0"/>
        <w:kinsoku/>
        <w:wordWrap/>
        <w:overflowPunct w:val="0"/>
        <w:topLinePunct/>
        <w:autoSpaceDE w:val="0"/>
        <w:autoSpaceDN w:val="0"/>
        <w:bidi w:val="0"/>
        <w:adjustRightInd w:val="0"/>
        <w:snapToGrid w:val="0"/>
        <w:spacing w:line="360" w:lineRule="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drawing>
          <wp:inline distT="0" distB="0" distL="114300" distR="114300">
            <wp:extent cx="4188460" cy="3206115"/>
            <wp:effectExtent l="0" t="0" r="2540" b="1333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7"/>
                    <a:stretch>
                      <a:fillRect/>
                    </a:stretch>
                  </pic:blipFill>
                  <pic:spPr>
                    <a:xfrm>
                      <a:off x="0" y="0"/>
                      <a:ext cx="4188460" cy="3206115"/>
                    </a:xfrm>
                    <a:prstGeom prst="rect">
                      <a:avLst/>
                    </a:prstGeom>
                    <a:noFill/>
                    <a:ln>
                      <a:noFill/>
                    </a:ln>
                  </pic:spPr>
                </pic:pic>
              </a:graphicData>
            </a:graphic>
          </wp:inline>
        </w:drawing>
      </w:r>
    </w:p>
    <w:p>
      <w:pPr>
        <w:pStyle w:val="93"/>
        <w:pageBreakBefore w:val="0"/>
        <w:kinsoku/>
        <w:wordWrap/>
        <w:overflowPunct w:val="0"/>
        <w:topLinePunct/>
        <w:autoSpaceDE w:val="0"/>
        <w:autoSpaceDN w:val="0"/>
        <w:bidi w:val="0"/>
        <w:adjustRightInd w:val="0"/>
        <w:snapToGrid w:val="0"/>
        <w:spacing w:line="360" w:lineRule="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bCs/>
          <w:color w:val="auto"/>
          <w:highlight w:val="none"/>
          <w:u w:val="none" w:color="auto"/>
        </w:rPr>
        <w:t>图1.2-1建设项目环境影响评价工作程序图</w:t>
      </w:r>
    </w:p>
    <w:p>
      <w:pPr>
        <w:pStyle w:val="6"/>
        <w:pageBreakBefore w:val="0"/>
        <w:kinsoku/>
        <w:wordWrap/>
        <w:overflowPunct w:val="0"/>
        <w:topLinePunct/>
        <w:autoSpaceDE w:val="0"/>
        <w:autoSpaceDN w:val="0"/>
        <w:bidi w:val="0"/>
        <w:outlineLvl w:val="1"/>
        <w:rPr>
          <w:rFonts w:hint="default" w:ascii="Times New Roman" w:hAnsi="Times New Roman" w:eastAsia="宋体" w:cs="Times New Roman"/>
          <w:color w:val="auto"/>
          <w:highlight w:val="none"/>
          <w:u w:val="none" w:color="auto"/>
        </w:rPr>
      </w:pPr>
      <w:bookmarkStart w:id="12" w:name="_Toc41310089"/>
      <w:bookmarkStart w:id="13" w:name="_Toc19207"/>
      <w:bookmarkStart w:id="14" w:name="_Toc21124"/>
      <w:r>
        <w:rPr>
          <w:rFonts w:hint="default" w:ascii="Times New Roman" w:hAnsi="Times New Roman" w:eastAsia="宋体" w:cs="Times New Roman"/>
          <w:color w:val="auto"/>
          <w:highlight w:val="none"/>
          <w:u w:val="none" w:color="auto"/>
        </w:rPr>
        <w:t>1.3.分析判定相关情况</w:t>
      </w:r>
      <w:bookmarkEnd w:id="12"/>
      <w:bookmarkEnd w:id="13"/>
      <w:bookmarkEnd w:id="14"/>
    </w:p>
    <w:p>
      <w:pPr>
        <w:pStyle w:val="7"/>
        <w:pageBreakBefore w:val="0"/>
        <w:kinsoku/>
        <w:wordWrap/>
        <w:overflowPunct w:val="0"/>
        <w:topLinePunct/>
        <w:autoSpaceDE w:val="0"/>
        <w:autoSpaceDN w:val="0"/>
        <w:bidi w:val="0"/>
        <w:outlineLvl w:val="2"/>
        <w:rPr>
          <w:rFonts w:hint="default" w:ascii="Times New Roman" w:hAnsi="Times New Roman" w:eastAsia="宋体" w:cs="Times New Roman"/>
          <w:color w:val="auto"/>
          <w:sz w:val="28"/>
          <w:szCs w:val="28"/>
          <w:highlight w:val="none"/>
          <w:u w:val="none" w:color="auto"/>
        </w:rPr>
      </w:pPr>
      <w:bookmarkStart w:id="15" w:name="_Toc32233"/>
      <w:bookmarkStart w:id="16" w:name="_Toc7082"/>
      <w:r>
        <w:rPr>
          <w:rFonts w:hint="default" w:ascii="Times New Roman" w:hAnsi="Times New Roman" w:eastAsia="宋体" w:cs="Times New Roman"/>
          <w:color w:val="auto"/>
          <w:sz w:val="28"/>
          <w:szCs w:val="28"/>
          <w:highlight w:val="none"/>
          <w:u w:val="none" w:color="auto"/>
        </w:rPr>
        <w:t>1.3.1产业政策相符性</w:t>
      </w:r>
      <w:bookmarkEnd w:id="15"/>
      <w:bookmarkEnd w:id="16"/>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eastAsia="zh-CN"/>
        </w:rPr>
        <w:t>）与</w:t>
      </w:r>
      <w:r>
        <w:rPr>
          <w:rFonts w:hint="default" w:ascii="Times New Roman" w:hAnsi="Times New Roman" w:eastAsia="宋体" w:cs="Times New Roman"/>
          <w:color w:val="auto"/>
          <w:sz w:val="24"/>
          <w:highlight w:val="none"/>
          <w:u w:val="none" w:color="auto"/>
        </w:rPr>
        <w:t>《产业结构调整指导目录》（2019年本）(2021年修改)相符性</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根据《产业结构调整指导目录(2019年本)》(2021年修改)的相关规定，</w:t>
      </w:r>
      <w:r>
        <w:rPr>
          <w:rFonts w:hint="default" w:ascii="Times New Roman" w:hAnsi="Times New Roman" w:eastAsia="宋体" w:cs="Times New Roman"/>
          <w:color w:val="auto"/>
          <w:sz w:val="24"/>
          <w:highlight w:val="none"/>
          <w:u w:val="none" w:color="auto"/>
          <w:vertAlign w:val="baseline"/>
          <w:lang w:eastAsia="zh-CN"/>
        </w:rPr>
        <w:t>本项目属于</w:t>
      </w:r>
      <w:r>
        <w:rPr>
          <w:rFonts w:hint="default" w:ascii="Times New Roman" w:hAnsi="Times New Roman" w:eastAsia="宋体" w:cs="Times New Roman"/>
          <w:color w:val="auto"/>
          <w:sz w:val="24"/>
          <w:highlight w:val="none"/>
          <w:u w:val="none" w:color="auto"/>
          <w:vertAlign w:val="baseline"/>
        </w:rPr>
        <w:t>高性能镁合金及其制品</w:t>
      </w:r>
      <w:r>
        <w:rPr>
          <w:rFonts w:hint="default" w:ascii="Times New Roman" w:hAnsi="Times New Roman" w:eastAsia="宋体" w:cs="Times New Roman"/>
          <w:color w:val="auto"/>
          <w:sz w:val="24"/>
          <w:highlight w:val="none"/>
          <w:u w:val="none" w:color="auto"/>
          <w:vertAlign w:val="baseline"/>
          <w:lang w:eastAsia="zh-CN"/>
        </w:rPr>
        <w:t>制造，</w:t>
      </w:r>
      <w:r>
        <w:rPr>
          <w:rFonts w:hint="default" w:ascii="Times New Roman" w:hAnsi="Times New Roman" w:eastAsia="宋体" w:cs="Times New Roman"/>
          <w:color w:val="auto"/>
          <w:sz w:val="24"/>
          <w:highlight w:val="none"/>
          <w:u w:val="none" w:color="auto"/>
        </w:rPr>
        <w:t>本项目</w:t>
      </w:r>
      <w:r>
        <w:rPr>
          <w:rFonts w:hint="default" w:ascii="Times New Roman" w:hAnsi="Times New Roman" w:eastAsia="宋体" w:cs="Times New Roman"/>
          <w:color w:val="auto"/>
          <w:sz w:val="24"/>
          <w:highlight w:val="none"/>
          <w:u w:val="none" w:color="auto"/>
          <w:lang w:eastAsia="zh-CN"/>
        </w:rPr>
        <w:t>属于</w:t>
      </w:r>
      <w:r>
        <w:rPr>
          <w:rFonts w:hint="default" w:ascii="Times New Roman" w:hAnsi="Times New Roman" w:eastAsia="宋体" w:cs="Times New Roman"/>
          <w:color w:val="auto"/>
          <w:sz w:val="24"/>
          <w:highlight w:val="none"/>
          <w:u w:val="none" w:color="auto"/>
        </w:rPr>
        <w:t>鼓励类，不属于限制类和淘汰类，并且所用设备均为允许类，因此</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项目符合国家及地方最新产业政策。</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表1.3-1项目与产业结构调整指导目录符合性分析</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3204"/>
        <w:gridCol w:w="2130"/>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7" w:type="pct"/>
            <w:tcBorders>
              <w:top w:val="single" w:color="auto" w:sz="12" w:space="0"/>
              <w:lef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内容</w:t>
            </w:r>
          </w:p>
        </w:tc>
        <w:tc>
          <w:tcPr>
            <w:tcW w:w="1880" w:type="pct"/>
            <w:tcBorders>
              <w:top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rPr>
              <w:t>产业结构调整指导目录</w:t>
            </w:r>
            <w:r>
              <w:rPr>
                <w:rFonts w:hint="default" w:ascii="Times New Roman" w:hAnsi="Times New Roman" w:eastAsia="宋体" w:cs="Times New Roman"/>
                <w:color w:val="auto"/>
                <w:sz w:val="21"/>
                <w:szCs w:val="21"/>
                <w:highlight w:val="none"/>
                <w:u w:val="none" w:color="auto"/>
                <w:lang w:eastAsia="zh-CN"/>
              </w:rPr>
              <w:t>要求</w:t>
            </w:r>
          </w:p>
        </w:tc>
        <w:tc>
          <w:tcPr>
            <w:tcW w:w="1250" w:type="pct"/>
            <w:tcBorders>
              <w:top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本项目符合性</w:t>
            </w:r>
          </w:p>
        </w:tc>
        <w:tc>
          <w:tcPr>
            <w:tcW w:w="1251" w:type="pct"/>
            <w:tcBorders>
              <w:top w:val="single" w:color="auto" w:sz="12" w:space="0"/>
              <w:righ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7" w:type="pct"/>
            <w:vMerge w:val="restart"/>
            <w:tcBorders>
              <w:lef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鼓励类</w:t>
            </w:r>
          </w:p>
        </w:tc>
        <w:tc>
          <w:tcPr>
            <w:tcW w:w="1880" w:type="pct"/>
            <w:vAlign w:val="center"/>
          </w:tcPr>
          <w:p>
            <w:pPr>
              <w:pageBreakBefore w:val="0"/>
              <w:numPr>
                <w:ilvl w:val="0"/>
                <w:numId w:val="0"/>
              </w:numPr>
              <w:kinsoku/>
              <w:wordWrap/>
              <w:overflowPunct w:val="0"/>
              <w:topLinePunct/>
              <w:autoSpaceDE w:val="0"/>
              <w:autoSpaceDN w:val="0"/>
              <w:bidi w:val="0"/>
              <w:spacing w:line="240" w:lineRule="auto"/>
              <w:jc w:val="both"/>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“九、有色金属</w:t>
            </w:r>
          </w:p>
          <w:p>
            <w:pPr>
              <w:pageBreakBefore w:val="0"/>
              <w:numPr>
                <w:ilvl w:val="0"/>
                <w:numId w:val="0"/>
              </w:numPr>
              <w:kinsoku/>
              <w:wordWrap/>
              <w:overflowPunct w:val="0"/>
              <w:topLinePunct/>
              <w:autoSpaceDE w:val="0"/>
              <w:autoSpaceDN w:val="0"/>
              <w:bidi w:val="0"/>
              <w:spacing w:line="240" w:lineRule="auto"/>
              <w:jc w:val="both"/>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val="en-US" w:eastAsia="zh-CN"/>
              </w:rPr>
              <w:t>”5、交通运输、高端制造及其他领域有色金属新材料包含“</w:t>
            </w:r>
            <w:r>
              <w:rPr>
                <w:rFonts w:hint="default" w:ascii="Times New Roman" w:hAnsi="Times New Roman" w:eastAsia="宋体" w:cs="Times New Roman"/>
                <w:b/>
                <w:bCs/>
                <w:color w:val="auto"/>
                <w:sz w:val="21"/>
                <w:szCs w:val="21"/>
                <w:highlight w:val="none"/>
                <w:u w:val="none" w:color="auto"/>
                <w:vertAlign w:val="baseline"/>
                <w:lang w:eastAsia="zh-CN"/>
              </w:rPr>
              <w:t>高性能镁合金及其制品</w:t>
            </w: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1250" w:type="pct"/>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本项目属于高性能镁合金及其制品制造</w:t>
            </w:r>
          </w:p>
        </w:tc>
        <w:tc>
          <w:tcPr>
            <w:tcW w:w="1251" w:type="pct"/>
            <w:tcBorders>
              <w:righ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符合鼓励类要求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7" w:type="pct"/>
            <w:vMerge w:val="continue"/>
            <w:tcBorders>
              <w:lef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p>
        </w:tc>
        <w:tc>
          <w:tcPr>
            <w:tcW w:w="1880" w:type="pct"/>
            <w:vAlign w:val="center"/>
          </w:tcPr>
          <w:p>
            <w:pPr>
              <w:pageBreakBefore w:val="0"/>
              <w:numPr>
                <w:ilvl w:val="0"/>
                <w:numId w:val="0"/>
              </w:numPr>
              <w:kinsoku/>
              <w:wordWrap/>
              <w:overflowPunct w:val="0"/>
              <w:topLinePunct/>
              <w:autoSpaceDE w:val="0"/>
              <w:autoSpaceDN w:val="0"/>
              <w:bidi w:val="0"/>
              <w:spacing w:line="240" w:lineRule="auto"/>
              <w:jc w:val="both"/>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color="auto"/>
                <w:lang w:val="zh-CN"/>
              </w:rPr>
              <w:t>“十六、汽车”中“2、轻量化材料应用”包含“</w:t>
            </w:r>
            <w:r>
              <w:rPr>
                <w:rFonts w:hint="default" w:ascii="Times New Roman" w:hAnsi="Times New Roman" w:eastAsia="宋体" w:cs="Times New Roman"/>
                <w:b/>
                <w:bCs/>
                <w:color w:val="auto"/>
                <w:sz w:val="21"/>
                <w:szCs w:val="21"/>
                <w:u w:val="none" w:color="auto"/>
                <w:lang w:val="zh-CN"/>
              </w:rPr>
              <w:t>镁合金</w:t>
            </w:r>
            <w:r>
              <w:rPr>
                <w:rFonts w:hint="default" w:ascii="Times New Roman" w:hAnsi="Times New Roman" w:eastAsia="宋体" w:cs="Times New Roman"/>
                <w:color w:val="auto"/>
                <w:sz w:val="21"/>
                <w:szCs w:val="21"/>
                <w:u w:val="none" w:color="auto"/>
                <w:lang w:val="zh-CN"/>
              </w:rPr>
              <w:t>”</w:t>
            </w:r>
          </w:p>
        </w:tc>
        <w:tc>
          <w:tcPr>
            <w:tcW w:w="1250" w:type="pct"/>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本项目属于高性能镁合金及其制品制造</w:t>
            </w:r>
          </w:p>
        </w:tc>
        <w:tc>
          <w:tcPr>
            <w:tcW w:w="1251" w:type="pct"/>
            <w:tcBorders>
              <w:righ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符合鼓励类要求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7" w:type="pct"/>
            <w:tcBorders>
              <w:left w:val="single" w:color="auto" w:sz="12" w:space="0"/>
              <w:bottom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限值类</w:t>
            </w:r>
          </w:p>
        </w:tc>
        <w:tc>
          <w:tcPr>
            <w:tcW w:w="1880" w:type="pct"/>
            <w:tcBorders>
              <w:bottom w:val="single" w:color="auto" w:sz="12" w:space="0"/>
            </w:tcBorders>
            <w:vAlign w:val="center"/>
          </w:tcPr>
          <w:p>
            <w:pPr>
              <w:keepNext w:val="0"/>
              <w:keepLines w:val="0"/>
              <w:pageBreakBefore w:val="0"/>
              <w:widowControl/>
              <w:suppressLineNumbers w:val="0"/>
              <w:kinsoku/>
              <w:wordWrap/>
              <w:overflowPunct w:val="0"/>
              <w:topLinePunct/>
              <w:autoSpaceDE w:val="0"/>
              <w:autoSpaceDN w:val="0"/>
              <w:bidi w:val="0"/>
              <w:spacing w:line="240" w:lineRule="auto"/>
              <w:jc w:val="left"/>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十一、机械</w:t>
            </w:r>
          </w:p>
          <w:p>
            <w:pPr>
              <w:pageBreakBefore w:val="0"/>
              <w:numPr>
                <w:ilvl w:val="0"/>
                <w:numId w:val="0"/>
              </w:numPr>
              <w:kinsoku/>
              <w:wordWrap/>
              <w:overflowPunct w:val="0"/>
              <w:topLinePunct/>
              <w:autoSpaceDE w:val="0"/>
              <w:autoSpaceDN w:val="0"/>
              <w:bidi w:val="0"/>
              <w:spacing w:line="240" w:lineRule="auto"/>
              <w:jc w:val="both"/>
              <w:rPr>
                <w:rFonts w:hint="default" w:ascii="Times New Roman" w:hAnsi="Times New Roman" w:eastAsia="宋体" w:cs="Times New Roman"/>
                <w:color w:val="auto"/>
                <w:sz w:val="21"/>
                <w:szCs w:val="21"/>
                <w:u w:val="none" w:color="auto"/>
                <w:lang w:val="zh-CN"/>
              </w:rPr>
            </w:pPr>
            <w:r>
              <w:rPr>
                <w:rFonts w:hint="default" w:ascii="Times New Roman" w:hAnsi="Times New Roman" w:eastAsia="宋体" w:cs="Times New Roman"/>
                <w:color w:val="auto"/>
                <w:sz w:val="21"/>
                <w:szCs w:val="21"/>
                <w:u w:val="none" w:color="auto"/>
                <w:lang w:val="zh-CN"/>
              </w:rPr>
              <w:t>34、有色合金六氯乙烷精炼、镁合金SF6保护</w:t>
            </w:r>
          </w:p>
        </w:tc>
        <w:tc>
          <w:tcPr>
            <w:tcW w:w="1250" w:type="pct"/>
            <w:tcBorders>
              <w:bottom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本项目镁合金不使用</w:t>
            </w:r>
            <w:r>
              <w:rPr>
                <w:rFonts w:hint="default" w:ascii="Times New Roman" w:hAnsi="Times New Roman" w:eastAsia="宋体" w:cs="Times New Roman"/>
                <w:color w:val="auto"/>
                <w:sz w:val="21"/>
                <w:szCs w:val="21"/>
                <w:u w:val="none" w:color="auto"/>
                <w:lang w:val="zh-CN"/>
              </w:rPr>
              <w:t>SF6保护</w:t>
            </w:r>
          </w:p>
        </w:tc>
        <w:tc>
          <w:tcPr>
            <w:tcW w:w="1251" w:type="pct"/>
            <w:tcBorders>
              <w:bottom w:val="single" w:color="auto" w:sz="12" w:space="0"/>
              <w:right w:val="single" w:color="auto" w:sz="12" w:space="0"/>
            </w:tcBorders>
            <w:vAlign w:val="center"/>
          </w:tcPr>
          <w:p>
            <w:pPr>
              <w:pageBreakBefore w:val="0"/>
              <w:numPr>
                <w:ilvl w:val="0"/>
                <w:numId w:val="0"/>
              </w:numPr>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highlight w:val="none"/>
                <w:u w:val="none" w:color="auto"/>
                <w:vertAlign w:val="baseline"/>
                <w:lang w:eastAsia="zh-CN"/>
              </w:rPr>
            </w:pPr>
            <w:r>
              <w:rPr>
                <w:rFonts w:hint="default" w:ascii="Times New Roman" w:hAnsi="Times New Roman" w:eastAsia="宋体" w:cs="Times New Roman"/>
                <w:color w:val="auto"/>
                <w:sz w:val="21"/>
                <w:szCs w:val="21"/>
                <w:highlight w:val="none"/>
                <w:u w:val="none" w:color="auto"/>
                <w:vertAlign w:val="baseline"/>
                <w:lang w:eastAsia="zh-CN"/>
              </w:rPr>
              <w:t>不属于限制类</w:t>
            </w:r>
          </w:p>
        </w:tc>
      </w:tr>
    </w:tbl>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val="en-US" w:eastAsia="zh-CN"/>
        </w:rPr>
        <w:t>（2）与《环境保护综合名录（2021年版）》相符性分析</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val="en-US" w:eastAsia="zh-CN"/>
        </w:rPr>
        <w:t>本项目不属于《环境保护综合名录（2021年版）》中“一、高污染、高环境风险产品名录”之类，符合《环境保护综合名录（2021年版）》相关要求。</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val="en-US" w:eastAsia="zh-CN"/>
        </w:rPr>
        <w:t>（3）与“湖南省发改委关于印发《湖南省“两高”项目管理目录》的通知”相符性分析</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根据湖南省发展和改革委员会2021年12月24日关于印发《湖南省“两高”项目管理目录》的通知：</w:t>
      </w:r>
    </w:p>
    <w:p>
      <w:pPr>
        <w:pStyle w:val="3"/>
        <w:pageBreakBefore w:val="0"/>
        <w:kinsoku/>
        <w:wordWrap/>
        <w:overflowPunct w:val="0"/>
        <w:topLinePunct/>
        <w:autoSpaceDE w:val="0"/>
        <w:autoSpaceDN w:val="0"/>
        <w:bidi w:val="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表1.3-2湖南省“两高”项目管理目录（摘录）</w:t>
      </w:r>
    </w:p>
    <w:tbl>
      <w:tblPr>
        <w:tblStyle w:val="4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997"/>
        <w:gridCol w:w="3082"/>
        <w:gridCol w:w="1704"/>
        <w:gridCol w:w="1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2" w:type="pct"/>
            <w:tcBorders>
              <w:tl2br w:val="nil"/>
              <w:tr2bl w:val="nil"/>
            </w:tcBorders>
            <w:vAlign w:val="center"/>
          </w:tcPr>
          <w:p>
            <w:pPr>
              <w:pStyle w:val="3"/>
              <w:keepNext w:val="0"/>
              <w:keepLines w:val="0"/>
              <w:pageBreakBefore w:val="0"/>
              <w:kinsoku/>
              <w:wordWrap/>
              <w:overflowPunct w:val="0"/>
              <w:topLinePunct/>
              <w:autoSpaceDE w:val="0"/>
              <w:autoSpaceDN w:val="0"/>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序号</w:t>
            </w:r>
          </w:p>
        </w:tc>
        <w:tc>
          <w:tcPr>
            <w:tcW w:w="585" w:type="pct"/>
            <w:tcBorders>
              <w:tl2br w:val="nil"/>
              <w:tr2bl w:val="nil"/>
            </w:tcBorders>
            <w:vAlign w:val="center"/>
          </w:tcPr>
          <w:p>
            <w:pPr>
              <w:pStyle w:val="3"/>
              <w:keepNext w:val="0"/>
              <w:keepLines w:val="0"/>
              <w:pageBreakBefore w:val="0"/>
              <w:kinsoku/>
              <w:wordWrap/>
              <w:overflowPunct w:val="0"/>
              <w:topLinePunct/>
              <w:autoSpaceDE w:val="0"/>
              <w:autoSpaceDN w:val="0"/>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行业</w:t>
            </w:r>
          </w:p>
        </w:tc>
        <w:tc>
          <w:tcPr>
            <w:tcW w:w="1809" w:type="pct"/>
            <w:tcBorders>
              <w:tl2br w:val="nil"/>
              <w:tr2bl w:val="nil"/>
            </w:tcBorders>
            <w:vAlign w:val="center"/>
          </w:tcPr>
          <w:p>
            <w:pPr>
              <w:pStyle w:val="3"/>
              <w:keepNext w:val="0"/>
              <w:keepLines w:val="0"/>
              <w:pageBreakBefore w:val="0"/>
              <w:kinsoku/>
              <w:wordWrap/>
              <w:overflowPunct w:val="0"/>
              <w:topLinePunct/>
              <w:autoSpaceDE w:val="0"/>
              <w:autoSpaceDN w:val="0"/>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主要内容</w:t>
            </w:r>
          </w:p>
        </w:tc>
        <w:tc>
          <w:tcPr>
            <w:tcW w:w="1000"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lang w:val="en-US" w:eastAsia="zh-CN" w:bidi="ar"/>
              </w:rPr>
              <w:t>涉及主要产品及工序</w:t>
            </w:r>
          </w:p>
        </w:tc>
        <w:tc>
          <w:tcPr>
            <w:tcW w:w="100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2" w:type="pct"/>
            <w:tcBorders>
              <w:tl2br w:val="nil"/>
              <w:tr2bl w:val="nil"/>
            </w:tcBorders>
            <w:vAlign w:val="center"/>
          </w:tcPr>
          <w:p>
            <w:pPr>
              <w:pStyle w:val="3"/>
              <w:keepNext w:val="0"/>
              <w:keepLines w:val="0"/>
              <w:pageBreakBefore w:val="0"/>
              <w:kinsoku/>
              <w:wordWrap/>
              <w:overflowPunct w:val="0"/>
              <w:topLinePunct/>
              <w:autoSpaceDE w:val="0"/>
              <w:autoSpaceDN w:val="0"/>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7</w:t>
            </w:r>
          </w:p>
        </w:tc>
        <w:tc>
          <w:tcPr>
            <w:tcW w:w="585" w:type="pct"/>
            <w:tcBorders>
              <w:tl2br w:val="nil"/>
              <w:tr2bl w:val="nil"/>
            </w:tcBorders>
            <w:vAlign w:val="center"/>
          </w:tcPr>
          <w:p>
            <w:pPr>
              <w:pStyle w:val="3"/>
              <w:keepNext w:val="0"/>
              <w:keepLines w:val="0"/>
              <w:pageBreakBefore w:val="0"/>
              <w:kinsoku/>
              <w:wordWrap/>
              <w:overflowPunct w:val="0"/>
              <w:topLinePunct/>
              <w:autoSpaceDE w:val="0"/>
              <w:autoSpaceDN w:val="0"/>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有色</w:t>
            </w:r>
          </w:p>
        </w:tc>
        <w:tc>
          <w:tcPr>
            <w:tcW w:w="180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lang w:val="en-US" w:eastAsia="zh-CN" w:bidi="ar"/>
              </w:rPr>
              <w:t>铜冶炼（3211）、铅锌冶炼（3212）、锑冶炼（3215）、铝冶炼（3216）、硅冶炼（3218）</w:t>
            </w:r>
          </w:p>
        </w:tc>
        <w:tc>
          <w:tcPr>
            <w:tcW w:w="1000"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lang w:val="en-US" w:eastAsia="zh-CN" w:bidi="ar"/>
              </w:rPr>
              <w:t>铜、铅锌、锑、铝、硅冶炼</w:t>
            </w:r>
          </w:p>
        </w:tc>
        <w:tc>
          <w:tcPr>
            <w:tcW w:w="100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lang w:val="en-US" w:eastAsia="zh-CN" w:bidi="ar"/>
              </w:rPr>
              <w:t>不包括再生有色资源冶炼项目。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2" w:type="pct"/>
            <w:tcBorders>
              <w:tl2br w:val="nil"/>
              <w:tr2bl w:val="nil"/>
            </w:tcBorders>
            <w:vAlign w:val="center"/>
          </w:tcPr>
          <w:p>
            <w:pPr>
              <w:pStyle w:val="3"/>
              <w:keepNext w:val="0"/>
              <w:keepLines w:val="0"/>
              <w:pageBreakBefore w:val="0"/>
              <w:kinsoku/>
              <w:wordWrap/>
              <w:overflowPunct w:val="0"/>
              <w:topLinePunct/>
              <w:autoSpaceDE w:val="0"/>
              <w:autoSpaceDN w:val="0"/>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9</w:t>
            </w:r>
          </w:p>
        </w:tc>
        <w:tc>
          <w:tcPr>
            <w:tcW w:w="4397" w:type="pct"/>
            <w:gridSpan w:val="4"/>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lang w:val="en-US" w:eastAsia="zh-CN" w:bidi="ar"/>
              </w:rPr>
              <w:t>涉煤及煤制品、石焦油、渣油、重油等高污染燃料使用工业炉窑、锅炉的项目</w:t>
            </w:r>
          </w:p>
        </w:tc>
      </w:tr>
    </w:tbl>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根据通知可知，湖南省“两高"项目不包括</w:t>
      </w:r>
      <w:r>
        <w:rPr>
          <w:rFonts w:hint="default" w:ascii="Times New Roman" w:hAnsi="Times New Roman" w:eastAsia="宋体" w:cs="Times New Roman"/>
          <w:color w:val="auto"/>
          <w:sz w:val="24"/>
          <w:highlight w:val="none"/>
          <w:u w:val="none" w:color="auto"/>
          <w:lang w:eastAsia="zh-CN"/>
        </w:rPr>
        <w:t>镁合金制造</w:t>
      </w:r>
      <w:r>
        <w:rPr>
          <w:rFonts w:hint="default" w:ascii="Times New Roman" w:hAnsi="Times New Roman" w:eastAsia="宋体" w:cs="Times New Roman"/>
          <w:color w:val="auto"/>
          <w:sz w:val="24"/>
          <w:highlight w:val="none"/>
          <w:u w:val="none" w:color="auto"/>
        </w:rPr>
        <w:t>项目，本项目为</w:t>
      </w:r>
      <w:r>
        <w:rPr>
          <w:rFonts w:hint="default" w:ascii="Times New Roman" w:hAnsi="Times New Roman" w:eastAsia="宋体" w:cs="Times New Roman"/>
          <w:color w:val="auto"/>
          <w:sz w:val="24"/>
          <w:highlight w:val="none"/>
          <w:u w:val="none" w:color="auto"/>
          <w:lang w:eastAsia="zh-CN"/>
        </w:rPr>
        <w:t>镁合金制造</w:t>
      </w:r>
      <w:r>
        <w:rPr>
          <w:rFonts w:hint="default" w:ascii="Times New Roman" w:hAnsi="Times New Roman" w:eastAsia="宋体" w:cs="Times New Roman"/>
          <w:color w:val="auto"/>
          <w:sz w:val="24"/>
          <w:highlight w:val="none"/>
          <w:u w:val="none" w:color="auto"/>
        </w:rPr>
        <w:t>项目</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同时本项目燃料为天然气，不涉及高污染燃料使用，因此，本项目不属于“两高”项目。</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lang w:eastAsia="zh-CN"/>
        </w:rPr>
        <w:t>）与《大气污染防治行动计划》(气十条)符合性分析</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eastAsia="zh-CN"/>
        </w:rPr>
        <w:t>2013年国务院向各省、自治区、直辖市人民政府，国务院各部委、各直属机构印发了《大气污染防治行动计划》(简称气十条)，该文件是目前我国大气污染防治工作的指导性文件，本评价逐条对照气十条条文，就本项目与该文件的符合性分析如下。</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表1.3-3本项目与气十条有关条款符合性分析</w:t>
      </w:r>
    </w:p>
    <w:p>
      <w:pPr>
        <w:pageBreakBefore w:val="0"/>
        <w:kinsoku/>
        <w:wordWrap/>
        <w:overflowPunct w:val="0"/>
        <w:topLinePunct/>
        <w:autoSpaceDE w:val="0"/>
        <w:autoSpaceDN w:val="0"/>
        <w:bidi w:val="0"/>
        <w:spacing w:line="133" w:lineRule="exact"/>
        <w:rPr>
          <w:rFonts w:hint="default" w:ascii="Times New Roman" w:hAnsi="Times New Roman" w:eastAsia="宋体" w:cs="Times New Roman"/>
          <w:color w:val="auto"/>
          <w:u w:val="none" w:color="auto"/>
        </w:rPr>
      </w:pPr>
    </w:p>
    <w:tbl>
      <w:tblPr>
        <w:tblStyle w:val="204"/>
        <w:tblW w:w="852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027"/>
        <w:gridCol w:w="2611"/>
        <w:gridCol w:w="8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sz w:val="21"/>
                <w:szCs w:val="21"/>
                <w:u w:val="none" w:color="auto"/>
              </w:rPr>
            </w:pPr>
            <w:r>
              <w:rPr>
                <w:rFonts w:hint="default" w:ascii="Times New Roman" w:hAnsi="Times New Roman" w:eastAsia="宋体" w:cs="Times New Roman"/>
                <w:b w:val="0"/>
                <w:bCs w:val="0"/>
                <w:color w:val="auto"/>
                <w:spacing w:val="5"/>
                <w:sz w:val="21"/>
                <w:szCs w:val="21"/>
                <w:u w:val="none" w:color="auto"/>
              </w:rPr>
              <w:t>与本项目相关的气十条要求</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sz w:val="21"/>
                <w:szCs w:val="21"/>
                <w:u w:val="none" w:color="auto"/>
              </w:rPr>
            </w:pPr>
            <w:r>
              <w:rPr>
                <w:rFonts w:hint="default" w:ascii="Times New Roman" w:hAnsi="Times New Roman" w:eastAsia="宋体" w:cs="Times New Roman"/>
                <w:b w:val="0"/>
                <w:bCs w:val="0"/>
                <w:color w:val="auto"/>
                <w:spacing w:val="5"/>
                <w:sz w:val="21"/>
                <w:szCs w:val="21"/>
                <w:u w:val="none" w:color="auto"/>
              </w:rPr>
              <w:t>本项目情况</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sz w:val="21"/>
                <w:szCs w:val="21"/>
                <w:u w:val="none" w:color="auto"/>
              </w:rPr>
            </w:pPr>
            <w:r>
              <w:rPr>
                <w:rFonts w:hint="default" w:ascii="Times New Roman" w:hAnsi="Times New Roman" w:eastAsia="宋体" w:cs="Times New Roman"/>
                <w:b w:val="0"/>
                <w:bCs w:val="0"/>
                <w:color w:val="auto"/>
                <w:spacing w:val="5"/>
                <w:sz w:val="21"/>
                <w:szCs w:val="21"/>
                <w:u w:val="none" w:color="auto"/>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5"/>
                <w:sz w:val="21"/>
                <w:szCs w:val="21"/>
                <w:u w:val="none" w:color="auto"/>
              </w:rPr>
              <w:t>一</w:t>
            </w:r>
            <w:r>
              <w:rPr>
                <w:rFonts w:hint="default" w:ascii="Times New Roman" w:hAnsi="Times New Roman" w:eastAsia="宋体" w:cs="Times New Roman"/>
                <w:b w:val="0"/>
                <w:bCs w:val="0"/>
                <w:color w:val="auto"/>
                <w:spacing w:val="9"/>
                <w:sz w:val="21"/>
                <w:szCs w:val="21"/>
                <w:u w:val="none" w:color="auto"/>
              </w:rPr>
              <w:t>、加大综合治理力度，减少多污染物排放</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8"/>
                <w:sz w:val="21"/>
                <w:szCs w:val="21"/>
                <w:u w:val="none" w:color="auto"/>
              </w:rPr>
              <w:t>(一)加强工业企业大气污染综合治</w:t>
            </w:r>
            <w:r>
              <w:rPr>
                <w:rFonts w:hint="default" w:ascii="Times New Roman" w:hAnsi="Times New Roman" w:eastAsia="宋体" w:cs="Times New Roman"/>
                <w:b w:val="0"/>
                <w:bCs w:val="0"/>
                <w:color w:val="auto"/>
                <w:spacing w:val="6"/>
                <w:sz w:val="21"/>
                <w:szCs w:val="21"/>
                <w:u w:val="none" w:color="auto"/>
              </w:rPr>
              <w:t>理</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0"/>
                <w:sz w:val="21"/>
                <w:szCs w:val="21"/>
                <w:u w:val="none" w:color="auto"/>
              </w:rPr>
              <w:t>加快重</w:t>
            </w:r>
            <w:r>
              <w:rPr>
                <w:rFonts w:hint="default" w:ascii="Times New Roman" w:hAnsi="Times New Roman" w:eastAsia="宋体" w:cs="Times New Roman"/>
                <w:b w:val="0"/>
                <w:bCs w:val="0"/>
                <w:color w:val="auto"/>
                <w:spacing w:val="8"/>
                <w:sz w:val="21"/>
                <w:szCs w:val="21"/>
                <w:u w:val="none" w:color="auto"/>
              </w:rPr>
              <w:t>点</w:t>
            </w:r>
            <w:r>
              <w:rPr>
                <w:rFonts w:hint="default" w:ascii="Times New Roman" w:hAnsi="Times New Roman" w:eastAsia="宋体" w:cs="Times New Roman"/>
                <w:b w:val="0"/>
                <w:bCs w:val="0"/>
                <w:color w:val="auto"/>
                <w:spacing w:val="5"/>
                <w:sz w:val="21"/>
                <w:szCs w:val="21"/>
                <w:u w:val="none" w:color="auto"/>
              </w:rPr>
              <w:t>行业脱硫、脱硝、除尘改造工程建设。所有燃</w:t>
            </w:r>
            <w:r>
              <w:rPr>
                <w:rFonts w:hint="default" w:ascii="Times New Roman" w:hAnsi="Times New Roman" w:eastAsia="宋体" w:cs="Times New Roman"/>
                <w:b w:val="0"/>
                <w:bCs w:val="0"/>
                <w:color w:val="auto"/>
                <w:spacing w:val="10"/>
                <w:sz w:val="21"/>
                <w:szCs w:val="21"/>
                <w:u w:val="none" w:color="auto"/>
              </w:rPr>
              <w:t>煤电厂</w:t>
            </w:r>
            <w:r>
              <w:rPr>
                <w:rFonts w:hint="default" w:ascii="Times New Roman" w:hAnsi="Times New Roman" w:eastAsia="宋体" w:cs="Times New Roman"/>
                <w:b w:val="0"/>
                <w:bCs w:val="0"/>
                <w:color w:val="auto"/>
                <w:spacing w:val="5"/>
                <w:sz w:val="21"/>
                <w:szCs w:val="21"/>
                <w:u w:val="none" w:color="auto"/>
              </w:rPr>
              <w:t>、钢铁企业的烧结机和球团生产设备、石油炼制</w:t>
            </w:r>
            <w:r>
              <w:rPr>
                <w:rFonts w:hint="default" w:ascii="Times New Roman" w:hAnsi="Times New Roman" w:eastAsia="宋体" w:cs="Times New Roman"/>
                <w:b w:val="0"/>
                <w:bCs w:val="0"/>
                <w:color w:val="auto"/>
                <w:spacing w:val="10"/>
                <w:sz w:val="21"/>
                <w:szCs w:val="21"/>
                <w:u w:val="none" w:color="auto"/>
              </w:rPr>
              <w:t>企业的</w:t>
            </w:r>
            <w:r>
              <w:rPr>
                <w:rFonts w:hint="default" w:ascii="Times New Roman" w:hAnsi="Times New Roman" w:eastAsia="宋体" w:cs="Times New Roman"/>
                <w:b w:val="0"/>
                <w:bCs w:val="0"/>
                <w:color w:val="auto"/>
                <w:spacing w:val="5"/>
                <w:sz w:val="21"/>
                <w:szCs w:val="21"/>
                <w:u w:val="none" w:color="auto"/>
              </w:rPr>
              <w:t>催化裂化装置、有色金属冶炼企业都要安装脱硫</w:t>
            </w:r>
            <w:r>
              <w:rPr>
                <w:rFonts w:hint="default" w:ascii="Times New Roman" w:hAnsi="Times New Roman" w:eastAsia="宋体" w:cs="Times New Roman"/>
                <w:b w:val="0"/>
                <w:bCs w:val="0"/>
                <w:color w:val="auto"/>
                <w:spacing w:val="2"/>
                <w:sz w:val="21"/>
                <w:szCs w:val="21"/>
                <w:u w:val="none" w:color="auto"/>
              </w:rPr>
              <w:t>设施。</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本项目属于有色金属</w:t>
            </w:r>
            <w:r>
              <w:rPr>
                <w:rFonts w:hint="default" w:ascii="Times New Roman" w:hAnsi="Times New Roman" w:eastAsia="宋体" w:cs="Times New Roman"/>
                <w:b w:val="0"/>
                <w:bCs w:val="0"/>
                <w:color w:val="auto"/>
                <w:spacing w:val="9"/>
                <w:sz w:val="21"/>
                <w:szCs w:val="21"/>
                <w:u w:val="none" w:color="auto"/>
                <w:lang w:eastAsia="zh-CN"/>
              </w:rPr>
              <w:t>合金制造企业</w:t>
            </w:r>
            <w:r>
              <w:rPr>
                <w:rFonts w:hint="default" w:ascii="Times New Roman" w:hAnsi="Times New Roman" w:eastAsia="宋体" w:cs="Times New Roman"/>
                <w:b w:val="0"/>
                <w:bCs w:val="0"/>
                <w:color w:val="auto"/>
                <w:spacing w:val="5"/>
                <w:sz w:val="21"/>
                <w:szCs w:val="21"/>
                <w:u w:val="none" w:color="auto"/>
              </w:rPr>
              <w:t>。</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5"/>
                <w:sz w:val="21"/>
                <w:szCs w:val="21"/>
                <w:u w:val="none" w:color="auto"/>
              </w:rPr>
              <w:t>二</w:t>
            </w:r>
            <w:r>
              <w:rPr>
                <w:rFonts w:hint="default" w:ascii="Times New Roman" w:hAnsi="Times New Roman" w:eastAsia="宋体" w:cs="Times New Roman"/>
                <w:b w:val="0"/>
                <w:bCs w:val="0"/>
                <w:color w:val="auto"/>
                <w:spacing w:val="9"/>
                <w:sz w:val="21"/>
                <w:szCs w:val="21"/>
                <w:u w:val="none" w:color="auto"/>
              </w:rPr>
              <w:t>、调整优化产业结构，推动产业转型升级</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both"/>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3"/>
                <w:sz w:val="21"/>
                <w:szCs w:val="21"/>
                <w:u w:val="none" w:color="auto"/>
              </w:rPr>
              <w:t>(四)严控“两高”行业新增产能</w:t>
            </w:r>
            <w:r>
              <w:rPr>
                <w:rFonts w:hint="default" w:ascii="Times New Roman" w:hAnsi="Times New Roman" w:eastAsia="宋体" w:cs="Times New Roman"/>
                <w:b w:val="0"/>
                <w:bCs w:val="0"/>
                <w:color w:val="auto"/>
                <w:spacing w:val="9"/>
                <w:sz w:val="21"/>
                <w:szCs w:val="21"/>
                <w:u w:val="none" w:color="auto"/>
              </w:rPr>
              <w:t>。</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0"/>
                <w:sz w:val="21"/>
                <w:szCs w:val="21"/>
                <w:u w:val="none" w:color="auto"/>
              </w:rPr>
              <w:t>修订高</w:t>
            </w:r>
            <w:r>
              <w:rPr>
                <w:rFonts w:hint="default" w:ascii="Times New Roman" w:hAnsi="Times New Roman" w:eastAsia="宋体" w:cs="Times New Roman"/>
                <w:b w:val="0"/>
                <w:bCs w:val="0"/>
                <w:color w:val="auto"/>
                <w:spacing w:val="6"/>
                <w:sz w:val="21"/>
                <w:szCs w:val="21"/>
                <w:u w:val="none" w:color="auto"/>
              </w:rPr>
              <w:t>耗</w:t>
            </w:r>
            <w:r>
              <w:rPr>
                <w:rFonts w:hint="default" w:ascii="Times New Roman" w:hAnsi="Times New Roman" w:eastAsia="宋体" w:cs="Times New Roman"/>
                <w:b w:val="0"/>
                <w:bCs w:val="0"/>
                <w:color w:val="auto"/>
                <w:spacing w:val="5"/>
                <w:sz w:val="21"/>
                <w:szCs w:val="21"/>
                <w:u w:val="none" w:color="auto"/>
              </w:rPr>
              <w:t>能、高污染和资源性行业准入条件，明确资源</w:t>
            </w:r>
            <w:r>
              <w:rPr>
                <w:rFonts w:hint="default" w:ascii="Times New Roman" w:hAnsi="Times New Roman" w:eastAsia="宋体" w:cs="Times New Roman"/>
                <w:b w:val="0"/>
                <w:bCs w:val="0"/>
                <w:color w:val="auto"/>
                <w:spacing w:val="10"/>
                <w:sz w:val="21"/>
                <w:szCs w:val="21"/>
                <w:u w:val="none" w:color="auto"/>
              </w:rPr>
              <w:t>能</w:t>
            </w:r>
            <w:r>
              <w:rPr>
                <w:rFonts w:hint="default" w:ascii="Times New Roman" w:hAnsi="Times New Roman" w:eastAsia="宋体" w:cs="Times New Roman"/>
                <w:b w:val="0"/>
                <w:bCs w:val="0"/>
                <w:color w:val="auto"/>
                <w:spacing w:val="7"/>
                <w:sz w:val="21"/>
                <w:szCs w:val="21"/>
                <w:u w:val="none" w:color="auto"/>
              </w:rPr>
              <w:t>源</w:t>
            </w:r>
            <w:r>
              <w:rPr>
                <w:rFonts w:hint="default" w:ascii="Times New Roman" w:hAnsi="Times New Roman" w:eastAsia="宋体" w:cs="Times New Roman"/>
                <w:b w:val="0"/>
                <w:bCs w:val="0"/>
                <w:color w:val="auto"/>
                <w:spacing w:val="5"/>
                <w:sz w:val="21"/>
                <w:szCs w:val="21"/>
                <w:u w:val="none" w:color="auto"/>
              </w:rPr>
              <w:t>节约和污染物排放等指标。有条件的地区要制定符</w:t>
            </w:r>
            <w:r>
              <w:rPr>
                <w:rFonts w:hint="default" w:ascii="Times New Roman" w:hAnsi="Times New Roman" w:eastAsia="宋体" w:cs="Times New Roman"/>
                <w:b w:val="0"/>
                <w:bCs w:val="0"/>
                <w:color w:val="auto"/>
                <w:spacing w:val="10"/>
                <w:sz w:val="21"/>
                <w:szCs w:val="21"/>
                <w:u w:val="none" w:color="auto"/>
              </w:rPr>
              <w:t>合</w:t>
            </w:r>
            <w:r>
              <w:rPr>
                <w:rFonts w:hint="default" w:ascii="Times New Roman" w:hAnsi="Times New Roman" w:eastAsia="宋体" w:cs="Times New Roman"/>
                <w:b w:val="0"/>
                <w:bCs w:val="0"/>
                <w:color w:val="auto"/>
                <w:spacing w:val="9"/>
                <w:sz w:val="21"/>
                <w:szCs w:val="21"/>
                <w:u w:val="none" w:color="auto"/>
              </w:rPr>
              <w:t>当地功能定位、严于国家要求的产业准入目录。</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本项目属于资源再生</w:t>
            </w:r>
            <w:r>
              <w:rPr>
                <w:rFonts w:hint="default" w:ascii="Times New Roman" w:hAnsi="Times New Roman" w:eastAsia="宋体" w:cs="Times New Roman"/>
                <w:b w:val="0"/>
                <w:bCs w:val="0"/>
                <w:color w:val="auto"/>
                <w:spacing w:val="7"/>
                <w:sz w:val="21"/>
                <w:szCs w:val="21"/>
                <w:u w:val="none" w:color="auto"/>
              </w:rPr>
              <w:t>利</w:t>
            </w:r>
            <w:r>
              <w:rPr>
                <w:rFonts w:hint="default" w:ascii="Times New Roman" w:hAnsi="Times New Roman" w:eastAsia="宋体" w:cs="Times New Roman"/>
                <w:b w:val="0"/>
                <w:bCs w:val="0"/>
                <w:color w:val="auto"/>
                <w:spacing w:val="5"/>
                <w:sz w:val="21"/>
                <w:szCs w:val="21"/>
                <w:u w:val="none" w:color="auto"/>
              </w:rPr>
              <w:t>用，根据《产业结构调整</w:t>
            </w:r>
            <w:r>
              <w:rPr>
                <w:rFonts w:hint="default" w:ascii="Times New Roman" w:hAnsi="Times New Roman" w:eastAsia="宋体" w:cs="Times New Roman"/>
                <w:b w:val="0"/>
                <w:bCs w:val="0"/>
                <w:color w:val="auto"/>
                <w:spacing w:val="7"/>
                <w:sz w:val="21"/>
                <w:szCs w:val="21"/>
                <w:u w:val="none" w:color="auto"/>
              </w:rPr>
              <w:t>指</w:t>
            </w:r>
            <w:r>
              <w:rPr>
                <w:rFonts w:hint="default" w:ascii="Times New Roman" w:hAnsi="Times New Roman" w:eastAsia="宋体" w:cs="Times New Roman"/>
                <w:b w:val="0"/>
                <w:bCs w:val="0"/>
                <w:color w:val="auto"/>
                <w:spacing w:val="5"/>
                <w:sz w:val="21"/>
                <w:szCs w:val="21"/>
                <w:u w:val="none" w:color="auto"/>
              </w:rPr>
              <w:t>导目录》，不属于限制</w:t>
            </w:r>
            <w:r>
              <w:rPr>
                <w:rFonts w:hint="default" w:ascii="Times New Roman" w:hAnsi="Times New Roman" w:eastAsia="宋体" w:cs="Times New Roman"/>
                <w:b w:val="0"/>
                <w:bCs w:val="0"/>
                <w:color w:val="auto"/>
                <w:spacing w:val="8"/>
                <w:sz w:val="21"/>
                <w:szCs w:val="21"/>
                <w:u w:val="none" w:color="auto"/>
              </w:rPr>
              <w:t>及</w:t>
            </w:r>
            <w:r>
              <w:rPr>
                <w:rFonts w:hint="default" w:ascii="Times New Roman" w:hAnsi="Times New Roman" w:eastAsia="宋体" w:cs="Times New Roman"/>
                <w:b w:val="0"/>
                <w:bCs w:val="0"/>
                <w:color w:val="auto"/>
                <w:spacing w:val="5"/>
                <w:sz w:val="21"/>
                <w:szCs w:val="21"/>
                <w:u w:val="none" w:color="auto"/>
              </w:rPr>
              <w:t>淘汰类，不属于《环境</w:t>
            </w:r>
            <w:r>
              <w:rPr>
                <w:rFonts w:hint="default" w:ascii="Times New Roman" w:hAnsi="Times New Roman" w:eastAsia="宋体" w:cs="Times New Roman"/>
                <w:b w:val="0"/>
                <w:bCs w:val="0"/>
                <w:color w:val="auto"/>
                <w:spacing w:val="11"/>
                <w:sz w:val="21"/>
                <w:szCs w:val="21"/>
                <w:u w:val="none" w:color="auto"/>
              </w:rPr>
              <w:t>保护综合名录(2021</w:t>
            </w:r>
            <w:r>
              <w:rPr>
                <w:rFonts w:hint="default" w:ascii="Times New Roman" w:hAnsi="Times New Roman" w:eastAsia="宋体" w:cs="Times New Roman"/>
                <w:b w:val="0"/>
                <w:bCs w:val="0"/>
                <w:color w:val="auto"/>
                <w:spacing w:val="9"/>
                <w:sz w:val="21"/>
                <w:szCs w:val="21"/>
                <w:u w:val="none" w:color="auto"/>
              </w:rPr>
              <w:t>年</w:t>
            </w:r>
            <w:r>
              <w:rPr>
                <w:rFonts w:hint="default" w:ascii="Times New Roman" w:hAnsi="Times New Roman" w:eastAsia="宋体" w:cs="Times New Roman"/>
                <w:b w:val="0"/>
                <w:bCs w:val="0"/>
                <w:color w:val="auto"/>
                <w:spacing w:val="12"/>
                <w:sz w:val="21"/>
                <w:szCs w:val="21"/>
                <w:u w:val="none" w:color="auto"/>
              </w:rPr>
              <w:t>版</w:t>
            </w:r>
            <w:r>
              <w:rPr>
                <w:rFonts w:hint="default" w:ascii="Times New Roman" w:hAnsi="Times New Roman" w:eastAsia="宋体" w:cs="Times New Roman"/>
                <w:b w:val="0"/>
                <w:bCs w:val="0"/>
                <w:color w:val="auto"/>
                <w:spacing w:val="9"/>
                <w:sz w:val="21"/>
                <w:szCs w:val="21"/>
                <w:u w:val="none" w:color="auto"/>
              </w:rPr>
              <w:t>)</w:t>
            </w:r>
            <w:r>
              <w:rPr>
                <w:rFonts w:hint="default" w:ascii="Times New Roman" w:hAnsi="Times New Roman" w:eastAsia="宋体" w:cs="Times New Roman"/>
                <w:b w:val="0"/>
                <w:bCs w:val="0"/>
                <w:color w:val="auto"/>
                <w:spacing w:val="6"/>
                <w:sz w:val="21"/>
                <w:szCs w:val="21"/>
                <w:u w:val="none" w:color="auto"/>
              </w:rPr>
              <w:t>》中的“两高”项目，</w:t>
            </w:r>
            <w:r>
              <w:rPr>
                <w:rFonts w:hint="default" w:ascii="Times New Roman" w:hAnsi="Times New Roman" w:eastAsia="宋体" w:cs="Times New Roman"/>
                <w:b w:val="0"/>
                <w:bCs w:val="0"/>
                <w:color w:val="auto"/>
                <w:spacing w:val="8"/>
                <w:sz w:val="21"/>
                <w:szCs w:val="21"/>
                <w:u w:val="none" w:color="auto"/>
              </w:rPr>
              <w:t>符合国家产业准入要求</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22"/>
                <w:sz w:val="21"/>
                <w:szCs w:val="21"/>
                <w:u w:val="none" w:color="auto"/>
              </w:rPr>
              <w:t>(</w:t>
            </w:r>
            <w:r>
              <w:rPr>
                <w:rFonts w:hint="default" w:ascii="Times New Roman" w:hAnsi="Times New Roman" w:eastAsia="宋体" w:cs="Times New Roman"/>
                <w:b w:val="0"/>
                <w:bCs w:val="0"/>
                <w:color w:val="auto"/>
                <w:spacing w:val="14"/>
                <w:sz w:val="21"/>
                <w:szCs w:val="21"/>
                <w:u w:val="none" w:color="auto"/>
              </w:rPr>
              <w:t>五)加快淘汰落后产能。</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结合产业发展实际和环境质量状况，进一步提高环保</w:t>
            </w:r>
            <w:r>
              <w:rPr>
                <w:rFonts w:hint="default" w:ascii="Times New Roman" w:hAnsi="Times New Roman" w:eastAsia="宋体" w:cs="Times New Roman"/>
                <w:b w:val="0"/>
                <w:bCs w:val="0"/>
                <w:color w:val="auto"/>
                <w:spacing w:val="8"/>
                <w:sz w:val="21"/>
                <w:szCs w:val="21"/>
                <w:u w:val="none" w:color="auto"/>
              </w:rPr>
              <w:t>、</w:t>
            </w:r>
            <w:r>
              <w:rPr>
                <w:rFonts w:hint="default" w:ascii="Times New Roman" w:hAnsi="Times New Roman" w:eastAsia="宋体" w:cs="Times New Roman"/>
                <w:b w:val="0"/>
                <w:bCs w:val="0"/>
                <w:color w:val="auto"/>
                <w:spacing w:val="10"/>
                <w:sz w:val="21"/>
                <w:szCs w:val="21"/>
                <w:u w:val="none" w:color="auto"/>
              </w:rPr>
              <w:t>能</w:t>
            </w:r>
            <w:r>
              <w:rPr>
                <w:rFonts w:hint="default" w:ascii="Times New Roman" w:hAnsi="Times New Roman" w:eastAsia="宋体" w:cs="Times New Roman"/>
                <w:b w:val="0"/>
                <w:bCs w:val="0"/>
                <w:color w:val="auto"/>
                <w:spacing w:val="7"/>
                <w:sz w:val="21"/>
                <w:szCs w:val="21"/>
                <w:u w:val="none" w:color="auto"/>
              </w:rPr>
              <w:t>耗</w:t>
            </w:r>
            <w:r>
              <w:rPr>
                <w:rFonts w:hint="default" w:ascii="Times New Roman" w:hAnsi="Times New Roman" w:eastAsia="宋体" w:cs="Times New Roman"/>
                <w:b w:val="0"/>
                <w:bCs w:val="0"/>
                <w:color w:val="auto"/>
                <w:spacing w:val="5"/>
                <w:sz w:val="21"/>
                <w:szCs w:val="21"/>
                <w:u w:val="none" w:color="auto"/>
              </w:rPr>
              <w:t>、安全、质量等标准，分区域明确落后产能淘汰任</w:t>
            </w:r>
            <w:r>
              <w:rPr>
                <w:rFonts w:hint="default" w:ascii="Times New Roman" w:hAnsi="Times New Roman" w:eastAsia="宋体" w:cs="Times New Roman"/>
                <w:b w:val="0"/>
                <w:bCs w:val="0"/>
                <w:color w:val="auto"/>
                <w:spacing w:val="8"/>
                <w:sz w:val="21"/>
                <w:szCs w:val="21"/>
                <w:u w:val="none" w:color="auto"/>
              </w:rPr>
              <w:t>务，倒逼产业转型升级</w:t>
            </w:r>
            <w:r>
              <w:rPr>
                <w:rFonts w:hint="default" w:ascii="Times New Roman" w:hAnsi="Times New Roman" w:eastAsia="宋体" w:cs="Times New Roman"/>
                <w:b w:val="0"/>
                <w:bCs w:val="0"/>
                <w:color w:val="auto"/>
                <w:spacing w:val="7"/>
                <w:sz w:val="21"/>
                <w:szCs w:val="21"/>
                <w:u w:val="none" w:color="auto"/>
              </w:rPr>
              <w:t>。</w:t>
            </w:r>
            <w:r>
              <w:rPr>
                <w:rFonts w:hint="default" w:ascii="Times New Roman" w:hAnsi="Times New Roman" w:eastAsia="宋体" w:cs="Times New Roman"/>
                <w:b w:val="0"/>
                <w:bCs w:val="0"/>
                <w:color w:val="auto"/>
                <w:spacing w:val="10"/>
                <w:sz w:val="21"/>
                <w:szCs w:val="21"/>
                <w:u w:val="none" w:color="auto"/>
              </w:rPr>
              <w:t>按照《</w:t>
            </w:r>
            <w:r>
              <w:rPr>
                <w:rFonts w:hint="default" w:ascii="Times New Roman" w:hAnsi="Times New Roman" w:eastAsia="宋体" w:cs="Times New Roman"/>
                <w:b w:val="0"/>
                <w:bCs w:val="0"/>
                <w:color w:val="auto"/>
                <w:spacing w:val="6"/>
                <w:sz w:val="21"/>
                <w:szCs w:val="21"/>
                <w:u w:val="none" w:color="auto"/>
              </w:rPr>
              <w:t>部</w:t>
            </w:r>
            <w:r>
              <w:rPr>
                <w:rFonts w:hint="default" w:ascii="Times New Roman" w:hAnsi="Times New Roman" w:eastAsia="宋体" w:cs="Times New Roman"/>
                <w:b w:val="0"/>
                <w:bCs w:val="0"/>
                <w:color w:val="auto"/>
                <w:spacing w:val="5"/>
                <w:sz w:val="21"/>
                <w:szCs w:val="21"/>
                <w:u w:val="none" w:color="auto"/>
              </w:rPr>
              <w:t>分工业行业淘汰落后生产工艺装备和产品指导</w:t>
            </w:r>
            <w:r>
              <w:rPr>
                <w:rFonts w:hint="default" w:ascii="Times New Roman" w:hAnsi="Times New Roman" w:eastAsia="宋体" w:cs="Times New Roman"/>
                <w:b w:val="0"/>
                <w:bCs w:val="0"/>
                <w:color w:val="auto"/>
                <w:spacing w:val="4"/>
                <w:sz w:val="21"/>
                <w:szCs w:val="21"/>
                <w:u w:val="none" w:color="auto"/>
              </w:rPr>
              <w:t>目录(2010年本</w:t>
            </w:r>
            <w:r>
              <w:rPr>
                <w:rFonts w:hint="default" w:ascii="Times New Roman" w:hAnsi="Times New Roman" w:eastAsia="宋体" w:cs="Times New Roman"/>
                <w:b w:val="0"/>
                <w:bCs w:val="0"/>
                <w:color w:val="auto"/>
                <w:spacing w:val="3"/>
                <w:sz w:val="21"/>
                <w:szCs w:val="21"/>
                <w:u w:val="none" w:color="auto"/>
              </w:rPr>
              <w:t>)</w:t>
            </w:r>
            <w:r>
              <w:rPr>
                <w:rFonts w:hint="default" w:ascii="Times New Roman" w:hAnsi="Times New Roman" w:eastAsia="宋体" w:cs="Times New Roman"/>
                <w:b w:val="0"/>
                <w:bCs w:val="0"/>
                <w:color w:val="auto"/>
                <w:spacing w:val="2"/>
                <w:sz w:val="21"/>
                <w:szCs w:val="21"/>
                <w:u w:val="none" w:color="auto"/>
              </w:rPr>
              <w:t>》、《产业结构调整指导目录(2013</w:t>
            </w:r>
            <w:r>
              <w:rPr>
                <w:rFonts w:hint="default" w:ascii="Times New Roman" w:hAnsi="Times New Roman" w:eastAsia="宋体" w:cs="Times New Roman"/>
                <w:b w:val="0"/>
                <w:bCs w:val="0"/>
                <w:color w:val="auto"/>
                <w:spacing w:val="6"/>
                <w:sz w:val="21"/>
                <w:szCs w:val="21"/>
                <w:u w:val="none" w:color="auto"/>
              </w:rPr>
              <w:t>年</w:t>
            </w:r>
            <w:r>
              <w:rPr>
                <w:rFonts w:hint="default" w:ascii="Times New Roman" w:hAnsi="Times New Roman" w:eastAsia="宋体" w:cs="Times New Roman"/>
                <w:b w:val="0"/>
                <w:bCs w:val="0"/>
                <w:color w:val="auto"/>
                <w:spacing w:val="5"/>
                <w:sz w:val="21"/>
                <w:szCs w:val="21"/>
                <w:u w:val="none" w:color="auto"/>
              </w:rPr>
              <w:t>修订本)(修正)》的要求，采取经济、技术、法律</w:t>
            </w:r>
            <w:r>
              <w:rPr>
                <w:rFonts w:hint="default" w:ascii="Times New Roman" w:hAnsi="Times New Roman" w:eastAsia="宋体" w:cs="Times New Roman"/>
                <w:b w:val="0"/>
                <w:bCs w:val="0"/>
                <w:color w:val="auto"/>
                <w:spacing w:val="1"/>
                <w:sz w:val="21"/>
                <w:szCs w:val="21"/>
                <w:u w:val="none" w:color="auto"/>
              </w:rPr>
              <w:t>和必要的行政</w:t>
            </w:r>
            <w:r>
              <w:rPr>
                <w:rFonts w:hint="default" w:ascii="Times New Roman" w:hAnsi="Times New Roman" w:eastAsia="宋体" w:cs="Times New Roman"/>
                <w:b w:val="0"/>
                <w:bCs w:val="0"/>
                <w:color w:val="auto"/>
                <w:sz w:val="21"/>
                <w:szCs w:val="21"/>
                <w:u w:val="none" w:color="auto"/>
              </w:rPr>
              <w:t>手段，提前一年完成钢铁、水泥、电解铝、</w:t>
            </w:r>
            <w:r>
              <w:rPr>
                <w:rFonts w:hint="default" w:ascii="Times New Roman" w:hAnsi="Times New Roman" w:eastAsia="宋体" w:cs="Times New Roman"/>
                <w:b w:val="0"/>
                <w:bCs w:val="0"/>
                <w:color w:val="auto"/>
                <w:spacing w:val="9"/>
                <w:sz w:val="21"/>
                <w:szCs w:val="21"/>
                <w:u w:val="none" w:color="auto"/>
              </w:rPr>
              <w:t>平</w:t>
            </w:r>
            <w:r>
              <w:rPr>
                <w:rFonts w:hint="default" w:ascii="Times New Roman" w:hAnsi="Times New Roman" w:eastAsia="宋体" w:cs="Times New Roman"/>
                <w:b w:val="0"/>
                <w:bCs w:val="0"/>
                <w:color w:val="auto"/>
                <w:spacing w:val="7"/>
                <w:sz w:val="21"/>
                <w:szCs w:val="21"/>
                <w:u w:val="none" w:color="auto"/>
              </w:rPr>
              <w:t>板玻璃等21个重点行业的“十二五”落后产能淘汰任</w:t>
            </w:r>
            <w:r>
              <w:rPr>
                <w:rFonts w:hint="default" w:ascii="Times New Roman" w:hAnsi="Times New Roman" w:eastAsia="宋体" w:cs="Times New Roman"/>
                <w:b w:val="0"/>
                <w:bCs w:val="0"/>
                <w:color w:val="auto"/>
                <w:spacing w:val="8"/>
                <w:sz w:val="21"/>
                <w:szCs w:val="21"/>
                <w:u w:val="none" w:color="auto"/>
              </w:rPr>
              <w:t>务</w:t>
            </w:r>
            <w:r>
              <w:rPr>
                <w:rFonts w:hint="default" w:ascii="Times New Roman" w:hAnsi="Times New Roman" w:eastAsia="宋体" w:cs="Times New Roman"/>
                <w:b w:val="0"/>
                <w:bCs w:val="0"/>
                <w:color w:val="auto"/>
                <w:spacing w:val="5"/>
                <w:sz w:val="21"/>
                <w:szCs w:val="21"/>
                <w:u w:val="none" w:color="auto"/>
              </w:rPr>
              <w:t>。2015年再淘汰炼铁1500万吨、炼钢1500万吨、</w:t>
            </w:r>
            <w:r>
              <w:rPr>
                <w:rFonts w:hint="default" w:ascii="Times New Roman" w:hAnsi="Times New Roman" w:eastAsia="宋体" w:cs="Times New Roman"/>
                <w:b w:val="0"/>
                <w:bCs w:val="0"/>
                <w:color w:val="auto"/>
                <w:spacing w:val="12"/>
                <w:sz w:val="21"/>
                <w:szCs w:val="21"/>
                <w:u w:val="none" w:color="auto"/>
              </w:rPr>
              <w:t>水泥</w:t>
            </w:r>
            <w:r>
              <w:rPr>
                <w:rFonts w:hint="default" w:ascii="Times New Roman" w:hAnsi="Times New Roman" w:eastAsia="宋体" w:cs="Times New Roman"/>
                <w:b w:val="0"/>
                <w:bCs w:val="0"/>
                <w:color w:val="auto"/>
                <w:spacing w:val="10"/>
                <w:sz w:val="21"/>
                <w:szCs w:val="21"/>
                <w:u w:val="none" w:color="auto"/>
              </w:rPr>
              <w:t>(</w:t>
            </w:r>
            <w:r>
              <w:rPr>
                <w:rFonts w:hint="default" w:ascii="Times New Roman" w:hAnsi="Times New Roman" w:eastAsia="宋体" w:cs="Times New Roman"/>
                <w:b w:val="0"/>
                <w:bCs w:val="0"/>
                <w:color w:val="auto"/>
                <w:spacing w:val="6"/>
                <w:sz w:val="21"/>
                <w:szCs w:val="21"/>
                <w:u w:val="none" w:color="auto"/>
              </w:rPr>
              <w:t>熟料及粉磨能力)1亿吨、平板玻璃2000万重</w:t>
            </w:r>
            <w:r>
              <w:rPr>
                <w:rFonts w:hint="default" w:ascii="Times New Roman" w:hAnsi="Times New Roman" w:eastAsia="宋体" w:cs="Times New Roman"/>
                <w:b w:val="0"/>
                <w:bCs w:val="0"/>
                <w:color w:val="auto"/>
                <w:spacing w:val="10"/>
                <w:sz w:val="21"/>
                <w:szCs w:val="21"/>
                <w:u w:val="none" w:color="auto"/>
              </w:rPr>
              <w:t>量箱。</w:t>
            </w:r>
            <w:r>
              <w:rPr>
                <w:rFonts w:hint="default" w:ascii="Times New Roman" w:hAnsi="Times New Roman" w:eastAsia="宋体" w:cs="Times New Roman"/>
                <w:b w:val="0"/>
                <w:bCs w:val="0"/>
                <w:color w:val="auto"/>
                <w:spacing w:val="8"/>
                <w:sz w:val="21"/>
                <w:szCs w:val="21"/>
                <w:u w:val="none" w:color="auto"/>
              </w:rPr>
              <w:t>对</w:t>
            </w:r>
            <w:r>
              <w:rPr>
                <w:rFonts w:hint="default" w:ascii="Times New Roman" w:hAnsi="Times New Roman" w:eastAsia="宋体" w:cs="Times New Roman"/>
                <w:b w:val="0"/>
                <w:bCs w:val="0"/>
                <w:color w:val="auto"/>
                <w:spacing w:val="5"/>
                <w:sz w:val="21"/>
                <w:szCs w:val="21"/>
                <w:u w:val="none" w:color="auto"/>
              </w:rPr>
              <w:t>未按期完成淘汰任务的地区，严格控制国家安</w:t>
            </w:r>
            <w:r>
              <w:rPr>
                <w:rFonts w:hint="default" w:ascii="Times New Roman" w:hAnsi="Times New Roman" w:eastAsia="宋体" w:cs="Times New Roman"/>
                <w:b w:val="0"/>
                <w:bCs w:val="0"/>
                <w:color w:val="auto"/>
                <w:spacing w:val="10"/>
                <w:sz w:val="21"/>
                <w:szCs w:val="21"/>
                <w:u w:val="none" w:color="auto"/>
              </w:rPr>
              <w:t>排的投</w:t>
            </w:r>
            <w:r>
              <w:rPr>
                <w:rFonts w:hint="default" w:ascii="Times New Roman" w:hAnsi="Times New Roman" w:eastAsia="宋体" w:cs="Times New Roman"/>
                <w:b w:val="0"/>
                <w:bCs w:val="0"/>
                <w:color w:val="auto"/>
                <w:spacing w:val="8"/>
                <w:sz w:val="21"/>
                <w:szCs w:val="21"/>
                <w:u w:val="none" w:color="auto"/>
              </w:rPr>
              <w:t>资</w:t>
            </w:r>
            <w:r>
              <w:rPr>
                <w:rFonts w:hint="default" w:ascii="Times New Roman" w:hAnsi="Times New Roman" w:eastAsia="宋体" w:cs="Times New Roman"/>
                <w:b w:val="0"/>
                <w:bCs w:val="0"/>
                <w:color w:val="auto"/>
                <w:spacing w:val="5"/>
                <w:sz w:val="21"/>
                <w:szCs w:val="21"/>
                <w:u w:val="none" w:color="auto"/>
              </w:rPr>
              <w:t>项目，暂停对该地区重点行业建设项目办理审</w:t>
            </w:r>
            <w:r>
              <w:rPr>
                <w:rFonts w:hint="default" w:ascii="Times New Roman" w:hAnsi="Times New Roman" w:eastAsia="宋体" w:cs="Times New Roman"/>
                <w:b w:val="0"/>
                <w:bCs w:val="0"/>
                <w:color w:val="auto"/>
                <w:spacing w:val="8"/>
                <w:sz w:val="21"/>
                <w:szCs w:val="21"/>
                <w:u w:val="none" w:color="auto"/>
              </w:rPr>
              <w:t>批、核准和备案手续。2016年、2017年，各地区要</w:t>
            </w:r>
            <w:r>
              <w:rPr>
                <w:rFonts w:hint="default" w:ascii="Times New Roman" w:hAnsi="Times New Roman" w:eastAsia="宋体" w:cs="Times New Roman"/>
                <w:b w:val="0"/>
                <w:bCs w:val="0"/>
                <w:color w:val="auto"/>
                <w:spacing w:val="7"/>
                <w:sz w:val="21"/>
                <w:szCs w:val="21"/>
                <w:u w:val="none" w:color="auto"/>
              </w:rPr>
              <w:t>制</w:t>
            </w:r>
            <w:r>
              <w:rPr>
                <w:rFonts w:hint="default" w:ascii="Times New Roman" w:hAnsi="Times New Roman" w:eastAsia="宋体" w:cs="Times New Roman"/>
                <w:b w:val="0"/>
                <w:bCs w:val="0"/>
                <w:color w:val="auto"/>
                <w:spacing w:val="10"/>
                <w:sz w:val="21"/>
                <w:szCs w:val="21"/>
                <w:u w:val="none" w:color="auto"/>
              </w:rPr>
              <w:t>定范围</w:t>
            </w:r>
            <w:r>
              <w:rPr>
                <w:rFonts w:hint="default" w:ascii="Times New Roman" w:hAnsi="Times New Roman" w:eastAsia="宋体" w:cs="Times New Roman"/>
                <w:b w:val="0"/>
                <w:bCs w:val="0"/>
                <w:color w:val="auto"/>
                <w:spacing w:val="6"/>
                <w:sz w:val="21"/>
                <w:szCs w:val="21"/>
                <w:u w:val="none" w:color="auto"/>
              </w:rPr>
              <w:t>更</w:t>
            </w:r>
            <w:r>
              <w:rPr>
                <w:rFonts w:hint="default" w:ascii="Times New Roman" w:hAnsi="Times New Roman" w:eastAsia="宋体" w:cs="Times New Roman"/>
                <w:b w:val="0"/>
                <w:bCs w:val="0"/>
                <w:color w:val="auto"/>
                <w:spacing w:val="5"/>
                <w:sz w:val="21"/>
                <w:szCs w:val="21"/>
                <w:u w:val="none" w:color="auto"/>
              </w:rPr>
              <w:t>宽、标准更高的落后产能淘汰政策，再淘汰一</w:t>
            </w:r>
            <w:r>
              <w:rPr>
                <w:rFonts w:hint="default" w:ascii="Times New Roman" w:hAnsi="Times New Roman" w:eastAsia="宋体" w:cs="Times New Roman"/>
                <w:b w:val="0"/>
                <w:bCs w:val="0"/>
                <w:color w:val="auto"/>
                <w:spacing w:val="7"/>
                <w:sz w:val="21"/>
                <w:szCs w:val="21"/>
                <w:u w:val="none" w:color="auto"/>
              </w:rPr>
              <w:t>批落后产能</w:t>
            </w:r>
            <w:r>
              <w:rPr>
                <w:rFonts w:hint="default" w:ascii="Times New Roman" w:hAnsi="Times New Roman" w:eastAsia="宋体" w:cs="Times New Roman"/>
                <w:b w:val="0"/>
                <w:bCs w:val="0"/>
                <w:color w:val="auto"/>
                <w:spacing w:val="6"/>
                <w:sz w:val="21"/>
                <w:szCs w:val="21"/>
                <w:u w:val="none" w:color="auto"/>
              </w:rPr>
              <w:t>。</w:t>
            </w:r>
            <w:r>
              <w:rPr>
                <w:rFonts w:hint="default" w:ascii="Times New Roman" w:hAnsi="Times New Roman" w:eastAsia="宋体" w:cs="Times New Roman"/>
                <w:b w:val="0"/>
                <w:bCs w:val="0"/>
                <w:color w:val="auto"/>
                <w:spacing w:val="10"/>
                <w:sz w:val="21"/>
                <w:szCs w:val="21"/>
                <w:u w:val="none" w:color="auto"/>
              </w:rPr>
              <w:t>对布局</w:t>
            </w:r>
            <w:r>
              <w:rPr>
                <w:rFonts w:hint="default" w:ascii="Times New Roman" w:hAnsi="Times New Roman" w:eastAsia="宋体" w:cs="Times New Roman"/>
                <w:b w:val="0"/>
                <w:bCs w:val="0"/>
                <w:color w:val="auto"/>
                <w:spacing w:val="6"/>
                <w:sz w:val="21"/>
                <w:szCs w:val="21"/>
                <w:u w:val="none" w:color="auto"/>
              </w:rPr>
              <w:t>分</w:t>
            </w:r>
            <w:r>
              <w:rPr>
                <w:rFonts w:hint="default" w:ascii="Times New Roman" w:hAnsi="Times New Roman" w:eastAsia="宋体" w:cs="Times New Roman"/>
                <w:b w:val="0"/>
                <w:bCs w:val="0"/>
                <w:color w:val="auto"/>
                <w:spacing w:val="5"/>
                <w:sz w:val="21"/>
                <w:szCs w:val="21"/>
                <w:u w:val="none" w:color="auto"/>
              </w:rPr>
              <w:t>散、装备水平低、环保设施差的小型工业企业</w:t>
            </w:r>
            <w:r>
              <w:rPr>
                <w:rFonts w:hint="default" w:ascii="Times New Roman" w:hAnsi="Times New Roman" w:eastAsia="宋体" w:cs="Times New Roman"/>
                <w:b w:val="0"/>
                <w:bCs w:val="0"/>
                <w:color w:val="auto"/>
                <w:spacing w:val="13"/>
                <w:sz w:val="21"/>
                <w:szCs w:val="21"/>
                <w:u w:val="none" w:color="auto"/>
              </w:rPr>
              <w:t>进</w:t>
            </w:r>
            <w:r>
              <w:rPr>
                <w:rFonts w:hint="default" w:ascii="Times New Roman" w:hAnsi="Times New Roman" w:eastAsia="宋体" w:cs="Times New Roman"/>
                <w:b w:val="0"/>
                <w:bCs w:val="0"/>
                <w:color w:val="auto"/>
                <w:spacing w:val="9"/>
                <w:sz w:val="21"/>
                <w:szCs w:val="21"/>
                <w:u w:val="none" w:color="auto"/>
              </w:rPr>
              <w:t>行全面排查，制定综合整改方案，实施分类治理。</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本项目不属于要求淘</w:t>
            </w:r>
            <w:r>
              <w:rPr>
                <w:rFonts w:hint="default" w:ascii="Times New Roman" w:hAnsi="Times New Roman" w:eastAsia="宋体" w:cs="Times New Roman"/>
                <w:b w:val="0"/>
                <w:bCs w:val="0"/>
                <w:color w:val="auto"/>
                <w:spacing w:val="7"/>
                <w:sz w:val="21"/>
                <w:szCs w:val="21"/>
                <w:u w:val="none" w:color="auto"/>
              </w:rPr>
              <w:t>汰</w:t>
            </w:r>
            <w:r>
              <w:rPr>
                <w:rFonts w:hint="default" w:ascii="Times New Roman" w:hAnsi="Times New Roman" w:eastAsia="宋体" w:cs="Times New Roman"/>
                <w:b w:val="0"/>
                <w:bCs w:val="0"/>
                <w:color w:val="auto"/>
                <w:spacing w:val="1"/>
                <w:sz w:val="21"/>
                <w:szCs w:val="21"/>
                <w:u w:val="none" w:color="auto"/>
              </w:rPr>
              <w:t>的范围</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20"/>
                <w:sz w:val="21"/>
                <w:szCs w:val="21"/>
                <w:u w:val="none" w:color="auto"/>
              </w:rPr>
              <w:t>(</w:t>
            </w:r>
            <w:r>
              <w:rPr>
                <w:rFonts w:hint="default" w:ascii="Times New Roman" w:hAnsi="Times New Roman" w:eastAsia="宋体" w:cs="Times New Roman"/>
                <w:b w:val="0"/>
                <w:bCs w:val="0"/>
                <w:color w:val="auto"/>
                <w:spacing w:val="15"/>
                <w:sz w:val="21"/>
                <w:szCs w:val="21"/>
                <w:u w:val="none" w:color="auto"/>
              </w:rPr>
              <w:t>六)压缩过剩产能。</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严禁核准产能严重过剩行业新增产能项目</w:t>
            </w:r>
            <w:r>
              <w:rPr>
                <w:rFonts w:hint="default" w:ascii="Times New Roman" w:hAnsi="Times New Roman" w:eastAsia="宋体" w:cs="Times New Roman"/>
                <w:b w:val="0"/>
                <w:bCs w:val="0"/>
                <w:color w:val="auto"/>
                <w:spacing w:val="6"/>
                <w:sz w:val="21"/>
                <w:szCs w:val="21"/>
                <w:u w:val="none" w:color="auto"/>
              </w:rPr>
              <w:t>。</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本项目不属于产能过</w:t>
            </w:r>
            <w:r>
              <w:rPr>
                <w:rFonts w:hint="default" w:ascii="Times New Roman" w:hAnsi="Times New Roman" w:eastAsia="宋体" w:cs="Times New Roman"/>
                <w:b w:val="0"/>
                <w:bCs w:val="0"/>
                <w:color w:val="auto"/>
                <w:spacing w:val="7"/>
                <w:sz w:val="21"/>
                <w:szCs w:val="21"/>
                <w:u w:val="none" w:color="auto"/>
              </w:rPr>
              <w:t>剩</w:t>
            </w:r>
            <w:r>
              <w:rPr>
                <w:rFonts w:hint="default" w:ascii="Times New Roman" w:hAnsi="Times New Roman" w:eastAsia="宋体" w:cs="Times New Roman"/>
                <w:b w:val="0"/>
                <w:bCs w:val="0"/>
                <w:color w:val="auto"/>
                <w:spacing w:val="3"/>
                <w:sz w:val="21"/>
                <w:szCs w:val="21"/>
                <w:u w:val="none" w:color="auto"/>
              </w:rPr>
              <w:t>行业</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8"/>
                <w:sz w:val="21"/>
                <w:szCs w:val="21"/>
                <w:u w:val="none" w:color="auto"/>
              </w:rPr>
              <w:t>三</w:t>
            </w:r>
            <w:r>
              <w:rPr>
                <w:rFonts w:hint="default" w:ascii="Times New Roman" w:hAnsi="Times New Roman" w:eastAsia="宋体" w:cs="Times New Roman"/>
                <w:b w:val="0"/>
                <w:bCs w:val="0"/>
                <w:color w:val="auto"/>
                <w:spacing w:val="9"/>
                <w:sz w:val="21"/>
                <w:szCs w:val="21"/>
                <w:u w:val="none" w:color="auto"/>
              </w:rPr>
              <w:t>、加快企业技术改造，提高科技创新能力</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22"/>
                <w:sz w:val="21"/>
                <w:szCs w:val="21"/>
                <w:u w:val="none" w:color="auto"/>
              </w:rPr>
              <w:t>(</w:t>
            </w:r>
            <w:r>
              <w:rPr>
                <w:rFonts w:hint="default" w:ascii="Times New Roman" w:hAnsi="Times New Roman" w:eastAsia="宋体" w:cs="Times New Roman"/>
                <w:b w:val="0"/>
                <w:bCs w:val="0"/>
                <w:color w:val="auto"/>
                <w:spacing w:val="14"/>
                <w:sz w:val="21"/>
                <w:szCs w:val="21"/>
                <w:u w:val="none" w:color="auto"/>
              </w:rPr>
              <w:t>九)全面推行清洁生产。</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6"/>
                <w:sz w:val="21"/>
                <w:szCs w:val="21"/>
                <w:u w:val="none" w:color="auto"/>
              </w:rPr>
              <w:t>对钢铁、水泥、化工、石化、有色金属冶炼等重点行</w:t>
            </w:r>
            <w:r>
              <w:rPr>
                <w:rFonts w:hint="default" w:ascii="Times New Roman" w:hAnsi="Times New Roman" w:eastAsia="宋体" w:cs="Times New Roman"/>
                <w:b w:val="0"/>
                <w:bCs w:val="0"/>
                <w:color w:val="auto"/>
                <w:spacing w:val="1"/>
                <w:sz w:val="21"/>
                <w:szCs w:val="21"/>
                <w:u w:val="none" w:color="auto"/>
              </w:rPr>
              <w:t>业</w:t>
            </w:r>
            <w:r>
              <w:rPr>
                <w:rFonts w:hint="default" w:ascii="Times New Roman" w:hAnsi="Times New Roman" w:eastAsia="宋体" w:cs="Times New Roman"/>
                <w:b w:val="0"/>
                <w:bCs w:val="0"/>
                <w:color w:val="auto"/>
                <w:spacing w:val="18"/>
                <w:sz w:val="21"/>
                <w:szCs w:val="21"/>
                <w:u w:val="none" w:color="auto"/>
              </w:rPr>
              <w:t>进</w:t>
            </w:r>
            <w:r>
              <w:rPr>
                <w:rFonts w:hint="default" w:ascii="Times New Roman" w:hAnsi="Times New Roman" w:eastAsia="宋体" w:cs="Times New Roman"/>
                <w:b w:val="0"/>
                <w:bCs w:val="0"/>
                <w:color w:val="auto"/>
                <w:spacing w:val="15"/>
                <w:sz w:val="21"/>
                <w:szCs w:val="21"/>
                <w:u w:val="none" w:color="auto"/>
              </w:rPr>
              <w:t>行</w:t>
            </w:r>
            <w:r>
              <w:rPr>
                <w:rFonts w:hint="default" w:ascii="Times New Roman" w:hAnsi="Times New Roman" w:eastAsia="宋体" w:cs="Times New Roman"/>
                <w:b w:val="0"/>
                <w:bCs w:val="0"/>
                <w:color w:val="auto"/>
                <w:spacing w:val="9"/>
                <w:sz w:val="21"/>
                <w:szCs w:val="21"/>
                <w:u w:val="none" w:color="auto"/>
              </w:rPr>
              <w:t>清洁生产审核，针对节能减排关键领域和薄弱环</w:t>
            </w:r>
            <w:r>
              <w:rPr>
                <w:rFonts w:hint="default" w:ascii="Times New Roman" w:hAnsi="Times New Roman" w:eastAsia="宋体" w:cs="Times New Roman"/>
                <w:b w:val="0"/>
                <w:bCs w:val="0"/>
                <w:color w:val="auto"/>
                <w:spacing w:val="10"/>
                <w:sz w:val="21"/>
                <w:szCs w:val="21"/>
                <w:u w:val="none" w:color="auto"/>
              </w:rPr>
              <w:t>节，采</w:t>
            </w:r>
            <w:r>
              <w:rPr>
                <w:rFonts w:hint="default" w:ascii="Times New Roman" w:hAnsi="Times New Roman" w:eastAsia="宋体" w:cs="Times New Roman"/>
                <w:b w:val="0"/>
                <w:bCs w:val="0"/>
                <w:color w:val="auto"/>
                <w:spacing w:val="6"/>
                <w:sz w:val="21"/>
                <w:szCs w:val="21"/>
                <w:u w:val="none" w:color="auto"/>
              </w:rPr>
              <w:t>用</w:t>
            </w:r>
            <w:r>
              <w:rPr>
                <w:rFonts w:hint="default" w:ascii="Times New Roman" w:hAnsi="Times New Roman" w:eastAsia="宋体" w:cs="Times New Roman"/>
                <w:b w:val="0"/>
                <w:bCs w:val="0"/>
                <w:color w:val="auto"/>
                <w:spacing w:val="5"/>
                <w:sz w:val="21"/>
                <w:szCs w:val="21"/>
                <w:u w:val="none" w:color="auto"/>
              </w:rPr>
              <w:t>先进适用的技术、工艺和装备，实施清洁生产</w:t>
            </w:r>
            <w:r>
              <w:rPr>
                <w:rFonts w:hint="default" w:ascii="Times New Roman" w:hAnsi="Times New Roman" w:eastAsia="宋体" w:cs="Times New Roman"/>
                <w:b w:val="0"/>
                <w:bCs w:val="0"/>
                <w:color w:val="auto"/>
                <w:spacing w:val="8"/>
                <w:sz w:val="21"/>
                <w:szCs w:val="21"/>
                <w:u w:val="none" w:color="auto"/>
              </w:rPr>
              <w:t>技</w:t>
            </w:r>
            <w:r>
              <w:rPr>
                <w:rFonts w:hint="default" w:ascii="Times New Roman" w:hAnsi="Times New Roman" w:eastAsia="宋体" w:cs="Times New Roman"/>
                <w:b w:val="0"/>
                <w:bCs w:val="0"/>
                <w:color w:val="auto"/>
                <w:spacing w:val="5"/>
                <w:sz w:val="21"/>
                <w:szCs w:val="21"/>
                <w:u w:val="none" w:color="auto"/>
              </w:rPr>
              <w:t>术改造。</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本项目</w:t>
            </w:r>
            <w:r>
              <w:rPr>
                <w:rFonts w:hint="default" w:ascii="Times New Roman" w:hAnsi="Times New Roman" w:eastAsia="宋体" w:cs="Times New Roman"/>
                <w:b w:val="0"/>
                <w:bCs w:val="0"/>
                <w:color w:val="auto"/>
                <w:spacing w:val="9"/>
                <w:sz w:val="21"/>
                <w:szCs w:val="21"/>
                <w:u w:val="none" w:color="auto"/>
                <w:lang w:eastAsia="zh-CN"/>
              </w:rPr>
              <w:t>不属于</w:t>
            </w:r>
            <w:r>
              <w:rPr>
                <w:rFonts w:hint="default" w:ascii="Times New Roman" w:hAnsi="Times New Roman" w:eastAsia="宋体" w:cs="Times New Roman"/>
                <w:b w:val="0"/>
                <w:bCs w:val="0"/>
                <w:color w:val="auto"/>
                <w:spacing w:val="9"/>
                <w:sz w:val="21"/>
                <w:szCs w:val="21"/>
                <w:u w:val="none" w:color="auto"/>
              </w:rPr>
              <w:t>属于清洁生产</w:t>
            </w:r>
            <w:r>
              <w:rPr>
                <w:rFonts w:hint="default" w:ascii="Times New Roman" w:hAnsi="Times New Roman" w:eastAsia="宋体" w:cs="Times New Roman"/>
                <w:b w:val="0"/>
                <w:bCs w:val="0"/>
                <w:color w:val="auto"/>
                <w:spacing w:val="7"/>
                <w:sz w:val="21"/>
                <w:szCs w:val="21"/>
                <w:u w:val="none" w:color="auto"/>
              </w:rPr>
              <w:t>审</w:t>
            </w:r>
            <w:r>
              <w:rPr>
                <w:rFonts w:hint="default" w:ascii="Times New Roman" w:hAnsi="Times New Roman" w:eastAsia="宋体" w:cs="Times New Roman"/>
                <w:b w:val="0"/>
                <w:bCs w:val="0"/>
                <w:color w:val="auto"/>
                <w:spacing w:val="8"/>
                <w:sz w:val="21"/>
                <w:szCs w:val="21"/>
                <w:u w:val="none" w:color="auto"/>
              </w:rPr>
              <w:t>核</w:t>
            </w:r>
            <w:r>
              <w:rPr>
                <w:rFonts w:hint="default" w:ascii="Times New Roman" w:hAnsi="Times New Roman" w:eastAsia="宋体" w:cs="Times New Roman"/>
                <w:b w:val="0"/>
                <w:bCs w:val="0"/>
                <w:color w:val="auto"/>
                <w:spacing w:val="5"/>
                <w:sz w:val="21"/>
                <w:szCs w:val="21"/>
                <w:u w:val="none" w:color="auto"/>
              </w:rPr>
              <w:t>重点行业</w:t>
            </w:r>
            <w:r>
              <w:rPr>
                <w:rFonts w:hint="default" w:ascii="Times New Roman" w:hAnsi="Times New Roman" w:eastAsia="宋体" w:cs="Times New Roman"/>
                <w:b w:val="0"/>
                <w:bCs w:val="0"/>
                <w:color w:val="auto"/>
                <w:spacing w:val="4"/>
                <w:sz w:val="21"/>
                <w:szCs w:val="21"/>
                <w:u w:val="none" w:color="auto"/>
              </w:rPr>
              <w:t>。</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6"/>
                <w:sz w:val="21"/>
                <w:szCs w:val="21"/>
                <w:u w:val="none" w:color="auto"/>
              </w:rPr>
              <w:t>四</w:t>
            </w:r>
            <w:r>
              <w:rPr>
                <w:rFonts w:hint="default" w:ascii="Times New Roman" w:hAnsi="Times New Roman" w:eastAsia="宋体" w:cs="Times New Roman"/>
                <w:b w:val="0"/>
                <w:bCs w:val="0"/>
                <w:color w:val="auto"/>
                <w:spacing w:val="9"/>
                <w:sz w:val="21"/>
                <w:szCs w:val="21"/>
                <w:u w:val="none" w:color="auto"/>
              </w:rPr>
              <w:t>、</w:t>
            </w:r>
            <w:r>
              <w:rPr>
                <w:rFonts w:hint="default" w:ascii="Times New Roman" w:hAnsi="Times New Roman" w:eastAsia="宋体" w:cs="Times New Roman"/>
                <w:b w:val="0"/>
                <w:bCs w:val="0"/>
                <w:color w:val="auto"/>
                <w:spacing w:val="8"/>
                <w:sz w:val="21"/>
                <w:szCs w:val="21"/>
                <w:u w:val="none" w:color="auto"/>
              </w:rPr>
              <w:t>加快调整能源结构，增加清洁能源供应</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7"/>
                <w:sz w:val="21"/>
                <w:szCs w:val="21"/>
                <w:u w:val="none" w:color="auto"/>
              </w:rPr>
              <w:t>(</w:t>
            </w:r>
            <w:r>
              <w:rPr>
                <w:rFonts w:hint="default" w:ascii="Times New Roman" w:hAnsi="Times New Roman" w:eastAsia="宋体" w:cs="Times New Roman"/>
                <w:b w:val="0"/>
                <w:bCs w:val="0"/>
                <w:color w:val="auto"/>
                <w:spacing w:val="14"/>
                <w:sz w:val="21"/>
                <w:szCs w:val="21"/>
                <w:u w:val="none" w:color="auto"/>
              </w:rPr>
              <w:t>十二)控制煤炭消费总量。</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0"/>
                <w:sz w:val="21"/>
                <w:szCs w:val="21"/>
                <w:u w:val="none" w:color="auto"/>
              </w:rPr>
              <w:t>制定国</w:t>
            </w:r>
            <w:r>
              <w:rPr>
                <w:rFonts w:hint="default" w:ascii="Times New Roman" w:hAnsi="Times New Roman" w:eastAsia="宋体" w:cs="Times New Roman"/>
                <w:b w:val="0"/>
                <w:bCs w:val="0"/>
                <w:color w:val="auto"/>
                <w:spacing w:val="5"/>
                <w:sz w:val="21"/>
                <w:szCs w:val="21"/>
                <w:u w:val="none" w:color="auto"/>
              </w:rPr>
              <w:t>家煤炭消费总量中长期控制目标，实行目标责任</w:t>
            </w:r>
            <w:r>
              <w:rPr>
                <w:rFonts w:hint="default" w:ascii="Times New Roman" w:hAnsi="Times New Roman" w:eastAsia="宋体" w:cs="Times New Roman"/>
                <w:b w:val="0"/>
                <w:bCs w:val="0"/>
                <w:color w:val="auto"/>
                <w:spacing w:val="-4"/>
                <w:position w:val="1"/>
                <w:sz w:val="21"/>
                <w:szCs w:val="21"/>
                <w:u w:val="none" w:color="auto"/>
              </w:rPr>
              <w:t>管理。到2017年</w:t>
            </w:r>
            <w:r>
              <w:rPr>
                <w:rFonts w:hint="default" w:ascii="Times New Roman" w:hAnsi="Times New Roman" w:eastAsia="宋体" w:cs="Times New Roman"/>
                <w:b w:val="0"/>
                <w:bCs w:val="0"/>
                <w:color w:val="auto"/>
                <w:spacing w:val="-3"/>
                <w:position w:val="1"/>
                <w:sz w:val="21"/>
                <w:szCs w:val="21"/>
                <w:u w:val="none" w:color="auto"/>
              </w:rPr>
              <w:t>，</w:t>
            </w:r>
            <w:r>
              <w:rPr>
                <w:rFonts w:hint="default" w:ascii="Times New Roman" w:hAnsi="Times New Roman" w:eastAsia="宋体" w:cs="Times New Roman"/>
                <w:b w:val="0"/>
                <w:bCs w:val="0"/>
                <w:color w:val="auto"/>
                <w:spacing w:val="-2"/>
                <w:position w:val="1"/>
                <w:sz w:val="21"/>
                <w:szCs w:val="21"/>
                <w:u w:val="none" w:color="auto"/>
              </w:rPr>
              <w:t>煤炭占能源消费总量比重降低到65%</w:t>
            </w:r>
            <w:r>
              <w:rPr>
                <w:rFonts w:hint="default" w:ascii="Times New Roman" w:hAnsi="Times New Roman" w:eastAsia="宋体" w:cs="Times New Roman"/>
                <w:b w:val="0"/>
                <w:bCs w:val="0"/>
                <w:color w:val="auto"/>
                <w:spacing w:val="8"/>
                <w:sz w:val="21"/>
                <w:szCs w:val="21"/>
                <w:u w:val="none" w:color="auto"/>
              </w:rPr>
              <w:t>以下。京</w:t>
            </w:r>
            <w:r>
              <w:rPr>
                <w:rFonts w:hint="default" w:ascii="Times New Roman" w:hAnsi="Times New Roman" w:eastAsia="宋体" w:cs="Times New Roman"/>
                <w:b w:val="0"/>
                <w:bCs w:val="0"/>
                <w:color w:val="auto"/>
                <w:spacing w:val="6"/>
                <w:sz w:val="21"/>
                <w:szCs w:val="21"/>
                <w:u w:val="none" w:color="auto"/>
              </w:rPr>
              <w:t>津</w:t>
            </w:r>
            <w:r>
              <w:rPr>
                <w:rFonts w:hint="default" w:ascii="Times New Roman" w:hAnsi="Times New Roman" w:eastAsia="宋体" w:cs="Times New Roman"/>
                <w:b w:val="0"/>
                <w:bCs w:val="0"/>
                <w:color w:val="auto"/>
                <w:spacing w:val="4"/>
                <w:sz w:val="21"/>
                <w:szCs w:val="21"/>
                <w:u w:val="none" w:color="auto"/>
              </w:rPr>
              <w:t>冀、长三角、珠三角等区域力争实现煤炭消</w:t>
            </w:r>
            <w:r>
              <w:rPr>
                <w:rFonts w:hint="default" w:ascii="Times New Roman" w:hAnsi="Times New Roman" w:eastAsia="宋体" w:cs="Times New Roman"/>
                <w:b w:val="0"/>
                <w:bCs w:val="0"/>
                <w:color w:val="auto"/>
                <w:spacing w:val="10"/>
                <w:sz w:val="21"/>
                <w:szCs w:val="21"/>
                <w:u w:val="none" w:color="auto"/>
              </w:rPr>
              <w:t>费</w:t>
            </w:r>
            <w:r>
              <w:rPr>
                <w:rFonts w:hint="default" w:ascii="Times New Roman" w:hAnsi="Times New Roman" w:eastAsia="宋体" w:cs="Times New Roman"/>
                <w:b w:val="0"/>
                <w:bCs w:val="0"/>
                <w:color w:val="auto"/>
                <w:spacing w:val="6"/>
                <w:sz w:val="21"/>
                <w:szCs w:val="21"/>
                <w:u w:val="none" w:color="auto"/>
              </w:rPr>
              <w:t>总</w:t>
            </w:r>
            <w:r>
              <w:rPr>
                <w:rFonts w:hint="default" w:ascii="Times New Roman" w:hAnsi="Times New Roman" w:eastAsia="宋体" w:cs="Times New Roman"/>
                <w:b w:val="0"/>
                <w:bCs w:val="0"/>
                <w:color w:val="auto"/>
                <w:spacing w:val="5"/>
                <w:sz w:val="21"/>
                <w:szCs w:val="21"/>
                <w:u w:val="none" w:color="auto"/>
              </w:rPr>
              <w:t>量负增长，通过逐步提高接受外输电比例、增加天</w:t>
            </w:r>
            <w:r>
              <w:rPr>
                <w:rFonts w:hint="default" w:ascii="Times New Roman" w:hAnsi="Times New Roman" w:eastAsia="宋体" w:cs="Times New Roman"/>
                <w:b w:val="0"/>
                <w:bCs w:val="0"/>
                <w:color w:val="auto"/>
                <w:spacing w:val="18"/>
                <w:sz w:val="21"/>
                <w:szCs w:val="21"/>
                <w:u w:val="none" w:color="auto"/>
              </w:rPr>
              <w:t>然</w:t>
            </w:r>
            <w:r>
              <w:rPr>
                <w:rFonts w:hint="default" w:ascii="Times New Roman" w:hAnsi="Times New Roman" w:eastAsia="宋体" w:cs="Times New Roman"/>
                <w:b w:val="0"/>
                <w:bCs w:val="0"/>
                <w:color w:val="auto"/>
                <w:spacing w:val="12"/>
                <w:sz w:val="21"/>
                <w:szCs w:val="21"/>
                <w:u w:val="none" w:color="auto"/>
              </w:rPr>
              <w:t>气</w:t>
            </w:r>
            <w:r>
              <w:rPr>
                <w:rFonts w:hint="default" w:ascii="Times New Roman" w:hAnsi="Times New Roman" w:eastAsia="宋体" w:cs="Times New Roman"/>
                <w:b w:val="0"/>
                <w:bCs w:val="0"/>
                <w:color w:val="auto"/>
                <w:spacing w:val="9"/>
                <w:sz w:val="21"/>
                <w:szCs w:val="21"/>
                <w:u w:val="none" w:color="auto"/>
              </w:rPr>
              <w:t>供应、加大非化石能源利用强度等措施替代燃煤</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w:t>
            </w:r>
            <w:r>
              <w:rPr>
                <w:rFonts w:hint="default" w:ascii="Times New Roman" w:hAnsi="Times New Roman" w:eastAsia="宋体" w:cs="Times New Roman"/>
                <w:b w:val="0"/>
                <w:bCs w:val="0"/>
                <w:color w:val="auto"/>
                <w:spacing w:val="5"/>
                <w:sz w:val="21"/>
                <w:szCs w:val="21"/>
                <w:u w:val="none" w:color="auto"/>
              </w:rPr>
              <w:t>项目燃料为天然气，无</w:t>
            </w:r>
            <w:r>
              <w:rPr>
                <w:rFonts w:hint="default" w:ascii="Times New Roman" w:hAnsi="Times New Roman" w:eastAsia="宋体" w:cs="Times New Roman"/>
                <w:b w:val="0"/>
                <w:bCs w:val="0"/>
                <w:color w:val="auto"/>
                <w:spacing w:val="6"/>
                <w:sz w:val="21"/>
                <w:szCs w:val="21"/>
                <w:u w:val="none" w:color="auto"/>
              </w:rPr>
              <w:t>需消耗燃</w:t>
            </w:r>
            <w:r>
              <w:rPr>
                <w:rFonts w:hint="default" w:ascii="Times New Roman" w:hAnsi="Times New Roman" w:eastAsia="宋体" w:cs="Times New Roman"/>
                <w:b w:val="0"/>
                <w:bCs w:val="0"/>
                <w:color w:val="auto"/>
                <w:spacing w:val="5"/>
                <w:sz w:val="21"/>
                <w:szCs w:val="21"/>
                <w:u w:val="none" w:color="auto"/>
              </w:rPr>
              <w:t>煤</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23"/>
                <w:sz w:val="21"/>
                <w:szCs w:val="21"/>
                <w:u w:val="none" w:color="auto"/>
              </w:rPr>
              <w:t>(</w:t>
            </w:r>
            <w:r>
              <w:rPr>
                <w:rFonts w:hint="default" w:ascii="Times New Roman" w:hAnsi="Times New Roman" w:eastAsia="宋体" w:cs="Times New Roman"/>
                <w:b w:val="0"/>
                <w:bCs w:val="0"/>
                <w:color w:val="auto"/>
                <w:spacing w:val="14"/>
                <w:sz w:val="21"/>
                <w:szCs w:val="21"/>
                <w:u w:val="none" w:color="auto"/>
              </w:rPr>
              <w:t>十三)加快清洁能源替代利用</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0"/>
                <w:sz w:val="21"/>
                <w:szCs w:val="21"/>
                <w:u w:val="none" w:color="auto"/>
              </w:rPr>
              <w:t>加</w:t>
            </w:r>
            <w:r>
              <w:rPr>
                <w:rFonts w:hint="default" w:ascii="Times New Roman" w:hAnsi="Times New Roman" w:eastAsia="宋体" w:cs="Times New Roman"/>
                <w:b w:val="0"/>
                <w:bCs w:val="0"/>
                <w:color w:val="auto"/>
                <w:spacing w:val="7"/>
                <w:sz w:val="21"/>
                <w:szCs w:val="21"/>
                <w:u w:val="none" w:color="auto"/>
              </w:rPr>
              <w:t>大天然气、煤制天然气、煤层气供应。到2015年，</w:t>
            </w:r>
            <w:r>
              <w:rPr>
                <w:rFonts w:hint="default" w:ascii="Times New Roman" w:hAnsi="Times New Roman" w:eastAsia="宋体" w:cs="Times New Roman"/>
                <w:b w:val="0"/>
                <w:bCs w:val="0"/>
                <w:color w:val="auto"/>
                <w:spacing w:val="2"/>
                <w:sz w:val="21"/>
                <w:szCs w:val="21"/>
                <w:u w:val="none" w:color="auto"/>
              </w:rPr>
              <w:t>新增天然气干线管输能力</w:t>
            </w:r>
            <w:r>
              <w:rPr>
                <w:rFonts w:hint="default" w:ascii="Times New Roman" w:hAnsi="Times New Roman" w:eastAsia="宋体" w:cs="Times New Roman"/>
                <w:b w:val="0"/>
                <w:bCs w:val="0"/>
                <w:color w:val="auto"/>
                <w:spacing w:val="1"/>
                <w:sz w:val="21"/>
                <w:szCs w:val="21"/>
                <w:u w:val="none" w:color="auto"/>
              </w:rPr>
              <w:t>1500亿</w:t>
            </w:r>
            <w:r>
              <w:rPr>
                <w:rFonts w:hint="default" w:ascii="Times New Roman" w:hAnsi="Times New Roman" w:eastAsia="宋体" w:cs="Times New Roman"/>
                <w:b w:val="0"/>
                <w:bCs w:val="0"/>
                <w:color w:val="auto"/>
                <w:sz w:val="21"/>
                <w:szCs w:val="21"/>
                <w:u w:val="none" w:color="auto"/>
              </w:rPr>
              <w:t>m</w:t>
            </w:r>
            <w:r>
              <w:rPr>
                <w:rFonts w:hint="default" w:ascii="Times New Roman" w:hAnsi="Times New Roman" w:eastAsia="宋体" w:cs="Times New Roman"/>
                <w:b w:val="0"/>
                <w:bCs w:val="0"/>
                <w:color w:val="auto"/>
                <w:spacing w:val="1"/>
                <w:sz w:val="21"/>
                <w:szCs w:val="21"/>
                <w:u w:val="none" w:color="auto"/>
              </w:rPr>
              <w:t>³以上，覆盖京津冀、</w:t>
            </w:r>
            <w:r>
              <w:rPr>
                <w:rFonts w:hint="default" w:ascii="Times New Roman" w:hAnsi="Times New Roman" w:eastAsia="宋体" w:cs="Times New Roman"/>
                <w:b w:val="0"/>
                <w:bCs w:val="0"/>
                <w:color w:val="auto"/>
                <w:spacing w:val="10"/>
                <w:sz w:val="21"/>
                <w:szCs w:val="21"/>
                <w:u w:val="none" w:color="auto"/>
              </w:rPr>
              <w:t>长三角</w:t>
            </w:r>
            <w:r>
              <w:rPr>
                <w:rFonts w:hint="default" w:ascii="Times New Roman" w:hAnsi="Times New Roman" w:eastAsia="宋体" w:cs="Times New Roman"/>
                <w:b w:val="0"/>
                <w:bCs w:val="0"/>
                <w:color w:val="auto"/>
                <w:spacing w:val="7"/>
                <w:sz w:val="21"/>
                <w:szCs w:val="21"/>
                <w:u w:val="none" w:color="auto"/>
              </w:rPr>
              <w:t>、</w:t>
            </w:r>
            <w:r>
              <w:rPr>
                <w:rFonts w:hint="default" w:ascii="Times New Roman" w:hAnsi="Times New Roman" w:eastAsia="宋体" w:cs="Times New Roman"/>
                <w:b w:val="0"/>
                <w:bCs w:val="0"/>
                <w:color w:val="auto"/>
                <w:spacing w:val="5"/>
                <w:sz w:val="21"/>
                <w:szCs w:val="21"/>
                <w:u w:val="none" w:color="auto"/>
              </w:rPr>
              <w:t>珠三角等区域。优化天然气使用方式，新增天</w:t>
            </w:r>
            <w:r>
              <w:rPr>
                <w:rFonts w:hint="default" w:ascii="Times New Roman" w:hAnsi="Times New Roman" w:eastAsia="宋体" w:cs="Times New Roman"/>
                <w:b w:val="0"/>
                <w:bCs w:val="0"/>
                <w:color w:val="auto"/>
                <w:spacing w:val="10"/>
                <w:sz w:val="21"/>
                <w:szCs w:val="21"/>
                <w:u w:val="none" w:color="auto"/>
              </w:rPr>
              <w:t>然气应</w:t>
            </w:r>
            <w:r>
              <w:rPr>
                <w:rFonts w:hint="default" w:ascii="Times New Roman" w:hAnsi="Times New Roman" w:eastAsia="宋体" w:cs="Times New Roman"/>
                <w:b w:val="0"/>
                <w:bCs w:val="0"/>
                <w:color w:val="auto"/>
                <w:spacing w:val="7"/>
                <w:sz w:val="21"/>
                <w:szCs w:val="21"/>
                <w:u w:val="none" w:color="auto"/>
              </w:rPr>
              <w:t>优</w:t>
            </w:r>
            <w:r>
              <w:rPr>
                <w:rFonts w:hint="default" w:ascii="Times New Roman" w:hAnsi="Times New Roman" w:eastAsia="宋体" w:cs="Times New Roman"/>
                <w:b w:val="0"/>
                <w:bCs w:val="0"/>
                <w:color w:val="auto"/>
                <w:spacing w:val="5"/>
                <w:sz w:val="21"/>
                <w:szCs w:val="21"/>
                <w:u w:val="none" w:color="auto"/>
              </w:rPr>
              <w:t>先保障居民生活或用于替代燃煤；鼓励发展天</w:t>
            </w:r>
            <w:r>
              <w:rPr>
                <w:rFonts w:hint="default" w:ascii="Times New Roman" w:hAnsi="Times New Roman" w:eastAsia="宋体" w:cs="Times New Roman"/>
                <w:b w:val="0"/>
                <w:bCs w:val="0"/>
                <w:color w:val="auto"/>
                <w:spacing w:val="10"/>
                <w:sz w:val="21"/>
                <w:szCs w:val="21"/>
                <w:u w:val="none" w:color="auto"/>
              </w:rPr>
              <w:t>然气分</w:t>
            </w:r>
            <w:r>
              <w:rPr>
                <w:rFonts w:hint="default" w:ascii="Times New Roman" w:hAnsi="Times New Roman" w:eastAsia="宋体" w:cs="Times New Roman"/>
                <w:b w:val="0"/>
                <w:bCs w:val="0"/>
                <w:color w:val="auto"/>
                <w:spacing w:val="7"/>
                <w:sz w:val="21"/>
                <w:szCs w:val="21"/>
                <w:u w:val="none" w:color="auto"/>
              </w:rPr>
              <w:t>布</w:t>
            </w:r>
            <w:r>
              <w:rPr>
                <w:rFonts w:hint="default" w:ascii="Times New Roman" w:hAnsi="Times New Roman" w:eastAsia="宋体" w:cs="Times New Roman"/>
                <w:b w:val="0"/>
                <w:bCs w:val="0"/>
                <w:color w:val="auto"/>
                <w:spacing w:val="5"/>
                <w:sz w:val="21"/>
                <w:szCs w:val="21"/>
                <w:u w:val="none" w:color="auto"/>
              </w:rPr>
              <w:t>式能源等高效利用项目，限制发展天然气化工</w:t>
            </w:r>
            <w:r>
              <w:rPr>
                <w:rFonts w:hint="default" w:ascii="Times New Roman" w:hAnsi="Times New Roman" w:eastAsia="宋体" w:cs="Times New Roman"/>
                <w:b w:val="0"/>
                <w:bCs w:val="0"/>
                <w:color w:val="auto"/>
                <w:spacing w:val="10"/>
                <w:sz w:val="21"/>
                <w:szCs w:val="21"/>
                <w:u w:val="none" w:color="auto"/>
              </w:rPr>
              <w:t>项目；</w:t>
            </w:r>
            <w:r>
              <w:rPr>
                <w:rFonts w:hint="default" w:ascii="Times New Roman" w:hAnsi="Times New Roman" w:eastAsia="宋体" w:cs="Times New Roman"/>
                <w:b w:val="0"/>
                <w:bCs w:val="0"/>
                <w:color w:val="auto"/>
                <w:spacing w:val="7"/>
                <w:sz w:val="21"/>
                <w:szCs w:val="21"/>
                <w:u w:val="none" w:color="auto"/>
              </w:rPr>
              <w:t>有</w:t>
            </w:r>
            <w:r>
              <w:rPr>
                <w:rFonts w:hint="default" w:ascii="Times New Roman" w:hAnsi="Times New Roman" w:eastAsia="宋体" w:cs="Times New Roman"/>
                <w:b w:val="0"/>
                <w:bCs w:val="0"/>
                <w:color w:val="auto"/>
                <w:spacing w:val="5"/>
                <w:sz w:val="21"/>
                <w:szCs w:val="21"/>
                <w:u w:val="none" w:color="auto"/>
              </w:rPr>
              <w:t>序发展天然气调峰电站，原则上不再新建天然</w:t>
            </w:r>
            <w:r>
              <w:rPr>
                <w:rFonts w:hint="default" w:ascii="Times New Roman" w:hAnsi="Times New Roman" w:eastAsia="宋体" w:cs="Times New Roman"/>
                <w:b w:val="0"/>
                <w:bCs w:val="0"/>
                <w:color w:val="auto"/>
                <w:spacing w:val="8"/>
                <w:sz w:val="21"/>
                <w:szCs w:val="21"/>
                <w:u w:val="none" w:color="auto"/>
              </w:rPr>
              <w:t>气发电项</w:t>
            </w:r>
            <w:r>
              <w:rPr>
                <w:rFonts w:hint="default" w:ascii="Times New Roman" w:hAnsi="Times New Roman" w:eastAsia="宋体" w:cs="Times New Roman"/>
                <w:b w:val="0"/>
                <w:bCs w:val="0"/>
                <w:color w:val="auto"/>
                <w:spacing w:val="7"/>
                <w:sz w:val="21"/>
                <w:szCs w:val="21"/>
                <w:u w:val="none" w:color="auto"/>
              </w:rPr>
              <w:t>目</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6"/>
                <w:sz w:val="21"/>
                <w:szCs w:val="21"/>
                <w:u w:val="none" w:color="auto"/>
              </w:rPr>
              <w:t>本</w:t>
            </w:r>
            <w:r>
              <w:rPr>
                <w:rFonts w:hint="default" w:ascii="Times New Roman" w:hAnsi="Times New Roman" w:eastAsia="宋体" w:cs="Times New Roman"/>
                <w:b w:val="0"/>
                <w:bCs w:val="0"/>
                <w:color w:val="auto"/>
                <w:spacing w:val="5"/>
                <w:sz w:val="21"/>
                <w:szCs w:val="21"/>
                <w:u w:val="none" w:color="auto"/>
              </w:rPr>
              <w:t>项目以电能、天然气为</w:t>
            </w:r>
            <w:r>
              <w:rPr>
                <w:rFonts w:hint="default" w:ascii="Times New Roman" w:hAnsi="Times New Roman" w:eastAsia="宋体" w:cs="Times New Roman"/>
                <w:b w:val="0"/>
                <w:bCs w:val="0"/>
                <w:color w:val="auto"/>
                <w:spacing w:val="1"/>
                <w:sz w:val="21"/>
                <w:szCs w:val="21"/>
                <w:u w:val="none" w:color="auto"/>
              </w:rPr>
              <w:t>能</w:t>
            </w:r>
            <w:r>
              <w:rPr>
                <w:rFonts w:hint="default" w:ascii="Times New Roman" w:hAnsi="Times New Roman" w:eastAsia="宋体" w:cs="Times New Roman"/>
                <w:b w:val="0"/>
                <w:bCs w:val="0"/>
                <w:color w:val="auto"/>
                <w:sz w:val="21"/>
                <w:szCs w:val="21"/>
                <w:u w:val="none" w:color="auto"/>
              </w:rPr>
              <w:t>源</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5"/>
                <w:sz w:val="21"/>
                <w:szCs w:val="21"/>
                <w:u w:val="none" w:color="auto"/>
              </w:rPr>
              <w:t>五</w:t>
            </w:r>
            <w:r>
              <w:rPr>
                <w:rFonts w:hint="default" w:ascii="Times New Roman" w:hAnsi="Times New Roman" w:eastAsia="宋体" w:cs="Times New Roman"/>
                <w:b w:val="0"/>
                <w:bCs w:val="0"/>
                <w:color w:val="auto"/>
                <w:spacing w:val="9"/>
                <w:sz w:val="21"/>
                <w:szCs w:val="21"/>
                <w:u w:val="none" w:color="auto"/>
              </w:rPr>
              <w:t>、严格节能环保准入，优化产业空间布局</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9"/>
                <w:sz w:val="21"/>
                <w:szCs w:val="21"/>
                <w:u w:val="none" w:color="auto"/>
              </w:rPr>
              <w:t>(</w:t>
            </w:r>
            <w:r>
              <w:rPr>
                <w:rFonts w:hint="default" w:ascii="Times New Roman" w:hAnsi="Times New Roman" w:eastAsia="宋体" w:cs="Times New Roman"/>
                <w:b w:val="0"/>
                <w:bCs w:val="0"/>
                <w:color w:val="auto"/>
                <w:spacing w:val="16"/>
                <w:sz w:val="21"/>
                <w:szCs w:val="21"/>
                <w:u w:val="none" w:color="auto"/>
              </w:rPr>
              <w:t>十六)调整产业布局</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4"/>
                <w:sz w:val="21"/>
                <w:szCs w:val="21"/>
                <w:u w:val="none" w:color="auto"/>
              </w:rPr>
              <w:t>所</w:t>
            </w:r>
            <w:r>
              <w:rPr>
                <w:rFonts w:hint="default" w:ascii="Times New Roman" w:hAnsi="Times New Roman" w:eastAsia="宋体" w:cs="Times New Roman"/>
                <w:b w:val="0"/>
                <w:bCs w:val="0"/>
                <w:color w:val="auto"/>
                <w:spacing w:val="8"/>
                <w:sz w:val="21"/>
                <w:szCs w:val="21"/>
                <w:u w:val="none" w:color="auto"/>
              </w:rPr>
              <w:t>有</w:t>
            </w:r>
            <w:r>
              <w:rPr>
                <w:rFonts w:hint="default" w:ascii="Times New Roman" w:hAnsi="Times New Roman" w:eastAsia="宋体" w:cs="Times New Roman"/>
                <w:b w:val="0"/>
                <w:bCs w:val="0"/>
                <w:color w:val="auto"/>
                <w:spacing w:val="7"/>
                <w:sz w:val="21"/>
                <w:szCs w:val="21"/>
                <w:u w:val="none" w:color="auto"/>
              </w:rPr>
              <w:t>新、改、扩建项目，必须全部进行环境影响评价；</w:t>
            </w:r>
            <w:r>
              <w:rPr>
                <w:rFonts w:hint="default" w:ascii="Times New Roman" w:hAnsi="Times New Roman" w:eastAsia="宋体" w:cs="Times New Roman"/>
                <w:b w:val="0"/>
                <w:bCs w:val="0"/>
                <w:color w:val="auto"/>
                <w:spacing w:val="10"/>
                <w:sz w:val="21"/>
                <w:szCs w:val="21"/>
                <w:u w:val="none" w:color="auto"/>
              </w:rPr>
              <w:t>未通</w:t>
            </w:r>
            <w:r>
              <w:rPr>
                <w:rFonts w:hint="default" w:ascii="Times New Roman" w:hAnsi="Times New Roman" w:eastAsia="宋体" w:cs="Times New Roman"/>
                <w:b w:val="0"/>
                <w:bCs w:val="0"/>
                <w:color w:val="auto"/>
                <w:spacing w:val="8"/>
                <w:sz w:val="21"/>
                <w:szCs w:val="21"/>
                <w:u w:val="none" w:color="auto"/>
              </w:rPr>
              <w:t>过</w:t>
            </w:r>
            <w:r>
              <w:rPr>
                <w:rFonts w:hint="default" w:ascii="Times New Roman" w:hAnsi="Times New Roman" w:eastAsia="宋体" w:cs="Times New Roman"/>
                <w:b w:val="0"/>
                <w:bCs w:val="0"/>
                <w:color w:val="auto"/>
                <w:spacing w:val="5"/>
                <w:sz w:val="21"/>
                <w:szCs w:val="21"/>
                <w:u w:val="none" w:color="auto"/>
              </w:rPr>
              <w:t>环境影响评价审批的，一律不准开工建设；违规</w:t>
            </w:r>
            <w:r>
              <w:rPr>
                <w:rFonts w:hint="default" w:ascii="Times New Roman" w:hAnsi="Times New Roman" w:eastAsia="宋体" w:cs="Times New Roman"/>
                <w:b w:val="0"/>
                <w:bCs w:val="0"/>
                <w:color w:val="auto"/>
                <w:spacing w:val="10"/>
                <w:sz w:val="21"/>
                <w:szCs w:val="21"/>
                <w:u w:val="none" w:color="auto"/>
              </w:rPr>
              <w:t>建设</w:t>
            </w:r>
            <w:r>
              <w:rPr>
                <w:rFonts w:hint="default" w:ascii="Times New Roman" w:hAnsi="Times New Roman" w:eastAsia="宋体" w:cs="Times New Roman"/>
                <w:b w:val="0"/>
                <w:bCs w:val="0"/>
                <w:color w:val="auto"/>
                <w:spacing w:val="8"/>
                <w:sz w:val="21"/>
                <w:szCs w:val="21"/>
                <w:u w:val="none" w:color="auto"/>
              </w:rPr>
              <w:t>的</w:t>
            </w:r>
            <w:r>
              <w:rPr>
                <w:rFonts w:hint="default" w:ascii="Times New Roman" w:hAnsi="Times New Roman" w:eastAsia="宋体" w:cs="Times New Roman"/>
                <w:b w:val="0"/>
                <w:bCs w:val="0"/>
                <w:color w:val="auto"/>
                <w:spacing w:val="5"/>
                <w:sz w:val="21"/>
                <w:szCs w:val="21"/>
                <w:u w:val="none" w:color="auto"/>
              </w:rPr>
              <w:t>，要依法进行处罚。加强产业政策在产业转移过</w:t>
            </w:r>
            <w:r>
              <w:rPr>
                <w:rFonts w:hint="default" w:ascii="Times New Roman" w:hAnsi="Times New Roman" w:eastAsia="宋体" w:cs="Times New Roman"/>
                <w:b w:val="0"/>
                <w:bCs w:val="0"/>
                <w:color w:val="auto"/>
                <w:spacing w:val="10"/>
                <w:sz w:val="21"/>
                <w:szCs w:val="21"/>
                <w:u w:val="none" w:color="auto"/>
              </w:rPr>
              <w:t>程中的</w:t>
            </w:r>
            <w:r>
              <w:rPr>
                <w:rFonts w:hint="default" w:ascii="Times New Roman" w:hAnsi="Times New Roman" w:eastAsia="宋体" w:cs="Times New Roman"/>
                <w:b w:val="0"/>
                <w:bCs w:val="0"/>
                <w:color w:val="auto"/>
                <w:spacing w:val="9"/>
                <w:sz w:val="21"/>
                <w:szCs w:val="21"/>
                <w:u w:val="none" w:color="auto"/>
              </w:rPr>
              <w:t>引</w:t>
            </w:r>
            <w:r>
              <w:rPr>
                <w:rFonts w:hint="default" w:ascii="Times New Roman" w:hAnsi="Times New Roman" w:eastAsia="宋体" w:cs="Times New Roman"/>
                <w:b w:val="0"/>
                <w:bCs w:val="0"/>
                <w:color w:val="auto"/>
                <w:spacing w:val="5"/>
                <w:sz w:val="21"/>
                <w:szCs w:val="21"/>
                <w:u w:val="none" w:color="auto"/>
              </w:rPr>
              <w:t>导与约束作用，严格限制在生态脆弱或环境敏</w:t>
            </w:r>
            <w:r>
              <w:rPr>
                <w:rFonts w:hint="default" w:ascii="Times New Roman" w:hAnsi="Times New Roman" w:eastAsia="宋体" w:cs="Times New Roman"/>
                <w:b w:val="0"/>
                <w:bCs w:val="0"/>
                <w:color w:val="auto"/>
                <w:spacing w:val="12"/>
                <w:sz w:val="21"/>
                <w:szCs w:val="21"/>
                <w:u w:val="none" w:color="auto"/>
              </w:rPr>
              <w:t>感</w:t>
            </w:r>
            <w:r>
              <w:rPr>
                <w:rFonts w:hint="default" w:ascii="Times New Roman" w:hAnsi="Times New Roman" w:eastAsia="宋体" w:cs="Times New Roman"/>
                <w:b w:val="0"/>
                <w:bCs w:val="0"/>
                <w:color w:val="auto"/>
                <w:spacing w:val="9"/>
                <w:sz w:val="21"/>
                <w:szCs w:val="21"/>
                <w:u w:val="none" w:color="auto"/>
              </w:rPr>
              <w:t>地</w:t>
            </w:r>
            <w:r>
              <w:rPr>
                <w:rFonts w:hint="default" w:ascii="Times New Roman" w:hAnsi="Times New Roman" w:eastAsia="宋体" w:cs="Times New Roman"/>
                <w:b w:val="0"/>
                <w:bCs w:val="0"/>
                <w:color w:val="auto"/>
                <w:spacing w:val="6"/>
                <w:sz w:val="21"/>
                <w:szCs w:val="21"/>
                <w:u w:val="none" w:color="auto"/>
              </w:rPr>
              <w:t>区建设“两高”行业项目。加强对各类产业发展规划</w:t>
            </w:r>
            <w:r>
              <w:rPr>
                <w:rFonts w:hint="default" w:ascii="Times New Roman" w:hAnsi="Times New Roman" w:eastAsia="宋体" w:cs="Times New Roman"/>
                <w:b w:val="0"/>
                <w:bCs w:val="0"/>
                <w:color w:val="auto"/>
                <w:spacing w:val="7"/>
                <w:sz w:val="21"/>
                <w:szCs w:val="21"/>
                <w:u w:val="none" w:color="auto"/>
              </w:rPr>
              <w:t>的</w:t>
            </w:r>
            <w:r>
              <w:rPr>
                <w:rFonts w:hint="default" w:ascii="Times New Roman" w:hAnsi="Times New Roman" w:eastAsia="宋体" w:cs="Times New Roman"/>
                <w:b w:val="0"/>
                <w:bCs w:val="0"/>
                <w:color w:val="auto"/>
                <w:spacing w:val="6"/>
                <w:sz w:val="21"/>
                <w:szCs w:val="21"/>
                <w:u w:val="none" w:color="auto"/>
              </w:rPr>
              <w:t>环境影响评价</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9"/>
                <w:sz w:val="21"/>
                <w:szCs w:val="21"/>
                <w:u w:val="none" w:color="auto"/>
              </w:rPr>
              <w:t>本项目按照要求正在</w:t>
            </w:r>
            <w:r>
              <w:rPr>
                <w:rFonts w:hint="default" w:ascii="Times New Roman" w:hAnsi="Times New Roman" w:eastAsia="宋体" w:cs="Times New Roman"/>
                <w:b w:val="0"/>
                <w:bCs w:val="0"/>
                <w:color w:val="auto"/>
                <w:spacing w:val="7"/>
                <w:sz w:val="21"/>
                <w:szCs w:val="21"/>
                <w:u w:val="none" w:color="auto"/>
              </w:rPr>
              <w:t>进</w:t>
            </w:r>
            <w:r>
              <w:rPr>
                <w:rFonts w:hint="default" w:ascii="Times New Roman" w:hAnsi="Times New Roman" w:eastAsia="宋体" w:cs="Times New Roman"/>
                <w:b w:val="0"/>
                <w:bCs w:val="0"/>
                <w:color w:val="auto"/>
                <w:spacing w:val="6"/>
                <w:sz w:val="21"/>
                <w:szCs w:val="21"/>
                <w:u w:val="none" w:color="auto"/>
              </w:rPr>
              <w:t>行</w:t>
            </w:r>
            <w:r>
              <w:rPr>
                <w:rFonts w:hint="default" w:ascii="Times New Roman" w:hAnsi="Times New Roman" w:eastAsia="宋体" w:cs="Times New Roman"/>
                <w:b w:val="0"/>
                <w:bCs w:val="0"/>
                <w:color w:val="auto"/>
                <w:spacing w:val="5"/>
                <w:sz w:val="21"/>
                <w:szCs w:val="21"/>
                <w:u w:val="none" w:color="auto"/>
              </w:rPr>
              <w:t>环境影响评价，不涉及</w:t>
            </w:r>
            <w:r>
              <w:rPr>
                <w:rFonts w:hint="default" w:ascii="Times New Roman" w:hAnsi="Times New Roman" w:eastAsia="宋体" w:cs="Times New Roman"/>
                <w:b w:val="0"/>
                <w:bCs w:val="0"/>
                <w:color w:val="auto"/>
                <w:spacing w:val="9"/>
                <w:sz w:val="21"/>
                <w:szCs w:val="21"/>
                <w:u w:val="none" w:color="auto"/>
              </w:rPr>
              <w:t>环</w:t>
            </w:r>
            <w:r>
              <w:rPr>
                <w:rFonts w:hint="default" w:ascii="Times New Roman" w:hAnsi="Times New Roman" w:eastAsia="宋体" w:cs="Times New Roman"/>
                <w:b w:val="0"/>
                <w:bCs w:val="0"/>
                <w:color w:val="auto"/>
                <w:spacing w:val="8"/>
                <w:sz w:val="21"/>
                <w:szCs w:val="21"/>
                <w:u w:val="none" w:color="auto"/>
              </w:rPr>
              <w:t>境敏感区域</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23"/>
                <w:sz w:val="21"/>
                <w:szCs w:val="21"/>
                <w:u w:val="none" w:color="auto"/>
              </w:rPr>
              <w:t>(</w:t>
            </w:r>
            <w:r>
              <w:rPr>
                <w:rFonts w:hint="default" w:ascii="Times New Roman" w:hAnsi="Times New Roman" w:eastAsia="宋体" w:cs="Times New Roman"/>
                <w:b w:val="0"/>
                <w:bCs w:val="0"/>
                <w:color w:val="auto"/>
                <w:spacing w:val="14"/>
                <w:sz w:val="21"/>
                <w:szCs w:val="21"/>
                <w:u w:val="none" w:color="auto"/>
              </w:rPr>
              <w:t>十七)强化节能环保指标约束</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0"/>
                <w:sz w:val="21"/>
                <w:szCs w:val="21"/>
                <w:u w:val="none" w:color="auto"/>
              </w:rPr>
              <w:t>京津</w:t>
            </w:r>
            <w:r>
              <w:rPr>
                <w:rFonts w:hint="default" w:ascii="Times New Roman" w:hAnsi="Times New Roman" w:eastAsia="宋体" w:cs="Times New Roman"/>
                <w:b w:val="0"/>
                <w:bCs w:val="0"/>
                <w:color w:val="auto"/>
                <w:spacing w:val="8"/>
                <w:sz w:val="21"/>
                <w:szCs w:val="21"/>
                <w:u w:val="none" w:color="auto"/>
              </w:rPr>
              <w:t>冀</w:t>
            </w:r>
            <w:r>
              <w:rPr>
                <w:rFonts w:hint="default" w:ascii="Times New Roman" w:hAnsi="Times New Roman" w:eastAsia="宋体" w:cs="Times New Roman"/>
                <w:b w:val="0"/>
                <w:bCs w:val="0"/>
                <w:color w:val="auto"/>
                <w:spacing w:val="5"/>
                <w:sz w:val="21"/>
                <w:szCs w:val="21"/>
                <w:u w:val="none" w:color="auto"/>
              </w:rPr>
              <w:t>、长三角、珠三角区域以及辽宁中部、山东、武</w:t>
            </w:r>
            <w:r>
              <w:rPr>
                <w:rFonts w:hint="default" w:ascii="Times New Roman" w:hAnsi="Times New Roman" w:eastAsia="宋体" w:cs="Times New Roman"/>
                <w:b w:val="0"/>
                <w:bCs w:val="0"/>
                <w:color w:val="auto"/>
                <w:spacing w:val="9"/>
                <w:sz w:val="21"/>
                <w:szCs w:val="21"/>
                <w:u w:val="none" w:color="auto"/>
              </w:rPr>
              <w:t>汉</w:t>
            </w:r>
            <w:r>
              <w:rPr>
                <w:rFonts w:hint="default" w:ascii="Times New Roman" w:hAnsi="Times New Roman" w:eastAsia="宋体" w:cs="Times New Roman"/>
                <w:b w:val="0"/>
                <w:bCs w:val="0"/>
                <w:color w:val="auto"/>
                <w:spacing w:val="8"/>
                <w:sz w:val="21"/>
                <w:szCs w:val="21"/>
                <w:u w:val="none" w:color="auto"/>
              </w:rPr>
              <w:t>及其周边、长株潭、成渝、海峡西岸、山西中北部、</w:t>
            </w:r>
            <w:r>
              <w:rPr>
                <w:rFonts w:hint="default" w:ascii="Times New Roman" w:hAnsi="Times New Roman" w:eastAsia="宋体" w:cs="Times New Roman"/>
                <w:b w:val="0"/>
                <w:bCs w:val="0"/>
                <w:color w:val="auto"/>
                <w:spacing w:val="16"/>
                <w:sz w:val="21"/>
                <w:szCs w:val="21"/>
                <w:u w:val="none" w:color="auto"/>
              </w:rPr>
              <w:t>陕</w:t>
            </w:r>
            <w:r>
              <w:rPr>
                <w:rFonts w:hint="default" w:ascii="Times New Roman" w:hAnsi="Times New Roman" w:eastAsia="宋体" w:cs="Times New Roman"/>
                <w:b w:val="0"/>
                <w:bCs w:val="0"/>
                <w:color w:val="auto"/>
                <w:spacing w:val="11"/>
                <w:sz w:val="21"/>
                <w:szCs w:val="21"/>
                <w:u w:val="none" w:color="auto"/>
              </w:rPr>
              <w:t>西</w:t>
            </w:r>
            <w:r>
              <w:rPr>
                <w:rFonts w:hint="default" w:ascii="Times New Roman" w:hAnsi="Times New Roman" w:eastAsia="宋体" w:cs="Times New Roman"/>
                <w:b w:val="0"/>
                <w:bCs w:val="0"/>
                <w:color w:val="auto"/>
                <w:spacing w:val="8"/>
                <w:sz w:val="21"/>
                <w:szCs w:val="21"/>
                <w:u w:val="none" w:color="auto"/>
              </w:rPr>
              <w:t>关中、甘宁、乌鲁木齐城市群等“三区十群”中的</w:t>
            </w:r>
            <w:r>
              <w:rPr>
                <w:rFonts w:hint="default" w:ascii="Times New Roman" w:hAnsi="Times New Roman" w:eastAsia="宋体" w:cs="Times New Roman"/>
                <w:b w:val="0"/>
                <w:bCs w:val="0"/>
                <w:color w:val="auto"/>
                <w:spacing w:val="9"/>
                <w:sz w:val="21"/>
                <w:szCs w:val="21"/>
                <w:u w:val="none" w:color="auto"/>
              </w:rPr>
              <w:t>47个城市，新建火电、钢铁、石化、水泥、有色、化</w:t>
            </w:r>
            <w:r>
              <w:rPr>
                <w:rFonts w:hint="default" w:ascii="Times New Roman" w:hAnsi="Times New Roman" w:eastAsia="宋体" w:cs="Times New Roman"/>
                <w:b w:val="0"/>
                <w:bCs w:val="0"/>
                <w:color w:val="auto"/>
                <w:spacing w:val="18"/>
                <w:sz w:val="21"/>
                <w:szCs w:val="21"/>
                <w:u w:val="none" w:color="auto"/>
              </w:rPr>
              <w:t>工</w:t>
            </w:r>
            <w:r>
              <w:rPr>
                <w:rFonts w:hint="default" w:ascii="Times New Roman" w:hAnsi="Times New Roman" w:eastAsia="宋体" w:cs="Times New Roman"/>
                <w:b w:val="0"/>
                <w:bCs w:val="0"/>
                <w:color w:val="auto"/>
                <w:spacing w:val="11"/>
                <w:sz w:val="21"/>
                <w:szCs w:val="21"/>
                <w:u w:val="none" w:color="auto"/>
              </w:rPr>
              <w:t>等</w:t>
            </w:r>
            <w:r>
              <w:rPr>
                <w:rFonts w:hint="default" w:ascii="Times New Roman" w:hAnsi="Times New Roman" w:eastAsia="宋体" w:cs="Times New Roman"/>
                <w:b w:val="0"/>
                <w:bCs w:val="0"/>
                <w:color w:val="auto"/>
                <w:spacing w:val="9"/>
                <w:sz w:val="21"/>
                <w:szCs w:val="21"/>
                <w:u w:val="none" w:color="auto"/>
              </w:rPr>
              <w:t>企业以及燃煤锅炉项目要执行大气污染物特别排</w:t>
            </w:r>
            <w:r>
              <w:rPr>
                <w:rFonts w:hint="default" w:ascii="Times New Roman" w:hAnsi="Times New Roman" w:eastAsia="宋体" w:cs="Times New Roman"/>
                <w:b w:val="0"/>
                <w:bCs w:val="0"/>
                <w:color w:val="auto"/>
                <w:spacing w:val="10"/>
                <w:sz w:val="21"/>
                <w:szCs w:val="21"/>
                <w:u w:val="none" w:color="auto"/>
              </w:rPr>
              <w:t>放限值</w:t>
            </w:r>
            <w:r>
              <w:rPr>
                <w:rFonts w:hint="default" w:ascii="Times New Roman" w:hAnsi="Times New Roman" w:eastAsia="宋体" w:cs="Times New Roman"/>
                <w:b w:val="0"/>
                <w:bCs w:val="0"/>
                <w:color w:val="auto"/>
                <w:spacing w:val="6"/>
                <w:sz w:val="21"/>
                <w:szCs w:val="21"/>
                <w:u w:val="none" w:color="auto"/>
              </w:rPr>
              <w:t>。</w:t>
            </w:r>
            <w:r>
              <w:rPr>
                <w:rFonts w:hint="default" w:ascii="Times New Roman" w:hAnsi="Times New Roman" w:eastAsia="宋体" w:cs="Times New Roman"/>
                <w:b w:val="0"/>
                <w:bCs w:val="0"/>
                <w:color w:val="auto"/>
                <w:spacing w:val="5"/>
                <w:sz w:val="21"/>
                <w:szCs w:val="21"/>
                <w:u w:val="none" w:color="auto"/>
              </w:rPr>
              <w:t>各地区可根据环境质量改善的需要，扩大特别</w:t>
            </w:r>
            <w:r>
              <w:rPr>
                <w:rFonts w:hint="default" w:ascii="Times New Roman" w:hAnsi="Times New Roman" w:eastAsia="宋体" w:cs="Times New Roman"/>
                <w:b w:val="0"/>
                <w:bCs w:val="0"/>
                <w:color w:val="auto"/>
                <w:spacing w:val="9"/>
                <w:sz w:val="21"/>
                <w:szCs w:val="21"/>
                <w:u w:val="none" w:color="auto"/>
              </w:rPr>
              <w:t>排放限值实施的范</w:t>
            </w:r>
            <w:r>
              <w:rPr>
                <w:rFonts w:hint="default" w:ascii="Times New Roman" w:hAnsi="Times New Roman" w:eastAsia="宋体" w:cs="Times New Roman"/>
                <w:b w:val="0"/>
                <w:bCs w:val="0"/>
                <w:color w:val="auto"/>
                <w:spacing w:val="8"/>
                <w:sz w:val="21"/>
                <w:szCs w:val="21"/>
                <w:u w:val="none" w:color="auto"/>
              </w:rPr>
              <w:t>围</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eastAsia" w:ascii="Times New Roman" w:hAnsi="Times New Roman" w:eastAsia="宋体" w:cs="Times New Roman"/>
                <w:b w:val="0"/>
                <w:bCs w:val="0"/>
                <w:color w:val="auto"/>
                <w:spacing w:val="9"/>
                <w:sz w:val="21"/>
                <w:szCs w:val="21"/>
                <w:u w:val="none" w:color="auto"/>
                <w:lang w:eastAsia="zh-CN"/>
              </w:rPr>
              <w:t>本项目不涉及</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10"/>
                <w:sz w:val="21"/>
                <w:szCs w:val="21"/>
                <w:u w:val="none" w:color="auto"/>
              </w:rPr>
              <w:t>十、明</w:t>
            </w:r>
            <w:r>
              <w:rPr>
                <w:rFonts w:hint="default" w:ascii="Times New Roman" w:hAnsi="Times New Roman" w:eastAsia="宋体" w:cs="Times New Roman"/>
                <w:b w:val="0"/>
                <w:bCs w:val="0"/>
                <w:color w:val="auto"/>
                <w:spacing w:val="7"/>
                <w:sz w:val="21"/>
                <w:szCs w:val="21"/>
                <w:u w:val="none" w:color="auto"/>
              </w:rPr>
              <w:t>确</w:t>
            </w:r>
            <w:r>
              <w:rPr>
                <w:rFonts w:hint="default" w:ascii="Times New Roman" w:hAnsi="Times New Roman" w:eastAsia="宋体" w:cs="Times New Roman"/>
                <w:b w:val="0"/>
                <w:bCs w:val="0"/>
                <w:color w:val="auto"/>
                <w:spacing w:val="5"/>
                <w:sz w:val="21"/>
                <w:szCs w:val="21"/>
                <w:u w:val="none" w:color="auto"/>
              </w:rPr>
              <w:t>政府企业和社会的责任，动员全民参与环境保</w:t>
            </w:r>
            <w:r>
              <w:rPr>
                <w:rFonts w:hint="default" w:ascii="Times New Roman" w:hAnsi="Times New Roman" w:eastAsia="宋体" w:cs="Times New Roman"/>
                <w:b w:val="0"/>
                <w:bCs w:val="0"/>
                <w:color w:val="auto"/>
                <w:sz w:val="21"/>
                <w:szCs w:val="21"/>
                <w:u w:val="none" w:color="auto"/>
              </w:rPr>
              <w:t>护</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22"/>
                <w:sz w:val="21"/>
                <w:szCs w:val="21"/>
                <w:u w:val="none" w:color="auto"/>
              </w:rPr>
              <w:t>(</w:t>
            </w:r>
            <w:r>
              <w:rPr>
                <w:rFonts w:hint="default" w:ascii="Times New Roman" w:hAnsi="Times New Roman" w:eastAsia="宋体" w:cs="Times New Roman"/>
                <w:b w:val="0"/>
                <w:bCs w:val="0"/>
                <w:color w:val="auto"/>
                <w:spacing w:val="14"/>
                <w:sz w:val="21"/>
                <w:szCs w:val="21"/>
                <w:u w:val="none" w:color="auto"/>
              </w:rPr>
              <w:t>三十四)强化企业施治。</w:t>
            </w:r>
            <w:r>
              <w:rPr>
                <w:rFonts w:hint="default" w:ascii="Times New Roman" w:hAnsi="Times New Roman" w:eastAsia="宋体" w:cs="Times New Roman"/>
                <w:b w:val="0"/>
                <w:bCs w:val="0"/>
                <w:color w:val="auto"/>
                <w:spacing w:val="18"/>
                <w:sz w:val="21"/>
                <w:szCs w:val="21"/>
                <w:u w:val="none" w:color="auto"/>
              </w:rPr>
              <w:t>企</w:t>
            </w:r>
            <w:r>
              <w:rPr>
                <w:rFonts w:hint="default" w:ascii="Times New Roman" w:hAnsi="Times New Roman" w:eastAsia="宋体" w:cs="Times New Roman"/>
                <w:b w:val="0"/>
                <w:bCs w:val="0"/>
                <w:color w:val="auto"/>
                <w:spacing w:val="10"/>
                <w:sz w:val="21"/>
                <w:szCs w:val="21"/>
                <w:u w:val="none" w:color="auto"/>
              </w:rPr>
              <w:t>业</w:t>
            </w:r>
            <w:r>
              <w:rPr>
                <w:rFonts w:hint="default" w:ascii="Times New Roman" w:hAnsi="Times New Roman" w:eastAsia="宋体" w:cs="Times New Roman"/>
                <w:b w:val="0"/>
                <w:bCs w:val="0"/>
                <w:color w:val="auto"/>
                <w:spacing w:val="9"/>
                <w:sz w:val="21"/>
                <w:szCs w:val="21"/>
                <w:u w:val="none" w:color="auto"/>
              </w:rPr>
              <w:t>是大气污染治理的责任主体，要按照环保规范要</w:t>
            </w:r>
            <w:r>
              <w:rPr>
                <w:rFonts w:hint="default" w:ascii="Times New Roman" w:hAnsi="Times New Roman" w:eastAsia="宋体" w:cs="Times New Roman"/>
                <w:b w:val="0"/>
                <w:bCs w:val="0"/>
                <w:color w:val="auto"/>
                <w:spacing w:val="10"/>
                <w:sz w:val="21"/>
                <w:szCs w:val="21"/>
                <w:u w:val="none" w:color="auto"/>
              </w:rPr>
              <w:t>求，</w:t>
            </w:r>
            <w:r>
              <w:rPr>
                <w:rFonts w:hint="default" w:ascii="Times New Roman" w:hAnsi="Times New Roman" w:eastAsia="宋体" w:cs="Times New Roman"/>
                <w:b w:val="0"/>
                <w:bCs w:val="0"/>
                <w:color w:val="auto"/>
                <w:spacing w:val="9"/>
                <w:sz w:val="21"/>
                <w:szCs w:val="21"/>
                <w:u w:val="none" w:color="auto"/>
              </w:rPr>
              <w:t>加</w:t>
            </w:r>
            <w:r>
              <w:rPr>
                <w:rFonts w:hint="default" w:ascii="Times New Roman" w:hAnsi="Times New Roman" w:eastAsia="宋体" w:cs="Times New Roman"/>
                <w:b w:val="0"/>
                <w:bCs w:val="0"/>
                <w:color w:val="auto"/>
                <w:spacing w:val="5"/>
                <w:sz w:val="21"/>
                <w:szCs w:val="21"/>
                <w:u w:val="none" w:color="auto"/>
              </w:rPr>
              <w:t>强内部管理，增加资金投入，采用先进的生产工</w:t>
            </w:r>
            <w:r>
              <w:rPr>
                <w:rFonts w:hint="default" w:ascii="Times New Roman" w:hAnsi="Times New Roman" w:eastAsia="宋体" w:cs="Times New Roman"/>
                <w:b w:val="0"/>
                <w:bCs w:val="0"/>
                <w:color w:val="auto"/>
                <w:spacing w:val="11"/>
                <w:sz w:val="21"/>
                <w:szCs w:val="21"/>
                <w:u w:val="none" w:color="auto"/>
              </w:rPr>
              <w:t>艺</w:t>
            </w:r>
            <w:r>
              <w:rPr>
                <w:rFonts w:hint="default" w:ascii="Times New Roman" w:hAnsi="Times New Roman" w:eastAsia="宋体" w:cs="Times New Roman"/>
                <w:b w:val="0"/>
                <w:bCs w:val="0"/>
                <w:color w:val="auto"/>
                <w:spacing w:val="6"/>
                <w:sz w:val="21"/>
                <w:szCs w:val="21"/>
                <w:u w:val="none" w:color="auto"/>
              </w:rPr>
              <w:t>和治理技术，确保达标排放，甚至达到“零排放”；要</w:t>
            </w:r>
            <w:r>
              <w:rPr>
                <w:rFonts w:hint="default" w:ascii="Times New Roman" w:hAnsi="Times New Roman" w:eastAsia="宋体" w:cs="Times New Roman"/>
                <w:b w:val="0"/>
                <w:bCs w:val="0"/>
                <w:color w:val="auto"/>
                <w:spacing w:val="14"/>
                <w:sz w:val="21"/>
                <w:szCs w:val="21"/>
                <w:u w:val="none" w:color="auto"/>
              </w:rPr>
              <w:t>自觉</w:t>
            </w:r>
            <w:r>
              <w:rPr>
                <w:rFonts w:hint="default" w:ascii="Times New Roman" w:hAnsi="Times New Roman" w:eastAsia="宋体" w:cs="Times New Roman"/>
                <w:b w:val="0"/>
                <w:bCs w:val="0"/>
                <w:color w:val="auto"/>
                <w:spacing w:val="8"/>
                <w:sz w:val="21"/>
                <w:szCs w:val="21"/>
                <w:u w:val="none" w:color="auto"/>
              </w:rPr>
              <w:t>履</w:t>
            </w:r>
            <w:r>
              <w:rPr>
                <w:rFonts w:hint="default" w:ascii="Times New Roman" w:hAnsi="Times New Roman" w:eastAsia="宋体" w:cs="Times New Roman"/>
                <w:b w:val="0"/>
                <w:bCs w:val="0"/>
                <w:color w:val="auto"/>
                <w:spacing w:val="7"/>
                <w:sz w:val="21"/>
                <w:szCs w:val="21"/>
                <w:u w:val="none" w:color="auto"/>
              </w:rPr>
              <w:t>行环境保护的社会责任，接受社会监督</w:t>
            </w:r>
          </w:p>
        </w:tc>
        <w:tc>
          <w:tcPr>
            <w:tcW w:w="261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5"/>
                <w:sz w:val="21"/>
                <w:szCs w:val="21"/>
                <w:u w:val="none" w:color="auto"/>
                <w:lang w:eastAsia="zh-CN"/>
              </w:rPr>
              <w:t>本项目</w:t>
            </w:r>
            <w:r>
              <w:rPr>
                <w:rFonts w:hint="default" w:ascii="Times New Roman" w:hAnsi="Times New Roman" w:eastAsia="宋体" w:cs="Times New Roman"/>
                <w:b w:val="0"/>
                <w:bCs w:val="0"/>
                <w:color w:val="auto"/>
                <w:spacing w:val="5"/>
                <w:sz w:val="21"/>
                <w:szCs w:val="21"/>
                <w:u w:val="none" w:color="auto"/>
              </w:rPr>
              <w:t>采用先进的生产工</w:t>
            </w:r>
            <w:r>
              <w:rPr>
                <w:rFonts w:hint="default" w:ascii="Times New Roman" w:hAnsi="Times New Roman" w:eastAsia="宋体" w:cs="Times New Roman"/>
                <w:b w:val="0"/>
                <w:bCs w:val="0"/>
                <w:color w:val="auto"/>
                <w:spacing w:val="11"/>
                <w:sz w:val="21"/>
                <w:szCs w:val="21"/>
                <w:u w:val="none" w:color="auto"/>
              </w:rPr>
              <w:t>艺</w:t>
            </w:r>
            <w:r>
              <w:rPr>
                <w:rFonts w:hint="default" w:ascii="Times New Roman" w:hAnsi="Times New Roman" w:eastAsia="宋体" w:cs="Times New Roman"/>
                <w:b w:val="0"/>
                <w:bCs w:val="0"/>
                <w:color w:val="auto"/>
                <w:spacing w:val="6"/>
                <w:sz w:val="21"/>
                <w:szCs w:val="21"/>
                <w:u w:val="none" w:color="auto"/>
              </w:rPr>
              <w:t>和治理技术，确保</w:t>
            </w:r>
            <w:r>
              <w:rPr>
                <w:rFonts w:hint="default" w:ascii="Times New Roman" w:hAnsi="Times New Roman" w:eastAsia="宋体" w:cs="Times New Roman"/>
                <w:b w:val="0"/>
                <w:bCs w:val="0"/>
                <w:color w:val="auto"/>
                <w:spacing w:val="6"/>
                <w:sz w:val="21"/>
                <w:szCs w:val="21"/>
                <w:u w:val="none" w:color="auto"/>
                <w:lang w:eastAsia="zh-CN"/>
              </w:rPr>
              <w:t>废气</w:t>
            </w:r>
            <w:r>
              <w:rPr>
                <w:rFonts w:hint="default" w:ascii="Times New Roman" w:hAnsi="Times New Roman" w:eastAsia="宋体" w:cs="Times New Roman"/>
                <w:b w:val="0"/>
                <w:bCs w:val="0"/>
                <w:color w:val="auto"/>
                <w:spacing w:val="6"/>
                <w:sz w:val="21"/>
                <w:szCs w:val="21"/>
                <w:u w:val="none" w:color="auto"/>
              </w:rPr>
              <w:t>达标排放。</w:t>
            </w:r>
          </w:p>
        </w:tc>
        <w:tc>
          <w:tcPr>
            <w:tcW w:w="8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pacing w:val="4"/>
                <w:sz w:val="21"/>
                <w:szCs w:val="21"/>
                <w:u w:val="none" w:color="auto"/>
              </w:rPr>
              <w:t>符</w:t>
            </w:r>
            <w:r>
              <w:rPr>
                <w:rFonts w:hint="default" w:ascii="Times New Roman" w:hAnsi="Times New Roman" w:eastAsia="宋体" w:cs="Times New Roman"/>
                <w:b w:val="0"/>
                <w:bCs w:val="0"/>
                <w:color w:val="auto"/>
                <w:spacing w:val="3"/>
                <w:sz w:val="21"/>
                <w:szCs w:val="21"/>
                <w:u w:val="none" w:color="auto"/>
              </w:rPr>
              <w:t>合</w:t>
            </w:r>
          </w:p>
        </w:tc>
      </w:tr>
    </w:tbl>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eastAsia="zh-CN"/>
        </w:rPr>
        <w:t>与气十条文件对照后可见，本项目较好的落实了气十条中提出的各项要求。</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5</w:t>
      </w:r>
      <w:r>
        <w:rPr>
          <w:rFonts w:hint="default" w:ascii="Times New Roman" w:hAnsi="Times New Roman" w:eastAsia="宋体" w:cs="Times New Roman"/>
          <w:color w:val="auto"/>
          <w:sz w:val="24"/>
          <w:highlight w:val="none"/>
          <w:u w:val="none" w:color="auto"/>
          <w:lang w:eastAsia="zh-CN"/>
        </w:rPr>
        <w:t>）与《工业炉窑大气污染综合治理方案》的相符性分析</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表1.3-4本项目与《工业炉窑大气污染综合治理方案》有关条款符合性分析</w:t>
      </w:r>
    </w:p>
    <w:tbl>
      <w:tblPr>
        <w:tblStyle w:val="204"/>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
        <w:gridCol w:w="4621"/>
        <w:gridCol w:w="2768"/>
        <w:gridCol w:w="2"/>
        <w:gridCol w:w="1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623"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u w:val="none" w:color="auto"/>
              </w:rPr>
            </w:pPr>
            <w:r>
              <w:rPr>
                <w:rFonts w:hint="default" w:ascii="Times New Roman" w:hAnsi="Times New Roman" w:eastAsia="宋体" w:cs="Times New Roman"/>
                <w:color w:val="auto"/>
                <w:spacing w:val="9"/>
                <w:sz w:val="21"/>
                <w:szCs w:val="21"/>
                <w:u w:val="none" w:color="auto"/>
              </w:rPr>
              <w:t>规范要求</w:t>
            </w:r>
          </w:p>
        </w:tc>
        <w:tc>
          <w:tcPr>
            <w:tcW w:w="27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u w:val="none" w:color="auto"/>
              </w:rPr>
            </w:pPr>
            <w:r>
              <w:rPr>
                <w:rFonts w:hint="default" w:ascii="Times New Roman" w:hAnsi="Times New Roman" w:eastAsia="宋体" w:cs="Times New Roman"/>
                <w:color w:val="auto"/>
                <w:spacing w:val="9"/>
                <w:sz w:val="21"/>
                <w:szCs w:val="21"/>
                <w:u w:val="none" w:color="auto"/>
              </w:rPr>
              <w:t>本项目情况</w:t>
            </w:r>
          </w:p>
        </w:tc>
        <w:tc>
          <w:tcPr>
            <w:tcW w:w="1114"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u w:val="none" w:color="auto"/>
              </w:rPr>
            </w:pPr>
            <w:r>
              <w:rPr>
                <w:rFonts w:hint="default" w:ascii="Times New Roman" w:hAnsi="Times New Roman" w:eastAsia="宋体" w:cs="Times New Roman"/>
                <w:color w:val="auto"/>
                <w:spacing w:val="9"/>
                <w:sz w:val="21"/>
                <w:szCs w:val="21"/>
                <w:u w:val="none" w:color="auto"/>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623"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7"/>
                <w:sz w:val="21"/>
                <w:szCs w:val="21"/>
                <w:u w:val="none" w:color="auto"/>
              </w:rPr>
              <w:t>新</w:t>
            </w:r>
            <w:r>
              <w:rPr>
                <w:rFonts w:hint="default" w:ascii="Times New Roman" w:hAnsi="Times New Roman" w:eastAsia="宋体" w:cs="Times New Roman"/>
                <w:color w:val="auto"/>
                <w:spacing w:val="9"/>
                <w:sz w:val="21"/>
                <w:szCs w:val="21"/>
                <w:u w:val="none" w:color="auto"/>
              </w:rPr>
              <w:t>建涉工业炉窑的建设项目，原则上要入园</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6"/>
                <w:sz w:val="21"/>
                <w:szCs w:val="21"/>
                <w:u w:val="none" w:color="auto"/>
              </w:rPr>
              <w:t>区</w:t>
            </w:r>
            <w:r>
              <w:rPr>
                <w:rFonts w:hint="default" w:ascii="Times New Roman" w:hAnsi="Times New Roman" w:eastAsia="宋体" w:cs="Times New Roman"/>
                <w:color w:val="auto"/>
                <w:spacing w:val="13"/>
                <w:sz w:val="21"/>
                <w:szCs w:val="21"/>
                <w:u w:val="none" w:color="auto"/>
              </w:rPr>
              <w:t>，</w:t>
            </w:r>
            <w:r>
              <w:rPr>
                <w:rFonts w:hint="default" w:ascii="Times New Roman" w:hAnsi="Times New Roman" w:eastAsia="宋体" w:cs="Times New Roman"/>
                <w:color w:val="auto"/>
                <w:spacing w:val="8"/>
                <w:sz w:val="21"/>
                <w:szCs w:val="21"/>
                <w:u w:val="none" w:color="auto"/>
              </w:rPr>
              <w:t>配套建设高效环保治理设施。重点区域</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7"/>
                <w:sz w:val="21"/>
                <w:szCs w:val="21"/>
                <w:u w:val="none" w:color="auto"/>
              </w:rPr>
              <w:t>严</w:t>
            </w:r>
            <w:r>
              <w:rPr>
                <w:rFonts w:hint="default" w:ascii="Times New Roman" w:hAnsi="Times New Roman" w:eastAsia="宋体" w:cs="Times New Roman"/>
                <w:color w:val="auto"/>
                <w:spacing w:val="9"/>
                <w:sz w:val="21"/>
                <w:szCs w:val="21"/>
                <w:u w:val="none" w:color="auto"/>
              </w:rPr>
              <w:t>格控制涉工业炉窑建设项目，严禁新增钢</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铁</w:t>
            </w:r>
            <w:r>
              <w:rPr>
                <w:rFonts w:hint="default" w:ascii="Times New Roman" w:hAnsi="Times New Roman" w:eastAsia="宋体" w:cs="Times New Roman"/>
                <w:color w:val="auto"/>
                <w:spacing w:val="10"/>
                <w:sz w:val="21"/>
                <w:szCs w:val="21"/>
                <w:u w:val="none" w:color="auto"/>
              </w:rPr>
              <w:t>、</w:t>
            </w:r>
            <w:r>
              <w:rPr>
                <w:rFonts w:hint="default" w:ascii="Times New Roman" w:hAnsi="Times New Roman" w:eastAsia="宋体" w:cs="Times New Roman"/>
                <w:color w:val="auto"/>
                <w:spacing w:val="9"/>
                <w:sz w:val="21"/>
                <w:szCs w:val="21"/>
                <w:u w:val="none" w:color="auto"/>
              </w:rPr>
              <w:t>焦化、电解铝、铸造、水泥和平板玻璃</w:t>
            </w:r>
            <w:r>
              <w:rPr>
                <w:rFonts w:hint="default" w:ascii="Times New Roman" w:hAnsi="Times New Roman" w:eastAsia="宋体" w:cs="Times New Roman"/>
                <w:color w:val="auto"/>
                <w:spacing w:val="17"/>
                <w:sz w:val="21"/>
                <w:szCs w:val="21"/>
                <w:u w:val="none" w:color="auto"/>
              </w:rPr>
              <w:t>等</w:t>
            </w:r>
            <w:r>
              <w:rPr>
                <w:rFonts w:hint="default" w:ascii="Times New Roman" w:hAnsi="Times New Roman" w:eastAsia="宋体" w:cs="Times New Roman"/>
                <w:color w:val="auto"/>
                <w:spacing w:val="9"/>
                <w:sz w:val="21"/>
                <w:szCs w:val="21"/>
                <w:u w:val="none" w:color="auto"/>
              </w:rPr>
              <w:t>产能；严格执行钢铁、水泥、平板玻璃等</w:t>
            </w:r>
            <w:r>
              <w:rPr>
                <w:rFonts w:hint="default" w:ascii="Times New Roman" w:hAnsi="Times New Roman" w:eastAsia="宋体" w:cs="Times New Roman"/>
                <w:color w:val="auto"/>
                <w:spacing w:val="15"/>
                <w:sz w:val="21"/>
                <w:szCs w:val="21"/>
                <w:u w:val="none" w:color="auto"/>
              </w:rPr>
              <w:t>行</w:t>
            </w:r>
            <w:r>
              <w:rPr>
                <w:rFonts w:hint="default" w:ascii="Times New Roman" w:hAnsi="Times New Roman" w:eastAsia="宋体" w:cs="Times New Roman"/>
                <w:color w:val="auto"/>
                <w:spacing w:val="9"/>
                <w:sz w:val="21"/>
                <w:szCs w:val="21"/>
                <w:u w:val="none" w:color="auto"/>
              </w:rPr>
              <w:t>业产能置换实施办法；原则上禁止新建燃</w:t>
            </w:r>
            <w:r>
              <w:rPr>
                <w:rFonts w:hint="default" w:ascii="Times New Roman" w:hAnsi="Times New Roman" w:eastAsia="宋体" w:cs="Times New Roman"/>
                <w:color w:val="auto"/>
                <w:spacing w:val="12"/>
                <w:sz w:val="21"/>
                <w:szCs w:val="21"/>
                <w:u w:val="none" w:color="auto"/>
              </w:rPr>
              <w:t>料</w:t>
            </w:r>
            <w:r>
              <w:rPr>
                <w:rFonts w:hint="default" w:ascii="Times New Roman" w:hAnsi="Times New Roman" w:eastAsia="宋体" w:cs="Times New Roman"/>
                <w:color w:val="auto"/>
                <w:spacing w:val="8"/>
                <w:sz w:val="21"/>
                <w:szCs w:val="21"/>
                <w:u w:val="none" w:color="auto"/>
              </w:rPr>
              <w:t>类煤气发生炉</w:t>
            </w:r>
          </w:p>
        </w:tc>
        <w:tc>
          <w:tcPr>
            <w:tcW w:w="27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rPr>
              <w:t>本</w:t>
            </w:r>
            <w:r>
              <w:rPr>
                <w:rFonts w:hint="default" w:ascii="Times New Roman" w:hAnsi="Times New Roman" w:eastAsia="宋体" w:cs="Times New Roman"/>
                <w:color w:val="auto"/>
                <w:spacing w:val="9"/>
                <w:sz w:val="21"/>
                <w:szCs w:val="21"/>
                <w:u w:val="none" w:color="auto"/>
              </w:rPr>
              <w:t>项目选址位于</w:t>
            </w:r>
            <w:r>
              <w:rPr>
                <w:rFonts w:hint="default" w:ascii="Times New Roman" w:hAnsi="Times New Roman" w:eastAsia="宋体" w:cs="Times New Roman"/>
                <w:color w:val="auto"/>
                <w:spacing w:val="2"/>
                <w:sz w:val="21"/>
                <w:szCs w:val="21"/>
                <w:u w:val="none" w:color="auto"/>
              </w:rPr>
              <w:t>岳阳临港高新技术产业开发区创新创业基地</w:t>
            </w:r>
            <w:r>
              <w:rPr>
                <w:rFonts w:hint="default" w:ascii="Times New Roman" w:hAnsi="Times New Roman" w:eastAsia="宋体" w:cs="Times New Roman"/>
                <w:color w:val="auto"/>
                <w:spacing w:val="8"/>
                <w:sz w:val="21"/>
                <w:szCs w:val="21"/>
                <w:u w:val="none" w:color="auto"/>
              </w:rPr>
              <w:t>，</w:t>
            </w:r>
            <w:r>
              <w:rPr>
                <w:rFonts w:hint="default" w:ascii="Times New Roman" w:hAnsi="Times New Roman" w:eastAsia="宋体" w:cs="Times New Roman"/>
                <w:color w:val="auto"/>
                <w:spacing w:val="8"/>
                <w:sz w:val="21"/>
                <w:szCs w:val="21"/>
                <w:u w:val="none" w:color="auto"/>
                <w:lang w:eastAsia="zh-CN"/>
              </w:rPr>
              <w:t>炉窑使用电能</w:t>
            </w:r>
            <w:r>
              <w:rPr>
                <w:rFonts w:hint="default" w:ascii="Times New Roman" w:hAnsi="Times New Roman" w:eastAsia="宋体" w:cs="Times New Roman"/>
                <w:color w:val="auto"/>
                <w:spacing w:val="8"/>
                <w:sz w:val="21"/>
                <w:szCs w:val="21"/>
                <w:u w:val="none" w:color="auto"/>
              </w:rPr>
              <w:t>。</w:t>
            </w:r>
          </w:p>
        </w:tc>
        <w:tc>
          <w:tcPr>
            <w:tcW w:w="1114"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623"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加</w:t>
            </w:r>
            <w:r>
              <w:rPr>
                <w:rFonts w:hint="default" w:ascii="Times New Roman" w:hAnsi="Times New Roman" w:eastAsia="宋体" w:cs="Times New Roman"/>
                <w:color w:val="auto"/>
                <w:spacing w:val="6"/>
                <w:sz w:val="21"/>
                <w:szCs w:val="21"/>
                <w:u w:val="none" w:color="auto"/>
              </w:rPr>
              <w:t>快燃料清洁低碳化替代。对以煤、石油焦、</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渣</w:t>
            </w:r>
            <w:r>
              <w:rPr>
                <w:rFonts w:hint="default" w:ascii="Times New Roman" w:hAnsi="Times New Roman" w:eastAsia="宋体" w:cs="Times New Roman"/>
                <w:color w:val="auto"/>
                <w:spacing w:val="9"/>
                <w:sz w:val="21"/>
                <w:szCs w:val="21"/>
                <w:u w:val="none" w:color="auto"/>
              </w:rPr>
              <w:t>油、重油等为燃料的工业炉窑，加快使用</w:t>
            </w:r>
            <w:r>
              <w:rPr>
                <w:rFonts w:hint="default" w:ascii="Times New Roman" w:hAnsi="Times New Roman" w:eastAsia="宋体" w:cs="Times New Roman"/>
                <w:color w:val="auto"/>
                <w:spacing w:val="18"/>
                <w:sz w:val="21"/>
                <w:szCs w:val="21"/>
                <w:u w:val="none" w:color="auto"/>
              </w:rPr>
              <w:t>清</w:t>
            </w:r>
            <w:r>
              <w:rPr>
                <w:rFonts w:hint="default" w:ascii="Times New Roman" w:hAnsi="Times New Roman" w:eastAsia="宋体" w:cs="Times New Roman"/>
                <w:color w:val="auto"/>
                <w:spacing w:val="9"/>
                <w:sz w:val="21"/>
                <w:szCs w:val="21"/>
                <w:u w:val="none" w:color="auto"/>
              </w:rPr>
              <w:t>洁低碳能源以及利用工厂余热、电厂热力</w:t>
            </w:r>
            <w:r>
              <w:rPr>
                <w:rFonts w:hint="default" w:ascii="Times New Roman" w:hAnsi="Times New Roman" w:eastAsia="宋体" w:cs="Times New Roman"/>
                <w:color w:val="auto"/>
                <w:spacing w:val="17"/>
                <w:sz w:val="21"/>
                <w:szCs w:val="21"/>
                <w:u w:val="none" w:color="auto"/>
              </w:rPr>
              <w:t>等</w:t>
            </w:r>
            <w:r>
              <w:rPr>
                <w:rFonts w:hint="default" w:ascii="Times New Roman" w:hAnsi="Times New Roman" w:eastAsia="宋体" w:cs="Times New Roman"/>
                <w:color w:val="auto"/>
                <w:spacing w:val="9"/>
                <w:sz w:val="21"/>
                <w:szCs w:val="21"/>
                <w:u w:val="none" w:color="auto"/>
              </w:rPr>
              <w:t>进行替代。重点区域禁止掺烧高硫石油焦</w:t>
            </w:r>
            <w:r>
              <w:rPr>
                <w:rFonts w:hint="default" w:ascii="Times New Roman" w:hAnsi="Times New Roman" w:eastAsia="宋体" w:cs="Times New Roman"/>
                <w:color w:val="auto"/>
                <w:spacing w:val="7"/>
                <w:position w:val="1"/>
                <w:sz w:val="21"/>
                <w:szCs w:val="21"/>
                <w:u w:val="none" w:color="auto"/>
              </w:rPr>
              <w:t>(硫含量大于3%)。玻璃行业全面禁止掺</w:t>
            </w:r>
            <w:r>
              <w:rPr>
                <w:rFonts w:hint="default" w:ascii="Times New Roman" w:hAnsi="Times New Roman" w:eastAsia="宋体" w:cs="Times New Roman"/>
                <w:color w:val="auto"/>
                <w:spacing w:val="2"/>
                <w:position w:val="1"/>
                <w:sz w:val="21"/>
                <w:szCs w:val="21"/>
                <w:u w:val="none" w:color="auto"/>
              </w:rPr>
              <w:t>烧</w:t>
            </w:r>
            <w:r>
              <w:rPr>
                <w:rFonts w:hint="default" w:ascii="Times New Roman" w:hAnsi="Times New Roman" w:eastAsia="宋体" w:cs="Times New Roman"/>
                <w:color w:val="auto"/>
                <w:spacing w:val="7"/>
                <w:sz w:val="21"/>
                <w:szCs w:val="21"/>
                <w:u w:val="none" w:color="auto"/>
              </w:rPr>
              <w:t>高硫石油焦</w:t>
            </w:r>
          </w:p>
        </w:tc>
        <w:tc>
          <w:tcPr>
            <w:tcW w:w="27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本</w:t>
            </w:r>
            <w:r>
              <w:rPr>
                <w:rFonts w:hint="default" w:ascii="Times New Roman" w:hAnsi="Times New Roman" w:eastAsia="宋体" w:cs="Times New Roman"/>
                <w:color w:val="auto"/>
                <w:spacing w:val="8"/>
                <w:sz w:val="21"/>
                <w:szCs w:val="21"/>
                <w:u w:val="none" w:color="auto"/>
              </w:rPr>
              <w:t>项目使用</w:t>
            </w:r>
            <w:r>
              <w:rPr>
                <w:rFonts w:hint="eastAsia" w:ascii="Times New Roman" w:hAnsi="Times New Roman" w:eastAsia="宋体" w:cs="Times New Roman"/>
                <w:color w:val="auto"/>
                <w:spacing w:val="8"/>
                <w:sz w:val="21"/>
                <w:szCs w:val="21"/>
                <w:u w:val="none" w:color="auto"/>
                <w:lang w:eastAsia="zh-CN"/>
              </w:rPr>
              <w:t>电能和</w:t>
            </w:r>
            <w:r>
              <w:rPr>
                <w:rFonts w:hint="default" w:ascii="Times New Roman" w:hAnsi="Times New Roman" w:eastAsia="宋体" w:cs="Times New Roman"/>
                <w:color w:val="auto"/>
                <w:spacing w:val="8"/>
                <w:sz w:val="21"/>
                <w:szCs w:val="21"/>
                <w:u w:val="none" w:color="auto"/>
              </w:rPr>
              <w:t>天然气</w:t>
            </w:r>
          </w:p>
        </w:tc>
        <w:tc>
          <w:tcPr>
            <w:tcW w:w="1114"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2" w:type="dxa"/>
          <w:trHeight w:val="454" w:hRule="atLeast"/>
          <w:jc w:val="center"/>
        </w:trPr>
        <w:tc>
          <w:tcPr>
            <w:tcW w:w="462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3"/>
                <w:sz w:val="21"/>
                <w:szCs w:val="21"/>
                <w:u w:val="none" w:color="auto"/>
              </w:rPr>
              <w:t>实</w:t>
            </w:r>
            <w:r>
              <w:rPr>
                <w:rFonts w:hint="default" w:ascii="Times New Roman" w:hAnsi="Times New Roman" w:eastAsia="宋体" w:cs="Times New Roman"/>
                <w:color w:val="auto"/>
                <w:spacing w:val="9"/>
                <w:sz w:val="21"/>
                <w:szCs w:val="21"/>
                <w:u w:val="none" w:color="auto"/>
              </w:rPr>
              <w:t>施污染深度治理。推进工业炉窑全面达标</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排</w:t>
            </w:r>
            <w:r>
              <w:rPr>
                <w:rFonts w:hint="default" w:ascii="Times New Roman" w:hAnsi="Times New Roman" w:eastAsia="宋体" w:cs="Times New Roman"/>
                <w:color w:val="auto"/>
                <w:spacing w:val="9"/>
                <w:sz w:val="21"/>
                <w:szCs w:val="21"/>
                <w:u w:val="none" w:color="auto"/>
              </w:rPr>
              <w:t>放。已有行业排放标准的工业炉窑，严格</w:t>
            </w:r>
            <w:r>
              <w:rPr>
                <w:rFonts w:hint="default" w:ascii="Times New Roman" w:hAnsi="Times New Roman" w:eastAsia="宋体" w:cs="Times New Roman"/>
                <w:color w:val="auto"/>
                <w:spacing w:val="18"/>
                <w:sz w:val="21"/>
                <w:szCs w:val="21"/>
                <w:u w:val="none" w:color="auto"/>
              </w:rPr>
              <w:t>执</w:t>
            </w:r>
            <w:r>
              <w:rPr>
                <w:rFonts w:hint="default" w:ascii="Times New Roman" w:hAnsi="Times New Roman" w:eastAsia="宋体" w:cs="Times New Roman"/>
                <w:color w:val="auto"/>
                <w:spacing w:val="9"/>
                <w:sz w:val="21"/>
                <w:szCs w:val="21"/>
                <w:u w:val="none" w:color="auto"/>
              </w:rPr>
              <w:t>行行业排放标准相关规定，配套建设高效</w:t>
            </w:r>
            <w:r>
              <w:rPr>
                <w:rFonts w:hint="default" w:ascii="Times New Roman" w:hAnsi="Times New Roman" w:eastAsia="宋体" w:cs="Times New Roman"/>
                <w:color w:val="auto"/>
                <w:spacing w:val="20"/>
                <w:sz w:val="21"/>
                <w:szCs w:val="21"/>
                <w:u w:val="none" w:color="auto"/>
              </w:rPr>
              <w:t>脱</w:t>
            </w:r>
            <w:r>
              <w:rPr>
                <w:rFonts w:hint="default" w:ascii="Times New Roman" w:hAnsi="Times New Roman" w:eastAsia="宋体" w:cs="Times New Roman"/>
                <w:color w:val="auto"/>
                <w:spacing w:val="11"/>
                <w:sz w:val="21"/>
                <w:szCs w:val="21"/>
                <w:u w:val="none" w:color="auto"/>
              </w:rPr>
              <w:t>硫</w:t>
            </w:r>
            <w:r>
              <w:rPr>
                <w:rFonts w:hint="default" w:ascii="Times New Roman" w:hAnsi="Times New Roman" w:eastAsia="宋体" w:cs="Times New Roman"/>
                <w:color w:val="auto"/>
                <w:spacing w:val="10"/>
                <w:sz w:val="21"/>
                <w:szCs w:val="21"/>
                <w:u w:val="none" w:color="auto"/>
              </w:rPr>
              <w:t>脱硝除尘设施，确保稳定达标排放。已</w:t>
            </w:r>
            <w:r>
              <w:rPr>
                <w:rFonts w:hint="default" w:ascii="Times New Roman" w:hAnsi="Times New Roman" w:eastAsia="宋体" w:cs="Times New Roman"/>
                <w:color w:val="auto"/>
                <w:spacing w:val="14"/>
                <w:sz w:val="21"/>
                <w:szCs w:val="21"/>
                <w:u w:val="none" w:color="auto"/>
              </w:rPr>
              <w:t>核</w:t>
            </w:r>
            <w:r>
              <w:rPr>
                <w:rFonts w:hint="default" w:ascii="Times New Roman" w:hAnsi="Times New Roman" w:eastAsia="宋体" w:cs="Times New Roman"/>
                <w:color w:val="auto"/>
                <w:spacing w:val="9"/>
                <w:sz w:val="21"/>
                <w:szCs w:val="21"/>
                <w:u w:val="none" w:color="auto"/>
              </w:rPr>
              <w:t>发排污许可证的，应严格执行许可要求</w:t>
            </w:r>
          </w:p>
        </w:tc>
        <w:tc>
          <w:tcPr>
            <w:tcW w:w="2770"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rPr>
              <w:t>本</w:t>
            </w:r>
            <w:r>
              <w:rPr>
                <w:rFonts w:hint="default" w:ascii="Times New Roman" w:hAnsi="Times New Roman" w:eastAsia="宋体" w:cs="Times New Roman"/>
                <w:color w:val="auto"/>
                <w:spacing w:val="9"/>
                <w:sz w:val="21"/>
                <w:szCs w:val="21"/>
                <w:u w:val="none" w:color="auto"/>
              </w:rPr>
              <w:t>项目熔炼炉</w:t>
            </w:r>
            <w:r>
              <w:rPr>
                <w:rFonts w:hint="eastAsia" w:ascii="Times New Roman" w:hAnsi="Times New Roman" w:eastAsia="宋体" w:cs="Times New Roman"/>
                <w:color w:val="auto"/>
                <w:spacing w:val="9"/>
                <w:sz w:val="21"/>
                <w:szCs w:val="21"/>
                <w:u w:val="none" w:color="auto"/>
                <w:lang w:eastAsia="zh-CN"/>
              </w:rPr>
              <w:t>使用电能，</w:t>
            </w:r>
            <w:r>
              <w:rPr>
                <w:rFonts w:hint="default" w:ascii="Times New Roman" w:hAnsi="Times New Roman" w:eastAsia="宋体" w:cs="Times New Roman"/>
                <w:color w:val="auto"/>
                <w:spacing w:val="9"/>
                <w:sz w:val="21"/>
                <w:szCs w:val="21"/>
                <w:u w:val="none" w:color="auto"/>
              </w:rPr>
              <w:t>废气配套</w:t>
            </w:r>
            <w:r>
              <w:rPr>
                <w:rFonts w:hint="eastAsia" w:ascii="Times New Roman" w:hAnsi="Times New Roman" w:eastAsia="宋体" w:cs="Times New Roman"/>
                <w:color w:val="auto"/>
                <w:spacing w:val="9"/>
                <w:sz w:val="21"/>
                <w:szCs w:val="21"/>
                <w:u w:val="none" w:color="auto"/>
                <w:lang w:eastAsia="zh-CN"/>
              </w:rPr>
              <w:t>废气处理</w:t>
            </w:r>
            <w:r>
              <w:rPr>
                <w:rFonts w:hint="default" w:ascii="Times New Roman" w:hAnsi="Times New Roman" w:eastAsia="宋体" w:cs="Times New Roman"/>
                <w:color w:val="auto"/>
                <w:spacing w:val="8"/>
                <w:sz w:val="21"/>
                <w:szCs w:val="21"/>
                <w:u w:val="none" w:color="auto"/>
              </w:rPr>
              <w:t>设施，能稳定达标排</w:t>
            </w:r>
            <w:r>
              <w:rPr>
                <w:rFonts w:hint="default" w:ascii="Times New Roman" w:hAnsi="Times New Roman" w:eastAsia="宋体" w:cs="Times New Roman"/>
                <w:color w:val="auto"/>
                <w:spacing w:val="8"/>
                <w:sz w:val="21"/>
                <w:szCs w:val="21"/>
                <w:u w:val="none" w:color="auto"/>
                <w:lang w:eastAsia="zh-CN"/>
              </w:rPr>
              <w:t>放</w:t>
            </w:r>
            <w:r>
              <w:rPr>
                <w:rFonts w:hint="default" w:ascii="Times New Roman" w:hAnsi="Times New Roman" w:eastAsia="宋体" w:cs="Times New Roman"/>
                <w:color w:val="auto"/>
                <w:position w:val="1"/>
                <w:sz w:val="21"/>
                <w:szCs w:val="21"/>
                <w:u w:val="none" w:color="auto"/>
              </w:rPr>
              <w:t>。</w:t>
            </w:r>
          </w:p>
        </w:tc>
        <w:tc>
          <w:tcPr>
            <w:tcW w:w="1112"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2" w:type="dxa"/>
          <w:trHeight w:val="454" w:hRule="atLeast"/>
          <w:jc w:val="center"/>
        </w:trPr>
        <w:tc>
          <w:tcPr>
            <w:tcW w:w="462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全</w:t>
            </w:r>
            <w:r>
              <w:rPr>
                <w:rFonts w:hint="default" w:ascii="Times New Roman" w:hAnsi="Times New Roman" w:eastAsia="宋体" w:cs="Times New Roman"/>
                <w:color w:val="auto"/>
                <w:spacing w:val="9"/>
                <w:sz w:val="21"/>
                <w:szCs w:val="21"/>
                <w:u w:val="none" w:color="auto"/>
              </w:rPr>
              <w:t>面加强无组织排放管理。严格控制工业炉</w:t>
            </w:r>
            <w:r>
              <w:rPr>
                <w:rFonts w:hint="default" w:ascii="Times New Roman" w:hAnsi="Times New Roman" w:eastAsia="宋体" w:cs="Times New Roman"/>
                <w:color w:val="auto"/>
                <w:spacing w:val="13"/>
                <w:sz w:val="21"/>
                <w:szCs w:val="21"/>
                <w:u w:val="none" w:color="auto"/>
              </w:rPr>
              <w:t>窑</w:t>
            </w:r>
            <w:r>
              <w:rPr>
                <w:rFonts w:hint="default" w:ascii="Times New Roman" w:hAnsi="Times New Roman" w:eastAsia="宋体" w:cs="Times New Roman"/>
                <w:color w:val="auto"/>
                <w:spacing w:val="9"/>
                <w:sz w:val="21"/>
                <w:szCs w:val="21"/>
                <w:u w:val="none" w:color="auto"/>
              </w:rPr>
              <w:t>生产工艺过程及相关物料储存、输送等无</w:t>
            </w:r>
            <w:r>
              <w:rPr>
                <w:rFonts w:hint="default" w:ascii="Times New Roman" w:hAnsi="Times New Roman" w:eastAsia="宋体" w:cs="Times New Roman"/>
                <w:color w:val="auto"/>
                <w:spacing w:val="16"/>
                <w:sz w:val="21"/>
                <w:szCs w:val="21"/>
                <w:u w:val="none" w:color="auto"/>
              </w:rPr>
              <w:t>组</w:t>
            </w:r>
            <w:r>
              <w:rPr>
                <w:rFonts w:hint="default" w:ascii="Times New Roman" w:hAnsi="Times New Roman" w:eastAsia="宋体" w:cs="Times New Roman"/>
                <w:color w:val="auto"/>
                <w:spacing w:val="9"/>
                <w:sz w:val="21"/>
                <w:szCs w:val="21"/>
                <w:u w:val="none" w:color="auto"/>
              </w:rPr>
              <w:t>织排放，在保障生产安全的前提下，采取</w:t>
            </w:r>
            <w:r>
              <w:rPr>
                <w:rFonts w:hint="default" w:ascii="Times New Roman" w:hAnsi="Times New Roman" w:eastAsia="宋体" w:cs="Times New Roman"/>
                <w:color w:val="auto"/>
                <w:spacing w:val="17"/>
                <w:sz w:val="21"/>
                <w:szCs w:val="21"/>
                <w:u w:val="none" w:color="auto"/>
              </w:rPr>
              <w:t>密</w:t>
            </w:r>
            <w:r>
              <w:rPr>
                <w:rFonts w:hint="default" w:ascii="Times New Roman" w:hAnsi="Times New Roman" w:eastAsia="宋体" w:cs="Times New Roman"/>
                <w:color w:val="auto"/>
                <w:spacing w:val="9"/>
                <w:sz w:val="21"/>
                <w:szCs w:val="21"/>
                <w:u w:val="none" w:color="auto"/>
              </w:rPr>
              <w:t>闭、封闭等有效措施，有效提高废气收集</w:t>
            </w:r>
            <w:r>
              <w:rPr>
                <w:rFonts w:hint="default" w:ascii="Times New Roman" w:hAnsi="Times New Roman" w:eastAsia="宋体" w:cs="Times New Roman"/>
                <w:color w:val="auto"/>
                <w:spacing w:val="7"/>
                <w:sz w:val="21"/>
                <w:szCs w:val="21"/>
                <w:u w:val="none" w:color="auto"/>
              </w:rPr>
              <w:t>率</w:t>
            </w:r>
            <w:r>
              <w:rPr>
                <w:rFonts w:hint="default" w:ascii="Times New Roman" w:hAnsi="Times New Roman" w:eastAsia="宋体" w:cs="Times New Roman"/>
                <w:color w:val="auto"/>
                <w:spacing w:val="6"/>
                <w:sz w:val="21"/>
                <w:szCs w:val="21"/>
                <w:u w:val="none" w:color="auto"/>
              </w:rPr>
              <w:t>，产尘点及车间不得有可见烟颗粒物外逸。</w:t>
            </w:r>
            <w:r>
              <w:rPr>
                <w:rFonts w:hint="default" w:ascii="Times New Roman" w:hAnsi="Times New Roman" w:eastAsia="宋体" w:cs="Times New Roman"/>
                <w:color w:val="auto"/>
                <w:spacing w:val="16"/>
                <w:sz w:val="21"/>
                <w:szCs w:val="21"/>
                <w:u w:val="none" w:color="auto"/>
              </w:rPr>
              <w:t>生</w:t>
            </w:r>
            <w:r>
              <w:rPr>
                <w:rFonts w:hint="default" w:ascii="Times New Roman" w:hAnsi="Times New Roman" w:eastAsia="宋体" w:cs="Times New Roman"/>
                <w:color w:val="auto"/>
                <w:spacing w:val="11"/>
                <w:sz w:val="21"/>
                <w:szCs w:val="21"/>
                <w:u w:val="none" w:color="auto"/>
              </w:rPr>
              <w:t>产</w:t>
            </w:r>
            <w:r>
              <w:rPr>
                <w:rFonts w:hint="default" w:ascii="Times New Roman" w:hAnsi="Times New Roman" w:eastAsia="宋体" w:cs="Times New Roman"/>
                <w:color w:val="auto"/>
                <w:spacing w:val="8"/>
                <w:sz w:val="21"/>
                <w:szCs w:val="21"/>
                <w:u w:val="none" w:color="auto"/>
              </w:rPr>
              <w:t>工艺产尘点(装置)应采取密闭、封闭</w:t>
            </w:r>
            <w:r>
              <w:rPr>
                <w:rFonts w:hint="default" w:ascii="Times New Roman" w:hAnsi="Times New Roman" w:eastAsia="宋体" w:cs="Times New Roman"/>
                <w:color w:val="auto"/>
                <w:spacing w:val="16"/>
                <w:sz w:val="21"/>
                <w:szCs w:val="21"/>
                <w:u w:val="none" w:color="auto"/>
              </w:rPr>
              <w:t>或</w:t>
            </w:r>
            <w:r>
              <w:rPr>
                <w:rFonts w:hint="default" w:ascii="Times New Roman" w:hAnsi="Times New Roman" w:eastAsia="宋体" w:cs="Times New Roman"/>
                <w:color w:val="auto"/>
                <w:spacing w:val="9"/>
                <w:sz w:val="21"/>
                <w:szCs w:val="21"/>
                <w:u w:val="none" w:color="auto"/>
              </w:rPr>
              <w:t>设置集气罩等措施。粉状物料应密闭或封</w:t>
            </w:r>
            <w:r>
              <w:rPr>
                <w:rFonts w:hint="default" w:ascii="Times New Roman" w:hAnsi="Times New Roman" w:eastAsia="宋体" w:cs="Times New Roman"/>
                <w:color w:val="auto"/>
                <w:spacing w:val="16"/>
                <w:sz w:val="21"/>
                <w:szCs w:val="21"/>
                <w:u w:val="none" w:color="auto"/>
              </w:rPr>
              <w:t>闭</w:t>
            </w:r>
            <w:r>
              <w:rPr>
                <w:rFonts w:hint="default" w:ascii="Times New Roman" w:hAnsi="Times New Roman" w:eastAsia="宋体" w:cs="Times New Roman"/>
                <w:color w:val="auto"/>
                <w:spacing w:val="8"/>
                <w:sz w:val="21"/>
                <w:szCs w:val="21"/>
                <w:u w:val="none" w:color="auto"/>
              </w:rPr>
              <w:t>储存，采用密闭皮带、封闭通廊、管状带</w:t>
            </w:r>
            <w:r>
              <w:rPr>
                <w:rFonts w:hint="default" w:ascii="Times New Roman" w:hAnsi="Times New Roman" w:eastAsia="宋体" w:cs="Times New Roman"/>
                <w:color w:val="auto"/>
                <w:spacing w:val="14"/>
                <w:sz w:val="21"/>
                <w:szCs w:val="21"/>
                <w:u w:val="none" w:color="auto"/>
              </w:rPr>
              <w:t>式</w:t>
            </w:r>
            <w:r>
              <w:rPr>
                <w:rFonts w:hint="default" w:ascii="Times New Roman" w:hAnsi="Times New Roman" w:eastAsia="宋体" w:cs="Times New Roman"/>
                <w:color w:val="auto"/>
                <w:spacing w:val="9"/>
                <w:sz w:val="21"/>
                <w:szCs w:val="21"/>
                <w:u w:val="none" w:color="auto"/>
              </w:rPr>
              <w:t>输送机或密闭车厢、真空罐车、气力输送</w:t>
            </w:r>
            <w:r>
              <w:rPr>
                <w:rFonts w:hint="default" w:ascii="Times New Roman" w:hAnsi="Times New Roman" w:eastAsia="宋体" w:cs="Times New Roman"/>
                <w:color w:val="auto"/>
                <w:spacing w:val="17"/>
                <w:sz w:val="21"/>
                <w:szCs w:val="21"/>
                <w:u w:val="none" w:color="auto"/>
              </w:rPr>
              <w:t>等</w:t>
            </w:r>
            <w:r>
              <w:rPr>
                <w:rFonts w:hint="default" w:ascii="Times New Roman" w:hAnsi="Times New Roman" w:eastAsia="宋体" w:cs="Times New Roman"/>
                <w:color w:val="auto"/>
                <w:spacing w:val="9"/>
                <w:sz w:val="21"/>
                <w:szCs w:val="21"/>
                <w:u w:val="none" w:color="auto"/>
              </w:rPr>
              <w:t>方式输送。粒状、块状物料应采用入棚入</w:t>
            </w:r>
            <w:r>
              <w:rPr>
                <w:rFonts w:hint="default" w:ascii="Times New Roman" w:hAnsi="Times New Roman" w:eastAsia="宋体" w:cs="Times New Roman"/>
                <w:color w:val="auto"/>
                <w:spacing w:val="18"/>
                <w:sz w:val="21"/>
                <w:szCs w:val="21"/>
                <w:u w:val="none" w:color="auto"/>
              </w:rPr>
              <w:t>仓</w:t>
            </w:r>
            <w:r>
              <w:rPr>
                <w:rFonts w:hint="default" w:ascii="Times New Roman" w:hAnsi="Times New Roman" w:eastAsia="宋体" w:cs="Times New Roman"/>
                <w:color w:val="auto"/>
                <w:spacing w:val="10"/>
                <w:sz w:val="21"/>
                <w:szCs w:val="21"/>
                <w:u w:val="none" w:color="auto"/>
              </w:rPr>
              <w:t>或</w:t>
            </w:r>
            <w:r>
              <w:rPr>
                <w:rFonts w:hint="default" w:ascii="Times New Roman" w:hAnsi="Times New Roman" w:eastAsia="宋体" w:cs="Times New Roman"/>
                <w:color w:val="auto"/>
                <w:spacing w:val="9"/>
                <w:sz w:val="21"/>
                <w:szCs w:val="21"/>
                <w:u w:val="none" w:color="auto"/>
              </w:rPr>
              <w:t>建设防风抑尘网等方式进行储存，粒状</w:t>
            </w:r>
            <w:r>
              <w:rPr>
                <w:rFonts w:hint="default" w:ascii="Times New Roman" w:hAnsi="Times New Roman" w:eastAsia="宋体" w:cs="Times New Roman"/>
                <w:color w:val="auto"/>
                <w:spacing w:val="18"/>
                <w:sz w:val="21"/>
                <w:szCs w:val="21"/>
                <w:u w:val="none" w:color="auto"/>
              </w:rPr>
              <w:t>物</w:t>
            </w:r>
            <w:r>
              <w:rPr>
                <w:rFonts w:hint="default" w:ascii="Times New Roman" w:hAnsi="Times New Roman" w:eastAsia="宋体" w:cs="Times New Roman"/>
                <w:color w:val="auto"/>
                <w:spacing w:val="9"/>
                <w:sz w:val="21"/>
                <w:szCs w:val="21"/>
                <w:u w:val="none" w:color="auto"/>
              </w:rPr>
              <w:t>料采用密闭、封闭等方式输送。物料输送</w:t>
            </w:r>
            <w:r>
              <w:rPr>
                <w:rFonts w:hint="default" w:ascii="Times New Roman" w:hAnsi="Times New Roman" w:eastAsia="宋体" w:cs="Times New Roman"/>
                <w:color w:val="auto"/>
                <w:spacing w:val="13"/>
                <w:sz w:val="21"/>
                <w:szCs w:val="21"/>
                <w:u w:val="none" w:color="auto"/>
              </w:rPr>
              <w:t>过</w:t>
            </w:r>
            <w:r>
              <w:rPr>
                <w:rFonts w:hint="default" w:ascii="Times New Roman" w:hAnsi="Times New Roman" w:eastAsia="宋体" w:cs="Times New Roman"/>
                <w:color w:val="auto"/>
                <w:spacing w:val="9"/>
                <w:sz w:val="21"/>
                <w:szCs w:val="21"/>
                <w:u w:val="none" w:color="auto"/>
              </w:rPr>
              <w:t>程中产尘点应采取有效抑尘措施</w:t>
            </w:r>
          </w:p>
        </w:tc>
        <w:tc>
          <w:tcPr>
            <w:tcW w:w="2770"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本</w:t>
            </w:r>
            <w:r>
              <w:rPr>
                <w:rFonts w:hint="default" w:ascii="Times New Roman" w:hAnsi="Times New Roman" w:eastAsia="宋体" w:cs="Times New Roman"/>
                <w:color w:val="auto"/>
                <w:spacing w:val="7"/>
                <w:sz w:val="21"/>
                <w:szCs w:val="21"/>
                <w:u w:val="none" w:color="auto"/>
              </w:rPr>
              <w:t>项目生产工艺产尘点(装置)</w:t>
            </w:r>
            <w:r>
              <w:rPr>
                <w:rFonts w:hint="default" w:ascii="Times New Roman" w:hAnsi="Times New Roman" w:eastAsia="宋体" w:cs="Times New Roman"/>
                <w:color w:val="auto"/>
                <w:spacing w:val="16"/>
                <w:sz w:val="21"/>
                <w:szCs w:val="21"/>
                <w:u w:val="none" w:color="auto"/>
              </w:rPr>
              <w:t>采</w:t>
            </w:r>
            <w:r>
              <w:rPr>
                <w:rFonts w:hint="default" w:ascii="Times New Roman" w:hAnsi="Times New Roman" w:eastAsia="宋体" w:cs="Times New Roman"/>
                <w:color w:val="auto"/>
                <w:spacing w:val="9"/>
                <w:sz w:val="21"/>
                <w:szCs w:val="21"/>
                <w:u w:val="none" w:color="auto"/>
              </w:rPr>
              <w:t>取</w:t>
            </w:r>
            <w:r>
              <w:rPr>
                <w:rFonts w:hint="default" w:ascii="Times New Roman" w:hAnsi="Times New Roman" w:eastAsia="宋体" w:cs="Times New Roman"/>
                <w:color w:val="auto"/>
                <w:spacing w:val="8"/>
                <w:sz w:val="21"/>
                <w:szCs w:val="21"/>
                <w:u w:val="none" w:color="auto"/>
              </w:rPr>
              <w:t>密闭、封闭，无法密闭处设</w:t>
            </w:r>
            <w:r>
              <w:rPr>
                <w:rFonts w:hint="default" w:ascii="Times New Roman" w:hAnsi="Times New Roman" w:eastAsia="宋体" w:cs="Times New Roman"/>
                <w:color w:val="auto"/>
                <w:spacing w:val="16"/>
                <w:sz w:val="21"/>
                <w:szCs w:val="21"/>
                <w:u w:val="none" w:color="auto"/>
              </w:rPr>
              <w:t>置</w:t>
            </w:r>
            <w:r>
              <w:rPr>
                <w:rFonts w:hint="default" w:ascii="Times New Roman" w:hAnsi="Times New Roman" w:eastAsia="宋体" w:cs="Times New Roman"/>
                <w:color w:val="auto"/>
                <w:spacing w:val="9"/>
                <w:sz w:val="21"/>
                <w:szCs w:val="21"/>
                <w:u w:val="none" w:color="auto"/>
              </w:rPr>
              <w:t>集</w:t>
            </w:r>
            <w:r>
              <w:rPr>
                <w:rFonts w:hint="default" w:ascii="Times New Roman" w:hAnsi="Times New Roman" w:eastAsia="宋体" w:cs="Times New Roman"/>
                <w:color w:val="auto"/>
                <w:spacing w:val="8"/>
                <w:sz w:val="21"/>
                <w:szCs w:val="21"/>
                <w:u w:val="none" w:color="auto"/>
              </w:rPr>
              <w:t>气罩等措施。粉状物料密闭</w:t>
            </w:r>
            <w:r>
              <w:rPr>
                <w:rFonts w:hint="default" w:ascii="Times New Roman" w:hAnsi="Times New Roman" w:eastAsia="宋体" w:cs="Times New Roman"/>
                <w:color w:val="auto"/>
                <w:spacing w:val="16"/>
                <w:sz w:val="21"/>
                <w:szCs w:val="21"/>
                <w:u w:val="none" w:color="auto"/>
              </w:rPr>
              <w:t>或</w:t>
            </w:r>
            <w:r>
              <w:rPr>
                <w:rFonts w:hint="default" w:ascii="Times New Roman" w:hAnsi="Times New Roman" w:eastAsia="宋体" w:cs="Times New Roman"/>
                <w:color w:val="auto"/>
                <w:spacing w:val="9"/>
                <w:sz w:val="21"/>
                <w:szCs w:val="21"/>
                <w:u w:val="none" w:color="auto"/>
              </w:rPr>
              <w:t>封</w:t>
            </w:r>
            <w:r>
              <w:rPr>
                <w:rFonts w:hint="default" w:ascii="Times New Roman" w:hAnsi="Times New Roman" w:eastAsia="宋体" w:cs="Times New Roman"/>
                <w:color w:val="auto"/>
                <w:spacing w:val="8"/>
                <w:sz w:val="21"/>
                <w:szCs w:val="21"/>
                <w:u w:val="none" w:color="auto"/>
              </w:rPr>
              <w:t>闭储存。粒状物料采用封闭</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袋</w:t>
            </w:r>
            <w:r>
              <w:rPr>
                <w:rFonts w:hint="default" w:ascii="Times New Roman" w:hAnsi="Times New Roman" w:eastAsia="宋体" w:cs="Times New Roman"/>
                <w:color w:val="auto"/>
                <w:spacing w:val="8"/>
                <w:sz w:val="21"/>
                <w:szCs w:val="21"/>
                <w:u w:val="none" w:color="auto"/>
              </w:rPr>
              <w:t>装等方式输送</w:t>
            </w:r>
          </w:p>
        </w:tc>
        <w:tc>
          <w:tcPr>
            <w:tcW w:w="1112"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bl>
    <w:p>
      <w:pPr>
        <w:keepNext w:val="0"/>
        <w:keepLines w:val="0"/>
        <w:pageBreakBefore w:val="0"/>
        <w:widowControl w:val="0"/>
        <w:kinsoku/>
        <w:wordWrap/>
        <w:overflowPunct w:val="0"/>
        <w:topLinePunct/>
        <w:autoSpaceDE w:val="0"/>
        <w:autoSpaceDN w:val="0"/>
        <w:bidi w:val="0"/>
        <w:adjustRightInd/>
        <w:snapToGrid w:val="0"/>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由</w:t>
      </w:r>
      <w:r>
        <w:rPr>
          <w:rFonts w:hint="default" w:ascii="Times New Roman" w:hAnsi="Times New Roman" w:eastAsia="宋体" w:cs="Times New Roman"/>
          <w:color w:val="auto"/>
          <w:spacing w:val="11"/>
          <w:sz w:val="24"/>
          <w:szCs w:val="24"/>
          <w:u w:val="none" w:color="auto"/>
        </w:rPr>
        <w:t>上</w:t>
      </w:r>
      <w:r>
        <w:rPr>
          <w:rFonts w:hint="default" w:ascii="Times New Roman" w:hAnsi="Times New Roman" w:eastAsia="宋体" w:cs="Times New Roman"/>
          <w:color w:val="auto"/>
          <w:spacing w:val="8"/>
          <w:sz w:val="24"/>
          <w:szCs w:val="24"/>
          <w:u w:val="none" w:color="auto"/>
        </w:rPr>
        <w:t>表可知，项目符合《工业炉窑大气污染综合治理方案》的要求。</w:t>
      </w:r>
    </w:p>
    <w:p>
      <w:pPr>
        <w:keepNext w:val="0"/>
        <w:keepLines w:val="0"/>
        <w:pageBreakBefore w:val="0"/>
        <w:widowControl w:val="0"/>
        <w:kinsoku/>
        <w:wordWrap/>
        <w:overflowPunct w:val="0"/>
        <w:topLinePunct/>
        <w:autoSpaceDE w:val="0"/>
        <w:autoSpaceDN w:val="0"/>
        <w:bidi w:val="0"/>
        <w:adjustRightInd/>
        <w:snapToGrid w:val="0"/>
        <w:spacing w:line="360" w:lineRule="auto"/>
        <w:ind w:left="0" w:right="0" w:firstLine="552"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8"/>
          <w:sz w:val="24"/>
          <w:szCs w:val="24"/>
          <w:u w:val="none" w:color="auto"/>
          <w:lang w:eastAsia="zh-CN"/>
        </w:rPr>
        <w:t>（</w:t>
      </w:r>
      <w:r>
        <w:rPr>
          <w:rFonts w:hint="default" w:ascii="Times New Roman" w:hAnsi="Times New Roman" w:eastAsia="宋体" w:cs="Times New Roman"/>
          <w:color w:val="auto"/>
          <w:spacing w:val="18"/>
          <w:sz w:val="24"/>
          <w:szCs w:val="24"/>
          <w:u w:val="none" w:color="auto"/>
          <w:lang w:val="en-US" w:eastAsia="zh-CN"/>
        </w:rPr>
        <w:t>6</w:t>
      </w:r>
      <w:r>
        <w:rPr>
          <w:rFonts w:hint="default" w:ascii="Times New Roman" w:hAnsi="Times New Roman" w:eastAsia="宋体" w:cs="Times New Roman"/>
          <w:color w:val="auto"/>
          <w:spacing w:val="18"/>
          <w:sz w:val="24"/>
          <w:szCs w:val="24"/>
          <w:u w:val="none" w:color="auto"/>
          <w:lang w:eastAsia="zh-CN"/>
        </w:rPr>
        <w:t>）</w:t>
      </w:r>
      <w:r>
        <w:rPr>
          <w:rFonts w:hint="default" w:ascii="Times New Roman" w:hAnsi="Times New Roman" w:eastAsia="宋体" w:cs="Times New Roman"/>
          <w:color w:val="auto"/>
          <w:spacing w:val="11"/>
          <w:sz w:val="24"/>
          <w:szCs w:val="24"/>
          <w:u w:val="none" w:color="auto"/>
        </w:rPr>
        <w:t>与《湖南省工业炉窑大气污染综合治理实施方案(湘环发〔2020〕6号</w:t>
      </w:r>
      <w:r>
        <w:rPr>
          <w:rFonts w:hint="default" w:ascii="Times New Roman" w:hAnsi="Times New Roman" w:eastAsia="宋体" w:cs="Times New Roman"/>
          <w:color w:val="auto"/>
          <w:spacing w:val="7"/>
          <w:sz w:val="24"/>
          <w:szCs w:val="24"/>
          <w:u w:val="none" w:color="auto"/>
        </w:rPr>
        <w:t>)》的相符性分析</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表1.3-6本项目与《湖南省工业炉窑大气污染综合治理实施方案(湘环发〔2020〕6号)》有关条款符合性分析</w:t>
      </w:r>
    </w:p>
    <w:tbl>
      <w:tblPr>
        <w:tblStyle w:val="204"/>
        <w:tblW w:w="85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519"/>
        <w:gridCol w:w="2888"/>
        <w:gridCol w:w="11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51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4"/>
                <w:sz w:val="21"/>
                <w:szCs w:val="21"/>
                <w:u w:val="none" w:color="auto"/>
              </w:rPr>
            </w:pPr>
            <w:r>
              <w:rPr>
                <w:rFonts w:hint="default" w:ascii="Times New Roman" w:hAnsi="Times New Roman" w:eastAsia="宋体" w:cs="Times New Roman"/>
                <w:b/>
                <w:bCs/>
                <w:color w:val="auto"/>
                <w:spacing w:val="4"/>
                <w:sz w:val="21"/>
                <w:szCs w:val="21"/>
                <w:u w:val="none" w:color="auto"/>
              </w:rPr>
              <w:t>规范要求</w:t>
            </w:r>
          </w:p>
        </w:tc>
        <w:tc>
          <w:tcPr>
            <w:tcW w:w="288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4"/>
                <w:sz w:val="21"/>
                <w:szCs w:val="21"/>
                <w:u w:val="none" w:color="auto"/>
              </w:rPr>
            </w:pPr>
            <w:r>
              <w:rPr>
                <w:rFonts w:hint="default" w:ascii="Times New Roman" w:hAnsi="Times New Roman" w:eastAsia="宋体" w:cs="Times New Roman"/>
                <w:b/>
                <w:bCs/>
                <w:color w:val="auto"/>
                <w:spacing w:val="4"/>
                <w:sz w:val="21"/>
                <w:szCs w:val="21"/>
                <w:u w:val="none" w:color="auto"/>
              </w:rPr>
              <w:t>本项目情况</w:t>
            </w:r>
          </w:p>
        </w:tc>
        <w:tc>
          <w:tcPr>
            <w:tcW w:w="111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4"/>
                <w:sz w:val="21"/>
                <w:szCs w:val="21"/>
                <w:u w:val="none" w:color="auto"/>
              </w:rPr>
            </w:pPr>
            <w:r>
              <w:rPr>
                <w:rFonts w:hint="default" w:ascii="Times New Roman" w:hAnsi="Times New Roman" w:eastAsia="宋体" w:cs="Times New Roman"/>
                <w:b/>
                <w:bCs/>
                <w:color w:val="auto"/>
                <w:spacing w:val="4"/>
                <w:sz w:val="21"/>
                <w:szCs w:val="21"/>
                <w:u w:val="none" w:color="auto"/>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51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4"/>
                <w:sz w:val="21"/>
                <w:szCs w:val="21"/>
                <w:u w:val="none" w:color="auto"/>
              </w:rPr>
              <w:t>已</w:t>
            </w:r>
            <w:r>
              <w:rPr>
                <w:rFonts w:hint="default" w:ascii="Times New Roman" w:hAnsi="Times New Roman" w:eastAsia="宋体" w:cs="Times New Roman"/>
                <w:color w:val="auto"/>
                <w:spacing w:val="8"/>
                <w:sz w:val="21"/>
                <w:szCs w:val="21"/>
                <w:u w:val="none" w:color="auto"/>
              </w:rPr>
              <w:t>有行业排放标准的工业炉窑，严格按行业排</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放</w:t>
            </w:r>
            <w:r>
              <w:rPr>
                <w:rFonts w:hint="default" w:ascii="Times New Roman" w:hAnsi="Times New Roman" w:eastAsia="宋体" w:cs="Times New Roman"/>
                <w:color w:val="auto"/>
                <w:spacing w:val="5"/>
                <w:sz w:val="21"/>
                <w:szCs w:val="21"/>
                <w:u w:val="none" w:color="auto"/>
              </w:rPr>
              <w:t>标</w:t>
            </w:r>
            <w:r>
              <w:rPr>
                <w:rFonts w:hint="default" w:ascii="Times New Roman" w:hAnsi="Times New Roman" w:eastAsia="宋体" w:cs="Times New Roman"/>
                <w:color w:val="auto"/>
                <w:spacing w:val="4"/>
                <w:sz w:val="21"/>
                <w:szCs w:val="21"/>
                <w:u w:val="none" w:color="auto"/>
              </w:rPr>
              <w:t>准执行，已发放排污许可证的，应严格执</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5"/>
                <w:sz w:val="21"/>
                <w:szCs w:val="21"/>
                <w:u w:val="none" w:color="auto"/>
              </w:rPr>
              <w:t>行</w:t>
            </w:r>
            <w:r>
              <w:rPr>
                <w:rFonts w:hint="default" w:ascii="Times New Roman" w:hAnsi="Times New Roman" w:eastAsia="宋体" w:cs="Times New Roman"/>
                <w:color w:val="auto"/>
                <w:spacing w:val="9"/>
                <w:sz w:val="21"/>
                <w:szCs w:val="21"/>
                <w:u w:val="none" w:color="auto"/>
              </w:rPr>
              <w:t>排污许可要求。铸造行业烧结、高炉工序污</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5"/>
                <w:sz w:val="21"/>
                <w:szCs w:val="21"/>
                <w:u w:val="none" w:color="auto"/>
              </w:rPr>
              <w:t>染</w:t>
            </w:r>
            <w:r>
              <w:rPr>
                <w:rFonts w:hint="default" w:ascii="Times New Roman" w:hAnsi="Times New Roman" w:eastAsia="宋体" w:cs="Times New Roman"/>
                <w:color w:val="auto"/>
                <w:spacing w:val="9"/>
                <w:sz w:val="21"/>
                <w:szCs w:val="21"/>
                <w:u w:val="none" w:color="auto"/>
              </w:rPr>
              <w:t>排放控制按照钢铁行业相关标准要求执行</w:t>
            </w:r>
          </w:p>
        </w:tc>
        <w:tc>
          <w:tcPr>
            <w:tcW w:w="288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本项目严格按照行业标准执</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行</w:t>
            </w:r>
            <w:r>
              <w:rPr>
                <w:rFonts w:hint="default" w:ascii="Times New Roman" w:hAnsi="Times New Roman" w:eastAsia="宋体" w:cs="Times New Roman"/>
                <w:color w:val="auto"/>
                <w:spacing w:val="5"/>
                <w:sz w:val="21"/>
                <w:szCs w:val="21"/>
                <w:u w:val="none" w:color="auto"/>
              </w:rPr>
              <w:t>，环评完成后及时申领排污</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0"/>
                <w:sz w:val="21"/>
                <w:szCs w:val="21"/>
                <w:u w:val="none" w:color="auto"/>
              </w:rPr>
              <w:t>许</w:t>
            </w:r>
            <w:r>
              <w:rPr>
                <w:rFonts w:hint="default" w:ascii="Times New Roman" w:hAnsi="Times New Roman" w:eastAsia="宋体" w:cs="Times New Roman"/>
                <w:color w:val="auto"/>
                <w:spacing w:val="6"/>
                <w:sz w:val="21"/>
                <w:szCs w:val="21"/>
                <w:u w:val="none" w:color="auto"/>
              </w:rPr>
              <w:t>可</w:t>
            </w:r>
            <w:r>
              <w:rPr>
                <w:rFonts w:hint="default" w:ascii="Times New Roman" w:hAnsi="Times New Roman" w:eastAsia="宋体" w:cs="Times New Roman"/>
                <w:color w:val="auto"/>
                <w:spacing w:val="5"/>
                <w:sz w:val="21"/>
                <w:szCs w:val="21"/>
                <w:u w:val="none" w:color="auto"/>
              </w:rPr>
              <w:t>证。按行业标准与综合治</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理实施方案限值的较严者</w:t>
            </w:r>
            <w:r>
              <w:rPr>
                <w:rFonts w:hint="default" w:ascii="Times New Roman" w:hAnsi="Times New Roman" w:eastAsia="宋体" w:cs="Times New Roman"/>
                <w:color w:val="auto"/>
                <w:spacing w:val="8"/>
                <w:sz w:val="21"/>
                <w:szCs w:val="21"/>
                <w:u w:val="none" w:color="auto"/>
              </w:rPr>
              <w:t>执</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行</w:t>
            </w:r>
            <w:r>
              <w:rPr>
                <w:rFonts w:hint="default" w:ascii="Times New Roman" w:hAnsi="Times New Roman" w:eastAsia="宋体" w:cs="Times New Roman"/>
                <w:color w:val="auto"/>
                <w:spacing w:val="4"/>
                <w:sz w:val="21"/>
                <w:szCs w:val="21"/>
                <w:u w:val="none" w:color="auto"/>
              </w:rPr>
              <w:t>限值。</w:t>
            </w:r>
          </w:p>
        </w:tc>
        <w:tc>
          <w:tcPr>
            <w:tcW w:w="111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51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严</w:t>
            </w:r>
            <w:r>
              <w:rPr>
                <w:rFonts w:hint="default" w:ascii="Times New Roman" w:hAnsi="Times New Roman" w:eastAsia="宋体" w:cs="Times New Roman"/>
                <w:color w:val="auto"/>
                <w:spacing w:val="10"/>
                <w:sz w:val="21"/>
                <w:szCs w:val="21"/>
                <w:u w:val="none" w:color="auto"/>
              </w:rPr>
              <w:t>格控制工业炉窑生产过程及相关物料储存、</w:t>
            </w:r>
            <w:r>
              <w:rPr>
                <w:rFonts w:hint="default" w:ascii="Times New Roman" w:hAnsi="Times New Roman" w:eastAsia="宋体" w:cs="Times New Roman"/>
                <w:color w:val="auto"/>
                <w:spacing w:val="8"/>
                <w:sz w:val="21"/>
                <w:szCs w:val="21"/>
                <w:u w:val="none" w:color="auto"/>
              </w:rPr>
              <w:t>输</w:t>
            </w:r>
            <w:r>
              <w:rPr>
                <w:rFonts w:hint="default" w:ascii="Times New Roman" w:hAnsi="Times New Roman" w:eastAsia="宋体" w:cs="Times New Roman"/>
                <w:color w:val="auto"/>
                <w:spacing w:val="7"/>
                <w:sz w:val="21"/>
                <w:szCs w:val="21"/>
                <w:u w:val="none" w:color="auto"/>
              </w:rPr>
              <w:t>送等无组织排放，在保障生产安全的前提下，</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采</w:t>
            </w:r>
            <w:r>
              <w:rPr>
                <w:rFonts w:hint="default" w:ascii="Times New Roman" w:hAnsi="Times New Roman" w:eastAsia="宋体" w:cs="Times New Roman"/>
                <w:color w:val="auto"/>
                <w:spacing w:val="10"/>
                <w:sz w:val="21"/>
                <w:szCs w:val="21"/>
                <w:u w:val="none" w:color="auto"/>
              </w:rPr>
              <w:t>取</w:t>
            </w:r>
            <w:r>
              <w:rPr>
                <w:rFonts w:hint="default" w:ascii="Times New Roman" w:hAnsi="Times New Roman" w:eastAsia="宋体" w:cs="Times New Roman"/>
                <w:color w:val="auto"/>
                <w:spacing w:val="9"/>
                <w:sz w:val="21"/>
                <w:szCs w:val="21"/>
                <w:u w:val="none" w:color="auto"/>
              </w:rPr>
              <w:t>密闭、封闭等有效措施，有效提高废气收集率，产尘点及车间不得有可见烟粉尘外逸。</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6"/>
                <w:sz w:val="21"/>
                <w:szCs w:val="21"/>
                <w:u w:val="none" w:color="auto"/>
              </w:rPr>
              <w:t>生</w:t>
            </w:r>
            <w:r>
              <w:rPr>
                <w:rFonts w:hint="default" w:ascii="Times New Roman" w:hAnsi="Times New Roman" w:eastAsia="宋体" w:cs="Times New Roman"/>
                <w:color w:val="auto"/>
                <w:spacing w:val="11"/>
                <w:sz w:val="21"/>
                <w:szCs w:val="21"/>
                <w:u w:val="none" w:color="auto"/>
              </w:rPr>
              <w:t>产</w:t>
            </w:r>
            <w:r>
              <w:rPr>
                <w:rFonts w:hint="default" w:ascii="Times New Roman" w:hAnsi="Times New Roman" w:eastAsia="宋体" w:cs="Times New Roman"/>
                <w:color w:val="auto"/>
                <w:spacing w:val="8"/>
                <w:sz w:val="21"/>
                <w:szCs w:val="21"/>
                <w:u w:val="none" w:color="auto"/>
              </w:rPr>
              <w:t>工艺产尘点(装置)应采取密闭、封闭或</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5"/>
                <w:sz w:val="21"/>
                <w:szCs w:val="21"/>
                <w:u w:val="none" w:color="auto"/>
              </w:rPr>
              <w:t>设</w:t>
            </w:r>
            <w:r>
              <w:rPr>
                <w:rFonts w:hint="default" w:ascii="Times New Roman" w:hAnsi="Times New Roman" w:eastAsia="宋体" w:cs="Times New Roman"/>
                <w:color w:val="auto"/>
                <w:spacing w:val="9"/>
                <w:sz w:val="21"/>
                <w:szCs w:val="21"/>
                <w:u w:val="none" w:color="auto"/>
              </w:rPr>
              <w:t>置集气罩等措施。粒状、块状物料应采用入</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棚</w:t>
            </w:r>
            <w:r>
              <w:rPr>
                <w:rFonts w:hint="default" w:ascii="Times New Roman" w:hAnsi="Times New Roman" w:eastAsia="宋体" w:cs="Times New Roman"/>
                <w:color w:val="auto"/>
                <w:spacing w:val="10"/>
                <w:sz w:val="21"/>
                <w:szCs w:val="21"/>
                <w:u w:val="none" w:color="auto"/>
              </w:rPr>
              <w:t>入</w:t>
            </w:r>
            <w:r>
              <w:rPr>
                <w:rFonts w:hint="default" w:ascii="Times New Roman" w:hAnsi="Times New Roman" w:eastAsia="宋体" w:cs="Times New Roman"/>
                <w:color w:val="auto"/>
                <w:spacing w:val="9"/>
                <w:sz w:val="21"/>
                <w:szCs w:val="21"/>
                <w:u w:val="none" w:color="auto"/>
              </w:rPr>
              <w:t>仓或建设防风抑尘网等方式进行储存，粒</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8"/>
                <w:sz w:val="21"/>
                <w:szCs w:val="21"/>
                <w:u w:val="none" w:color="auto"/>
              </w:rPr>
              <w:t>状</w:t>
            </w:r>
            <w:r>
              <w:rPr>
                <w:rFonts w:hint="default" w:ascii="Times New Roman" w:hAnsi="Times New Roman" w:eastAsia="宋体" w:cs="Times New Roman"/>
                <w:color w:val="auto"/>
                <w:spacing w:val="9"/>
                <w:sz w:val="21"/>
                <w:szCs w:val="21"/>
                <w:u w:val="none" w:color="auto"/>
              </w:rPr>
              <w:t>物料采用密闭、封闭等方式输送。物料输送</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3"/>
                <w:sz w:val="21"/>
                <w:szCs w:val="21"/>
                <w:u w:val="none" w:color="auto"/>
              </w:rPr>
              <w:t>过</w:t>
            </w:r>
            <w:r>
              <w:rPr>
                <w:rFonts w:hint="default" w:ascii="Times New Roman" w:hAnsi="Times New Roman" w:eastAsia="宋体" w:cs="Times New Roman"/>
                <w:color w:val="auto"/>
                <w:spacing w:val="9"/>
                <w:sz w:val="21"/>
                <w:szCs w:val="21"/>
                <w:u w:val="none" w:color="auto"/>
              </w:rPr>
              <w:t>程中产尘点应采取有效抑尘措施</w:t>
            </w:r>
          </w:p>
        </w:tc>
        <w:tc>
          <w:tcPr>
            <w:tcW w:w="288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本</w:t>
            </w:r>
            <w:r>
              <w:rPr>
                <w:rFonts w:hint="default" w:ascii="Times New Roman" w:hAnsi="Times New Roman" w:eastAsia="宋体" w:cs="Times New Roman"/>
                <w:color w:val="auto"/>
                <w:spacing w:val="8"/>
                <w:sz w:val="21"/>
                <w:szCs w:val="21"/>
                <w:u w:val="none" w:color="auto"/>
              </w:rPr>
              <w:t>项目生产工艺产尘点(装</w:t>
            </w:r>
            <w:r>
              <w:rPr>
                <w:rFonts w:hint="default" w:ascii="Times New Roman" w:hAnsi="Times New Roman" w:eastAsia="宋体" w:cs="Times New Roman"/>
                <w:color w:val="auto"/>
                <w:spacing w:val="9"/>
                <w:sz w:val="21"/>
                <w:szCs w:val="21"/>
                <w:u w:val="none" w:color="auto"/>
              </w:rPr>
              <w:t>置</w:t>
            </w:r>
            <w:r>
              <w:rPr>
                <w:rFonts w:hint="default" w:ascii="Times New Roman" w:hAnsi="Times New Roman" w:eastAsia="宋体" w:cs="Times New Roman"/>
                <w:color w:val="auto"/>
                <w:spacing w:val="5"/>
                <w:sz w:val="21"/>
                <w:szCs w:val="21"/>
                <w:u w:val="none" w:color="auto"/>
              </w:rPr>
              <w:t>)采取密闭、封闭，无法密</w:t>
            </w:r>
            <w:r>
              <w:rPr>
                <w:rFonts w:hint="default" w:ascii="Times New Roman" w:hAnsi="Times New Roman" w:eastAsia="宋体" w:cs="Times New Roman"/>
                <w:color w:val="auto"/>
                <w:spacing w:val="10"/>
                <w:sz w:val="21"/>
                <w:szCs w:val="21"/>
                <w:u w:val="none" w:color="auto"/>
              </w:rPr>
              <w:t>闭</w:t>
            </w:r>
            <w:r>
              <w:rPr>
                <w:rFonts w:hint="default" w:ascii="Times New Roman" w:hAnsi="Times New Roman" w:eastAsia="宋体" w:cs="Times New Roman"/>
                <w:color w:val="auto"/>
                <w:spacing w:val="9"/>
                <w:sz w:val="21"/>
                <w:szCs w:val="21"/>
                <w:u w:val="none" w:color="auto"/>
              </w:rPr>
              <w:t>处</w:t>
            </w:r>
            <w:r>
              <w:rPr>
                <w:rFonts w:hint="default" w:ascii="Times New Roman" w:hAnsi="Times New Roman" w:eastAsia="宋体" w:cs="Times New Roman"/>
                <w:color w:val="auto"/>
                <w:spacing w:val="5"/>
                <w:sz w:val="21"/>
                <w:szCs w:val="21"/>
                <w:u w:val="none" w:color="auto"/>
              </w:rPr>
              <w:t>设置集气罩等措施。粉状</w:t>
            </w:r>
            <w:r>
              <w:rPr>
                <w:rFonts w:hint="default" w:ascii="Times New Roman" w:hAnsi="Times New Roman" w:eastAsia="宋体" w:cs="Times New Roman"/>
                <w:color w:val="auto"/>
                <w:spacing w:val="10"/>
                <w:sz w:val="21"/>
                <w:szCs w:val="21"/>
                <w:u w:val="none" w:color="auto"/>
              </w:rPr>
              <w:t>物</w:t>
            </w:r>
            <w:r>
              <w:rPr>
                <w:rFonts w:hint="default" w:ascii="Times New Roman" w:hAnsi="Times New Roman" w:eastAsia="宋体" w:cs="Times New Roman"/>
                <w:color w:val="auto"/>
                <w:spacing w:val="9"/>
                <w:sz w:val="21"/>
                <w:szCs w:val="21"/>
                <w:u w:val="none" w:color="auto"/>
              </w:rPr>
              <w:t>料</w:t>
            </w:r>
            <w:r>
              <w:rPr>
                <w:rFonts w:hint="default" w:ascii="Times New Roman" w:hAnsi="Times New Roman" w:eastAsia="宋体" w:cs="Times New Roman"/>
                <w:color w:val="auto"/>
                <w:spacing w:val="5"/>
                <w:sz w:val="21"/>
                <w:szCs w:val="21"/>
                <w:u w:val="none" w:color="auto"/>
              </w:rPr>
              <w:t>密闭或封闭储存。粒状物</w:t>
            </w:r>
            <w:r>
              <w:rPr>
                <w:rFonts w:hint="default" w:ascii="Times New Roman" w:hAnsi="Times New Roman" w:eastAsia="宋体" w:cs="Times New Roman"/>
                <w:color w:val="auto"/>
                <w:spacing w:val="12"/>
                <w:sz w:val="21"/>
                <w:szCs w:val="21"/>
                <w:u w:val="none" w:color="auto"/>
              </w:rPr>
              <w:t>料</w:t>
            </w:r>
            <w:r>
              <w:rPr>
                <w:rFonts w:hint="default" w:ascii="Times New Roman" w:hAnsi="Times New Roman" w:eastAsia="宋体" w:cs="Times New Roman"/>
                <w:color w:val="auto"/>
                <w:spacing w:val="9"/>
                <w:sz w:val="21"/>
                <w:szCs w:val="21"/>
                <w:u w:val="none" w:color="auto"/>
              </w:rPr>
              <w:t>采</w:t>
            </w:r>
            <w:r>
              <w:rPr>
                <w:rFonts w:hint="default" w:ascii="Times New Roman" w:hAnsi="Times New Roman" w:eastAsia="宋体" w:cs="Times New Roman"/>
                <w:color w:val="auto"/>
                <w:spacing w:val="6"/>
                <w:sz w:val="21"/>
                <w:szCs w:val="21"/>
                <w:u w:val="none" w:color="auto"/>
              </w:rPr>
              <w:t>用封闭袋装等方式输送。</w:t>
            </w:r>
          </w:p>
        </w:tc>
        <w:tc>
          <w:tcPr>
            <w:tcW w:w="111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51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7"/>
                <w:sz w:val="21"/>
                <w:szCs w:val="21"/>
                <w:u w:val="none" w:color="auto"/>
              </w:rPr>
              <w:t>提</w:t>
            </w:r>
            <w:r>
              <w:rPr>
                <w:rFonts w:hint="default" w:ascii="Times New Roman" w:hAnsi="Times New Roman" w:eastAsia="宋体" w:cs="Times New Roman"/>
                <w:color w:val="auto"/>
                <w:spacing w:val="9"/>
                <w:sz w:val="21"/>
                <w:szCs w:val="21"/>
                <w:u w:val="none" w:color="auto"/>
              </w:rPr>
              <w:t>升产业高质量发展水平。严格建设项目环境</w:t>
            </w:r>
            <w:r>
              <w:rPr>
                <w:rFonts w:hint="default" w:ascii="Times New Roman" w:hAnsi="Times New Roman" w:eastAsia="宋体" w:cs="Times New Roman"/>
                <w:color w:val="auto"/>
                <w:spacing w:val="20"/>
                <w:sz w:val="21"/>
                <w:szCs w:val="21"/>
                <w:u w:val="none" w:color="auto"/>
              </w:rPr>
              <w:t>准</w:t>
            </w:r>
            <w:r>
              <w:rPr>
                <w:rFonts w:hint="default" w:ascii="Times New Roman" w:hAnsi="Times New Roman" w:eastAsia="宋体" w:cs="Times New Roman"/>
                <w:color w:val="auto"/>
                <w:spacing w:val="15"/>
                <w:sz w:val="21"/>
                <w:szCs w:val="21"/>
                <w:u w:val="none" w:color="auto"/>
              </w:rPr>
              <w:t>入</w:t>
            </w:r>
            <w:r>
              <w:rPr>
                <w:rFonts w:hint="default" w:ascii="Times New Roman" w:hAnsi="Times New Roman" w:eastAsia="宋体" w:cs="Times New Roman"/>
                <w:color w:val="auto"/>
                <w:spacing w:val="10"/>
                <w:sz w:val="21"/>
                <w:szCs w:val="21"/>
                <w:u w:val="none" w:color="auto"/>
              </w:rPr>
              <w:t>，新建涉及工业炉窑的建设项目，原则上</w:t>
            </w:r>
            <w:r>
              <w:rPr>
                <w:rFonts w:hint="default" w:ascii="Times New Roman" w:hAnsi="Times New Roman" w:eastAsia="宋体" w:cs="Times New Roman"/>
                <w:color w:val="auto"/>
                <w:spacing w:val="20"/>
                <w:sz w:val="21"/>
                <w:szCs w:val="21"/>
                <w:u w:val="none" w:color="auto"/>
              </w:rPr>
              <w:t>要</w:t>
            </w:r>
            <w:r>
              <w:rPr>
                <w:rFonts w:hint="default" w:ascii="Times New Roman" w:hAnsi="Times New Roman" w:eastAsia="宋体" w:cs="Times New Roman"/>
                <w:color w:val="auto"/>
                <w:spacing w:val="15"/>
                <w:sz w:val="21"/>
                <w:szCs w:val="21"/>
                <w:u w:val="none" w:color="auto"/>
              </w:rPr>
              <w:t>入</w:t>
            </w:r>
            <w:r>
              <w:rPr>
                <w:rFonts w:hint="default" w:ascii="Times New Roman" w:hAnsi="Times New Roman" w:eastAsia="宋体" w:cs="Times New Roman"/>
                <w:color w:val="auto"/>
                <w:spacing w:val="10"/>
                <w:sz w:val="21"/>
                <w:szCs w:val="21"/>
                <w:u w:val="none" w:color="auto"/>
              </w:rPr>
              <w:t>园区，配套建设高效环保治理设施。严格</w:t>
            </w:r>
            <w:r>
              <w:rPr>
                <w:rFonts w:hint="default" w:ascii="Times New Roman" w:hAnsi="Times New Roman" w:eastAsia="宋体" w:cs="Times New Roman"/>
                <w:color w:val="auto"/>
                <w:spacing w:val="20"/>
                <w:sz w:val="21"/>
                <w:szCs w:val="21"/>
                <w:u w:val="none" w:color="auto"/>
              </w:rPr>
              <w:t>控</w:t>
            </w:r>
            <w:r>
              <w:rPr>
                <w:rFonts w:hint="default" w:ascii="Times New Roman" w:hAnsi="Times New Roman" w:eastAsia="宋体" w:cs="Times New Roman"/>
                <w:color w:val="auto"/>
                <w:spacing w:val="15"/>
                <w:sz w:val="21"/>
                <w:szCs w:val="21"/>
                <w:u w:val="none" w:color="auto"/>
              </w:rPr>
              <w:t>制</w:t>
            </w:r>
            <w:r>
              <w:rPr>
                <w:rFonts w:hint="default" w:ascii="Times New Roman" w:hAnsi="Times New Roman" w:eastAsia="宋体" w:cs="Times New Roman"/>
                <w:color w:val="auto"/>
                <w:spacing w:val="10"/>
                <w:sz w:val="21"/>
                <w:szCs w:val="21"/>
                <w:u w:val="none" w:color="auto"/>
              </w:rPr>
              <w:t>涉工业炉窑建设项目，严格执行钢铁、水</w:t>
            </w:r>
            <w:r>
              <w:rPr>
                <w:rFonts w:hint="default" w:ascii="Times New Roman" w:hAnsi="Times New Roman" w:eastAsia="宋体" w:cs="Times New Roman"/>
                <w:color w:val="auto"/>
                <w:spacing w:val="20"/>
                <w:sz w:val="21"/>
                <w:szCs w:val="21"/>
                <w:u w:val="none" w:color="auto"/>
              </w:rPr>
              <w:t>泥</w:t>
            </w:r>
            <w:r>
              <w:rPr>
                <w:rFonts w:hint="default" w:ascii="Times New Roman" w:hAnsi="Times New Roman" w:eastAsia="宋体" w:cs="Times New Roman"/>
                <w:color w:val="auto"/>
                <w:spacing w:val="15"/>
                <w:sz w:val="21"/>
                <w:szCs w:val="21"/>
                <w:u w:val="none" w:color="auto"/>
              </w:rPr>
              <w:t>、</w:t>
            </w:r>
            <w:r>
              <w:rPr>
                <w:rFonts w:hint="default" w:ascii="Times New Roman" w:hAnsi="Times New Roman" w:eastAsia="宋体" w:cs="Times New Roman"/>
                <w:color w:val="auto"/>
                <w:spacing w:val="10"/>
                <w:sz w:val="21"/>
                <w:szCs w:val="21"/>
                <w:u w:val="none" w:color="auto"/>
              </w:rPr>
              <w:t>平板玻璃等行业产能置换实施办法。加大</w:t>
            </w:r>
            <w:r>
              <w:rPr>
                <w:rFonts w:hint="default" w:ascii="Times New Roman" w:hAnsi="Times New Roman" w:eastAsia="宋体" w:cs="Times New Roman"/>
                <w:color w:val="auto"/>
                <w:spacing w:val="20"/>
                <w:sz w:val="21"/>
                <w:szCs w:val="21"/>
                <w:u w:val="none" w:color="auto"/>
              </w:rPr>
              <w:t>落</w:t>
            </w:r>
            <w:r>
              <w:rPr>
                <w:rFonts w:hint="default" w:ascii="Times New Roman" w:hAnsi="Times New Roman" w:eastAsia="宋体" w:cs="Times New Roman"/>
                <w:color w:val="auto"/>
                <w:spacing w:val="15"/>
                <w:sz w:val="21"/>
                <w:szCs w:val="21"/>
                <w:u w:val="none" w:color="auto"/>
              </w:rPr>
              <w:t>后</w:t>
            </w:r>
            <w:r>
              <w:rPr>
                <w:rFonts w:hint="default" w:ascii="Times New Roman" w:hAnsi="Times New Roman" w:eastAsia="宋体" w:cs="Times New Roman"/>
                <w:color w:val="auto"/>
                <w:spacing w:val="10"/>
                <w:sz w:val="21"/>
                <w:szCs w:val="21"/>
                <w:u w:val="none" w:color="auto"/>
              </w:rPr>
              <w:t>产能和不达标工业炉窑淘汰力度，分行业</w:t>
            </w:r>
            <w:r>
              <w:rPr>
                <w:rFonts w:hint="default" w:ascii="Times New Roman" w:hAnsi="Times New Roman" w:eastAsia="宋体" w:cs="Times New Roman"/>
                <w:color w:val="auto"/>
                <w:spacing w:val="6"/>
                <w:sz w:val="21"/>
                <w:szCs w:val="21"/>
                <w:u w:val="none" w:color="auto"/>
              </w:rPr>
              <w:t>清理《产</w:t>
            </w:r>
            <w:r>
              <w:rPr>
                <w:rFonts w:hint="default" w:ascii="Times New Roman" w:hAnsi="Times New Roman" w:eastAsia="宋体" w:cs="Times New Roman"/>
                <w:color w:val="auto"/>
                <w:spacing w:val="5"/>
                <w:sz w:val="21"/>
                <w:szCs w:val="21"/>
                <w:u w:val="none" w:color="auto"/>
              </w:rPr>
              <w:t>业</w:t>
            </w:r>
            <w:r>
              <w:rPr>
                <w:rFonts w:hint="default" w:ascii="Times New Roman" w:hAnsi="Times New Roman" w:eastAsia="宋体" w:cs="Times New Roman"/>
                <w:color w:val="auto"/>
                <w:spacing w:val="3"/>
                <w:sz w:val="21"/>
                <w:szCs w:val="21"/>
                <w:u w:val="none" w:color="auto"/>
              </w:rPr>
              <w:t>结构调整指导目录》(2019年)淘</w:t>
            </w:r>
            <w:r>
              <w:rPr>
                <w:rFonts w:hint="default" w:ascii="Times New Roman" w:hAnsi="Times New Roman" w:eastAsia="宋体" w:cs="Times New Roman"/>
                <w:color w:val="auto"/>
                <w:spacing w:val="22"/>
                <w:sz w:val="21"/>
                <w:szCs w:val="21"/>
                <w:u w:val="none" w:color="auto"/>
              </w:rPr>
              <w:t>汰</w:t>
            </w:r>
            <w:r>
              <w:rPr>
                <w:rFonts w:hint="default" w:ascii="Times New Roman" w:hAnsi="Times New Roman" w:eastAsia="宋体" w:cs="Times New Roman"/>
                <w:color w:val="auto"/>
                <w:spacing w:val="12"/>
                <w:sz w:val="21"/>
                <w:szCs w:val="21"/>
                <w:u w:val="none" w:color="auto"/>
              </w:rPr>
              <w:t>类</w:t>
            </w:r>
            <w:r>
              <w:rPr>
                <w:rFonts w:hint="default" w:ascii="Times New Roman" w:hAnsi="Times New Roman" w:eastAsia="宋体" w:cs="Times New Roman"/>
                <w:color w:val="auto"/>
                <w:spacing w:val="11"/>
                <w:sz w:val="21"/>
                <w:szCs w:val="21"/>
                <w:u w:val="none" w:color="auto"/>
              </w:rPr>
              <w:t>工业炉窑。对热效率低下、敞开未封闭，</w:t>
            </w:r>
            <w:r>
              <w:rPr>
                <w:rFonts w:hint="default" w:ascii="Times New Roman" w:hAnsi="Times New Roman" w:eastAsia="宋体" w:cs="Times New Roman"/>
                <w:color w:val="auto"/>
                <w:spacing w:val="10"/>
                <w:sz w:val="21"/>
                <w:szCs w:val="21"/>
                <w:u w:val="none" w:color="auto"/>
              </w:rPr>
              <w:t>装备</w:t>
            </w:r>
            <w:r>
              <w:rPr>
                <w:rFonts w:hint="default" w:ascii="Times New Roman" w:hAnsi="Times New Roman" w:eastAsia="宋体" w:cs="Times New Roman"/>
                <w:color w:val="auto"/>
                <w:spacing w:val="5"/>
                <w:sz w:val="21"/>
                <w:szCs w:val="21"/>
                <w:u w:val="none" w:color="auto"/>
              </w:rPr>
              <w:t>简易落后、自动化程度低，无组织排放突</w:t>
            </w:r>
            <w:r>
              <w:rPr>
                <w:rFonts w:hint="default" w:ascii="Times New Roman" w:hAnsi="Times New Roman" w:eastAsia="宋体" w:cs="Times New Roman"/>
                <w:color w:val="auto"/>
                <w:spacing w:val="6"/>
                <w:sz w:val="21"/>
                <w:szCs w:val="21"/>
                <w:u w:val="none" w:color="auto"/>
              </w:rPr>
              <w:t>出，</w:t>
            </w:r>
            <w:r>
              <w:rPr>
                <w:rFonts w:hint="default" w:ascii="Times New Roman" w:hAnsi="Times New Roman" w:eastAsia="宋体" w:cs="Times New Roman"/>
                <w:color w:val="auto"/>
                <w:spacing w:val="3"/>
                <w:sz w:val="21"/>
                <w:szCs w:val="21"/>
                <w:u w:val="none" w:color="auto"/>
              </w:rPr>
              <w:t>以及无治理设施或治理设施工艺落后等严</w:t>
            </w:r>
            <w:r>
              <w:rPr>
                <w:rFonts w:hint="default" w:ascii="Times New Roman" w:hAnsi="Times New Roman" w:eastAsia="宋体" w:cs="Times New Roman"/>
                <w:color w:val="auto"/>
                <w:spacing w:val="9"/>
                <w:sz w:val="21"/>
                <w:szCs w:val="21"/>
                <w:u w:val="none" w:color="auto"/>
              </w:rPr>
              <w:t>重污染环境的工业炉窑，依法责令停业关闭</w:t>
            </w:r>
            <w:r>
              <w:rPr>
                <w:rFonts w:hint="default" w:ascii="Times New Roman" w:hAnsi="Times New Roman" w:eastAsia="宋体" w:cs="Times New Roman"/>
                <w:color w:val="auto"/>
                <w:spacing w:val="8"/>
                <w:sz w:val="21"/>
                <w:szCs w:val="21"/>
                <w:u w:val="none" w:color="auto"/>
              </w:rPr>
              <w:t>。</w:t>
            </w:r>
          </w:p>
        </w:tc>
        <w:tc>
          <w:tcPr>
            <w:tcW w:w="288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本项目选址位于</w:t>
            </w:r>
            <w:r>
              <w:rPr>
                <w:rFonts w:hint="default" w:ascii="Times New Roman" w:hAnsi="Times New Roman" w:eastAsia="宋体" w:cs="Times New Roman"/>
                <w:color w:val="auto"/>
                <w:spacing w:val="2"/>
                <w:sz w:val="21"/>
                <w:szCs w:val="21"/>
                <w:u w:val="none" w:color="auto"/>
              </w:rPr>
              <w:t>岳阳临港高新技术产业开发区创新创业基地</w:t>
            </w:r>
            <w:r>
              <w:rPr>
                <w:rFonts w:hint="default" w:ascii="Times New Roman" w:hAnsi="Times New Roman" w:eastAsia="宋体" w:cs="Times New Roman"/>
                <w:color w:val="auto"/>
                <w:spacing w:val="5"/>
                <w:sz w:val="21"/>
                <w:szCs w:val="21"/>
                <w:u w:val="none" w:color="auto"/>
              </w:rPr>
              <w:t>，使用</w:t>
            </w:r>
            <w:r>
              <w:rPr>
                <w:rFonts w:hint="default" w:ascii="Times New Roman" w:hAnsi="Times New Roman" w:eastAsia="宋体" w:cs="Times New Roman"/>
                <w:color w:val="auto"/>
                <w:spacing w:val="5"/>
                <w:sz w:val="21"/>
                <w:szCs w:val="21"/>
                <w:u w:val="none" w:color="auto"/>
                <w:lang w:eastAsia="zh-CN"/>
              </w:rPr>
              <w:t>电能和</w:t>
            </w:r>
            <w:r>
              <w:rPr>
                <w:rFonts w:hint="default" w:ascii="Times New Roman" w:hAnsi="Times New Roman" w:eastAsia="宋体" w:cs="Times New Roman"/>
                <w:color w:val="auto"/>
                <w:spacing w:val="5"/>
                <w:sz w:val="21"/>
                <w:szCs w:val="21"/>
                <w:u w:val="none" w:color="auto"/>
              </w:rPr>
              <w:t>天然气。</w:t>
            </w:r>
            <w:r>
              <w:rPr>
                <w:rFonts w:hint="default" w:ascii="Times New Roman" w:hAnsi="Times New Roman" w:eastAsia="宋体" w:cs="Times New Roman"/>
                <w:color w:val="auto"/>
                <w:spacing w:val="10"/>
                <w:sz w:val="21"/>
                <w:szCs w:val="21"/>
                <w:u w:val="none" w:color="auto"/>
              </w:rPr>
              <w:t>配</w:t>
            </w:r>
            <w:r>
              <w:rPr>
                <w:rFonts w:hint="default" w:ascii="Times New Roman" w:hAnsi="Times New Roman" w:eastAsia="宋体" w:cs="Times New Roman"/>
                <w:color w:val="auto"/>
                <w:spacing w:val="9"/>
                <w:sz w:val="21"/>
                <w:szCs w:val="21"/>
                <w:u w:val="none" w:color="auto"/>
              </w:rPr>
              <w:t>套建设高效环保治理设施</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11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51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3"/>
                <w:sz w:val="21"/>
                <w:szCs w:val="21"/>
                <w:u w:val="none" w:color="auto"/>
              </w:rPr>
              <w:t>加</w:t>
            </w:r>
            <w:r>
              <w:rPr>
                <w:rFonts w:hint="default" w:ascii="Times New Roman" w:hAnsi="Times New Roman" w:eastAsia="宋体" w:cs="Times New Roman"/>
                <w:color w:val="auto"/>
                <w:spacing w:val="10"/>
                <w:sz w:val="21"/>
                <w:szCs w:val="21"/>
                <w:u w:val="none" w:color="auto"/>
              </w:rPr>
              <w:t>快燃料清洁低碳化替代。对以煤、石油焦、</w:t>
            </w:r>
            <w:r>
              <w:rPr>
                <w:rFonts w:hint="default" w:ascii="Times New Roman" w:hAnsi="Times New Roman" w:eastAsia="宋体" w:cs="Times New Roman"/>
                <w:color w:val="auto"/>
                <w:spacing w:val="11"/>
                <w:sz w:val="21"/>
                <w:szCs w:val="21"/>
                <w:u w:val="none" w:color="auto"/>
              </w:rPr>
              <w:t>渣油、重油等为燃料的工业炉窑，加快使用清</w:t>
            </w:r>
            <w:r>
              <w:rPr>
                <w:rFonts w:hint="default" w:ascii="Times New Roman" w:hAnsi="Times New Roman" w:eastAsia="宋体" w:cs="Times New Roman"/>
                <w:color w:val="auto"/>
                <w:spacing w:val="10"/>
                <w:sz w:val="21"/>
                <w:szCs w:val="21"/>
                <w:u w:val="none" w:color="auto"/>
              </w:rPr>
              <w:t>洁低碳</w:t>
            </w:r>
            <w:r>
              <w:rPr>
                <w:rFonts w:hint="default" w:ascii="Times New Roman" w:hAnsi="Times New Roman" w:eastAsia="宋体" w:cs="Times New Roman"/>
                <w:color w:val="auto"/>
                <w:spacing w:val="5"/>
                <w:sz w:val="21"/>
                <w:szCs w:val="21"/>
                <w:u w:val="none" w:color="auto"/>
              </w:rPr>
              <w:t>能源以及利用工厂余热、电力热力、集</w:t>
            </w:r>
            <w:r>
              <w:rPr>
                <w:rFonts w:hint="default" w:ascii="Times New Roman" w:hAnsi="Times New Roman" w:eastAsia="宋体" w:cs="Times New Roman"/>
                <w:color w:val="auto"/>
                <w:spacing w:val="7"/>
                <w:sz w:val="21"/>
                <w:szCs w:val="21"/>
                <w:u w:val="none" w:color="auto"/>
              </w:rPr>
              <w:t>中</w:t>
            </w:r>
            <w:r>
              <w:rPr>
                <w:rFonts w:hint="default" w:ascii="Times New Roman" w:hAnsi="Times New Roman" w:eastAsia="宋体" w:cs="Times New Roman"/>
                <w:color w:val="auto"/>
                <w:spacing w:val="6"/>
                <w:sz w:val="21"/>
                <w:szCs w:val="21"/>
                <w:u w:val="none" w:color="auto"/>
              </w:rPr>
              <w:t>供热等进行替代。加大煤气发生炉淘汰力度，</w:t>
            </w:r>
            <w:r>
              <w:rPr>
                <w:rFonts w:hint="default" w:ascii="Times New Roman" w:hAnsi="Times New Roman" w:eastAsia="宋体" w:cs="Times New Roman"/>
                <w:color w:val="auto"/>
                <w:spacing w:val="20"/>
                <w:sz w:val="21"/>
                <w:szCs w:val="21"/>
                <w:u w:val="none" w:color="auto"/>
              </w:rPr>
              <w:t>原</w:t>
            </w:r>
            <w:r>
              <w:rPr>
                <w:rFonts w:hint="default" w:ascii="Times New Roman" w:hAnsi="Times New Roman" w:eastAsia="宋体" w:cs="Times New Roman"/>
                <w:color w:val="auto"/>
                <w:spacing w:val="10"/>
                <w:sz w:val="21"/>
                <w:szCs w:val="21"/>
                <w:u w:val="none" w:color="auto"/>
              </w:rPr>
              <w:t>则上禁止新建燃料类煤气发生炉(园区现有</w:t>
            </w:r>
            <w:r>
              <w:rPr>
                <w:rFonts w:hint="default" w:ascii="Times New Roman" w:hAnsi="Times New Roman" w:eastAsia="宋体" w:cs="Times New Roman"/>
                <w:color w:val="auto"/>
                <w:spacing w:val="20"/>
                <w:sz w:val="21"/>
                <w:szCs w:val="21"/>
                <w:u w:val="none" w:color="auto"/>
              </w:rPr>
              <w:t>企</w:t>
            </w:r>
            <w:r>
              <w:rPr>
                <w:rFonts w:hint="default" w:ascii="Times New Roman" w:hAnsi="Times New Roman" w:eastAsia="宋体" w:cs="Times New Roman"/>
                <w:color w:val="auto"/>
                <w:spacing w:val="10"/>
                <w:sz w:val="21"/>
                <w:szCs w:val="21"/>
                <w:u w:val="none" w:color="auto"/>
              </w:rPr>
              <w:t>业统一建设的清洁煤制气中心除外)，集中</w:t>
            </w:r>
            <w:r>
              <w:rPr>
                <w:rFonts w:hint="default" w:ascii="Times New Roman" w:hAnsi="Times New Roman" w:eastAsia="宋体" w:cs="Times New Roman"/>
                <w:color w:val="auto"/>
                <w:spacing w:val="11"/>
                <w:sz w:val="21"/>
                <w:szCs w:val="21"/>
                <w:u w:val="none" w:color="auto"/>
              </w:rPr>
              <w:t>使用煤气发生炉的工业园区，暂不具备改用天然气条件的，原则上应建设统一的清洁煤制气</w:t>
            </w:r>
            <w:r>
              <w:rPr>
                <w:rFonts w:hint="default" w:ascii="Times New Roman" w:hAnsi="Times New Roman" w:eastAsia="宋体" w:cs="Times New Roman"/>
                <w:color w:val="auto"/>
                <w:spacing w:val="-4"/>
                <w:sz w:val="21"/>
                <w:szCs w:val="21"/>
                <w:u w:val="none" w:color="auto"/>
              </w:rPr>
              <w:t>中</w:t>
            </w:r>
            <w:r>
              <w:rPr>
                <w:rFonts w:hint="default" w:ascii="Times New Roman" w:hAnsi="Times New Roman" w:eastAsia="宋体" w:cs="Times New Roman"/>
                <w:color w:val="auto"/>
                <w:spacing w:val="-3"/>
                <w:sz w:val="21"/>
                <w:szCs w:val="21"/>
                <w:u w:val="none" w:color="auto"/>
              </w:rPr>
              <w:t>心。</w:t>
            </w:r>
          </w:p>
        </w:tc>
        <w:tc>
          <w:tcPr>
            <w:tcW w:w="288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本</w:t>
            </w:r>
            <w:r>
              <w:rPr>
                <w:rFonts w:hint="default" w:ascii="Times New Roman" w:hAnsi="Times New Roman" w:eastAsia="宋体" w:cs="Times New Roman"/>
                <w:color w:val="auto"/>
                <w:spacing w:val="8"/>
                <w:sz w:val="21"/>
                <w:szCs w:val="21"/>
                <w:u w:val="none" w:color="auto"/>
              </w:rPr>
              <w:t>项目使用天然气能源。</w:t>
            </w:r>
          </w:p>
        </w:tc>
        <w:tc>
          <w:tcPr>
            <w:tcW w:w="111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51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7"/>
                <w:sz w:val="21"/>
                <w:szCs w:val="21"/>
                <w:u w:val="none" w:color="auto"/>
              </w:rPr>
              <w:t>有</w:t>
            </w:r>
            <w:r>
              <w:rPr>
                <w:rFonts w:hint="default" w:ascii="Times New Roman" w:hAnsi="Times New Roman" w:eastAsia="宋体" w:cs="Times New Roman"/>
                <w:color w:val="auto"/>
                <w:spacing w:val="9"/>
                <w:sz w:val="21"/>
                <w:szCs w:val="21"/>
                <w:u w:val="none" w:color="auto"/>
              </w:rPr>
              <w:t>色金属行业熔炼炉等工业炉窑应配备高效除</w:t>
            </w:r>
            <w:r>
              <w:rPr>
                <w:rFonts w:hint="default" w:ascii="Times New Roman" w:hAnsi="Times New Roman" w:eastAsia="宋体" w:cs="Times New Roman"/>
                <w:color w:val="auto"/>
                <w:spacing w:val="18"/>
                <w:sz w:val="21"/>
                <w:szCs w:val="21"/>
                <w:u w:val="none" w:color="auto"/>
              </w:rPr>
              <w:t>尘</w:t>
            </w:r>
            <w:r>
              <w:rPr>
                <w:rFonts w:hint="default" w:ascii="Times New Roman" w:hAnsi="Times New Roman" w:eastAsia="宋体" w:cs="Times New Roman"/>
                <w:color w:val="auto"/>
                <w:spacing w:val="10"/>
                <w:sz w:val="21"/>
                <w:szCs w:val="21"/>
                <w:u w:val="none" w:color="auto"/>
              </w:rPr>
              <w:t>、</w:t>
            </w:r>
            <w:r>
              <w:rPr>
                <w:rFonts w:hint="default" w:ascii="Times New Roman" w:hAnsi="Times New Roman" w:eastAsia="宋体" w:cs="Times New Roman"/>
                <w:color w:val="auto"/>
                <w:spacing w:val="9"/>
                <w:sz w:val="21"/>
                <w:szCs w:val="21"/>
                <w:u w:val="none" w:color="auto"/>
              </w:rPr>
              <w:t>脱硫、脱硝设施；环境烟气应全部收集，</w:t>
            </w:r>
            <w:r>
              <w:rPr>
                <w:rFonts w:hint="default" w:ascii="Times New Roman" w:hAnsi="Times New Roman" w:eastAsia="宋体" w:cs="Times New Roman"/>
                <w:color w:val="auto"/>
                <w:spacing w:val="18"/>
                <w:sz w:val="21"/>
                <w:szCs w:val="21"/>
                <w:u w:val="none" w:color="auto"/>
              </w:rPr>
              <w:t>配</w:t>
            </w:r>
            <w:r>
              <w:rPr>
                <w:rFonts w:hint="default" w:ascii="Times New Roman" w:hAnsi="Times New Roman" w:eastAsia="宋体" w:cs="Times New Roman"/>
                <w:color w:val="auto"/>
                <w:spacing w:val="10"/>
                <w:sz w:val="21"/>
                <w:szCs w:val="21"/>
                <w:u w:val="none" w:color="auto"/>
              </w:rPr>
              <w:t>备</w:t>
            </w:r>
            <w:r>
              <w:rPr>
                <w:rFonts w:hint="default" w:ascii="Times New Roman" w:hAnsi="Times New Roman" w:eastAsia="宋体" w:cs="Times New Roman"/>
                <w:color w:val="auto"/>
                <w:spacing w:val="9"/>
                <w:sz w:val="21"/>
                <w:szCs w:val="21"/>
                <w:u w:val="none" w:color="auto"/>
              </w:rPr>
              <w:t>高效除尘设施；铅、锌、铜、镍、锡等行</w:t>
            </w:r>
            <w:r>
              <w:rPr>
                <w:rFonts w:hint="default" w:ascii="Times New Roman" w:hAnsi="Times New Roman" w:eastAsia="宋体" w:cs="Times New Roman"/>
                <w:color w:val="auto"/>
                <w:spacing w:val="18"/>
                <w:sz w:val="21"/>
                <w:szCs w:val="21"/>
                <w:u w:val="none" w:color="auto"/>
              </w:rPr>
              <w:t>业</w:t>
            </w:r>
            <w:r>
              <w:rPr>
                <w:rFonts w:hint="default" w:ascii="Times New Roman" w:hAnsi="Times New Roman" w:eastAsia="宋体" w:cs="Times New Roman"/>
                <w:color w:val="auto"/>
                <w:spacing w:val="10"/>
                <w:sz w:val="21"/>
                <w:szCs w:val="21"/>
                <w:u w:val="none" w:color="auto"/>
              </w:rPr>
              <w:t>配</w:t>
            </w:r>
            <w:r>
              <w:rPr>
                <w:rFonts w:hint="default" w:ascii="Times New Roman" w:hAnsi="Times New Roman" w:eastAsia="宋体" w:cs="Times New Roman"/>
                <w:color w:val="auto"/>
                <w:spacing w:val="9"/>
                <w:sz w:val="21"/>
                <w:szCs w:val="21"/>
                <w:u w:val="none" w:color="auto"/>
              </w:rPr>
              <w:t>备两转两吸制酸工艺，制酸尾气二氧化硫</w:t>
            </w:r>
            <w:r>
              <w:rPr>
                <w:rFonts w:hint="default" w:ascii="Times New Roman" w:hAnsi="Times New Roman" w:eastAsia="宋体" w:cs="Times New Roman"/>
                <w:color w:val="auto"/>
                <w:spacing w:val="13"/>
                <w:sz w:val="21"/>
                <w:szCs w:val="21"/>
                <w:u w:val="none" w:color="auto"/>
              </w:rPr>
              <w:t>排</w:t>
            </w:r>
            <w:r>
              <w:rPr>
                <w:rFonts w:hint="default" w:ascii="Times New Roman" w:hAnsi="Times New Roman" w:eastAsia="宋体" w:cs="Times New Roman"/>
                <w:color w:val="auto"/>
                <w:spacing w:val="8"/>
                <w:sz w:val="21"/>
                <w:szCs w:val="21"/>
                <w:u w:val="none" w:color="auto"/>
              </w:rPr>
              <w:t>放不达标的配备脱硫设施。</w:t>
            </w:r>
          </w:p>
        </w:tc>
        <w:tc>
          <w:tcPr>
            <w:tcW w:w="288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本项目熔炼炉废气配套建设</w:t>
            </w:r>
            <w:r>
              <w:rPr>
                <w:rFonts w:hint="default" w:ascii="Times New Roman" w:hAnsi="Times New Roman" w:eastAsia="宋体" w:cs="Times New Roman"/>
                <w:color w:val="auto"/>
                <w:spacing w:val="10"/>
                <w:sz w:val="21"/>
                <w:szCs w:val="21"/>
                <w:u w:val="none" w:color="auto"/>
                <w:lang w:eastAsia="zh-CN"/>
              </w:rPr>
              <w:t>废气处理设施</w:t>
            </w:r>
            <w:r>
              <w:rPr>
                <w:rFonts w:hint="default" w:ascii="Times New Roman" w:hAnsi="Times New Roman" w:eastAsia="宋体" w:cs="Times New Roman"/>
                <w:color w:val="auto"/>
                <w:spacing w:val="5"/>
                <w:sz w:val="21"/>
                <w:szCs w:val="21"/>
                <w:u w:val="none" w:color="auto"/>
              </w:rPr>
              <w:t>设施，</w:t>
            </w:r>
            <w:r>
              <w:rPr>
                <w:rFonts w:hint="default" w:ascii="Times New Roman" w:hAnsi="Times New Roman" w:eastAsia="宋体" w:cs="Times New Roman"/>
                <w:color w:val="auto"/>
                <w:spacing w:val="9"/>
                <w:sz w:val="21"/>
                <w:szCs w:val="21"/>
                <w:u w:val="none" w:color="auto"/>
              </w:rPr>
              <w:t>环境烟气全部收集，</w:t>
            </w:r>
            <w:r>
              <w:rPr>
                <w:rFonts w:hint="default" w:ascii="Times New Roman" w:hAnsi="Times New Roman" w:eastAsia="宋体" w:cs="Times New Roman"/>
                <w:color w:val="auto"/>
                <w:spacing w:val="18"/>
                <w:sz w:val="21"/>
                <w:szCs w:val="21"/>
                <w:u w:val="none" w:color="auto"/>
              </w:rPr>
              <w:t>配</w:t>
            </w:r>
            <w:r>
              <w:rPr>
                <w:rFonts w:hint="default" w:ascii="Times New Roman" w:hAnsi="Times New Roman" w:eastAsia="宋体" w:cs="Times New Roman"/>
                <w:color w:val="auto"/>
                <w:spacing w:val="10"/>
                <w:sz w:val="21"/>
                <w:szCs w:val="21"/>
                <w:u w:val="none" w:color="auto"/>
              </w:rPr>
              <w:t>备</w:t>
            </w:r>
            <w:r>
              <w:rPr>
                <w:rFonts w:hint="default" w:ascii="Times New Roman" w:hAnsi="Times New Roman" w:eastAsia="宋体" w:cs="Times New Roman"/>
                <w:color w:val="auto"/>
                <w:spacing w:val="9"/>
                <w:sz w:val="21"/>
                <w:szCs w:val="21"/>
                <w:u w:val="none" w:color="auto"/>
              </w:rPr>
              <w:t>高效除尘设施</w:t>
            </w:r>
            <w:r>
              <w:rPr>
                <w:rFonts w:hint="default" w:ascii="Times New Roman" w:hAnsi="Times New Roman" w:eastAsia="宋体" w:cs="Times New Roman"/>
                <w:color w:val="auto"/>
                <w:spacing w:val="5"/>
                <w:sz w:val="21"/>
                <w:szCs w:val="21"/>
                <w:u w:val="none" w:color="auto"/>
              </w:rPr>
              <w:t>能稳定达标排放</w:t>
            </w:r>
            <w:r>
              <w:rPr>
                <w:rFonts w:hint="default" w:ascii="Times New Roman" w:hAnsi="Times New Roman" w:eastAsia="宋体" w:cs="Times New Roman"/>
                <w:color w:val="auto"/>
                <w:spacing w:val="4"/>
                <w:sz w:val="21"/>
                <w:szCs w:val="21"/>
                <w:u w:val="none" w:color="auto"/>
              </w:rPr>
              <w:t>。</w:t>
            </w:r>
          </w:p>
        </w:tc>
        <w:tc>
          <w:tcPr>
            <w:tcW w:w="111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符</w:t>
            </w:r>
            <w:r>
              <w:rPr>
                <w:rFonts w:hint="default" w:ascii="Times New Roman" w:hAnsi="Times New Roman" w:eastAsia="宋体" w:cs="Times New Roman"/>
                <w:color w:val="auto"/>
                <w:spacing w:val="3"/>
                <w:sz w:val="21"/>
                <w:szCs w:val="21"/>
                <w:u w:val="none" w:color="auto"/>
              </w:rPr>
              <w:t>合</w:t>
            </w:r>
          </w:p>
        </w:tc>
      </w:tr>
    </w:tbl>
    <w:p>
      <w:pPr>
        <w:pageBreakBefore w:val="0"/>
        <w:kinsoku/>
        <w:wordWrap/>
        <w:overflowPunct w:val="0"/>
        <w:topLinePunct/>
        <w:autoSpaceDE w:val="0"/>
        <w:autoSpaceDN w:val="0"/>
        <w:bidi w:val="0"/>
        <w:spacing w:before="37" w:line="377" w:lineRule="auto"/>
        <w:ind w:left="163" w:right="119" w:firstLine="476"/>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3"/>
          <w:sz w:val="24"/>
          <w:szCs w:val="24"/>
          <w:u w:val="none" w:color="auto"/>
        </w:rPr>
        <w:t>由上表可知，项目符合湖南省工业炉窑大气污染综合治理实施方案(湘</w:t>
      </w:r>
      <w:r>
        <w:rPr>
          <w:rFonts w:hint="default" w:ascii="Times New Roman" w:hAnsi="Times New Roman" w:eastAsia="宋体" w:cs="Times New Roman"/>
          <w:color w:val="auto"/>
          <w:spacing w:val="11"/>
          <w:sz w:val="24"/>
          <w:szCs w:val="24"/>
          <w:u w:val="none" w:color="auto"/>
        </w:rPr>
        <w:t>发</w:t>
      </w:r>
      <w:r>
        <w:rPr>
          <w:rFonts w:hint="default" w:ascii="Times New Roman" w:hAnsi="Times New Roman" w:eastAsia="宋体" w:cs="Times New Roman"/>
          <w:color w:val="auto"/>
          <w:spacing w:val="6"/>
          <w:sz w:val="24"/>
          <w:szCs w:val="24"/>
          <w:u w:val="none" w:color="auto"/>
        </w:rPr>
        <w:t>〔</w:t>
      </w:r>
      <w:r>
        <w:rPr>
          <w:rFonts w:hint="default" w:ascii="Times New Roman" w:hAnsi="Times New Roman" w:eastAsia="宋体" w:cs="Times New Roman"/>
          <w:color w:val="auto"/>
          <w:spacing w:val="4"/>
          <w:sz w:val="24"/>
          <w:szCs w:val="24"/>
          <w:u w:val="none" w:color="auto"/>
        </w:rPr>
        <w:t>2020〕6号)》的要求。</w:t>
      </w:r>
    </w:p>
    <w:p>
      <w:pPr>
        <w:pStyle w:val="7"/>
        <w:bidi w:val="0"/>
        <w:rPr>
          <w:rFonts w:hint="default"/>
          <w:color w:val="auto"/>
        </w:rPr>
      </w:pPr>
      <w:bookmarkStart w:id="17" w:name="_Toc20668"/>
      <w:r>
        <w:rPr>
          <w:rFonts w:hint="default"/>
          <w:color w:val="auto"/>
        </w:rPr>
        <w:t>1.3.2</w:t>
      </w:r>
      <w:r>
        <w:rPr>
          <w:rFonts w:hint="default"/>
          <w:color w:val="auto"/>
          <w:lang w:eastAsia="zh-CN"/>
        </w:rPr>
        <w:t>规划符合性</w:t>
      </w:r>
      <w:r>
        <w:rPr>
          <w:rFonts w:hint="default"/>
          <w:color w:val="auto"/>
        </w:rPr>
        <w:t>分析</w:t>
      </w:r>
      <w:bookmarkEnd w:id="17"/>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eastAsia" w:ascii="Times New Roman" w:hAnsi="Times New Roman" w:eastAsia="宋体" w:cs="Times New Roman"/>
          <w:color w:val="auto"/>
          <w:spacing w:val="7"/>
          <w:sz w:val="24"/>
          <w:szCs w:val="24"/>
          <w:u w:val="none" w:color="auto"/>
          <w:lang w:val="en-US" w:eastAsia="zh-CN"/>
        </w:rPr>
      </w:pPr>
      <w:r>
        <w:rPr>
          <w:rFonts w:hint="eastAsia" w:ascii="Times New Roman" w:hAnsi="Times New Roman" w:eastAsia="宋体" w:cs="Times New Roman"/>
          <w:color w:val="auto"/>
          <w:spacing w:val="7"/>
          <w:sz w:val="24"/>
          <w:szCs w:val="24"/>
          <w:u w:val="none" w:color="auto"/>
          <w:lang w:eastAsia="zh-CN"/>
        </w:rPr>
        <w:t>本项目位于</w:t>
      </w:r>
      <w:r>
        <w:rPr>
          <w:rFonts w:hint="eastAsia" w:ascii="Times New Roman" w:hAnsi="Times New Roman" w:eastAsia="宋体" w:cs="Times New Roman"/>
          <w:color w:val="auto"/>
          <w:spacing w:val="7"/>
          <w:sz w:val="24"/>
          <w:szCs w:val="24"/>
          <w:u w:val="none" w:color="auto"/>
          <w:lang w:val="en-US" w:eastAsia="zh-CN"/>
        </w:rPr>
        <w:t>岳阳临港高新技术产业开发区创新创业基地，根据《湖南省发展和改革委员会湖南省自然厅关于发布湖南省省级及以上产业园区边界面积及四至范围目录的通知》（湘发改园区〔2022〕601号），本项目不在省级园区范围内。</w:t>
      </w:r>
    </w:p>
    <w:p>
      <w:pPr>
        <w:pStyle w:val="2"/>
        <w:rPr>
          <w:rFonts w:hint="eastAsia"/>
          <w:color w:val="auto"/>
          <w:lang w:val="en-US" w:eastAsia="zh-CN"/>
        </w:rPr>
      </w:pPr>
      <w:r>
        <w:rPr>
          <w:rFonts w:hint="eastAsia" w:ascii="Times New Roman" w:hAnsi="Times New Roman" w:eastAsia="宋体" w:cs="Times New Roman"/>
          <w:color w:val="auto"/>
          <w:spacing w:val="7"/>
          <w:sz w:val="24"/>
          <w:szCs w:val="24"/>
          <w:u w:val="none" w:color="auto"/>
          <w:lang w:val="en-US" w:eastAsia="zh-CN"/>
        </w:rPr>
        <w:t>岳阳临港高新技术产业开发区创新创业基地在岳阳临港高新技术产业开发区发展方向内，</w:t>
      </w:r>
      <w:r>
        <w:rPr>
          <w:rFonts w:hint="eastAsia"/>
          <w:color w:val="auto"/>
          <w:lang w:val="en-US" w:eastAsia="zh-CN"/>
        </w:rPr>
        <w:t>目前正在进行扩区规划申报工作，已委托岳阳市规划勘测设计院有限公司编制了《岳阳市中心城区道仁矶片区局部地段（岳阳城投临港创新创业基地）控制性详细规划》（2022.4），岳阳城投临港创新创业基地产业发展规划：园区主要包括新一代信息技术产业、智能制造产业、绿色装配式建筑、现代物流产业、高端装备制造五大主导产业；以及其他符合岳阳市产业发展定位的新能源和节能环保产业等新兴产业；</w:t>
      </w:r>
    </w:p>
    <w:p>
      <w:pPr>
        <w:pStyle w:val="2"/>
        <w:rPr>
          <w:rFonts w:hint="eastAsia"/>
          <w:color w:val="auto"/>
          <w:lang w:val="en-US" w:eastAsia="zh-CN"/>
        </w:rPr>
      </w:pPr>
      <w:r>
        <w:rPr>
          <w:rFonts w:hint="eastAsia"/>
          <w:color w:val="auto"/>
          <w:lang w:val="en-US" w:eastAsia="zh-CN"/>
        </w:rPr>
        <w:t>本项目属于航空航天材料制造，属于高端装备制造产业项目，属于园区主导产业，满足产业规划要求。</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lang w:val="en-US" w:eastAsia="zh-CN"/>
        </w:rPr>
      </w:pPr>
      <w:r>
        <w:rPr>
          <w:rFonts w:hint="eastAsia" w:ascii="Times New Roman" w:hAnsi="Times New Roman" w:eastAsia="宋体" w:cs="Times New Roman"/>
          <w:color w:val="auto"/>
          <w:spacing w:val="7"/>
          <w:sz w:val="24"/>
          <w:szCs w:val="24"/>
          <w:u w:val="none" w:color="auto"/>
          <w:lang w:val="en-US" w:eastAsia="zh-CN"/>
        </w:rPr>
        <w:t>根据岳阳市产业园建设领导小组办公室和岳阳市自然资源和规划局出具的说明文件，本项目在岳阳临港高新技术产业开发区发展方向内，符合相关产业政策。</w:t>
      </w:r>
    </w:p>
    <w:p>
      <w:pPr>
        <w:pStyle w:val="7"/>
        <w:pageBreakBefore w:val="0"/>
        <w:kinsoku/>
        <w:wordWrap/>
        <w:overflowPunct w:val="0"/>
        <w:topLinePunct/>
        <w:autoSpaceDE w:val="0"/>
        <w:autoSpaceDN w:val="0"/>
        <w:bidi w:val="0"/>
        <w:outlineLvl w:val="2"/>
        <w:rPr>
          <w:rFonts w:hint="default" w:ascii="Times New Roman" w:hAnsi="Times New Roman" w:eastAsia="宋体" w:cs="Times New Roman"/>
          <w:color w:val="auto"/>
          <w:sz w:val="28"/>
          <w:szCs w:val="28"/>
          <w:highlight w:val="none"/>
          <w:u w:val="none" w:color="auto"/>
        </w:rPr>
      </w:pPr>
      <w:bookmarkStart w:id="18" w:name="1.4.2.1与《大气污染防治行动计划》的符合性分析"/>
      <w:bookmarkEnd w:id="18"/>
      <w:bookmarkStart w:id="19" w:name="_Toc21549"/>
      <w:bookmarkStart w:id="20" w:name="_Toc41310091"/>
      <w:bookmarkStart w:id="21" w:name="_Toc6583"/>
      <w:r>
        <w:rPr>
          <w:rFonts w:hint="default" w:ascii="Times New Roman" w:hAnsi="Times New Roman" w:eastAsia="宋体" w:cs="Times New Roman"/>
          <w:color w:val="auto"/>
          <w:sz w:val="28"/>
          <w:szCs w:val="28"/>
          <w:highlight w:val="none"/>
          <w:u w:val="none" w:color="auto"/>
        </w:rPr>
        <w:t>1.3.3平面布局合理性分析</w:t>
      </w:r>
      <w:bookmarkEnd w:id="19"/>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本项目拟建场地分为南、北两个厂区。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lang w:eastAsia="zh-CN"/>
        </w:rPr>
        <w:t>（</w:t>
      </w:r>
      <w:r>
        <w:rPr>
          <w:rFonts w:hint="default" w:ascii="Times New Roman" w:hAnsi="Times New Roman" w:eastAsia="宋体" w:cs="Times New Roman"/>
          <w:color w:val="auto"/>
          <w:spacing w:val="7"/>
          <w:sz w:val="24"/>
          <w:szCs w:val="24"/>
          <w:u w:val="none" w:color="auto"/>
          <w:lang w:val="en-US" w:eastAsia="zh-CN"/>
        </w:rPr>
        <w:t>1</w:t>
      </w:r>
      <w:r>
        <w:rPr>
          <w:rFonts w:hint="default" w:ascii="Times New Roman" w:hAnsi="Times New Roman" w:eastAsia="宋体" w:cs="Times New Roman"/>
          <w:color w:val="auto"/>
          <w:spacing w:val="7"/>
          <w:sz w:val="24"/>
          <w:szCs w:val="24"/>
          <w:u w:val="none" w:color="auto"/>
          <w:lang w:eastAsia="zh-CN"/>
        </w:rPr>
        <w:t>）</w:t>
      </w:r>
      <w:r>
        <w:rPr>
          <w:rFonts w:hint="default" w:ascii="Times New Roman" w:hAnsi="Times New Roman" w:eastAsia="宋体" w:cs="Times New Roman"/>
          <w:color w:val="auto"/>
          <w:spacing w:val="7"/>
          <w:sz w:val="24"/>
          <w:szCs w:val="24"/>
          <w:u w:val="none" w:color="auto"/>
        </w:rPr>
        <w:t>南厂区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场地外形及生产工艺流程，按照建构筑物的生产性质和功能，将拟建厂区分为生产区、公辅区、厂前区三个区域。将三者相对分离，且适当集中，不仅管理方便，同时使整个厂区功能分区更为明确，形成一个统一便于管理的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lang w:eastAsia="zh-CN"/>
        </w:rPr>
        <w:t>南厂区</w:t>
      </w:r>
      <w:r>
        <w:rPr>
          <w:rFonts w:hint="default" w:ascii="Times New Roman" w:hAnsi="Times New Roman" w:eastAsia="宋体" w:cs="Times New Roman"/>
          <w:color w:val="auto"/>
          <w:spacing w:val="7"/>
          <w:sz w:val="24"/>
          <w:szCs w:val="24"/>
          <w:u w:val="none" w:color="auto"/>
        </w:rPr>
        <w:t>生产区主要包括挤压车间、锻造车间，由西向东布置在厂区南部:10kV配电站、净循环水泵站、消防泵站、压缩空气站等根据需要布置在车间偏跨。这样布置，工艺流程顺畅，货物运输便利，管线敷设短捷。车间四周设置环行道路，以满足消防和运输的要求。</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公辅区主要包括天燃气调压站、雨水调蓄池，分两块布置，其中天然气调压站布置在挤压车间西北面，雨水调蓄池布置在厂区东北角。这样布置，不仅充分的利用了厂区的边角地，又利于厂内外进出管线的衔接。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厂前区主要包括综合楼、食堂、倒班宿舍，由东向西布置在厂区北部。这样布置，方便人员出入，利于管理。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厂区设置三个出入口。位于东北部的出入口，靠近厂前区，作为企业对外联系交通的主要出入口，主要用于人流出入使用:位于南部的出入口，靠近生产区，作为企业对外联系交通的次要出入口，主要用于原料运进和成品运出使用:位于北部的出入口，主要用于南、北两个厂区货流、人流联系使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(2)北厂区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根据场地外形及生产工艺流程，按照建构筑物的生产性质和功能，将拟建厂区分为生产区、公辅区两个区域。</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生产区主要包括熔铸车间、板材车间及表面处理车间、机加工车间及成品车间，由东向西布置在厂区东部;10kV配电站、净循环水泵站、浊循环水泵站、压缩空气站、废水处理站等根据需要布置在车间或偏跨内。这样布置工艺流程顺畅，管线敷设短捷。车间四周设置环行道路，以满足消防和运输的要求。</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公辅区主要包括危废及固废库、雨水调蓄池(3个)，分两块布置，其中危废及固废库、3#和2#雨水调蓄池依次布置在厂区西部，1#雨水调蓄池布置在厂区东南角。这样布置，充分的利用了厂区的边角区域，利于厂区内、外管线的衔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厂区在南部设置两个出入口。位于东南部的出入口，作为企业对外联系交通的主要出入口，主要用于人流出入使用:位于西南部的出入口，作为企业对外联系交通的次要出入口，主要用于原料运进和成品运出使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从厂区内部平面布置来看，厂区内部平面布置考虑了企业生产的特点，总平面布局按生产性质、规模、产品工艺流程、交通运输及防火、防爆、卫生等要求进行，工艺顺畅，各工序衔接紧凑，利于生产活动。厂区内功能分区明确，人流货流通畅短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综上所述本项目平面布置可行。</w:t>
      </w:r>
    </w:p>
    <w:p>
      <w:pPr>
        <w:pStyle w:val="7"/>
        <w:pageBreakBefore w:val="0"/>
        <w:kinsoku/>
        <w:wordWrap/>
        <w:overflowPunct w:val="0"/>
        <w:topLinePunct/>
        <w:autoSpaceDE w:val="0"/>
        <w:autoSpaceDN w:val="0"/>
        <w:bidi w:val="0"/>
        <w:outlineLvl w:val="2"/>
        <w:rPr>
          <w:rFonts w:hint="default" w:ascii="Times New Roman" w:hAnsi="Times New Roman" w:eastAsia="宋体" w:cs="Times New Roman"/>
          <w:color w:val="auto"/>
          <w:sz w:val="28"/>
          <w:szCs w:val="28"/>
          <w:highlight w:val="none"/>
          <w:u w:val="none" w:color="auto"/>
        </w:rPr>
      </w:pPr>
      <w:bookmarkStart w:id="22" w:name="_bookmark8"/>
      <w:bookmarkEnd w:id="22"/>
      <w:bookmarkStart w:id="23" w:name="_Toc9548"/>
      <w:r>
        <w:rPr>
          <w:rFonts w:hint="default" w:ascii="Times New Roman" w:hAnsi="Times New Roman" w:eastAsia="宋体" w:cs="Times New Roman"/>
          <w:color w:val="auto"/>
          <w:sz w:val="28"/>
          <w:szCs w:val="28"/>
          <w:highlight w:val="none"/>
          <w:u w:val="none" w:color="auto"/>
        </w:rPr>
        <w:t>1.3.4与《关于以改善环境质量为核心加强环境影响评价管理的通知》(环环评[2016]150号)相符性分析</w:t>
      </w:r>
      <w:bookmarkEnd w:id="23"/>
    </w:p>
    <w:p>
      <w:pPr>
        <w:pageBreakBefore w:val="0"/>
        <w:kinsoku/>
        <w:wordWrap/>
        <w:overflowPunct w:val="0"/>
        <w:topLinePunct/>
        <w:autoSpaceDE w:val="0"/>
        <w:autoSpaceDN w:val="0"/>
        <w:bidi w:val="0"/>
        <w:spacing w:before="205" w:line="375" w:lineRule="auto"/>
        <w:ind w:left="27" w:right="66" w:firstLine="476"/>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2"/>
          <w:sz w:val="24"/>
          <w:szCs w:val="24"/>
          <w:u w:val="none" w:color="auto"/>
        </w:rPr>
        <w:t>根据《岳阳市生态保护红线划定方案》。本项目位于岳阳临港高新技术产业开发区创新创业基地</w:t>
      </w:r>
      <w:r>
        <w:rPr>
          <w:rFonts w:hint="default" w:ascii="Times New Roman" w:hAnsi="Times New Roman" w:eastAsia="宋体" w:cs="Times New Roman"/>
          <w:color w:val="auto"/>
          <w:spacing w:val="1"/>
          <w:sz w:val="24"/>
          <w:szCs w:val="24"/>
          <w:u w:val="none" w:color="auto"/>
        </w:rPr>
        <w:t>，</w:t>
      </w:r>
      <w:r>
        <w:rPr>
          <w:rFonts w:hint="default" w:ascii="Times New Roman" w:hAnsi="Times New Roman" w:eastAsia="宋体" w:cs="Times New Roman"/>
          <w:color w:val="auto"/>
          <w:spacing w:val="14"/>
          <w:sz w:val="24"/>
          <w:szCs w:val="24"/>
          <w:u w:val="none" w:color="auto"/>
        </w:rPr>
        <w:t>不</w:t>
      </w:r>
      <w:r>
        <w:rPr>
          <w:rFonts w:hint="default" w:ascii="Times New Roman" w:hAnsi="Times New Roman" w:eastAsia="宋体" w:cs="Times New Roman"/>
          <w:color w:val="auto"/>
          <w:spacing w:val="7"/>
          <w:sz w:val="24"/>
          <w:szCs w:val="24"/>
          <w:u w:val="none" w:color="auto"/>
        </w:rPr>
        <w:t>属于</w:t>
      </w:r>
      <w:r>
        <w:rPr>
          <w:rFonts w:hint="default" w:ascii="Times New Roman" w:hAnsi="Times New Roman" w:eastAsia="宋体" w:cs="Times New Roman"/>
          <w:color w:val="auto"/>
          <w:spacing w:val="7"/>
          <w:sz w:val="24"/>
          <w:szCs w:val="24"/>
          <w:u w:val="none" w:color="auto"/>
          <w:lang w:eastAsia="zh-CN"/>
        </w:rPr>
        <w:t>岳阳市</w:t>
      </w:r>
      <w:r>
        <w:rPr>
          <w:rFonts w:hint="default" w:ascii="Times New Roman" w:hAnsi="Times New Roman" w:eastAsia="宋体" w:cs="Times New Roman"/>
          <w:color w:val="auto"/>
          <w:spacing w:val="7"/>
          <w:sz w:val="24"/>
          <w:szCs w:val="24"/>
          <w:u w:val="none" w:color="auto"/>
        </w:rPr>
        <w:t>生态保护红线范围。</w:t>
      </w:r>
    </w:p>
    <w:p>
      <w:pPr>
        <w:pageBreakBefore w:val="0"/>
        <w:kinsoku/>
        <w:wordWrap/>
        <w:overflowPunct w:val="0"/>
        <w:topLinePunct/>
        <w:autoSpaceDE w:val="0"/>
        <w:autoSpaceDN w:val="0"/>
        <w:bidi w:val="0"/>
        <w:spacing w:before="2" w:line="374" w:lineRule="auto"/>
        <w:ind w:left="41" w:right="130" w:firstLine="462"/>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8"/>
          <w:sz w:val="24"/>
          <w:szCs w:val="24"/>
          <w:u w:val="none" w:color="auto"/>
        </w:rPr>
        <w:t>根据202</w:t>
      </w:r>
      <w:r>
        <w:rPr>
          <w:rFonts w:hint="default" w:ascii="Times New Roman" w:hAnsi="Times New Roman" w:eastAsia="宋体" w:cs="Times New Roman"/>
          <w:color w:val="auto"/>
          <w:spacing w:val="8"/>
          <w:sz w:val="24"/>
          <w:szCs w:val="24"/>
          <w:u w:val="none" w:color="auto"/>
          <w:lang w:val="en-US" w:eastAsia="zh-CN"/>
        </w:rPr>
        <w:t>1</w:t>
      </w:r>
      <w:r>
        <w:rPr>
          <w:rFonts w:hint="default" w:ascii="Times New Roman" w:hAnsi="Times New Roman" w:eastAsia="宋体" w:cs="Times New Roman"/>
          <w:color w:val="auto"/>
          <w:spacing w:val="8"/>
          <w:sz w:val="24"/>
          <w:szCs w:val="24"/>
          <w:u w:val="none" w:color="auto"/>
        </w:rPr>
        <w:t>年</w:t>
      </w:r>
      <w:r>
        <w:rPr>
          <w:rFonts w:hint="default" w:ascii="Times New Roman" w:hAnsi="Times New Roman" w:eastAsia="宋体" w:cs="Times New Roman"/>
          <w:color w:val="auto"/>
          <w:spacing w:val="8"/>
          <w:sz w:val="24"/>
          <w:szCs w:val="24"/>
          <w:u w:val="none" w:color="auto"/>
          <w:lang w:eastAsia="zh-CN"/>
        </w:rPr>
        <w:t>岳阳市</w:t>
      </w:r>
      <w:r>
        <w:rPr>
          <w:rFonts w:hint="default" w:ascii="Times New Roman" w:hAnsi="Times New Roman" w:eastAsia="宋体" w:cs="Times New Roman"/>
          <w:color w:val="auto"/>
          <w:spacing w:val="8"/>
          <w:sz w:val="24"/>
          <w:szCs w:val="24"/>
          <w:u w:val="none" w:color="auto"/>
        </w:rPr>
        <w:t>环境空气质量公告，项目所在区域为环境空气质量达</w:t>
      </w:r>
      <w:r>
        <w:rPr>
          <w:rFonts w:hint="default" w:ascii="Times New Roman" w:hAnsi="Times New Roman" w:eastAsia="宋体" w:cs="Times New Roman"/>
          <w:color w:val="auto"/>
          <w:spacing w:val="2"/>
          <w:sz w:val="24"/>
          <w:szCs w:val="24"/>
          <w:u w:val="none" w:color="auto"/>
        </w:rPr>
        <w:t>标</w:t>
      </w:r>
      <w:r>
        <w:rPr>
          <w:rFonts w:hint="default" w:ascii="Times New Roman" w:hAnsi="Times New Roman" w:eastAsia="宋体" w:cs="Times New Roman"/>
          <w:color w:val="auto"/>
          <w:spacing w:val="-10"/>
          <w:sz w:val="24"/>
          <w:szCs w:val="24"/>
          <w:u w:val="none" w:color="auto"/>
        </w:rPr>
        <w:t>区</w:t>
      </w:r>
      <w:r>
        <w:rPr>
          <w:rFonts w:hint="default" w:ascii="Times New Roman" w:hAnsi="Times New Roman" w:eastAsia="宋体" w:cs="Times New Roman"/>
          <w:color w:val="auto"/>
          <w:spacing w:val="-8"/>
          <w:sz w:val="24"/>
          <w:szCs w:val="24"/>
          <w:u w:val="none" w:color="auto"/>
        </w:rPr>
        <w:t>。</w:t>
      </w:r>
    </w:p>
    <w:p>
      <w:pPr>
        <w:pageBreakBefore w:val="0"/>
        <w:kinsoku/>
        <w:wordWrap/>
        <w:overflowPunct w:val="0"/>
        <w:topLinePunct/>
        <w:autoSpaceDE w:val="0"/>
        <w:autoSpaceDN w:val="0"/>
        <w:bidi w:val="0"/>
        <w:spacing w:before="4" w:line="374" w:lineRule="auto"/>
        <w:ind w:left="25" w:right="127" w:firstLine="507"/>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sz w:val="24"/>
          <w:szCs w:val="24"/>
          <w:u w:val="none" w:color="auto"/>
        </w:rPr>
        <w:t>由环境现状质量状况可知，本项目所在区域环境地表水及声环境质量现状均</w:t>
      </w:r>
      <w:r>
        <w:rPr>
          <w:rFonts w:hint="default" w:ascii="Times New Roman" w:hAnsi="Times New Roman" w:eastAsia="宋体" w:cs="Times New Roman"/>
          <w:color w:val="auto"/>
          <w:spacing w:val="7"/>
          <w:sz w:val="24"/>
          <w:szCs w:val="24"/>
          <w:u w:val="none" w:color="auto"/>
        </w:rPr>
        <w:t>能满足相关环境质量标准，通过预测分析可知，本项目建成后的污染物排放浓度符合各类排放标准，对周边环境影响较小，故符合《关于</w:t>
      </w:r>
      <w:r>
        <w:rPr>
          <w:rFonts w:hint="default" w:ascii="Times New Roman" w:hAnsi="Times New Roman" w:eastAsia="宋体" w:cs="Times New Roman"/>
          <w:color w:val="auto"/>
          <w:spacing w:val="8"/>
          <w:sz w:val="24"/>
          <w:szCs w:val="24"/>
          <w:u w:val="none" w:color="auto"/>
        </w:rPr>
        <w:t>以改善</w:t>
      </w:r>
      <w:r>
        <w:rPr>
          <w:rFonts w:hint="default" w:ascii="Times New Roman" w:hAnsi="Times New Roman" w:eastAsia="宋体" w:cs="Times New Roman"/>
          <w:color w:val="auto"/>
          <w:spacing w:val="6"/>
          <w:sz w:val="24"/>
          <w:szCs w:val="24"/>
          <w:u w:val="none" w:color="auto"/>
        </w:rPr>
        <w:t>环</w:t>
      </w:r>
      <w:r>
        <w:rPr>
          <w:rFonts w:hint="default" w:ascii="Times New Roman" w:hAnsi="Times New Roman" w:eastAsia="宋体" w:cs="Times New Roman"/>
          <w:color w:val="auto"/>
          <w:spacing w:val="4"/>
          <w:sz w:val="24"/>
          <w:szCs w:val="24"/>
          <w:u w:val="none" w:color="auto"/>
        </w:rPr>
        <w:t>境质量为核心加强环境影响评价管理的通知》(环环评[2016]150号)</w:t>
      </w:r>
      <w:r>
        <w:rPr>
          <w:rFonts w:hint="default" w:ascii="Times New Roman" w:hAnsi="Times New Roman" w:eastAsia="宋体" w:cs="Times New Roman"/>
          <w:color w:val="auto"/>
          <w:spacing w:val="8"/>
          <w:sz w:val="24"/>
          <w:szCs w:val="24"/>
          <w:u w:val="none" w:color="auto"/>
        </w:rPr>
        <w:t>中的环境质量底线要求。</w:t>
      </w:r>
    </w:p>
    <w:p>
      <w:pPr>
        <w:pageBreakBefore w:val="0"/>
        <w:kinsoku/>
        <w:wordWrap/>
        <w:overflowPunct w:val="0"/>
        <w:topLinePunct/>
        <w:autoSpaceDE w:val="0"/>
        <w:autoSpaceDN w:val="0"/>
        <w:bidi w:val="0"/>
        <w:spacing w:before="3" w:line="362" w:lineRule="auto"/>
        <w:ind w:left="52" w:right="39" w:firstLine="480"/>
        <w:rPr>
          <w:rFonts w:hint="default" w:ascii="Times New Roman" w:hAnsi="Times New Roman" w:eastAsia="宋体" w:cs="Times New Roman"/>
          <w:color w:val="auto"/>
          <w:spacing w:val="2"/>
          <w:position w:val="2"/>
          <w:sz w:val="24"/>
          <w:szCs w:val="24"/>
          <w:u w:val="none" w:color="auto"/>
        </w:rPr>
      </w:pPr>
      <w:r>
        <w:rPr>
          <w:rFonts w:hint="default" w:ascii="Times New Roman" w:hAnsi="Times New Roman" w:eastAsia="宋体" w:cs="Times New Roman"/>
          <w:color w:val="auto"/>
          <w:spacing w:val="7"/>
          <w:sz w:val="24"/>
          <w:szCs w:val="24"/>
          <w:u w:val="none" w:color="auto"/>
        </w:rPr>
        <w:t>本项目属于</w:t>
      </w:r>
      <w:r>
        <w:rPr>
          <w:rFonts w:hint="default" w:ascii="Times New Roman" w:hAnsi="Times New Roman" w:eastAsia="宋体" w:cs="Times New Roman"/>
          <w:color w:val="auto"/>
          <w:spacing w:val="7"/>
          <w:sz w:val="24"/>
          <w:szCs w:val="24"/>
          <w:u w:val="none" w:color="auto"/>
          <w:lang w:eastAsia="zh-CN"/>
        </w:rPr>
        <w:t>镁合金项目制造</w:t>
      </w:r>
      <w:r>
        <w:rPr>
          <w:rFonts w:hint="default" w:ascii="Times New Roman" w:hAnsi="Times New Roman" w:eastAsia="宋体" w:cs="Times New Roman"/>
          <w:color w:val="auto"/>
          <w:spacing w:val="7"/>
          <w:sz w:val="24"/>
          <w:szCs w:val="24"/>
          <w:u w:val="none" w:color="auto"/>
        </w:rPr>
        <w:t>，原辅料均</w:t>
      </w:r>
      <w:r>
        <w:rPr>
          <w:rFonts w:hint="eastAsia" w:ascii="Times New Roman" w:hAnsi="Times New Roman" w:eastAsia="宋体" w:cs="Times New Roman"/>
          <w:color w:val="auto"/>
          <w:spacing w:val="7"/>
          <w:sz w:val="24"/>
          <w:szCs w:val="24"/>
          <w:u w:val="none" w:color="auto"/>
          <w:lang w:eastAsia="zh-CN"/>
        </w:rPr>
        <w:t>外购</w:t>
      </w:r>
      <w:r>
        <w:rPr>
          <w:rFonts w:hint="default" w:ascii="Times New Roman" w:hAnsi="Times New Roman" w:eastAsia="宋体" w:cs="Times New Roman"/>
          <w:color w:val="auto"/>
          <w:spacing w:val="7"/>
          <w:sz w:val="24"/>
          <w:szCs w:val="24"/>
          <w:u w:val="none" w:color="auto"/>
        </w:rPr>
        <w:t>；企业用水来自园区市政管网；项</w:t>
      </w:r>
      <w:r>
        <w:rPr>
          <w:rFonts w:hint="default" w:ascii="Times New Roman" w:hAnsi="Times New Roman" w:eastAsia="宋体" w:cs="Times New Roman"/>
          <w:color w:val="auto"/>
          <w:spacing w:val="6"/>
          <w:sz w:val="24"/>
          <w:szCs w:val="24"/>
          <w:u w:val="none" w:color="auto"/>
        </w:rPr>
        <w:t>目</w:t>
      </w:r>
      <w:r>
        <w:rPr>
          <w:rFonts w:hint="default" w:ascii="Times New Roman" w:hAnsi="Times New Roman" w:eastAsia="宋体" w:cs="Times New Roman"/>
          <w:color w:val="auto"/>
          <w:spacing w:val="7"/>
          <w:sz w:val="24"/>
          <w:szCs w:val="24"/>
          <w:u w:val="none" w:color="auto"/>
        </w:rPr>
        <w:t>用电来自园区变电站。项目原辅料、水、电供应充足，厂</w:t>
      </w:r>
      <w:r>
        <w:rPr>
          <w:rFonts w:hint="default" w:ascii="Times New Roman" w:hAnsi="Times New Roman" w:eastAsia="宋体" w:cs="Times New Roman"/>
          <w:color w:val="auto"/>
          <w:spacing w:val="8"/>
          <w:sz w:val="24"/>
          <w:szCs w:val="24"/>
          <w:u w:val="none" w:color="auto"/>
        </w:rPr>
        <w:t>内</w:t>
      </w:r>
      <w:r>
        <w:rPr>
          <w:rFonts w:hint="default" w:ascii="Times New Roman" w:hAnsi="Times New Roman" w:eastAsia="宋体" w:cs="Times New Roman"/>
          <w:color w:val="auto"/>
          <w:spacing w:val="7"/>
          <w:sz w:val="24"/>
          <w:szCs w:val="24"/>
          <w:u w:val="none" w:color="auto"/>
        </w:rPr>
        <w:t>使用天然气、电等清洁能源。符合《关于以改善环境质量为核心加强环境影响</w:t>
      </w:r>
      <w:r>
        <w:rPr>
          <w:rFonts w:hint="default" w:ascii="Times New Roman" w:hAnsi="Times New Roman" w:eastAsia="宋体" w:cs="Times New Roman"/>
          <w:color w:val="auto"/>
          <w:spacing w:val="4"/>
          <w:position w:val="2"/>
          <w:sz w:val="24"/>
          <w:szCs w:val="24"/>
          <w:u w:val="none" w:color="auto"/>
        </w:rPr>
        <w:t>评价管理的通知》(</w:t>
      </w:r>
      <w:r>
        <w:rPr>
          <w:rFonts w:hint="default" w:ascii="Times New Roman" w:hAnsi="Times New Roman" w:eastAsia="宋体" w:cs="Times New Roman"/>
          <w:color w:val="auto"/>
          <w:spacing w:val="3"/>
          <w:position w:val="2"/>
          <w:sz w:val="24"/>
          <w:szCs w:val="24"/>
          <w:u w:val="none" w:color="auto"/>
        </w:rPr>
        <w:t>环</w:t>
      </w:r>
      <w:r>
        <w:rPr>
          <w:rFonts w:hint="default" w:ascii="Times New Roman" w:hAnsi="Times New Roman" w:eastAsia="宋体" w:cs="Times New Roman"/>
          <w:color w:val="auto"/>
          <w:spacing w:val="2"/>
          <w:position w:val="2"/>
          <w:sz w:val="24"/>
          <w:szCs w:val="24"/>
          <w:u w:val="none" w:color="auto"/>
        </w:rPr>
        <w:t>环评[2016]150号)中的资源利用上线要求。</w:t>
      </w:r>
    </w:p>
    <w:p>
      <w:pPr>
        <w:pStyle w:val="7"/>
        <w:bidi w:val="0"/>
        <w:rPr>
          <w:rFonts w:hint="default"/>
          <w:color w:val="auto"/>
          <w:lang w:val="en-US" w:eastAsia="zh-CN"/>
        </w:rPr>
      </w:pPr>
      <w:r>
        <w:rPr>
          <w:rFonts w:hint="eastAsia"/>
          <w:color w:val="auto"/>
          <w:lang w:val="en-US" w:eastAsia="zh-CN"/>
        </w:rPr>
        <w:t>1.3.5</w:t>
      </w:r>
      <w:r>
        <w:rPr>
          <w:rFonts w:hint="default"/>
          <w:color w:val="auto"/>
          <w:lang w:val="en-US" w:eastAsia="zh-CN"/>
        </w:rPr>
        <w:t>与《挥发性有机物（VOCs）污染防治技术政策》的符合性分析</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本项目与《挥发性有机物（VOCs）污染防治技术政策》符合性分析见表1.</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w:t>
      </w:r>
    </w:p>
    <w:p>
      <w:pPr>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表1.</w:t>
      </w: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 xml:space="preserve">  本项目与《挥发性有机物（VOCs）污染防治技术政策》相符性分析一览表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3732"/>
        <w:gridCol w:w="2332"/>
        <w:gridCol w:w="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行业政策</w:t>
            </w:r>
          </w:p>
        </w:tc>
        <w:tc>
          <w:tcPr>
            <w:tcW w:w="3963"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相关规定</w:t>
            </w:r>
          </w:p>
        </w:tc>
        <w:tc>
          <w:tcPr>
            <w:tcW w:w="2397"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本项目情况</w:t>
            </w:r>
          </w:p>
        </w:tc>
        <w:tc>
          <w:tcPr>
            <w:tcW w:w="952"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挥发性有机物（VOCs）污染防治技术政策</w:t>
            </w:r>
          </w:p>
        </w:tc>
        <w:tc>
          <w:tcPr>
            <w:tcW w:w="3963"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在涂装、印刷、粘合、工业清洗等含VOCs产品的使用过程中的VOCs污染防治技术措施包括：</w:t>
            </w:r>
          </w:p>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根据涂装工艺的不同，鼓励使用水性涂料、高固份涂料、粉末涂料、紫外光固化（UV）涂料等环保型涂料；推广采用静电喷涂、淋涂、辊涂、浸涂等效率较高的涂装工艺；应尽量避免无VOCs净化、回收措施的露天喷涂作业；</w:t>
            </w:r>
          </w:p>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.含VOCs产品的使用过程中，应采取废气收集措施，提高废气收集效率，减少废气的无组织排放与逸散，并对收集后的废气进行回收或处理后达标排放。</w:t>
            </w:r>
          </w:p>
        </w:tc>
        <w:tc>
          <w:tcPr>
            <w:tcW w:w="2397"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en-US" w:eastAsia="zh-CN"/>
              </w:rPr>
              <w:t>涂装工艺</w:t>
            </w:r>
            <w:r>
              <w:rPr>
                <w:rFonts w:hint="eastAsia" w:ascii="Times New Roman" w:hAnsi="Times New Roman" w:eastAsia="宋体" w:cs="Times New Roman"/>
                <w:color w:val="auto"/>
                <w:lang w:val="en-US" w:eastAsia="zh-CN"/>
              </w:rPr>
              <w:t>使用水性涂料，属于低VOCs涂料</w:t>
            </w:r>
            <w:r>
              <w:rPr>
                <w:rFonts w:hint="default" w:ascii="Times New Roman" w:hAnsi="Times New Roman" w:eastAsia="宋体" w:cs="Times New Roman"/>
                <w:color w:val="auto"/>
              </w:rPr>
              <w:t>；</w:t>
            </w:r>
          </w:p>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本项目喷涂和烘干均在密闭喷漆房内进行，废气经过处理后达标排放。</w:t>
            </w:r>
          </w:p>
        </w:tc>
        <w:tc>
          <w:tcPr>
            <w:tcW w:w="952"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rPr>
            </w:pPr>
            <w:bookmarkStart w:id="24" w:name="_Toc5167"/>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低挥发性有机化合物含量涂料产品技术要求》（GB∕T 38597-2020 ）</w:t>
            </w:r>
          </w:p>
        </w:tc>
        <w:tc>
          <w:tcPr>
            <w:tcW w:w="3963" w:type="dxa"/>
            <w:tcBorders>
              <w:tl2br w:val="nil"/>
              <w:tr2bl w:val="nil"/>
            </w:tcBorders>
            <w:vAlign w:val="center"/>
          </w:tcPr>
          <w:p>
            <w:pPr>
              <w:bidi w:val="0"/>
              <w:ind w:left="0" w:leftChars="0" w:right="0" w:righ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表1水性涂料中VOCs≤300g/L（型材涂装-氟树脂涂料）</w:t>
            </w:r>
          </w:p>
        </w:tc>
        <w:tc>
          <w:tcPr>
            <w:tcW w:w="2397"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本项目表面喷涂使用水性氟树脂涂料，根据《水性氟树脂涂料》（HG/T 4104-2019）》行业标准要求Ⅲ类，VOCs含量≤250g/L。</w:t>
            </w:r>
          </w:p>
        </w:tc>
        <w:tc>
          <w:tcPr>
            <w:tcW w:w="952" w:type="dxa"/>
            <w:tcBorders>
              <w:tl2br w:val="nil"/>
              <w:tr2bl w:val="nil"/>
            </w:tcBorders>
            <w:vAlign w:val="center"/>
          </w:tcPr>
          <w:p>
            <w:pPr>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bl>
    <w:p>
      <w:pPr>
        <w:pStyle w:val="7"/>
        <w:pageBreakBefore w:val="0"/>
        <w:kinsoku/>
        <w:wordWrap/>
        <w:overflowPunct w:val="0"/>
        <w:topLinePunct/>
        <w:autoSpaceDE w:val="0"/>
        <w:autoSpaceDN w:val="0"/>
        <w:bidi w:val="0"/>
        <w:outlineLvl w:val="2"/>
        <w:rPr>
          <w:rFonts w:hint="default" w:ascii="Times New Roman" w:hAnsi="Times New Roman" w:eastAsia="宋体" w:cs="Times New Roman"/>
          <w:color w:val="auto"/>
          <w:sz w:val="28"/>
          <w:szCs w:val="28"/>
          <w:highlight w:val="none"/>
          <w:u w:val="none" w:color="auto"/>
        </w:rPr>
      </w:pPr>
      <w:bookmarkStart w:id="25" w:name="_bookmark10"/>
      <w:bookmarkEnd w:id="25"/>
      <w:r>
        <w:rPr>
          <w:rFonts w:hint="default" w:ascii="Times New Roman" w:hAnsi="Times New Roman" w:eastAsia="宋体" w:cs="Times New Roman"/>
          <w:color w:val="auto"/>
          <w:sz w:val="28"/>
          <w:szCs w:val="28"/>
          <w:highlight w:val="none"/>
          <w:u w:val="none" w:color="auto"/>
        </w:rPr>
        <w:t>1.3.6与《湖南省长江经济带发展负面清单实施细则(试行，2022年版)》相符</w:t>
      </w:r>
      <w:bookmarkStart w:id="26" w:name="_bookmark11"/>
      <w:bookmarkEnd w:id="26"/>
      <w:r>
        <w:rPr>
          <w:rFonts w:hint="default" w:ascii="Times New Roman" w:hAnsi="Times New Roman" w:eastAsia="宋体" w:cs="Times New Roman"/>
          <w:color w:val="auto"/>
          <w:sz w:val="28"/>
          <w:szCs w:val="28"/>
          <w:highlight w:val="none"/>
          <w:u w:val="none" w:color="auto"/>
        </w:rPr>
        <w:t>性分析</w:t>
      </w:r>
      <w:bookmarkEnd w:id="24"/>
    </w:p>
    <w:p>
      <w:pPr>
        <w:pageBreakBefore w:val="0"/>
        <w:kinsoku/>
        <w:wordWrap/>
        <w:overflowPunct w:val="0"/>
        <w:topLinePunct/>
        <w:autoSpaceDE w:val="0"/>
        <w:autoSpaceDN w:val="0"/>
        <w:bidi w:val="0"/>
        <w:spacing w:before="184" w:line="373" w:lineRule="auto"/>
        <w:ind w:left="47" w:right="45" w:firstLine="485"/>
        <w:rPr>
          <w:rFonts w:hint="default" w:ascii="Times New Roman" w:hAnsi="Times New Roman" w:eastAsia="宋体" w:cs="Times New Roman"/>
          <w:color w:val="auto"/>
          <w:sz w:val="23"/>
          <w:szCs w:val="23"/>
          <w:u w:val="none" w:color="auto"/>
        </w:rPr>
      </w:pPr>
      <w:r>
        <w:rPr>
          <w:rFonts w:hint="default" w:ascii="Times New Roman" w:hAnsi="Times New Roman" w:eastAsia="宋体" w:cs="Times New Roman"/>
          <w:color w:val="auto"/>
          <w:spacing w:val="11"/>
          <w:sz w:val="23"/>
          <w:szCs w:val="23"/>
          <w:u w:val="none" w:color="auto"/>
        </w:rPr>
        <w:t>本项目不属于《湖南省长江经济带发展负面清单实施细则(试行，2022年</w:t>
      </w:r>
      <w:r>
        <w:rPr>
          <w:rFonts w:hint="default" w:ascii="Times New Roman" w:hAnsi="Times New Roman" w:eastAsia="宋体" w:cs="Times New Roman"/>
          <w:color w:val="auto"/>
          <w:spacing w:val="14"/>
          <w:sz w:val="23"/>
          <w:szCs w:val="23"/>
          <w:u w:val="none" w:color="auto"/>
        </w:rPr>
        <w:t>版)</w:t>
      </w:r>
      <w:r>
        <w:rPr>
          <w:rFonts w:hint="default" w:ascii="Times New Roman" w:hAnsi="Times New Roman" w:eastAsia="宋体" w:cs="Times New Roman"/>
          <w:color w:val="auto"/>
          <w:spacing w:val="13"/>
          <w:sz w:val="23"/>
          <w:szCs w:val="23"/>
          <w:u w:val="none" w:color="auto"/>
        </w:rPr>
        <w:t>》</w:t>
      </w:r>
      <w:r>
        <w:rPr>
          <w:rFonts w:hint="default" w:ascii="Times New Roman" w:hAnsi="Times New Roman" w:eastAsia="宋体" w:cs="Times New Roman"/>
          <w:color w:val="auto"/>
          <w:spacing w:val="7"/>
          <w:sz w:val="23"/>
          <w:szCs w:val="23"/>
          <w:u w:val="none" w:color="auto"/>
        </w:rPr>
        <w:t>中的禁止类项目，与《湖南省长江经济带发展负面清单实施细则(试行，</w:t>
      </w:r>
      <w:r>
        <w:rPr>
          <w:rFonts w:hint="default" w:ascii="Times New Roman" w:hAnsi="Times New Roman" w:eastAsia="宋体" w:cs="Times New Roman"/>
          <w:color w:val="auto"/>
          <w:spacing w:val="11"/>
          <w:sz w:val="23"/>
          <w:szCs w:val="23"/>
          <w:u w:val="none" w:color="auto"/>
        </w:rPr>
        <w:t>2</w:t>
      </w:r>
      <w:r>
        <w:rPr>
          <w:rFonts w:hint="default" w:ascii="Times New Roman" w:hAnsi="Times New Roman" w:eastAsia="宋体" w:cs="Times New Roman"/>
          <w:color w:val="auto"/>
          <w:spacing w:val="8"/>
          <w:sz w:val="23"/>
          <w:szCs w:val="23"/>
          <w:u w:val="none" w:color="auto"/>
        </w:rPr>
        <w:t>022年版)》相关部分的相符性分析如下：</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表1.3-9与湖南省长江经济带发展负面清单的符合性分析</w:t>
      </w:r>
    </w:p>
    <w:tbl>
      <w:tblPr>
        <w:tblStyle w:val="204"/>
        <w:tblpPr w:leftFromText="180" w:rightFromText="180" w:vertAnchor="text" w:horzAnchor="page" w:tblpXSpec="center" w:tblpY="119"/>
        <w:tblOverlap w:val="never"/>
        <w:tblW w:w="83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47"/>
        <w:gridCol w:w="2891"/>
        <w:gridCol w:w="4146"/>
        <w:gridCol w:w="7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54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序号</w:t>
            </w:r>
          </w:p>
        </w:tc>
        <w:tc>
          <w:tcPr>
            <w:tcW w:w="28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要求内容</w:t>
            </w:r>
          </w:p>
        </w:tc>
        <w:tc>
          <w:tcPr>
            <w:tcW w:w="4146"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本项目情况</w:t>
            </w:r>
          </w:p>
        </w:tc>
        <w:tc>
          <w:tcPr>
            <w:tcW w:w="79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54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第十六条</w:t>
            </w:r>
          </w:p>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p>
        </w:tc>
        <w:tc>
          <w:tcPr>
            <w:tcW w:w="28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禁止在合规园区外新建、扩建钢铁、石化、化工、焦化、建材、有色、制浆造纸等高污染项目。高污染项目严格按照生态环境部《环境保护综合名录(2021年版)》有关要求执行。</w:t>
            </w:r>
          </w:p>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p>
        </w:tc>
        <w:tc>
          <w:tcPr>
            <w:tcW w:w="4146"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eastAsia" w:ascii="Times New Roman" w:hAnsi="Times New Roman" w:eastAsia="宋体" w:cs="Times New Roman"/>
                <w:color w:val="auto"/>
                <w:spacing w:val="8"/>
                <w:sz w:val="21"/>
                <w:szCs w:val="21"/>
                <w:u w:val="none" w:color="auto"/>
                <w:lang w:eastAsia="zh-CN"/>
              </w:rPr>
            </w:pPr>
            <w:r>
              <w:rPr>
                <w:rFonts w:hint="eastAsia" w:ascii="Times New Roman" w:hAnsi="Times New Roman" w:eastAsia="宋体" w:cs="Times New Roman"/>
                <w:color w:val="auto"/>
                <w:spacing w:val="8"/>
                <w:sz w:val="21"/>
                <w:szCs w:val="21"/>
                <w:u w:val="none" w:color="auto"/>
                <w:lang w:eastAsia="zh-CN"/>
              </w:rPr>
              <w:t>本项目位于岳阳临港高新技术产业开发区创新创业基地，</w:t>
            </w:r>
            <w:r>
              <w:rPr>
                <w:rFonts w:hint="default" w:ascii="Times New Roman" w:hAnsi="Times New Roman" w:eastAsia="宋体" w:cs="Times New Roman"/>
                <w:color w:val="auto"/>
                <w:spacing w:val="6"/>
                <w:sz w:val="21"/>
                <w:szCs w:val="21"/>
                <w:u w:val="none" w:color="auto"/>
              </w:rPr>
              <w:t>距离长江</w:t>
            </w:r>
            <w:r>
              <w:rPr>
                <w:rFonts w:hint="eastAsia" w:ascii="Times New Roman" w:hAnsi="Times New Roman" w:eastAsia="宋体" w:cs="Times New Roman"/>
                <w:color w:val="auto"/>
                <w:spacing w:val="6"/>
                <w:sz w:val="21"/>
                <w:szCs w:val="21"/>
                <w:u w:val="none" w:color="auto"/>
                <w:lang w:val="en-US" w:eastAsia="zh-CN"/>
              </w:rPr>
              <w:t>3</w:t>
            </w:r>
            <w:r>
              <w:rPr>
                <w:rFonts w:hint="default" w:ascii="Times New Roman" w:hAnsi="Times New Roman" w:eastAsia="宋体" w:cs="Times New Roman"/>
                <w:color w:val="auto"/>
                <w:spacing w:val="6"/>
                <w:sz w:val="21"/>
                <w:szCs w:val="21"/>
                <w:u w:val="none" w:color="auto"/>
                <w:lang w:val="en-US" w:eastAsia="zh-CN"/>
              </w:rPr>
              <w:t>00</w:t>
            </w:r>
            <w:r>
              <w:rPr>
                <w:rFonts w:hint="default" w:ascii="Times New Roman" w:hAnsi="Times New Roman" w:eastAsia="宋体" w:cs="Times New Roman"/>
                <w:color w:val="auto"/>
                <w:spacing w:val="6"/>
                <w:sz w:val="21"/>
                <w:szCs w:val="21"/>
                <w:u w:val="none" w:color="auto"/>
              </w:rPr>
              <w:t>m</w:t>
            </w:r>
            <w:r>
              <w:rPr>
                <w:rFonts w:hint="eastAsia" w:ascii="Times New Roman" w:hAnsi="Times New Roman" w:eastAsia="宋体" w:cs="Times New Roman"/>
                <w:color w:val="auto"/>
                <w:spacing w:val="8"/>
                <w:sz w:val="21"/>
                <w:szCs w:val="21"/>
                <w:u w:val="none" w:color="auto"/>
                <w:lang w:eastAsia="zh-CN"/>
              </w:rPr>
              <w:t>，根据《湖南省发展和改革委员会湖南省自然厅关于发布湖南省省级及以上产业园区边界面积及四至范围目录的通知》（湘发改园区〔2022〕601号），本项目不在省级园区范围内。</w:t>
            </w:r>
          </w:p>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eastAsia" w:ascii="Times New Roman" w:hAnsi="Times New Roman" w:eastAsia="宋体" w:cs="Times New Roman"/>
                <w:color w:val="auto"/>
                <w:spacing w:val="13"/>
                <w:sz w:val="21"/>
                <w:szCs w:val="21"/>
                <w:u w:val="none" w:color="auto"/>
                <w:lang w:eastAsia="zh-CN"/>
              </w:rPr>
            </w:pPr>
            <w:r>
              <w:rPr>
                <w:rFonts w:hint="eastAsia" w:ascii="Times New Roman" w:hAnsi="Times New Roman" w:eastAsia="宋体" w:cs="Times New Roman"/>
                <w:color w:val="auto"/>
                <w:spacing w:val="13"/>
                <w:sz w:val="21"/>
                <w:szCs w:val="21"/>
                <w:u w:val="none" w:color="auto"/>
                <w:lang w:eastAsia="zh-CN"/>
              </w:rPr>
              <w:t>根据岳阳市产业园区建设领导小组办公室出具的《关于高性能变形镁合金产业链产业化项目的说明》（详见附件</w:t>
            </w:r>
            <w:r>
              <w:rPr>
                <w:rFonts w:hint="eastAsia" w:ascii="Times New Roman" w:hAnsi="Times New Roman" w:eastAsia="宋体" w:cs="Times New Roman"/>
                <w:color w:val="auto"/>
                <w:spacing w:val="13"/>
                <w:sz w:val="21"/>
                <w:szCs w:val="21"/>
                <w:u w:val="none" w:color="auto"/>
                <w:lang w:val="en-US" w:eastAsia="zh-CN"/>
              </w:rPr>
              <w:t>5</w:t>
            </w:r>
            <w:r>
              <w:rPr>
                <w:rFonts w:hint="eastAsia" w:ascii="Times New Roman" w:hAnsi="Times New Roman" w:eastAsia="宋体" w:cs="Times New Roman"/>
                <w:color w:val="auto"/>
                <w:spacing w:val="13"/>
                <w:sz w:val="21"/>
                <w:szCs w:val="21"/>
                <w:u w:val="none" w:color="auto"/>
                <w:lang w:eastAsia="zh-CN"/>
              </w:rPr>
              <w:t>）:项目拟选址区属岳阳市临港高新技术产业开发区发展方向区，目前岳阳市临港高新技术产业开发区正在申报国家级高新区，待国家级高新区获批后将立即启动调扩区工作，将项目拟纳入合规园区范围。</w:t>
            </w:r>
          </w:p>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u w:val="none" w:color="auto"/>
              </w:rPr>
            </w:pPr>
            <w:r>
              <w:rPr>
                <w:rFonts w:hint="eastAsia" w:ascii="Times New Roman" w:hAnsi="Times New Roman" w:eastAsia="宋体" w:cs="Times New Roman"/>
                <w:color w:val="auto"/>
                <w:spacing w:val="13"/>
                <w:sz w:val="21"/>
                <w:szCs w:val="21"/>
                <w:u w:val="none" w:color="auto"/>
                <w:lang w:eastAsia="zh-CN"/>
              </w:rPr>
              <w:t>本项目为镁合金制造，属于国民经济分类中的“32有色金属冶炼和压延加工业中的324有色金属合金制造项目”对照《环境保护综合名录(2021 年版)》(环办综合函(2021) 495号)，本项目产品不属于“高污染、高环境风险”产品。因此本项目不属于有色高污染项目。</w:t>
            </w:r>
          </w:p>
        </w:tc>
        <w:tc>
          <w:tcPr>
            <w:tcW w:w="79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eastAsia" w:ascii="Times New Roman" w:hAnsi="Times New Roman" w:eastAsia="宋体" w:cs="Times New Roman"/>
                <w:color w:val="auto"/>
                <w:spacing w:val="3"/>
                <w:sz w:val="21"/>
                <w:szCs w:val="21"/>
                <w:u w:val="none" w:color="auto"/>
                <w:lang w:eastAsia="zh-CN"/>
              </w:rPr>
            </w:pPr>
            <w:r>
              <w:rPr>
                <w:rFonts w:hint="eastAsia" w:ascii="Times New Roman" w:hAnsi="Times New Roman" w:eastAsia="宋体" w:cs="Times New Roman"/>
                <w:color w:val="auto"/>
                <w:spacing w:val="3"/>
                <w:sz w:val="21"/>
                <w:szCs w:val="21"/>
                <w:u w:val="none" w:color="auto"/>
                <w:lang w:eastAsia="zh-CN"/>
              </w:rPr>
              <w:t>符合</w:t>
            </w:r>
          </w:p>
        </w:tc>
      </w:tr>
    </w:tbl>
    <w:p>
      <w:pPr>
        <w:pStyle w:val="7"/>
        <w:pageBreakBefore w:val="0"/>
        <w:kinsoku/>
        <w:wordWrap/>
        <w:overflowPunct w:val="0"/>
        <w:topLinePunct/>
        <w:autoSpaceDE w:val="0"/>
        <w:autoSpaceDN w:val="0"/>
        <w:bidi w:val="0"/>
        <w:outlineLvl w:val="2"/>
        <w:rPr>
          <w:rFonts w:hint="default" w:ascii="Times New Roman" w:hAnsi="Times New Roman" w:eastAsia="宋体" w:cs="Times New Roman"/>
          <w:color w:val="auto"/>
          <w:sz w:val="28"/>
          <w:szCs w:val="28"/>
          <w:highlight w:val="none"/>
          <w:u w:val="none" w:color="auto"/>
        </w:rPr>
      </w:pPr>
      <w:bookmarkStart w:id="27" w:name="_Toc31376"/>
      <w:r>
        <w:rPr>
          <w:rFonts w:hint="default" w:ascii="Times New Roman" w:hAnsi="Times New Roman" w:eastAsia="宋体" w:cs="Times New Roman"/>
          <w:color w:val="auto"/>
          <w:sz w:val="28"/>
          <w:szCs w:val="28"/>
          <w:highlight w:val="none"/>
          <w:u w:val="none" w:color="auto"/>
        </w:rPr>
        <w:t>1.3.7“三线一单”相符性分析</w:t>
      </w:r>
      <w:bookmarkEnd w:id="27"/>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bookmarkStart w:id="28" w:name="_bookmark12"/>
      <w:bookmarkEnd w:id="28"/>
      <w:r>
        <w:rPr>
          <w:rFonts w:hint="default" w:ascii="Times New Roman" w:hAnsi="Times New Roman" w:eastAsia="宋体" w:cs="Times New Roman"/>
          <w:color w:val="auto"/>
          <w:sz w:val="24"/>
          <w:szCs w:val="24"/>
          <w:u w:val="none" w:color="auto"/>
        </w:rPr>
        <w:t>根据《湖南省“三线一单”生态环境总体管控要求暨省级以上产业园区生态环境准入清单》，岳阳临港高新技术产业开发区环境准入负面清单见下表。</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表1.4-3与岳阳临港高新技术产业开发区环境准入清单符合性分析</w:t>
      </w:r>
    </w:p>
    <w:tbl>
      <w:tblPr>
        <w:tblStyle w:val="4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4"/>
        <w:gridCol w:w="4650"/>
        <w:gridCol w:w="1900"/>
        <w:gridCol w:w="1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Align w:val="center"/>
          </w:tcPr>
          <w:p>
            <w:pPr>
              <w:pStyle w:val="413"/>
              <w:pageBreakBefore w:val="0"/>
              <w:widowControl w:val="0"/>
              <w:kinsoku/>
              <w:wordWrap/>
              <w:overflowPunct w:val="0"/>
              <w:topLinePunct/>
              <w:autoSpaceDE w:val="0"/>
              <w:autoSpaceDN w:val="0"/>
              <w:bidi w:val="0"/>
              <w:rPr>
                <w:rFonts w:hint="default" w:ascii="Times New Roman" w:hAnsi="Times New Roman" w:eastAsia="宋体" w:cs="Times New Roman"/>
                <w:b w:val="0"/>
                <w:color w:val="auto"/>
                <w:u w:val="none" w:color="auto"/>
              </w:rPr>
            </w:pPr>
            <w:r>
              <w:rPr>
                <w:rFonts w:hint="default" w:ascii="Times New Roman" w:hAnsi="Times New Roman" w:eastAsia="宋体" w:cs="Times New Roman"/>
                <w:b w:val="0"/>
                <w:color w:val="auto"/>
                <w:u w:val="none" w:color="auto"/>
              </w:rPr>
              <w:t>管控类型</w:t>
            </w:r>
          </w:p>
        </w:tc>
        <w:tc>
          <w:tcPr>
            <w:tcW w:w="2728" w:type="pct"/>
            <w:vAlign w:val="center"/>
          </w:tcPr>
          <w:p>
            <w:pPr>
              <w:pStyle w:val="413"/>
              <w:pageBreakBefore w:val="0"/>
              <w:widowControl w:val="0"/>
              <w:kinsoku/>
              <w:wordWrap/>
              <w:overflowPunct w:val="0"/>
              <w:topLinePunct/>
              <w:autoSpaceDE w:val="0"/>
              <w:autoSpaceDN w:val="0"/>
              <w:bidi w:val="0"/>
              <w:rPr>
                <w:rFonts w:hint="default" w:ascii="Times New Roman" w:hAnsi="Times New Roman" w:eastAsia="宋体" w:cs="Times New Roman"/>
                <w:b w:val="0"/>
                <w:color w:val="auto"/>
                <w:u w:val="none" w:color="auto"/>
              </w:rPr>
            </w:pPr>
            <w:r>
              <w:rPr>
                <w:rFonts w:hint="default" w:ascii="Times New Roman" w:hAnsi="Times New Roman" w:eastAsia="宋体" w:cs="Times New Roman"/>
                <w:b w:val="0"/>
                <w:color w:val="auto"/>
                <w:u w:val="none" w:color="auto"/>
              </w:rPr>
              <w:t>管控要求</w:t>
            </w:r>
          </w:p>
        </w:tc>
        <w:tc>
          <w:tcPr>
            <w:tcW w:w="1115" w:type="pct"/>
            <w:vAlign w:val="center"/>
          </w:tcPr>
          <w:p>
            <w:pPr>
              <w:pStyle w:val="413"/>
              <w:pageBreakBefore w:val="0"/>
              <w:widowControl w:val="0"/>
              <w:kinsoku/>
              <w:wordWrap/>
              <w:overflowPunct w:val="0"/>
              <w:topLinePunct/>
              <w:autoSpaceDE w:val="0"/>
              <w:autoSpaceDN w:val="0"/>
              <w:bidi w:val="0"/>
              <w:rPr>
                <w:rFonts w:hint="default" w:ascii="Times New Roman" w:hAnsi="Times New Roman" w:eastAsia="宋体" w:cs="Times New Roman"/>
                <w:b w:val="0"/>
                <w:color w:val="auto"/>
                <w:u w:val="none" w:color="auto"/>
              </w:rPr>
            </w:pPr>
            <w:r>
              <w:rPr>
                <w:rFonts w:hint="default" w:ascii="Times New Roman" w:hAnsi="Times New Roman" w:eastAsia="宋体" w:cs="Times New Roman"/>
                <w:b w:val="0"/>
                <w:color w:val="auto"/>
                <w:u w:val="none" w:color="auto"/>
              </w:rPr>
              <w:t>本项目情况</w:t>
            </w:r>
          </w:p>
        </w:tc>
        <w:tc>
          <w:tcPr>
            <w:tcW w:w="601" w:type="pct"/>
            <w:vAlign w:val="center"/>
          </w:tcPr>
          <w:p>
            <w:pPr>
              <w:pStyle w:val="413"/>
              <w:pageBreakBefore w:val="0"/>
              <w:widowControl w:val="0"/>
              <w:kinsoku/>
              <w:wordWrap/>
              <w:overflowPunct w:val="0"/>
              <w:topLinePunct/>
              <w:autoSpaceDE w:val="0"/>
              <w:autoSpaceDN w:val="0"/>
              <w:bidi w:val="0"/>
              <w:rPr>
                <w:rFonts w:hint="default" w:ascii="Times New Roman" w:hAnsi="Times New Roman" w:eastAsia="宋体" w:cs="Times New Roman"/>
                <w:b w:val="0"/>
                <w:color w:val="auto"/>
                <w:u w:val="none" w:color="auto"/>
              </w:rPr>
            </w:pPr>
            <w:r>
              <w:rPr>
                <w:rFonts w:hint="default" w:ascii="Times New Roman" w:hAnsi="Times New Roman" w:eastAsia="宋体" w:cs="Times New Roman"/>
                <w:b w:val="0"/>
                <w:color w:val="auto"/>
                <w:u w:val="none" w:color="auto"/>
              </w:rPr>
              <w:t>是否符合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空间布局约束</w:t>
            </w:r>
          </w:p>
        </w:tc>
        <w:tc>
          <w:tcPr>
            <w:tcW w:w="2728"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限制发展三类工业，区域内三类工业用地仅允许用于涉及三类工业的高新企业引进和发展鼓励类高新技术项目的预留用地；禁止引入铅、锌、铬等重污染冶炼行业、纺织印染、炼油、农药工业，来料加工的海外废金属、塑料、纸张加工等工业进入开发区；严格限制石化、有机化工等化工项目建设。</w:t>
            </w:r>
          </w:p>
        </w:tc>
        <w:tc>
          <w:tcPr>
            <w:tcW w:w="1115"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根据总体规划图可知本项目位于二类工业用地；本项目属于</w:t>
            </w:r>
            <w:r>
              <w:rPr>
                <w:rFonts w:hint="default" w:ascii="Times New Roman" w:hAnsi="Times New Roman" w:eastAsia="宋体" w:cs="Times New Roman"/>
                <w:color w:val="auto"/>
                <w:u w:val="none" w:color="auto"/>
                <w:lang w:eastAsia="zh-CN"/>
              </w:rPr>
              <w:t>镁合金制造</w:t>
            </w:r>
            <w:r>
              <w:rPr>
                <w:rFonts w:hint="default" w:ascii="Times New Roman" w:hAnsi="Times New Roman" w:eastAsia="宋体" w:cs="Times New Roman"/>
                <w:color w:val="auto"/>
                <w:u w:val="none" w:color="auto"/>
              </w:rPr>
              <w:t>，不属于禁止引入的行业项目</w:t>
            </w:r>
          </w:p>
        </w:tc>
        <w:tc>
          <w:tcPr>
            <w:tcW w:w="601"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污染物排放管控</w:t>
            </w:r>
          </w:p>
        </w:tc>
        <w:tc>
          <w:tcPr>
            <w:tcW w:w="2728"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废气：（1）禁止引进SO</w:t>
            </w:r>
            <w:r>
              <w:rPr>
                <w:rFonts w:hint="default" w:ascii="Times New Roman" w:hAnsi="Times New Roman" w:eastAsia="宋体" w:cs="Times New Roman"/>
                <w:color w:val="auto"/>
                <w:u w:val="none" w:color="auto"/>
                <w:vertAlign w:val="subscript"/>
              </w:rPr>
              <w:t>2</w:t>
            </w:r>
            <w:r>
              <w:rPr>
                <w:rFonts w:hint="default" w:ascii="Times New Roman" w:hAnsi="Times New Roman" w:eastAsia="宋体" w:cs="Times New Roman"/>
                <w:color w:val="auto"/>
                <w:u w:val="none" w:color="auto"/>
              </w:rPr>
              <w:t>、NO</w:t>
            </w:r>
            <w:r>
              <w:rPr>
                <w:rFonts w:hint="default" w:ascii="Times New Roman" w:hAnsi="Times New Roman" w:eastAsia="宋体" w:cs="Times New Roman"/>
                <w:color w:val="auto"/>
                <w:u w:val="none" w:color="auto"/>
                <w:vertAlign w:val="subscript"/>
              </w:rPr>
              <w:t>X</w:t>
            </w:r>
            <w:r>
              <w:rPr>
                <w:rFonts w:hint="default" w:ascii="Times New Roman" w:hAnsi="Times New Roman" w:eastAsia="宋体" w:cs="Times New Roman"/>
                <w:color w:val="auto"/>
                <w:u w:val="none" w:color="auto"/>
              </w:rPr>
              <w:t>排放量大的行业和项目。对各企业有工艺废气产出的生产节点，应配置废气收集与处理净化装置并确保正常运行、达标排放；加强生产工艺研究与技术改进，采取有效措施，减少工艺废气的无组织排放，入园企业各生产装置排放的废气须经处理达到相应排放标准；（2）推进源头管控，使用低（无）VOC</w:t>
            </w:r>
            <w:r>
              <w:rPr>
                <w:rFonts w:hint="default" w:ascii="Times New Roman" w:hAnsi="Times New Roman" w:eastAsia="宋体" w:cs="Times New Roman"/>
                <w:color w:val="auto"/>
                <w:u w:val="none" w:color="auto"/>
                <w:vertAlign w:val="subscript"/>
              </w:rPr>
              <w:t>S</w:t>
            </w:r>
            <w:r>
              <w:rPr>
                <w:rFonts w:hint="default" w:ascii="Times New Roman" w:hAnsi="Times New Roman" w:eastAsia="宋体" w:cs="Times New Roman"/>
                <w:color w:val="auto"/>
                <w:u w:val="none" w:color="auto"/>
              </w:rPr>
              <w:t>含量的原辅材料，对交通运输设备制造、工程机械制造行业实施油性漆改水性漆，减少VOC</w:t>
            </w:r>
            <w:r>
              <w:rPr>
                <w:rFonts w:hint="default" w:ascii="Times New Roman" w:hAnsi="Times New Roman" w:eastAsia="宋体" w:cs="Times New Roman"/>
                <w:color w:val="auto"/>
                <w:u w:val="none" w:color="auto"/>
                <w:vertAlign w:val="subscript"/>
              </w:rPr>
              <w:t>S</w:t>
            </w:r>
            <w:r>
              <w:rPr>
                <w:rFonts w:hint="default" w:ascii="Times New Roman" w:hAnsi="Times New Roman" w:eastAsia="宋体" w:cs="Times New Roman"/>
                <w:color w:val="auto"/>
                <w:u w:val="none" w:color="auto"/>
              </w:rPr>
              <w:t>产生量；强化末端治理，完成表面涂装、包装印刷行业VOC</w:t>
            </w:r>
            <w:r>
              <w:rPr>
                <w:rFonts w:hint="default" w:ascii="Times New Roman" w:hAnsi="Times New Roman" w:eastAsia="宋体" w:cs="Times New Roman"/>
                <w:color w:val="auto"/>
                <w:u w:val="none" w:color="auto"/>
                <w:vertAlign w:val="subscript"/>
              </w:rPr>
              <w:t>S</w:t>
            </w:r>
            <w:r>
              <w:rPr>
                <w:rFonts w:hint="default" w:ascii="Times New Roman" w:hAnsi="Times New Roman" w:eastAsia="宋体" w:cs="Times New Roman"/>
                <w:color w:val="auto"/>
                <w:u w:val="none" w:color="auto"/>
              </w:rPr>
              <w:t>综合治理；（3）开发区内相关行业及锅炉废气污染物排放满足《湖南省生态环境厅关于执行污染物特别排放限值（第一批）的公告》中的要求。固体废弃物：做好开发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115"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（1）本项目不属于SO</w:t>
            </w:r>
            <w:r>
              <w:rPr>
                <w:rFonts w:hint="default" w:ascii="Times New Roman" w:hAnsi="Times New Roman" w:eastAsia="宋体" w:cs="Times New Roman"/>
                <w:color w:val="auto"/>
                <w:u w:val="none" w:color="auto"/>
                <w:vertAlign w:val="subscript"/>
              </w:rPr>
              <w:t>2</w:t>
            </w:r>
            <w:r>
              <w:rPr>
                <w:rFonts w:hint="default" w:ascii="Times New Roman" w:hAnsi="Times New Roman" w:eastAsia="宋体" w:cs="Times New Roman"/>
                <w:color w:val="auto"/>
                <w:u w:val="none" w:color="auto"/>
              </w:rPr>
              <w:t>、NO</w:t>
            </w:r>
            <w:r>
              <w:rPr>
                <w:rFonts w:hint="default" w:ascii="Times New Roman" w:hAnsi="Times New Roman" w:eastAsia="宋体" w:cs="Times New Roman"/>
                <w:color w:val="auto"/>
                <w:u w:val="none" w:color="auto"/>
                <w:vertAlign w:val="subscript"/>
              </w:rPr>
              <w:t>X</w:t>
            </w:r>
            <w:r>
              <w:rPr>
                <w:rFonts w:hint="default" w:ascii="Times New Roman" w:hAnsi="Times New Roman" w:eastAsia="宋体" w:cs="Times New Roman"/>
                <w:color w:val="auto"/>
                <w:u w:val="none" w:color="auto"/>
              </w:rPr>
              <w:t>排放量大的行业和项目，建设单位拟在废气产生节点配置废气收集及净化装置，废气可达到相关排放标准；（2）项目所产生的废物均合理进行了暂存和处置，符合固体废物处置处理的基本原则。</w:t>
            </w:r>
          </w:p>
        </w:tc>
        <w:tc>
          <w:tcPr>
            <w:tcW w:w="601"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环境风险防控</w:t>
            </w:r>
          </w:p>
        </w:tc>
        <w:tc>
          <w:tcPr>
            <w:tcW w:w="2728"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环境风险防控体系：（1）开发区应建立健全环境风险防控体系，落实《湖南城陵矶临港产业新区核心区突发环境事件应急预案》的相关要求，严防环境风险事故发生，提高应急处置能力；（2）建立区域大气污染预警应急机制，加强极端不利气象条件下大气污染预警体系建设，加强区域大气环境质量预报，实现风险信息研判和预警。当出现极端不利气象条件时，所在区域及时启动应急预案，实行重点大气污染排放源限产、建筑工地停止土方作业、机动车限行等紧急措施；（3）园区可能发生突发环境事件的污染物排放企业，生产、储存、运输、使用危险化学品的企业，产生、收集、贮存危险废物的企业应当编制和实施环境应急预案；鼓励其他企业制定单独的环境应急预案，或在突发事件应急预案中制定环境应急预案专章，并备案。</w:t>
            </w:r>
          </w:p>
        </w:tc>
        <w:tc>
          <w:tcPr>
            <w:tcW w:w="1115"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企业后期将编制突发环境事件应急预案</w:t>
            </w:r>
          </w:p>
        </w:tc>
        <w:tc>
          <w:tcPr>
            <w:tcW w:w="601"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资源开发效率要求</w:t>
            </w:r>
          </w:p>
        </w:tc>
        <w:tc>
          <w:tcPr>
            <w:tcW w:w="2728"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能源：开发区依托华能电厂进行集中供热，禁止使用原煤、重油为能源的项目进入；</w:t>
            </w:r>
          </w:p>
        </w:tc>
        <w:tc>
          <w:tcPr>
            <w:tcW w:w="1115"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本项目不使用原煤、重油等能源</w:t>
            </w:r>
          </w:p>
        </w:tc>
        <w:tc>
          <w:tcPr>
            <w:tcW w:w="601" w:type="pct"/>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符合</w:t>
            </w:r>
          </w:p>
        </w:tc>
      </w:tr>
    </w:tbl>
    <w:p>
      <w:pPr>
        <w:pageBreakBefore w:val="0"/>
        <w:kinsoku/>
        <w:wordWrap/>
        <w:overflowPunct w:val="0"/>
        <w:topLinePunct/>
        <w:autoSpaceDE w:val="0"/>
        <w:autoSpaceDN w:val="0"/>
        <w:bidi w:val="0"/>
        <w:ind w:firstLine="480"/>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另根据该准入清单，</w:t>
      </w:r>
      <w:r>
        <w:rPr>
          <w:rFonts w:hint="default" w:ascii="Times New Roman" w:hAnsi="Times New Roman" w:eastAsia="宋体" w:cs="Times New Roman"/>
          <w:color w:val="auto"/>
          <w:kern w:val="2"/>
          <w:sz w:val="24"/>
          <w:szCs w:val="24"/>
          <w:highlight w:val="none"/>
          <w:u w:val="none" w:color="auto"/>
          <w:lang w:eastAsia="zh-CN"/>
        </w:rPr>
        <w:t>岳阳临港高新技术产业开发区</w:t>
      </w:r>
      <w:r>
        <w:rPr>
          <w:rFonts w:hint="default" w:ascii="Times New Roman" w:hAnsi="Times New Roman" w:eastAsia="宋体" w:cs="Times New Roman"/>
          <w:color w:val="auto"/>
          <w:kern w:val="2"/>
          <w:sz w:val="24"/>
          <w:szCs w:val="24"/>
          <w:highlight w:val="none"/>
          <w:u w:val="none" w:color="auto"/>
        </w:rPr>
        <w:t>生态环境准入清单见表</w:t>
      </w:r>
      <w:r>
        <w:rPr>
          <w:rFonts w:hint="default" w:ascii="Times New Roman" w:hAnsi="Times New Roman" w:eastAsia="宋体" w:cs="Times New Roman"/>
          <w:color w:val="auto"/>
          <w:kern w:val="2"/>
          <w:sz w:val="24"/>
          <w:szCs w:val="24"/>
          <w:highlight w:val="none"/>
          <w:u w:val="none" w:color="auto"/>
          <w:lang w:val="en-US" w:eastAsia="zh-CN"/>
        </w:rPr>
        <w:t>1.4-4</w:t>
      </w:r>
      <w:r>
        <w:rPr>
          <w:rFonts w:hint="default" w:ascii="Times New Roman" w:hAnsi="Times New Roman" w:eastAsia="宋体" w:cs="Times New Roman"/>
          <w:color w:val="auto"/>
          <w:kern w:val="2"/>
          <w:sz w:val="24"/>
          <w:szCs w:val="24"/>
          <w:highlight w:val="none"/>
          <w:u w:val="none" w:color="auto"/>
        </w:rPr>
        <w:t>。</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表1.4-4岳阳临港高新技术产业开发区环境准入负面清单</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3804"/>
        <w:gridCol w:w="3181"/>
        <w:gridCol w:w="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管控类型</w:t>
            </w: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管控单元</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环境准入负面清单</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本项目情况</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空间布局约束</w:t>
            </w: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rPr>
              <w:t>空间管控要求</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（1）限制发展三类工业，区域内三类工业用地仅允许用于涉及三类工业的高新企业引进和发展鼓励类高新技术项目的预留用地。</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（2）禁止引入铅、锌、铬等重污染冶炼行业、纺织印染、炼油、农药工业，来料加工的海外废金属、塑料、纸张加工等工业进入开发区。</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（3）严格限制石化、有机化工等化工项目建设。</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本项目属于镁合金制造</w:t>
            </w:r>
            <w:r>
              <w:rPr>
                <w:rFonts w:hint="default" w:ascii="Times New Roman" w:hAnsi="Times New Roman" w:eastAsia="宋体" w:cs="Times New Roman"/>
                <w:color w:val="auto"/>
                <w:kern w:val="0"/>
                <w:sz w:val="21"/>
                <w:szCs w:val="21"/>
                <w:u w:val="none" w:color="auto"/>
                <w:lang w:eastAsia="zh-CN"/>
              </w:rPr>
              <w:t>（</w:t>
            </w:r>
            <w:r>
              <w:rPr>
                <w:rFonts w:hint="default" w:ascii="Times New Roman" w:hAnsi="Times New Roman" w:eastAsia="宋体" w:cs="Times New Roman"/>
                <w:color w:val="auto"/>
                <w:kern w:val="0"/>
                <w:sz w:val="21"/>
                <w:szCs w:val="21"/>
                <w:u w:val="none" w:color="auto"/>
                <w:lang w:val="en-US" w:eastAsia="zh-CN"/>
              </w:rPr>
              <w:t>二类工业</w:t>
            </w:r>
            <w:r>
              <w:rPr>
                <w:rFonts w:hint="default" w:ascii="Times New Roman" w:hAnsi="Times New Roman" w:eastAsia="宋体" w:cs="Times New Roman"/>
                <w:color w:val="auto"/>
                <w:kern w:val="0"/>
                <w:sz w:val="21"/>
                <w:szCs w:val="21"/>
                <w:u w:val="none" w:color="auto"/>
                <w:lang w:eastAsia="zh-CN"/>
              </w:rPr>
              <w:t>），</w:t>
            </w:r>
            <w:r>
              <w:rPr>
                <w:rFonts w:hint="default" w:ascii="Times New Roman" w:hAnsi="Times New Roman" w:eastAsia="宋体" w:cs="Times New Roman"/>
                <w:color w:val="auto"/>
                <w:kern w:val="0"/>
                <w:sz w:val="21"/>
                <w:szCs w:val="21"/>
                <w:u w:val="none" w:color="auto"/>
                <w:lang w:val="en-US" w:eastAsia="zh-CN"/>
              </w:rPr>
              <w:t>不属于铅、锌、铬等重污染冶炼行业、纺织印染、炼油、农药工业，来料加工的海外废金属、塑料、纸张加工以及石化、有机化工等化工项目</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restar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污染物排放管控</w:t>
            </w: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废水</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开发区排水实施雨污分流，完善片区雨、污管网建设，区域内污水纳入湖南城陵矶临港产业新区污水处理厂处理，达标后排入象骨港，最终排入长江。开发区雨水经雨水管网排至白杨湖、松阳湖和象骨港。</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本项目实施雨污分流、污污分流，厂区废水经预处理达到湖南城陵矶临港产业新区污水处理厂</w:t>
            </w:r>
            <w:r>
              <w:rPr>
                <w:rFonts w:hint="default" w:ascii="Times New Roman" w:hAnsi="Times New Roman" w:eastAsia="宋体" w:cs="Times New Roman"/>
                <w:color w:val="auto"/>
                <w:sz w:val="21"/>
                <w:szCs w:val="21"/>
                <w:u w:val="none" w:color="auto"/>
              </w:rPr>
              <w:t>的</w:t>
            </w:r>
            <w:r>
              <w:rPr>
                <w:rFonts w:hint="default" w:ascii="Times New Roman" w:hAnsi="Times New Roman" w:eastAsia="宋体" w:cs="Times New Roman"/>
                <w:color w:val="auto"/>
                <w:sz w:val="21"/>
                <w:szCs w:val="21"/>
                <w:u w:val="none" w:color="auto"/>
                <w:lang w:val="en-US" w:eastAsia="zh-CN"/>
              </w:rPr>
              <w:t>纳管协议</w:t>
            </w:r>
            <w:r>
              <w:rPr>
                <w:rFonts w:hint="default" w:ascii="Times New Roman" w:hAnsi="Times New Roman" w:eastAsia="宋体" w:cs="Times New Roman"/>
                <w:color w:val="auto"/>
                <w:sz w:val="21"/>
                <w:szCs w:val="21"/>
                <w:u w:val="none" w:color="auto"/>
              </w:rPr>
              <w:t>标准</w:t>
            </w:r>
            <w:r>
              <w:rPr>
                <w:rFonts w:hint="default" w:ascii="Times New Roman" w:hAnsi="Times New Roman" w:eastAsia="宋体" w:cs="Times New Roman"/>
                <w:color w:val="auto"/>
                <w:kern w:val="0"/>
                <w:sz w:val="21"/>
                <w:szCs w:val="21"/>
                <w:u w:val="none" w:color="auto"/>
                <w:lang w:val="en-US" w:eastAsia="zh-CN"/>
              </w:rPr>
              <w:t>后，排入临港污水处理厂。雨水经雨水管网收集后排入市政雨水管网</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continue"/>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废气</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1）禁止引进SO2、NOx排放量大的行业和项目。对各企业有工艺废气产出的生产节点，应配置废气收集与处理净化装置并确保正常运行、达标排放；加强生产工艺研究与技术改进，采取有效措施，减少工艺废气的无组织排放，入园企业各生产装置排放的废气须经处理达到相应排放标准。</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（2）推进源头管控，使用低（无）VOCs含量的原辅材料，对交通运输设备制造、工程机械制造行业实施油性漆改水性漆，减少VOCs产生量；强化末端治理，完成表面涂装、包装印刷行业VOCs综合治理。</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（3）开发区内相关行业及锅炉废气污染物排放满足《湖南省生态环境厅关于执行污染物特别排放限值（第一批）的公告》中的要求。</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本项目不属于SO</w:t>
            </w:r>
            <w:r>
              <w:rPr>
                <w:rFonts w:hint="default" w:ascii="Times New Roman" w:hAnsi="Times New Roman" w:eastAsia="宋体" w:cs="Times New Roman"/>
                <w:color w:val="auto"/>
                <w:sz w:val="21"/>
                <w:szCs w:val="21"/>
                <w:u w:val="none" w:color="auto"/>
                <w:vertAlign w:val="subscript"/>
              </w:rPr>
              <w:t>2</w:t>
            </w: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r>
              <w:rPr>
                <w:rFonts w:hint="default" w:ascii="Times New Roman" w:hAnsi="Times New Roman" w:eastAsia="宋体" w:cs="Times New Roman"/>
                <w:color w:val="auto"/>
                <w:sz w:val="21"/>
                <w:szCs w:val="21"/>
                <w:u w:val="none" w:color="auto"/>
              </w:rPr>
              <w:t>排放量大的行业和项目，建设单位拟在废气产生节点配置废气收集及净化装置，废气可达到相关排放标准</w:t>
            </w:r>
            <w:r>
              <w:rPr>
                <w:rFonts w:hint="default" w:ascii="Times New Roman" w:hAnsi="Times New Roman" w:eastAsia="宋体" w:cs="Times New Roman"/>
                <w:color w:val="auto"/>
                <w:sz w:val="21"/>
                <w:szCs w:val="21"/>
                <w:u w:val="none" w:color="auto"/>
                <w:lang w:val="en-US" w:eastAsia="zh-CN"/>
              </w:rPr>
              <w:t>。</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（2）本项目喷漆工序采用水性漆。</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continue"/>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固体废弃物</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做好开发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项目营运期产生的一般工业固体废物收集后外售；危险废物，在厂区设置危险废物暂存间，按</w:t>
            </w:r>
            <w:r>
              <w:rPr>
                <w:rFonts w:hint="default" w:ascii="Times New Roman" w:hAnsi="Times New Roman" w:eastAsia="宋体" w:cs="Times New Roman"/>
                <w:color w:val="auto"/>
                <w:sz w:val="24"/>
                <w:highlight w:val="none"/>
                <w:u w:val="none" w:color="auto"/>
              </w:rPr>
              <w:t>《危险废物贮存污染控制标准》(GB18597-20</w:t>
            </w:r>
            <w:r>
              <w:rPr>
                <w:rFonts w:hint="eastAsia" w:ascii="Times New Roman" w:hAnsi="Times New Roman" w:eastAsia="宋体" w:cs="Times New Roman"/>
                <w:color w:val="auto"/>
                <w:sz w:val="24"/>
                <w:highlight w:val="none"/>
                <w:u w:val="none" w:color="auto"/>
                <w:lang w:val="en-US" w:eastAsia="zh-CN"/>
              </w:rPr>
              <w:t>23</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kern w:val="0"/>
                <w:sz w:val="21"/>
                <w:szCs w:val="21"/>
                <w:u w:val="none" w:color="auto"/>
                <w:lang w:val="en-US" w:eastAsia="zh-CN"/>
              </w:rPr>
              <w:t>要求进行建设，设置防风、防雨、防晒、防渗漏、防腐蚀等功能，并委托有资质的单位处置。</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restar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环境风险防控</w:t>
            </w: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环境风险防控体系</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开发区应建立健全环境风险防控体系，落实《湖南城陵矶新港区核心区突发环境事件应急预案》的相关要求，严防环境风险事故发生，提高应急处置能力。</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建立区域大气污染预警应急机制，加强极端不利气象条件下大气污染预警体系建设，加强区域大气环境质量预报，实现风险信息研判和预警。当出现极端不利气象条件时，所在区域及时启动应急预案，实行重点大气污染排放源限产、建筑工地停止土方作业、机动车限行等紧急措施。</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园区可能发生突发环境事件的污染物排放企业，生产、储存、运输、使用危险化学品的企业，产生、收集、贮存危险废物的企业应当编制和实施环境应急预案；鼓励其他企业制定单独的环境应急预案，或在突发事件应急预案中制定环境应急预案专章，并备案。</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项目投产后，编制突发环境事件应急预案，并与园区应急预案相衔接</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continue"/>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建设用地土壤风险防控</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rPr>
              <w:t>对拟收回土地使用权的相关行业企业用地，以及用途拟变更为居住和商业、学校、医疗、养老机构等公共设施的企业用地开展土壤环境状况调查评估。全面完成重点行业企业用地污染调查，实施综合性治理措施，分阶段、分区域、按类别解决历史遗留污染问题。</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本项目土地现状为空地</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restar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资源开发效率要求</w:t>
            </w: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能源</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（1）开发区依托华能电厂进行集中供热，禁止使用原煤、重油为能源的项目进入。</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区域（不包括白杨湖片区范围）内能源消费主要为电力、天然气、蒸汽，无煤炭消费，能源消耗预测情况为：2020年区域年综合能耗消费量预测当量值为514000吨标煤。2020年区域单位GDP能耗预测值为0.267吨标煤/万元，消耗量当量控制在154800吨标煤；2025年区域年综合能耗消费量预测当量值为97800吨标煤。2025年区域单位GDP能耗预测值为0.22吨标煤/万元，消耗增量当量值控制在464100吨标煤。</w:t>
            </w:r>
          </w:p>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区域（白杨湖片区）内能源消费主要为电力、天然气和柴油，无煤炭消费，能源消耗预测情况为：2020年区域单位GDP能耗预测值为0.22吨标煤/万元，消耗增量当量控制在4409.2吨标煤；2025年区域年综合能耗消费量预测当量值为45750吨标煤。2025年区域单位GDP能耗预测值为0.183吨标煤/万元。区域“十四五”时期能源消耗增量控制在41300吨标煤。</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本项目天然气和电能，不使用原煤、重油为能源</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continue"/>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rPr>
              <w:t>水资源</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rPr>
              <w:t>加强工业节水，重点开展相关工业行业节水技术改造，逐步淘汰高耗水的落后产能，积极推广工业水循环利用，支持引导企业开展水平衡测试，继续推进节水型企业、节水型工业园区建设。2020年，云溪区万元国内生产总值用水量34立方米/万元，万元工业增加值用水量29立方米/万元。</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本项目不属于</w:t>
            </w:r>
            <w:r>
              <w:rPr>
                <w:rFonts w:hint="default" w:ascii="Times New Roman" w:hAnsi="Times New Roman" w:eastAsia="宋体" w:cs="Times New Roman"/>
                <w:color w:val="auto"/>
                <w:kern w:val="0"/>
                <w:sz w:val="21"/>
                <w:szCs w:val="21"/>
                <w:u w:val="none" w:color="auto"/>
              </w:rPr>
              <w:t>高耗水的落后</w:t>
            </w:r>
            <w:r>
              <w:rPr>
                <w:rFonts w:hint="default" w:ascii="Times New Roman" w:hAnsi="Times New Roman" w:eastAsia="宋体" w:cs="Times New Roman"/>
                <w:color w:val="auto"/>
                <w:kern w:val="0"/>
                <w:sz w:val="21"/>
                <w:szCs w:val="21"/>
                <w:u w:val="none" w:color="auto"/>
                <w:lang w:val="en-US" w:eastAsia="zh-CN"/>
              </w:rPr>
              <w:t>产业，本项目冷却水循环使用，增加水的重复利用率。</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 w:type="pct"/>
            <w:vMerge w:val="continue"/>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p>
        </w:tc>
        <w:tc>
          <w:tcPr>
            <w:tcW w:w="229"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rPr>
              <w:t>土地资源</w:t>
            </w:r>
          </w:p>
        </w:tc>
        <w:tc>
          <w:tcPr>
            <w:tcW w:w="224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rPr>
              <w:t>新增工业企业应纳入产业园区统一布局，工业园区发展用地纳入相应的城镇建设用地规划区内，统一安排规划用地，并与周边其他用地布局相协调；现代物流产业、装备制造业、新能源产业、新材料产业、粮油加工产业投资强度拟定标准分别为200万元/亩、230万元/亩、210万元/亩、210万元/亩、150万元/亩、300万元/亩。</w:t>
            </w:r>
          </w:p>
        </w:tc>
        <w:tc>
          <w:tcPr>
            <w:tcW w:w="1880"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本项目位于</w:t>
            </w:r>
            <w:r>
              <w:rPr>
                <w:rFonts w:hint="default" w:ascii="Times New Roman" w:hAnsi="Times New Roman" w:eastAsia="宋体" w:cs="Times New Roman"/>
                <w:color w:val="auto"/>
                <w:spacing w:val="6"/>
                <w:sz w:val="21"/>
                <w:szCs w:val="21"/>
                <w:u w:val="none" w:color="auto"/>
              </w:rPr>
              <w:t>岳阳临港高新技术产业开发区创新创业基地</w:t>
            </w:r>
            <w:r>
              <w:rPr>
                <w:rFonts w:hint="default" w:ascii="Times New Roman" w:hAnsi="Times New Roman" w:eastAsia="宋体" w:cs="Times New Roman"/>
                <w:color w:val="auto"/>
                <w:kern w:val="0"/>
                <w:sz w:val="21"/>
                <w:szCs w:val="21"/>
                <w:u w:val="none" w:color="auto"/>
                <w:lang w:eastAsia="zh-CN"/>
              </w:rPr>
              <w:t>。</w:t>
            </w:r>
            <w:r>
              <w:rPr>
                <w:rFonts w:hint="default" w:ascii="Times New Roman" w:hAnsi="Times New Roman" w:eastAsia="宋体" w:cs="Times New Roman"/>
                <w:color w:val="auto"/>
                <w:kern w:val="0"/>
                <w:sz w:val="21"/>
                <w:szCs w:val="21"/>
                <w:u w:val="none" w:color="auto"/>
                <w:lang w:val="en-US" w:eastAsia="zh-CN"/>
              </w:rPr>
              <w:t>属于工业用地</w:t>
            </w:r>
          </w:p>
        </w:tc>
        <w:tc>
          <w:tcPr>
            <w:tcW w:w="415" w:type="pct"/>
            <w:tcBorders>
              <w:tl2br w:val="nil"/>
              <w:tr2bl w:val="nil"/>
            </w:tcBorders>
            <w:noWrap w:val="0"/>
            <w:vAlign w:val="center"/>
          </w:tcPr>
          <w:p>
            <w:pPr>
              <w:pStyle w:val="414"/>
              <w:keepNext w:val="0"/>
              <w:keepLines w:val="0"/>
              <w:pageBreakBefore w:val="0"/>
              <w:widowControl w:val="0"/>
              <w:kinsoku/>
              <w:wordWrap/>
              <w:overflowPunct w:val="0"/>
              <w:topLinePunct/>
              <w:autoSpaceDE w:val="0"/>
              <w:autoSpaceDN w:val="0"/>
              <w:bidi w:val="0"/>
              <w:adjustRightInd/>
              <w:snapToGrid/>
              <w:spacing w:line="240" w:lineRule="auto"/>
              <w:ind w:right="0" w:right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符合</w:t>
            </w:r>
          </w:p>
        </w:tc>
      </w:tr>
    </w:tbl>
    <w:p>
      <w:pPr>
        <w:pStyle w:val="6"/>
        <w:pageBreakBefore w:val="0"/>
        <w:kinsoku/>
        <w:wordWrap/>
        <w:overflowPunct w:val="0"/>
        <w:topLinePunct/>
        <w:autoSpaceDE w:val="0"/>
        <w:autoSpaceDN w:val="0"/>
        <w:bidi w:val="0"/>
        <w:outlineLvl w:val="1"/>
        <w:rPr>
          <w:rFonts w:hint="default" w:ascii="Times New Roman" w:hAnsi="Times New Roman" w:eastAsia="宋体" w:cs="Times New Roman"/>
          <w:color w:val="auto"/>
          <w:highlight w:val="none"/>
          <w:u w:val="none" w:color="auto"/>
        </w:rPr>
      </w:pPr>
      <w:bookmarkStart w:id="29" w:name="_Toc28468"/>
      <w:r>
        <w:rPr>
          <w:rFonts w:hint="default" w:ascii="Times New Roman" w:hAnsi="Times New Roman" w:eastAsia="宋体" w:cs="Times New Roman"/>
          <w:color w:val="auto"/>
          <w:highlight w:val="none"/>
          <w:u w:val="none" w:color="auto"/>
        </w:rPr>
        <w:t>1.4项目特点</w:t>
      </w:r>
      <w:bookmarkEnd w:id="29"/>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0"/>
          <w:sz w:val="24"/>
          <w:szCs w:val="24"/>
          <w:u w:val="none" w:color="auto"/>
        </w:rPr>
        <w:t>项</w:t>
      </w:r>
      <w:r>
        <w:rPr>
          <w:rFonts w:hint="default" w:ascii="Times New Roman" w:hAnsi="Times New Roman" w:eastAsia="宋体" w:cs="Times New Roman"/>
          <w:color w:val="auto"/>
          <w:spacing w:val="7"/>
          <w:sz w:val="24"/>
          <w:szCs w:val="24"/>
          <w:u w:val="none" w:color="auto"/>
        </w:rPr>
        <w:t>目具有以下特点：</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①</w:t>
      </w:r>
      <w:r>
        <w:rPr>
          <w:rFonts w:hint="eastAsia" w:ascii="Times New Roman" w:hAnsi="Times New Roman" w:eastAsia="宋体" w:cs="Times New Roman"/>
          <w:color w:val="auto"/>
          <w:spacing w:val="16"/>
          <w:sz w:val="24"/>
          <w:szCs w:val="24"/>
          <w:u w:val="none" w:color="auto"/>
          <w:lang w:eastAsia="zh-CN"/>
        </w:rPr>
        <w:t>主要废气为</w:t>
      </w:r>
      <w:r>
        <w:rPr>
          <w:rFonts w:hint="default" w:ascii="Times New Roman" w:hAnsi="Times New Roman" w:eastAsia="宋体" w:cs="Times New Roman"/>
          <w:color w:val="auto"/>
          <w:spacing w:val="8"/>
          <w:sz w:val="24"/>
          <w:szCs w:val="24"/>
          <w:u w:val="none" w:color="auto"/>
        </w:rPr>
        <w:t>熔炼废气</w:t>
      </w:r>
      <w:r>
        <w:rPr>
          <w:rFonts w:hint="eastAsia" w:ascii="Times New Roman" w:hAnsi="Times New Roman" w:eastAsia="宋体" w:cs="Times New Roman"/>
          <w:color w:val="auto"/>
          <w:spacing w:val="8"/>
          <w:sz w:val="24"/>
          <w:szCs w:val="24"/>
          <w:u w:val="none" w:color="auto"/>
          <w:lang w:eastAsia="zh-CN"/>
        </w:rPr>
        <w:t>和天然气燃烧废气、表面喷涂废气</w:t>
      </w:r>
      <w:r>
        <w:rPr>
          <w:rFonts w:hint="default" w:ascii="Times New Roman" w:hAnsi="Times New Roman" w:eastAsia="宋体" w:cs="Times New Roman"/>
          <w:color w:val="auto"/>
          <w:spacing w:val="8"/>
          <w:sz w:val="24"/>
          <w:szCs w:val="24"/>
          <w:u w:val="none" w:color="auto"/>
        </w:rPr>
        <w:t>：熔炼</w:t>
      </w:r>
      <w:r>
        <w:rPr>
          <w:rFonts w:hint="eastAsia" w:ascii="Times New Roman" w:hAnsi="Times New Roman" w:eastAsia="宋体" w:cs="Times New Roman"/>
          <w:color w:val="auto"/>
          <w:spacing w:val="8"/>
          <w:sz w:val="24"/>
          <w:szCs w:val="24"/>
          <w:u w:val="none" w:color="auto"/>
          <w:lang w:eastAsia="zh-CN"/>
        </w:rPr>
        <w:t>废气</w:t>
      </w:r>
      <w:r>
        <w:rPr>
          <w:rFonts w:hint="default" w:ascii="Times New Roman" w:hAnsi="Times New Roman" w:eastAsia="宋体" w:cs="Times New Roman"/>
          <w:color w:val="auto"/>
          <w:spacing w:val="9"/>
          <w:sz w:val="24"/>
          <w:szCs w:val="24"/>
          <w:u w:val="none" w:color="auto"/>
        </w:rPr>
        <w:t>“布袋除尘器+碱</w:t>
      </w:r>
      <w:r>
        <w:rPr>
          <w:rFonts w:hint="default" w:ascii="Times New Roman" w:hAnsi="Times New Roman" w:eastAsia="宋体" w:cs="Times New Roman"/>
          <w:color w:val="auto"/>
          <w:spacing w:val="8"/>
          <w:sz w:val="24"/>
          <w:szCs w:val="24"/>
          <w:u w:val="none" w:color="auto"/>
        </w:rPr>
        <w:t>液</w:t>
      </w:r>
      <w:r>
        <w:rPr>
          <w:rFonts w:hint="default" w:ascii="Times New Roman" w:hAnsi="Times New Roman" w:eastAsia="宋体" w:cs="Times New Roman"/>
          <w:color w:val="auto"/>
          <w:spacing w:val="13"/>
          <w:sz w:val="24"/>
          <w:szCs w:val="24"/>
          <w:u w:val="none" w:color="auto"/>
        </w:rPr>
        <w:t>喷</w:t>
      </w:r>
      <w:r>
        <w:rPr>
          <w:rFonts w:hint="default" w:ascii="Times New Roman" w:hAnsi="Times New Roman" w:eastAsia="宋体" w:cs="Times New Roman"/>
          <w:color w:val="auto"/>
          <w:spacing w:val="8"/>
          <w:sz w:val="24"/>
          <w:szCs w:val="24"/>
          <w:u w:val="none" w:color="auto"/>
        </w:rPr>
        <w:t>淋塔”工艺处理；</w:t>
      </w:r>
      <w:r>
        <w:rPr>
          <w:rFonts w:hint="eastAsia" w:ascii="Times New Roman" w:hAnsi="Times New Roman" w:eastAsia="宋体" w:cs="Times New Roman"/>
          <w:color w:val="auto"/>
          <w:spacing w:val="8"/>
          <w:sz w:val="24"/>
          <w:szCs w:val="24"/>
          <w:u w:val="none" w:color="auto"/>
          <w:lang w:eastAsia="zh-CN"/>
        </w:rPr>
        <w:t>天然气废气采样低氮燃烧措施，喷涂废气采取</w:t>
      </w:r>
      <w:r>
        <w:rPr>
          <w:rFonts w:hint="default" w:ascii="Times New Roman" w:hAnsi="Times New Roman" w:eastAsia="宋体" w:cs="Times New Roman"/>
          <w:color w:val="auto"/>
          <w:sz w:val="24"/>
          <w:szCs w:val="24"/>
          <w:u w:val="none" w:color="auto"/>
          <w:lang w:val="en-US" w:eastAsia="zh-CN"/>
        </w:rPr>
        <w:t>水帘+干式过滤</w:t>
      </w:r>
      <w:r>
        <w:rPr>
          <w:rFonts w:hint="eastAsia" w:ascii="Times New Roman" w:hAnsi="Times New Roman" w:eastAsia="宋体" w:cs="Times New Roman"/>
          <w:color w:val="auto"/>
          <w:sz w:val="24"/>
          <w:szCs w:val="24"/>
          <w:u w:val="none" w:color="auto"/>
          <w:lang w:val="en-US" w:eastAsia="zh-CN"/>
        </w:rPr>
        <w:t>措施</w:t>
      </w:r>
      <w:r>
        <w:rPr>
          <w:rFonts w:hint="default" w:ascii="Times New Roman" w:hAnsi="Times New Roman" w:eastAsia="宋体" w:cs="Times New Roman"/>
          <w:color w:val="auto"/>
          <w:spacing w:val="8"/>
          <w:sz w:val="24"/>
          <w:szCs w:val="24"/>
          <w:u w:val="none" w:color="auto"/>
        </w:rPr>
        <w:t>：</w:t>
      </w:r>
      <w:r>
        <w:rPr>
          <w:rFonts w:hint="eastAsia" w:ascii="Times New Roman" w:hAnsi="Times New Roman" w:eastAsia="宋体" w:cs="Times New Roman"/>
          <w:color w:val="auto"/>
          <w:spacing w:val="8"/>
          <w:sz w:val="24"/>
          <w:szCs w:val="24"/>
          <w:u w:val="none" w:color="auto"/>
          <w:lang w:eastAsia="zh-CN"/>
        </w:rPr>
        <w:t>分别通过排气筒有组织排放</w:t>
      </w:r>
      <w:r>
        <w:rPr>
          <w:rFonts w:hint="default" w:ascii="Times New Roman" w:hAnsi="Times New Roman" w:eastAsia="宋体" w:cs="Times New Roman"/>
          <w:color w:val="auto"/>
          <w:spacing w:val="5"/>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2"/>
          <w:sz w:val="24"/>
          <w:szCs w:val="24"/>
          <w:u w:val="none" w:color="auto"/>
        </w:rPr>
        <w:t>②本项目废水主要为职工的生活污水冷却水。</w:t>
      </w:r>
      <w:r>
        <w:rPr>
          <w:rFonts w:hint="default" w:ascii="Times New Roman" w:hAnsi="Times New Roman" w:eastAsia="宋体" w:cs="Times New Roman"/>
          <w:color w:val="auto"/>
          <w:spacing w:val="1"/>
          <w:sz w:val="24"/>
          <w:szCs w:val="24"/>
          <w:u w:val="none" w:color="auto"/>
        </w:rPr>
        <w:t>冷却水循环使用，</w:t>
      </w:r>
      <w:r>
        <w:rPr>
          <w:rFonts w:hint="default" w:ascii="Times New Roman" w:hAnsi="Times New Roman" w:eastAsia="宋体" w:cs="Times New Roman"/>
          <w:color w:val="auto"/>
          <w:spacing w:val="7"/>
          <w:sz w:val="24"/>
          <w:szCs w:val="24"/>
          <w:u w:val="none" w:color="auto"/>
        </w:rPr>
        <w:t>定期补充，不外排；</w:t>
      </w:r>
      <w:r>
        <w:rPr>
          <w:rFonts w:hint="eastAsia" w:ascii="Times New Roman" w:hAnsi="Times New Roman" w:eastAsia="宋体" w:cs="Times New Roman"/>
          <w:color w:val="auto"/>
          <w:spacing w:val="7"/>
          <w:sz w:val="24"/>
          <w:szCs w:val="24"/>
          <w:u w:val="none" w:color="auto"/>
          <w:lang w:eastAsia="zh-CN"/>
        </w:rPr>
        <w:t>有少量冷却含油污水经过隔油沉淀后同</w:t>
      </w:r>
      <w:r>
        <w:rPr>
          <w:rFonts w:hint="default" w:ascii="Times New Roman" w:hAnsi="Times New Roman" w:eastAsia="宋体" w:cs="Times New Roman"/>
          <w:color w:val="auto"/>
          <w:spacing w:val="7"/>
          <w:sz w:val="24"/>
          <w:szCs w:val="24"/>
          <w:u w:val="none" w:color="auto"/>
        </w:rPr>
        <w:t>生活污水</w:t>
      </w:r>
      <w:r>
        <w:rPr>
          <w:rFonts w:hint="eastAsia" w:ascii="Times New Roman" w:hAnsi="Times New Roman" w:eastAsia="宋体" w:cs="Times New Roman"/>
          <w:color w:val="auto"/>
          <w:spacing w:val="7"/>
          <w:sz w:val="24"/>
          <w:szCs w:val="24"/>
          <w:u w:val="none" w:color="auto"/>
          <w:lang w:eastAsia="zh-CN"/>
        </w:rPr>
        <w:t>一同</w:t>
      </w:r>
      <w:r>
        <w:rPr>
          <w:rFonts w:hint="default" w:ascii="Times New Roman" w:hAnsi="Times New Roman" w:eastAsia="宋体" w:cs="Times New Roman"/>
          <w:color w:val="auto"/>
          <w:spacing w:val="7"/>
          <w:sz w:val="24"/>
          <w:szCs w:val="24"/>
          <w:u w:val="none" w:color="auto"/>
        </w:rPr>
        <w:t>排入湖南三峡环境临港水质净化厂</w:t>
      </w:r>
      <w:r>
        <w:rPr>
          <w:rFonts w:hint="default" w:ascii="Times New Roman" w:hAnsi="Times New Roman" w:eastAsia="宋体" w:cs="Times New Roman"/>
          <w:color w:val="auto"/>
          <w:spacing w:val="9"/>
          <w:sz w:val="24"/>
          <w:szCs w:val="24"/>
          <w:u w:val="none" w:color="auto"/>
        </w:rPr>
        <w:t>处理。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③项目生产过程中的固体废物主要包括一般工业固废：</w:t>
      </w:r>
      <w:r>
        <w:rPr>
          <w:rFonts w:hint="default" w:ascii="Times New Roman" w:hAnsi="Times New Roman" w:eastAsia="宋体" w:cs="Times New Roman"/>
          <w:snapToGrid w:val="0"/>
          <w:color w:val="auto"/>
          <w:spacing w:val="7"/>
          <w:kern w:val="0"/>
          <w:sz w:val="24"/>
          <w:szCs w:val="24"/>
          <w:u w:val="none" w:color="auto"/>
        </w:rPr>
        <w:t>镁熔渣</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7"/>
          <w:kern w:val="0"/>
          <w:sz w:val="24"/>
          <w:szCs w:val="24"/>
          <w:u w:val="none" w:color="auto"/>
        </w:rPr>
        <w:t>废边角料及残次品</w:t>
      </w:r>
      <w:r>
        <w:rPr>
          <w:rFonts w:hint="default" w:ascii="Times New Roman" w:hAnsi="Times New Roman" w:eastAsia="宋体" w:cs="Times New Roman"/>
          <w:color w:val="auto"/>
          <w:spacing w:val="7"/>
          <w:sz w:val="24"/>
          <w:szCs w:val="24"/>
          <w:u w:val="none" w:color="auto"/>
        </w:rPr>
        <w:t>等一般固废：</w:t>
      </w:r>
      <w:r>
        <w:rPr>
          <w:rFonts w:hint="default" w:ascii="Times New Roman" w:hAnsi="Times New Roman" w:eastAsia="宋体" w:cs="Times New Roman"/>
          <w:snapToGrid w:val="0"/>
          <w:color w:val="auto"/>
          <w:spacing w:val="7"/>
          <w:kern w:val="0"/>
          <w:sz w:val="24"/>
          <w:szCs w:val="24"/>
          <w:u w:val="none" w:color="auto"/>
        </w:rPr>
        <w:t>含油滤料及含油污泥</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9"/>
          <w:kern w:val="0"/>
          <w:sz w:val="24"/>
          <w:szCs w:val="24"/>
          <w:u w:val="none" w:color="auto"/>
        </w:rPr>
        <w:t>废活性炭、废矿物油</w:t>
      </w:r>
      <w:r>
        <w:rPr>
          <w:rFonts w:hint="default" w:ascii="Times New Roman" w:hAnsi="Times New Roman" w:eastAsia="宋体" w:cs="Times New Roman"/>
          <w:color w:val="auto"/>
          <w:spacing w:val="9"/>
          <w:sz w:val="24"/>
          <w:szCs w:val="24"/>
          <w:u w:val="none" w:color="auto"/>
        </w:rPr>
        <w:t>等危险废物和员工生活垃圾。</w:t>
      </w:r>
    </w:p>
    <w:p>
      <w:pPr>
        <w:pStyle w:val="6"/>
        <w:pageBreakBefore w:val="0"/>
        <w:kinsoku/>
        <w:wordWrap/>
        <w:overflowPunct w:val="0"/>
        <w:topLinePunct/>
        <w:autoSpaceDE w:val="0"/>
        <w:autoSpaceDN w:val="0"/>
        <w:bidi w:val="0"/>
        <w:outlineLvl w:val="1"/>
        <w:rPr>
          <w:rFonts w:hint="default" w:ascii="Times New Roman" w:hAnsi="Times New Roman" w:eastAsia="宋体" w:cs="Times New Roman"/>
          <w:color w:val="auto"/>
          <w:highlight w:val="none"/>
          <w:u w:val="none" w:color="auto"/>
        </w:rPr>
      </w:pPr>
      <w:bookmarkStart w:id="30" w:name="_bookmark13"/>
      <w:bookmarkEnd w:id="30"/>
      <w:bookmarkStart w:id="31" w:name="_Toc12130"/>
      <w:r>
        <w:rPr>
          <w:rFonts w:hint="default" w:ascii="Times New Roman" w:hAnsi="Times New Roman" w:eastAsia="宋体" w:cs="Times New Roman"/>
          <w:color w:val="auto"/>
          <w:highlight w:val="none"/>
          <w:u w:val="none" w:color="auto"/>
        </w:rPr>
        <w:t>1.5主要环境问题及环境影响</w:t>
      </w:r>
      <w:bookmarkEnd w:id="31"/>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通</w:t>
      </w:r>
      <w:r>
        <w:rPr>
          <w:rFonts w:hint="default" w:ascii="Times New Roman" w:hAnsi="Times New Roman" w:eastAsia="宋体" w:cs="Times New Roman"/>
          <w:color w:val="auto"/>
          <w:spacing w:val="8"/>
          <w:sz w:val="24"/>
          <w:szCs w:val="24"/>
          <w:u w:val="none" w:color="auto"/>
        </w:rPr>
        <w:t>过对项目建设情况、所在区域的环境特点、环境质量现状及现有排污数据</w:t>
      </w:r>
      <w:r>
        <w:rPr>
          <w:rFonts w:hint="default" w:ascii="Times New Roman" w:hAnsi="Times New Roman" w:eastAsia="宋体" w:cs="Times New Roman"/>
          <w:color w:val="auto"/>
          <w:spacing w:val="18"/>
          <w:sz w:val="24"/>
          <w:szCs w:val="24"/>
          <w:u w:val="none" w:color="auto"/>
        </w:rPr>
        <w:t>等</w:t>
      </w:r>
      <w:r>
        <w:rPr>
          <w:rFonts w:hint="default" w:ascii="Times New Roman" w:hAnsi="Times New Roman" w:eastAsia="宋体" w:cs="Times New Roman"/>
          <w:color w:val="auto"/>
          <w:spacing w:val="10"/>
          <w:sz w:val="24"/>
          <w:szCs w:val="24"/>
          <w:u w:val="none" w:color="auto"/>
        </w:rPr>
        <w:t>基</w:t>
      </w:r>
      <w:r>
        <w:rPr>
          <w:rFonts w:hint="default" w:ascii="Times New Roman" w:hAnsi="Times New Roman" w:eastAsia="宋体" w:cs="Times New Roman"/>
          <w:color w:val="auto"/>
          <w:spacing w:val="9"/>
          <w:sz w:val="24"/>
          <w:szCs w:val="24"/>
          <w:u w:val="none" w:color="auto"/>
        </w:rPr>
        <w:t>础资料进行分析，确定此次环评关注的主要环境影响和环境问题有：</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52" w:firstLineChars="200"/>
        <w:textAlignment w:val="auto"/>
        <w:outlineLvl w:val="2"/>
        <w:rPr>
          <w:rFonts w:hint="default" w:ascii="Times New Roman" w:hAnsi="Times New Roman" w:eastAsia="宋体" w:cs="Times New Roman"/>
          <w:color w:val="auto"/>
          <w:sz w:val="24"/>
          <w:szCs w:val="24"/>
          <w:u w:val="none" w:color="auto"/>
        </w:rPr>
      </w:pPr>
      <w:bookmarkStart w:id="32" w:name="_Toc5171"/>
      <w:r>
        <w:rPr>
          <w:rFonts w:hint="default" w:ascii="Times New Roman" w:hAnsi="Times New Roman" w:eastAsia="宋体" w:cs="Times New Roman"/>
          <w:color w:val="auto"/>
          <w:spacing w:val="18"/>
          <w:sz w:val="24"/>
          <w:szCs w:val="24"/>
          <w:u w:val="none" w:color="auto"/>
        </w:rPr>
        <w:t>①</w:t>
      </w:r>
      <w:r>
        <w:rPr>
          <w:rFonts w:hint="default" w:ascii="Times New Roman" w:hAnsi="Times New Roman" w:eastAsia="宋体" w:cs="Times New Roman"/>
          <w:color w:val="auto"/>
          <w:spacing w:val="10"/>
          <w:sz w:val="24"/>
          <w:szCs w:val="24"/>
          <w:u w:val="none" w:color="auto"/>
        </w:rPr>
        <w:t>工</w:t>
      </w:r>
      <w:r>
        <w:rPr>
          <w:rFonts w:hint="default" w:ascii="Times New Roman" w:hAnsi="Times New Roman" w:eastAsia="宋体" w:cs="Times New Roman"/>
          <w:color w:val="auto"/>
          <w:spacing w:val="9"/>
          <w:sz w:val="24"/>
          <w:szCs w:val="24"/>
          <w:u w:val="none" w:color="auto"/>
        </w:rPr>
        <w:t>程所属区域的污染源分布及环境质量现状、区域环境问题等。</w:t>
      </w:r>
      <w:bookmarkEnd w:id="32"/>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②</w:t>
      </w:r>
      <w:r>
        <w:rPr>
          <w:rFonts w:hint="default" w:ascii="Times New Roman" w:hAnsi="Times New Roman" w:eastAsia="宋体" w:cs="Times New Roman"/>
          <w:color w:val="auto"/>
          <w:spacing w:val="10"/>
          <w:sz w:val="24"/>
          <w:szCs w:val="24"/>
          <w:u w:val="none" w:color="auto"/>
        </w:rPr>
        <w:t>熔</w:t>
      </w:r>
      <w:r>
        <w:rPr>
          <w:rFonts w:hint="default" w:ascii="Times New Roman" w:hAnsi="Times New Roman" w:eastAsia="宋体" w:cs="Times New Roman"/>
          <w:color w:val="auto"/>
          <w:spacing w:val="8"/>
          <w:sz w:val="24"/>
          <w:szCs w:val="24"/>
          <w:u w:val="none" w:color="auto"/>
        </w:rPr>
        <w:t>炼炉烟气如何进行有效收集、处理，确保各污染物在达标排放的前提下</w:t>
      </w:r>
      <w:r>
        <w:rPr>
          <w:rFonts w:hint="default" w:ascii="Times New Roman" w:hAnsi="Times New Roman" w:eastAsia="宋体" w:cs="Times New Roman"/>
          <w:color w:val="auto"/>
          <w:spacing w:val="12"/>
          <w:sz w:val="24"/>
          <w:szCs w:val="24"/>
          <w:u w:val="none" w:color="auto"/>
        </w:rPr>
        <w:t>尽</w:t>
      </w:r>
      <w:r>
        <w:rPr>
          <w:rFonts w:hint="default" w:ascii="Times New Roman" w:hAnsi="Times New Roman" w:eastAsia="宋体" w:cs="Times New Roman"/>
          <w:color w:val="auto"/>
          <w:spacing w:val="9"/>
          <w:sz w:val="24"/>
          <w:szCs w:val="24"/>
          <w:u w:val="none" w:color="auto"/>
        </w:rPr>
        <w:t>量少的排放，重点关注外排废气对周边环境的影响。</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52" w:firstLineChars="200"/>
        <w:textAlignment w:val="auto"/>
        <w:outlineLvl w:val="2"/>
        <w:rPr>
          <w:rFonts w:hint="default" w:ascii="Times New Roman" w:hAnsi="Times New Roman" w:eastAsia="宋体" w:cs="Times New Roman"/>
          <w:color w:val="auto"/>
          <w:sz w:val="24"/>
          <w:szCs w:val="24"/>
          <w:u w:val="none" w:color="auto"/>
        </w:rPr>
      </w:pPr>
      <w:bookmarkStart w:id="33" w:name="_Toc13983"/>
      <w:r>
        <w:rPr>
          <w:rFonts w:hint="default" w:ascii="Times New Roman" w:hAnsi="Times New Roman" w:eastAsia="宋体" w:cs="Times New Roman"/>
          <w:color w:val="auto"/>
          <w:spacing w:val="18"/>
          <w:sz w:val="24"/>
          <w:szCs w:val="24"/>
          <w:u w:val="none" w:color="auto"/>
        </w:rPr>
        <w:t>③</w:t>
      </w:r>
      <w:r>
        <w:rPr>
          <w:rFonts w:hint="default" w:ascii="Times New Roman" w:hAnsi="Times New Roman" w:eastAsia="宋体" w:cs="Times New Roman"/>
          <w:color w:val="auto"/>
          <w:spacing w:val="12"/>
          <w:sz w:val="24"/>
          <w:szCs w:val="24"/>
          <w:u w:val="none" w:color="auto"/>
        </w:rPr>
        <w:t>项</w:t>
      </w:r>
      <w:r>
        <w:rPr>
          <w:rFonts w:hint="default" w:ascii="Times New Roman" w:hAnsi="Times New Roman" w:eastAsia="宋体" w:cs="Times New Roman"/>
          <w:color w:val="auto"/>
          <w:spacing w:val="9"/>
          <w:sz w:val="24"/>
          <w:szCs w:val="24"/>
          <w:u w:val="none" w:color="auto"/>
        </w:rPr>
        <w:t>目地面应做好有效的防腐、防渗，防治污染物对地下水的影响。</w:t>
      </w:r>
      <w:bookmarkEnd w:id="33"/>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④</w:t>
      </w:r>
      <w:r>
        <w:rPr>
          <w:rFonts w:hint="default" w:ascii="Times New Roman" w:hAnsi="Times New Roman" w:eastAsia="宋体" w:cs="Times New Roman"/>
          <w:color w:val="auto"/>
          <w:spacing w:val="10"/>
          <w:sz w:val="24"/>
          <w:szCs w:val="24"/>
          <w:u w:val="none" w:color="auto"/>
        </w:rPr>
        <w:t>固</w:t>
      </w:r>
      <w:r>
        <w:rPr>
          <w:rFonts w:hint="default" w:ascii="Times New Roman" w:hAnsi="Times New Roman" w:eastAsia="宋体" w:cs="Times New Roman"/>
          <w:color w:val="auto"/>
          <w:spacing w:val="8"/>
          <w:sz w:val="24"/>
          <w:szCs w:val="24"/>
          <w:u w:val="none" w:color="auto"/>
        </w:rPr>
        <w:t>体废物应重点关注危险废物的暂存和处置，确保项目固体废物不对周围环</w:t>
      </w:r>
      <w:r>
        <w:rPr>
          <w:rFonts w:hint="default" w:ascii="Times New Roman" w:hAnsi="Times New Roman" w:eastAsia="宋体" w:cs="Times New Roman"/>
          <w:color w:val="auto"/>
          <w:spacing w:val="7"/>
          <w:sz w:val="24"/>
          <w:szCs w:val="24"/>
          <w:u w:val="none" w:color="auto"/>
        </w:rPr>
        <w:t>境造成影响。</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outlineLvl w:val="2"/>
        <w:rPr>
          <w:rFonts w:hint="default" w:ascii="Times New Roman" w:hAnsi="Times New Roman" w:eastAsia="宋体" w:cs="Times New Roman"/>
          <w:color w:val="auto"/>
          <w:sz w:val="24"/>
          <w:szCs w:val="24"/>
          <w:u w:val="none" w:color="auto"/>
        </w:rPr>
      </w:pPr>
      <w:bookmarkStart w:id="34" w:name="_Toc23027"/>
      <w:r>
        <w:rPr>
          <w:rFonts w:hint="default" w:ascii="Times New Roman" w:hAnsi="Times New Roman" w:eastAsia="宋体" w:cs="Times New Roman"/>
          <w:color w:val="auto"/>
          <w:spacing w:val="12"/>
          <w:sz w:val="24"/>
          <w:szCs w:val="24"/>
          <w:u w:val="none" w:color="auto"/>
        </w:rPr>
        <w:t>⑤</w:t>
      </w:r>
      <w:r>
        <w:rPr>
          <w:rFonts w:hint="default" w:ascii="Times New Roman" w:hAnsi="Times New Roman" w:eastAsia="宋体" w:cs="Times New Roman"/>
          <w:color w:val="auto"/>
          <w:spacing w:val="9"/>
          <w:sz w:val="24"/>
          <w:szCs w:val="24"/>
          <w:u w:val="none" w:color="auto"/>
        </w:rPr>
        <w:t>事故状态下废气排放可能对环境造成的危害。</w:t>
      </w:r>
      <w:bookmarkEnd w:id="34"/>
    </w:p>
    <w:p>
      <w:pPr>
        <w:pStyle w:val="6"/>
        <w:pageBreakBefore w:val="0"/>
        <w:kinsoku/>
        <w:wordWrap/>
        <w:overflowPunct w:val="0"/>
        <w:topLinePunct/>
        <w:autoSpaceDE w:val="0"/>
        <w:autoSpaceDN w:val="0"/>
        <w:bidi w:val="0"/>
        <w:outlineLvl w:val="1"/>
        <w:rPr>
          <w:rFonts w:hint="default" w:ascii="Times New Roman" w:hAnsi="Times New Roman" w:eastAsia="宋体" w:cs="Times New Roman"/>
          <w:color w:val="auto"/>
          <w:highlight w:val="none"/>
          <w:u w:val="none" w:color="auto"/>
        </w:rPr>
      </w:pPr>
      <w:bookmarkStart w:id="35" w:name="_bookmark14"/>
      <w:bookmarkEnd w:id="35"/>
      <w:bookmarkStart w:id="36" w:name="_Toc6304"/>
      <w:r>
        <w:rPr>
          <w:rFonts w:hint="default" w:ascii="Times New Roman" w:hAnsi="Times New Roman" w:eastAsia="宋体" w:cs="Times New Roman"/>
          <w:color w:val="auto"/>
          <w:highlight w:val="none"/>
          <w:u w:val="none" w:color="auto"/>
        </w:rPr>
        <w:t>1.6环境影响评价主要结论</w:t>
      </w:r>
      <w:bookmarkEnd w:id="36"/>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highlight w:val="none"/>
          <w:u w:val="none" w:color="auto"/>
          <w:lang w:val="zh-CN"/>
        </w:rPr>
        <w:t>湖南镁宇科技有限公司</w:t>
      </w:r>
      <w:r>
        <w:rPr>
          <w:rFonts w:hint="default" w:ascii="Times New Roman" w:hAnsi="Times New Roman" w:eastAsia="宋体" w:cs="Times New Roman"/>
          <w:color w:val="auto"/>
          <w:sz w:val="24"/>
          <w:szCs w:val="24"/>
          <w:u w:val="none" w:color="auto"/>
          <w:lang w:val="en-US" w:eastAsia="zh-CN"/>
        </w:rPr>
        <w:t>高性能变形镁合金产业链产业化</w:t>
      </w:r>
      <w:r>
        <w:rPr>
          <w:rFonts w:hint="default" w:ascii="Times New Roman" w:hAnsi="Times New Roman" w:eastAsia="宋体" w:cs="Times New Roman"/>
          <w:color w:val="auto"/>
          <w:kern w:val="0"/>
          <w:sz w:val="24"/>
          <w:szCs w:val="24"/>
          <w:highlight w:val="none"/>
          <w:u w:val="none" w:color="auto"/>
          <w:lang w:eastAsia="zh-CN" w:bidi="ar"/>
        </w:rPr>
        <w:t>项目</w:t>
      </w:r>
      <w:r>
        <w:rPr>
          <w:rFonts w:hint="default" w:ascii="Times New Roman" w:hAnsi="Times New Roman" w:eastAsia="宋体" w:cs="Times New Roman"/>
          <w:color w:val="auto"/>
          <w:spacing w:val="7"/>
          <w:sz w:val="24"/>
          <w:szCs w:val="24"/>
          <w:u w:val="none" w:color="auto"/>
        </w:rPr>
        <w:t>符合国家产业政策；项目选址合理。在落实本次环评提出的污染防治措施与环</w:t>
      </w:r>
      <w:r>
        <w:rPr>
          <w:rFonts w:hint="default" w:ascii="Times New Roman" w:hAnsi="Times New Roman" w:eastAsia="宋体" w:cs="Times New Roman"/>
          <w:color w:val="auto"/>
          <w:spacing w:val="12"/>
          <w:sz w:val="24"/>
          <w:szCs w:val="24"/>
          <w:u w:val="none" w:color="auto"/>
        </w:rPr>
        <w:t>境风</w:t>
      </w:r>
      <w:r>
        <w:rPr>
          <w:rFonts w:hint="default" w:ascii="Times New Roman" w:hAnsi="Times New Roman" w:eastAsia="宋体" w:cs="Times New Roman"/>
          <w:color w:val="auto"/>
          <w:spacing w:val="6"/>
          <w:sz w:val="24"/>
          <w:szCs w:val="24"/>
          <w:u w:val="none" w:color="auto"/>
        </w:rPr>
        <w:t>险防范措施、满足污染物“达标排放”、“总量控制”要求的前提下，从环境保</w:t>
      </w:r>
      <w:r>
        <w:rPr>
          <w:rFonts w:hint="default" w:ascii="Times New Roman" w:hAnsi="Times New Roman" w:eastAsia="宋体" w:cs="Times New Roman"/>
          <w:color w:val="auto"/>
          <w:spacing w:val="16"/>
          <w:sz w:val="24"/>
          <w:szCs w:val="24"/>
          <w:u w:val="none" w:color="auto"/>
        </w:rPr>
        <w:t>护</w:t>
      </w:r>
      <w:r>
        <w:rPr>
          <w:rFonts w:hint="default" w:ascii="Times New Roman" w:hAnsi="Times New Roman" w:eastAsia="宋体" w:cs="Times New Roman"/>
          <w:color w:val="auto"/>
          <w:spacing w:val="11"/>
          <w:sz w:val="24"/>
          <w:szCs w:val="24"/>
          <w:u w:val="none" w:color="auto"/>
        </w:rPr>
        <w:t>角</w:t>
      </w:r>
      <w:r>
        <w:rPr>
          <w:rFonts w:hint="default" w:ascii="Times New Roman" w:hAnsi="Times New Roman" w:eastAsia="宋体" w:cs="Times New Roman"/>
          <w:color w:val="auto"/>
          <w:spacing w:val="8"/>
          <w:sz w:val="24"/>
          <w:szCs w:val="24"/>
          <w:u w:val="none" w:color="auto"/>
        </w:rPr>
        <w:t>度分析，本项目建设是可行的。</w:t>
      </w:r>
    </w:p>
    <w:bookmarkEnd w:id="20"/>
    <w:bookmarkEnd w:id="21"/>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37" w:name="_Toc9931"/>
      <w:bookmarkStart w:id="38" w:name="_Toc18764"/>
      <w:r>
        <w:rPr>
          <w:rFonts w:hint="default" w:ascii="Times New Roman" w:hAnsi="Times New Roman" w:eastAsia="宋体" w:cs="Times New Roman"/>
          <w:color w:val="auto"/>
          <w:highlight w:val="none"/>
          <w:u w:val="none" w:color="auto"/>
        </w:rPr>
        <w:t>第2章总则</w:t>
      </w:r>
      <w:bookmarkEnd w:id="37"/>
      <w:bookmarkEnd w:id="38"/>
    </w:p>
    <w:p>
      <w:pPr>
        <w:pStyle w:val="6"/>
        <w:pageBreakBefore w:val="0"/>
        <w:kinsoku/>
        <w:wordWrap/>
        <w:overflowPunct w:val="0"/>
        <w:topLinePunct/>
        <w:autoSpaceDE w:val="0"/>
        <w:autoSpaceDN w:val="0"/>
        <w:bidi w:val="0"/>
        <w:outlineLvl w:val="1"/>
        <w:rPr>
          <w:rFonts w:hint="default" w:ascii="Times New Roman" w:hAnsi="Times New Roman" w:eastAsia="宋体" w:cs="Times New Roman"/>
          <w:color w:val="auto"/>
          <w:highlight w:val="none"/>
          <w:u w:val="none" w:color="auto"/>
        </w:rPr>
      </w:pPr>
      <w:bookmarkStart w:id="39" w:name="_Toc32033"/>
      <w:bookmarkStart w:id="40" w:name="_Toc4347"/>
      <w:r>
        <w:rPr>
          <w:rFonts w:hint="default" w:ascii="Times New Roman" w:hAnsi="Times New Roman" w:eastAsia="宋体" w:cs="Times New Roman"/>
          <w:color w:val="auto"/>
          <w:highlight w:val="none"/>
          <w:u w:val="none" w:color="auto"/>
        </w:rPr>
        <w:t>2.1编制依据</w:t>
      </w:r>
      <w:bookmarkEnd w:id="39"/>
      <w:bookmarkEnd w:id="40"/>
    </w:p>
    <w:p>
      <w:pPr>
        <w:pStyle w:val="7"/>
        <w:pageBreakBefore w:val="0"/>
        <w:kinsoku/>
        <w:wordWrap/>
        <w:overflowPunct w:val="0"/>
        <w:topLinePunct/>
        <w:autoSpaceDE w:val="0"/>
        <w:autoSpaceDN w:val="0"/>
        <w:bidi w:val="0"/>
        <w:rPr>
          <w:rFonts w:hint="default" w:ascii="Times New Roman" w:hAnsi="Times New Roman" w:eastAsia="宋体" w:cs="Times New Roman"/>
          <w:color w:val="auto"/>
          <w:sz w:val="28"/>
          <w:szCs w:val="28"/>
          <w:highlight w:val="none"/>
          <w:u w:val="none" w:color="auto"/>
        </w:rPr>
      </w:pPr>
      <w:bookmarkStart w:id="41" w:name="_Toc32725"/>
      <w:bookmarkStart w:id="42" w:name="_Toc11335"/>
      <w:r>
        <w:rPr>
          <w:rFonts w:hint="default" w:ascii="Times New Roman" w:hAnsi="Times New Roman" w:eastAsia="宋体" w:cs="Times New Roman"/>
          <w:color w:val="auto"/>
          <w:sz w:val="28"/>
          <w:szCs w:val="28"/>
          <w:highlight w:val="none"/>
          <w:u w:val="none" w:color="auto"/>
        </w:rPr>
        <w:t>2.1.1</w:t>
      </w:r>
      <w:bookmarkEnd w:id="41"/>
      <w:r>
        <w:rPr>
          <w:rFonts w:hint="default" w:ascii="Times New Roman" w:hAnsi="Times New Roman" w:eastAsia="宋体" w:cs="Times New Roman"/>
          <w:color w:val="auto"/>
          <w:sz w:val="28"/>
          <w:szCs w:val="28"/>
          <w:highlight w:val="none"/>
          <w:u w:val="none" w:color="auto"/>
        </w:rPr>
        <w:t>国家法律、法规和政策</w:t>
      </w:r>
      <w:bookmarkEnd w:id="42"/>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bookmarkStart w:id="43" w:name="_Toc17913"/>
      <w:r>
        <w:rPr>
          <w:rFonts w:hint="default" w:ascii="Times New Roman" w:hAnsi="Times New Roman" w:eastAsia="宋体" w:cs="Times New Roman"/>
          <w:color w:val="auto"/>
          <w:sz w:val="24"/>
          <w:highlight w:val="none"/>
          <w:u w:val="none" w:color="auto"/>
          <w:lang w:val="zh-CN"/>
        </w:rPr>
        <w:t>(1)《中华人民共和国环境保护法》，2014年4月24日修订，2015年1月1日起实施；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(2)《中华人民共和国环境影响评价法》，2018年12月29日修订实施；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(3)《中华人民共和国水污染防治法》，2017年6月27日修订，2018年1月1日起实施；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(4)《中华人民共和国大气污染防治法》，2018年10月26日修订实施；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(5)《中华人民共和国固体废物污染环境防治法》，2020年4月29日发布，2020年9月1日起实施；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(6)《中华人民共和国噪声污染防治法》，2022年6月5日起施行；</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(7)《中华人民共和国土壤污染防治法》，2019年1月1日修订实施；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(8)《建设项目环境保护管理条例》，(国务院令第682号)，2017年8月1日修订，2017年10月1日起实施；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(9)《建设项目环境影响评价分类管理名录(2021年版)》，生态环境部第16号令，2021年1月1日起实施；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(10)《环境影响评价公众参与办法》，生态环境部第4号令，2019年1月1日公布实施；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(11)《关于切实加强风险防范严格环境影响评价管理的通知》，环发[2012]98号；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(12)《关于进一步加强环境影响评价管理防范环境风险的通知》，环发[2012]77号，2012年7月3日起实施；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(13)《产业结构调整指导目录(2019年本)》(2021年修改，2021年12月30日起施行)；</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(14)中华人民共和国工业和信息化部《部分工业行业淘汰落后处理工艺装备和产品指导目录(2010年本)》(2010年10月13日起实施)；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(15)国务院关于印发《水污染防治行动计划》的通知(国发〔2015〕17号)，2015年4月2日起实施；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(16)国务院关于印发《大气污染防治行动计划》的通知(国发〔2013〕37号)，2013年9月10日起实施。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(17)《关于以改善环境质量为核心加强环境影响评价管理的通知》(环环评[2016]150号)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(18)《土壤污染防治行动计划》(国发〔2016〕31号)；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(19)《工业炉窑大气污染综合治理方案》，环大气[2019]56号，2019年7月1日；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0</w:t>
      </w:r>
      <w:r>
        <w:rPr>
          <w:rFonts w:hint="default" w:ascii="Times New Roman" w:hAnsi="Times New Roman" w:eastAsia="宋体" w:cs="Times New Roman"/>
          <w:color w:val="auto"/>
          <w:sz w:val="24"/>
          <w:highlight w:val="none"/>
          <w:u w:val="none" w:color="auto"/>
          <w:lang w:val="zh-CN"/>
        </w:rPr>
        <w:t>)《国家危险废物名录》(2021年版)；</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val="zh-CN"/>
        </w:rPr>
        <w:t>)《长江经济带发展负面清单指南(试行，2022年版)》；</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2</w:t>
      </w:r>
      <w:r>
        <w:rPr>
          <w:rFonts w:hint="default" w:ascii="Times New Roman" w:hAnsi="Times New Roman" w:eastAsia="宋体" w:cs="Times New Roman"/>
          <w:color w:val="auto"/>
          <w:sz w:val="24"/>
          <w:highlight w:val="none"/>
          <w:u w:val="none" w:color="auto"/>
          <w:lang w:val="zh-CN"/>
        </w:rPr>
        <w:t>)《中华人民共和国循环经济促进法》(2018年10月26日修正)；</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3</w:t>
      </w:r>
      <w:r>
        <w:rPr>
          <w:rFonts w:hint="default" w:ascii="Times New Roman" w:hAnsi="Times New Roman" w:eastAsia="宋体" w:cs="Times New Roman"/>
          <w:color w:val="auto"/>
          <w:sz w:val="24"/>
          <w:highlight w:val="none"/>
          <w:u w:val="none" w:color="auto"/>
          <w:lang w:val="zh-CN"/>
        </w:rPr>
        <w:t>)《中华人民共和国环境保护税法》(2018年10月26日修订)；</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lang w:val="zh-CN"/>
        </w:rPr>
        <w:t>)《中华人民共和国土地管理法实施条例》(2021年9月1日实施)；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5</w:t>
      </w:r>
      <w:r>
        <w:rPr>
          <w:rFonts w:hint="default" w:ascii="Times New Roman" w:hAnsi="Times New Roman" w:eastAsia="宋体" w:cs="Times New Roman"/>
          <w:color w:val="auto"/>
          <w:sz w:val="24"/>
          <w:highlight w:val="none"/>
          <w:u w:val="none" w:color="auto"/>
          <w:lang w:val="zh-CN"/>
        </w:rPr>
        <w:t>)《地下水管理条例》(中华人民共和国国务院令第748号，2021年12月1日起实施)；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6</w:t>
      </w:r>
      <w:r>
        <w:rPr>
          <w:rFonts w:hint="default" w:ascii="Times New Roman" w:hAnsi="Times New Roman" w:eastAsia="宋体" w:cs="Times New Roman"/>
          <w:color w:val="auto"/>
          <w:sz w:val="24"/>
          <w:highlight w:val="none"/>
          <w:u w:val="none" w:color="auto"/>
          <w:lang w:val="zh-CN"/>
        </w:rPr>
        <w:t>)《排污许可证管理办法(试行)》(国家环境保护令第48号，2018年1</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月10日起实施)；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w:t>
      </w:r>
      <w:r>
        <w:rPr>
          <w:rFonts w:hint="default" w:ascii="Times New Roman" w:hAnsi="Times New Roman" w:eastAsia="宋体" w:cs="Times New Roman"/>
          <w:color w:val="auto"/>
          <w:sz w:val="24"/>
          <w:highlight w:val="none"/>
          <w:u w:val="none" w:color="auto"/>
          <w:lang w:val="en-US" w:eastAsia="zh-CN"/>
        </w:rPr>
        <w:t>7</w:t>
      </w:r>
      <w:r>
        <w:rPr>
          <w:rFonts w:hint="default" w:ascii="Times New Roman" w:hAnsi="Times New Roman" w:eastAsia="宋体" w:cs="Times New Roman"/>
          <w:color w:val="auto"/>
          <w:sz w:val="24"/>
          <w:highlight w:val="none"/>
          <w:u w:val="none" w:color="auto"/>
          <w:lang w:val="zh-CN"/>
        </w:rPr>
        <w:t>)《排污许可管理条例》(中华人民共和国国务院令〔2020〕736号)(2021年3月1日起施行)；</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sz w:val="28"/>
          <w:szCs w:val="28"/>
          <w:highlight w:val="none"/>
          <w:u w:val="none" w:color="auto"/>
        </w:rPr>
      </w:pPr>
      <w:bookmarkStart w:id="44" w:name="_Toc10841"/>
      <w:r>
        <w:rPr>
          <w:rFonts w:hint="default" w:ascii="Times New Roman" w:hAnsi="Times New Roman" w:eastAsia="宋体" w:cs="Times New Roman"/>
          <w:color w:val="auto"/>
          <w:sz w:val="28"/>
          <w:szCs w:val="28"/>
          <w:highlight w:val="none"/>
          <w:u w:val="none" w:color="auto"/>
        </w:rPr>
        <w:t>2.1.2相关政策和规划</w:t>
      </w:r>
      <w:bookmarkEnd w:id="43"/>
      <w:bookmarkEnd w:id="44"/>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(1)《湖南省主要水系地表水环境功能区划》(DB43/023-2005)；</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(2)《湖南省建设项目环境保护管理办法》(湖南省人民政府令(第215号))；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(4)《湖南省环境保护条例(2019年修订)》；</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(5)《关于进一步规范我省固体(危险)废物转移管理的通知》)(湘环发[2014]22号)；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(6)湖南省地方标准《用水定额》(DB43/T388-2020)；</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(7)湖南省贯彻国务院关于印发《水污染防治行动计划》的通知(国发〔2015〕</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17号)；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(8)《湖南省“十四五”环境保护规划》，2021.9.30；</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(9)湖南省人民政府办公厅关于印发《贯彻落实〈大气污染防治行动计划〉</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实施细则》的通知(湘政办发〔2013〕77号)；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(10)《湖南省生态环境厅关于执行污染物特别排放限值(第一批)的公告》，2018年10月29日；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(11)《湖南省工业炉窑大气污染综合治理实施方案(湘环发[2020]6号)》。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w:t>
      </w:r>
      <w:r>
        <w:rPr>
          <w:rFonts w:hint="eastAsia" w:ascii="Times New Roman" w:hAnsi="Times New Roman" w:eastAsia="宋体" w:cs="Times New Roman"/>
          <w:color w:val="auto"/>
          <w:sz w:val="24"/>
          <w:highlight w:val="none"/>
          <w:u w:val="none" w:color="auto"/>
          <w:lang w:val="en-US" w:eastAsia="zh-CN"/>
        </w:rPr>
        <w:t>2</w:t>
      </w:r>
      <w:r>
        <w:rPr>
          <w:rFonts w:hint="default" w:ascii="Times New Roman" w:hAnsi="Times New Roman" w:eastAsia="宋体" w:cs="Times New Roman"/>
          <w:color w:val="auto"/>
          <w:sz w:val="24"/>
          <w:highlight w:val="none"/>
          <w:u w:val="none" w:color="auto"/>
          <w:lang w:val="zh-CN"/>
        </w:rPr>
        <w:t>)湖南省发改委《关于印发《湖南省“两高”项目管理目录》的通知》(湘发改投资〔2021〕968号)；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w:t>
      </w:r>
      <w:r>
        <w:rPr>
          <w:rFonts w:hint="eastAsia" w:ascii="Times New Roman" w:hAnsi="Times New Roman" w:eastAsia="宋体" w:cs="Times New Roman"/>
          <w:color w:val="auto"/>
          <w:sz w:val="24"/>
          <w:highlight w:val="none"/>
          <w:u w:val="none" w:color="auto"/>
          <w:lang w:val="en-US" w:eastAsia="zh-CN"/>
        </w:rPr>
        <w:t>3</w:t>
      </w:r>
      <w:r>
        <w:rPr>
          <w:rFonts w:hint="default" w:ascii="Times New Roman" w:hAnsi="Times New Roman" w:eastAsia="宋体" w:cs="Times New Roman"/>
          <w:color w:val="auto"/>
          <w:sz w:val="24"/>
          <w:highlight w:val="none"/>
          <w:u w:val="none" w:color="auto"/>
          <w:lang w:val="zh-CN"/>
        </w:rPr>
        <w:t>)岳阳市人民政府办公室关于印发《岳阳市水环境功能区管理规定》和《岳阳市水环境功能区划分》的通知(岳政办发[2010]30号)；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w:t>
      </w:r>
      <w:r>
        <w:rPr>
          <w:rFonts w:hint="eastAsia"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lang w:val="zh-CN"/>
        </w:rPr>
        <w:t>)岳阳市贯彻落实《大气污染防治行动计划》实施方案，岳政办发〔2014〕17号；</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sz w:val="28"/>
          <w:szCs w:val="28"/>
          <w:highlight w:val="none"/>
          <w:u w:val="none" w:color="auto"/>
        </w:rPr>
      </w:pPr>
      <w:bookmarkStart w:id="45" w:name="_Toc10919"/>
      <w:bookmarkStart w:id="46" w:name="_Toc2887"/>
      <w:r>
        <w:rPr>
          <w:rFonts w:hint="default" w:ascii="Times New Roman" w:hAnsi="Times New Roman" w:eastAsia="宋体" w:cs="Times New Roman"/>
          <w:color w:val="auto"/>
          <w:sz w:val="28"/>
          <w:szCs w:val="28"/>
          <w:highlight w:val="none"/>
          <w:u w:val="none" w:color="auto"/>
        </w:rPr>
        <w:t>2.1.3相关导则与规范</w:t>
      </w:r>
      <w:bookmarkEnd w:id="45"/>
      <w:bookmarkEnd w:id="46"/>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（1）《建设项目环境影响评价技术导则——总纲》（HJ2.1—2016）；</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（2）《环境影响评价技术导则——大气环境》（HJ2.2—2018）；</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（3）《环境影响评价技术导则——地表水环境》（HJ2.3—2018）；</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（4）《环境影响评价技术导则——地下水环境》（HJ610—2016）；</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（5）《环境影响评价技术导则——声环境》（HJ2.4—2021）；</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（6）《环境影响评价技术导则——生态影响》（HJ19-2022）；</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（7）《环境影响评价技术导则——土壤环境（试行）》（HJ964-2018）</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（8）《建设项目环境风险评价技术导则》（HJ169-2018）；</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（9）《建设项目危险废物环境影响评价指南》（2017年10月1日起施行）；</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（10）《污染源源强核算技术指南准则》(HJ884-2018)；</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（11）《排污单位自行监测技术指南总则》(HJ819-2017)；</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（12）《排污许可证申请与核发技术规范总则》（HJ942-2018）；</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lang w:val="zh-CN"/>
        </w:rPr>
        <w:t>（13）《国家危险废物名录》（2021年版）。</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sz w:val="28"/>
          <w:szCs w:val="28"/>
          <w:highlight w:val="none"/>
          <w:u w:val="none" w:color="auto"/>
        </w:rPr>
      </w:pPr>
      <w:bookmarkStart w:id="47" w:name="_Toc7677"/>
      <w:bookmarkStart w:id="48" w:name="_Toc18879"/>
      <w:r>
        <w:rPr>
          <w:rFonts w:hint="default" w:ascii="Times New Roman" w:hAnsi="Times New Roman" w:eastAsia="宋体" w:cs="Times New Roman"/>
          <w:color w:val="auto"/>
          <w:sz w:val="28"/>
          <w:szCs w:val="28"/>
          <w:highlight w:val="none"/>
          <w:u w:val="none" w:color="auto"/>
        </w:rPr>
        <w:t>2.1.4项目其他相关文件</w:t>
      </w:r>
      <w:bookmarkEnd w:id="47"/>
      <w:bookmarkEnd w:id="48"/>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w:t>
      </w:r>
      <w:r>
        <w:rPr>
          <w:rFonts w:hint="default" w:ascii="Times New Roman" w:hAnsi="Times New Roman" w:eastAsia="宋体" w:cs="Times New Roman"/>
          <w:color w:val="auto"/>
          <w:sz w:val="24"/>
          <w:highlight w:val="none"/>
          <w:u w:val="none" w:color="auto"/>
          <w:lang w:val="en-US" w:eastAsia="zh-CN"/>
        </w:rPr>
        <w:t>.</w:t>
      </w:r>
      <w:r>
        <w:rPr>
          <w:rFonts w:hint="default" w:ascii="Times New Roman" w:hAnsi="Times New Roman" w:eastAsia="宋体" w:cs="Times New Roman"/>
          <w:color w:val="auto"/>
          <w:sz w:val="24"/>
          <w:highlight w:val="none"/>
          <w:u w:val="none" w:color="auto"/>
        </w:rPr>
        <w:t>建设项目环境影响评价委托书；</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2.《项目可研报告》；</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lang w:val="en-US" w:eastAsia="zh-CN"/>
        </w:rPr>
        <w:t>3.</w:t>
      </w:r>
      <w:r>
        <w:rPr>
          <w:rFonts w:hint="default" w:ascii="Times New Roman" w:hAnsi="Times New Roman" w:eastAsia="宋体" w:cs="Times New Roman"/>
          <w:color w:val="auto"/>
          <w:sz w:val="24"/>
          <w:szCs w:val="24"/>
          <w:u w:val="none" w:color="auto"/>
          <w:lang w:val="en-US" w:eastAsia="zh-CN"/>
        </w:rPr>
        <w:t>湖南镁宇科技有限公司</w:t>
      </w:r>
      <w:r>
        <w:rPr>
          <w:rFonts w:hint="default" w:ascii="Times New Roman" w:hAnsi="Times New Roman" w:eastAsia="宋体" w:cs="Times New Roman"/>
          <w:color w:val="auto"/>
          <w:sz w:val="24"/>
          <w:highlight w:val="none"/>
          <w:u w:val="none" w:color="auto"/>
        </w:rPr>
        <w:t>提供的其它相关资料。</w:t>
      </w:r>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49" w:name="_Toc28096"/>
      <w:bookmarkStart w:id="50" w:name="_Toc12425"/>
      <w:r>
        <w:rPr>
          <w:rFonts w:hint="default" w:ascii="Times New Roman" w:hAnsi="Times New Roman" w:eastAsia="宋体" w:cs="Times New Roman"/>
          <w:color w:val="auto"/>
          <w:highlight w:val="none"/>
          <w:u w:val="none" w:color="auto"/>
        </w:rPr>
        <w:t>2.2评价因子和评价标准</w:t>
      </w:r>
      <w:bookmarkEnd w:id="49"/>
      <w:bookmarkEnd w:id="50"/>
    </w:p>
    <w:p>
      <w:pPr>
        <w:pStyle w:val="7"/>
        <w:pageBreakBefore w:val="0"/>
        <w:kinsoku/>
        <w:wordWrap/>
        <w:overflowPunct w:val="0"/>
        <w:topLinePunct/>
        <w:autoSpaceDE w:val="0"/>
        <w:autoSpaceDN w:val="0"/>
        <w:bidi w:val="0"/>
        <w:rPr>
          <w:rFonts w:hint="default" w:ascii="Times New Roman" w:hAnsi="Times New Roman" w:eastAsia="宋体" w:cs="Times New Roman"/>
          <w:color w:val="auto"/>
          <w:sz w:val="28"/>
          <w:szCs w:val="28"/>
          <w:highlight w:val="none"/>
          <w:u w:val="none" w:color="auto"/>
        </w:rPr>
      </w:pPr>
      <w:bookmarkStart w:id="51" w:name="_Toc978"/>
      <w:bookmarkStart w:id="52" w:name="_Toc5967"/>
      <w:r>
        <w:rPr>
          <w:rFonts w:hint="default" w:ascii="Times New Roman" w:hAnsi="Times New Roman" w:eastAsia="宋体" w:cs="Times New Roman"/>
          <w:color w:val="auto"/>
          <w:sz w:val="28"/>
          <w:szCs w:val="28"/>
          <w:highlight w:val="none"/>
          <w:u w:val="none" w:color="auto"/>
        </w:rPr>
        <w:t>2.2.1评价因子</w:t>
      </w:r>
      <w:bookmarkEnd w:id="51"/>
      <w:bookmarkEnd w:id="52"/>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2"/>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1、环境影响要素识别</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从项目建设施工期和生产运营期环境影响要素分析，项目在建设期及运营期会对环境空气，水环境和声环境产生一定的影响，对当地环境的影响主要表现在生产运营期。建设期和运营期环境影响因素识别见下表。</w:t>
      </w:r>
    </w:p>
    <w:p>
      <w:pPr>
        <w:keepNext w:val="0"/>
        <w:keepLines w:val="0"/>
        <w:pageBreakBefore w:val="0"/>
        <w:widowControl w:val="0"/>
        <w:numPr>
          <w:ilvl w:val="0"/>
          <w:numId w:val="0"/>
        </w:numPr>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表2.2-1本项目环境影响因素识别</w:t>
      </w:r>
    </w:p>
    <w:tbl>
      <w:tblPr>
        <w:tblStyle w:val="4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1183"/>
        <w:gridCol w:w="1583"/>
        <w:gridCol w:w="917"/>
        <w:gridCol w:w="944"/>
        <w:gridCol w:w="917"/>
        <w:gridCol w:w="926"/>
        <w:gridCol w:w="931"/>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70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时段</w:t>
            </w: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评价对象</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性质</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程度</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时间</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可能性</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范围</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可逆性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709" w:type="pct"/>
            <w:vMerge w:val="restar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施工期</w:t>
            </w: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地表水</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短</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环境空气</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短</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较大</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声环境</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短</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较大</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地下水</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短</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土壤</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短</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固体废物</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短</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较大</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restar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运营期</w:t>
            </w: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地表水</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长</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环境空气</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长</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地下水</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长</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较大</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声环境</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长</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固体废物</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长</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较大</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09"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p>
        </w:tc>
        <w:tc>
          <w:tcPr>
            <w:tcW w:w="949"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土壤</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t>
            </w:r>
          </w:p>
        </w:tc>
        <w:tc>
          <w:tcPr>
            <w:tcW w:w="566"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长</w:t>
            </w:r>
          </w:p>
        </w:tc>
        <w:tc>
          <w:tcPr>
            <w:tcW w:w="555"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58"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较小</w:t>
            </w:r>
          </w:p>
        </w:tc>
        <w:tc>
          <w:tcPr>
            <w:tcW w:w="560" w:type="pct"/>
            <w:tcBorders>
              <w:tl2br w:val="nil"/>
              <w:tr2bl w:val="nil"/>
            </w:tcBorders>
            <w:shd w:val="clear" w:color="auto" w:fill="auto"/>
            <w:vAlign w:val="center"/>
          </w:tcPr>
          <w:p>
            <w:pPr>
              <w:pStyle w:val="100"/>
              <w:keepNext w:val="0"/>
              <w:keepLines w:val="0"/>
              <w:pageBreakBefore w:val="0"/>
              <w:widowControl w:val="0"/>
              <w:kinsoku/>
              <w:wordWrap/>
              <w:overflowPunct w:val="0"/>
              <w:topLinePunct/>
              <w:autoSpaceDE w:val="0"/>
              <w:autoSpaceDN w:val="0"/>
              <w:bidi w:val="0"/>
              <w:adjustRightInd/>
              <w:snapToGrid/>
              <w:ind w:firstLine="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不</w:t>
            </w:r>
          </w:p>
        </w:tc>
      </w:tr>
    </w:tbl>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根据环境影响因素识别结果，确定本项目现状评价、污染因子及环境影响评价因子，表2.2-</w:t>
      </w:r>
      <w:r>
        <w:rPr>
          <w:rFonts w:hint="eastAsia" w:ascii="Times New Roman" w:hAnsi="Times New Roman" w:eastAsia="宋体" w:cs="Times New Roman"/>
          <w:color w:val="auto"/>
          <w:sz w:val="24"/>
          <w:highlight w:val="none"/>
          <w:u w:val="none" w:color="auto"/>
          <w:lang w:val="en-US" w:eastAsia="zh-CN"/>
        </w:rPr>
        <w:t>2</w:t>
      </w:r>
      <w:r>
        <w:rPr>
          <w:rFonts w:hint="default" w:ascii="Times New Roman" w:hAnsi="Times New Roman" w:eastAsia="宋体" w:cs="Times New Roman"/>
          <w:color w:val="auto"/>
          <w:sz w:val="24"/>
          <w:highlight w:val="none"/>
          <w:u w:val="none" w:color="auto"/>
        </w:rPr>
        <w:t>。</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表2.2-</w:t>
      </w:r>
      <w:r>
        <w:rPr>
          <w:rFonts w:hint="eastAsia" w:ascii="Times New Roman" w:hAnsi="Times New Roman" w:eastAsia="宋体" w:cs="Times New Roman"/>
          <w:b/>
          <w:color w:val="auto"/>
          <w:sz w:val="24"/>
          <w:highlight w:val="none"/>
          <w:u w:val="none" w:color="auto"/>
          <w:lang w:val="en-US" w:eastAsia="zh-CN"/>
        </w:rPr>
        <w:t>2</w:t>
      </w:r>
      <w:r>
        <w:rPr>
          <w:rFonts w:hint="default" w:ascii="Times New Roman" w:hAnsi="Times New Roman" w:eastAsia="宋体" w:cs="Times New Roman"/>
          <w:b/>
          <w:color w:val="auto"/>
          <w:sz w:val="24"/>
          <w:highlight w:val="none"/>
          <w:u w:val="none" w:color="auto"/>
        </w:rPr>
        <w:t>环境影响因子识别结果表</w:t>
      </w:r>
    </w:p>
    <w:tbl>
      <w:tblPr>
        <w:tblStyle w:val="40"/>
        <w:tblW w:w="8288" w:type="dxa"/>
        <w:tblInd w:w="10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8"/>
        <w:gridCol w:w="876"/>
        <w:gridCol w:w="1095"/>
        <w:gridCol w:w="57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环境要素</w:t>
            </w: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评价类别</w:t>
            </w:r>
          </w:p>
        </w:tc>
        <w:tc>
          <w:tcPr>
            <w:tcW w:w="5799"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大气环境</w:t>
            </w: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799"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10</w:t>
            </w: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2.5</w:t>
            </w:r>
            <w:r>
              <w:rPr>
                <w:rFonts w:hint="default" w:ascii="Times New Roman" w:hAnsi="Times New Roman" w:eastAsia="宋体" w:cs="Times New Roman"/>
                <w:color w:val="auto"/>
                <w:sz w:val="21"/>
                <w:szCs w:val="21"/>
                <w:highlight w:val="none"/>
                <w:u w:val="none" w:color="auto"/>
              </w:rPr>
              <w:t>、CO、O</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u w:val="none" w:color="auto"/>
              </w:rPr>
              <w:t>TSP</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HCl</w:t>
            </w:r>
            <w:r>
              <w:rPr>
                <w:rFonts w:hint="default" w:ascii="Times New Roman" w:hAnsi="Times New Roman" w:eastAsia="宋体" w:cs="Times New Roman"/>
                <w:color w:val="auto"/>
                <w:spacing w:val="6"/>
                <w:sz w:val="21"/>
                <w:szCs w:val="21"/>
                <w:u w:val="none" w:color="auto"/>
              </w:rPr>
              <w:t>、</w:t>
            </w:r>
            <w:r>
              <w:rPr>
                <w:rFonts w:hint="eastAsia" w:ascii="Times New Roman" w:hAnsi="Times New Roman" w:eastAsia="宋体" w:cs="Times New Roman"/>
                <w:color w:val="auto"/>
                <w:kern w:val="0"/>
                <w:sz w:val="21"/>
                <w:szCs w:val="21"/>
                <w:highlight w:val="none"/>
                <w:u w:val="none" w:color="auto"/>
                <w:lang w:val="en-US" w:eastAsia="zh-CN" w:bidi="ar"/>
              </w:rPr>
              <w:t>挥发性有机物（TVOC计）、NOx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w:t>
            </w:r>
          </w:p>
        </w:tc>
        <w:tc>
          <w:tcPr>
            <w:tcW w:w="5799" w:type="dxa"/>
            <w:vAlign w:val="center"/>
          </w:tcPr>
          <w:p>
            <w:pPr>
              <w:pageBreakBefore w:val="0"/>
              <w:widowControl/>
              <w:kinsoku/>
              <w:wordWrap/>
              <w:overflowPunct w:val="0"/>
              <w:topLinePunct/>
              <w:autoSpaceDE w:val="0"/>
              <w:autoSpaceDN w:val="0"/>
              <w:bidi w:val="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u w:val="none" w:color="auto"/>
              </w:rPr>
              <w:t>TSP</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HCl</w:t>
            </w:r>
            <w:r>
              <w:rPr>
                <w:rFonts w:hint="default" w:ascii="Times New Roman" w:hAnsi="Times New Roman" w:eastAsia="宋体" w:cs="Times New Roman"/>
                <w:color w:val="auto"/>
                <w:spacing w:val="6"/>
                <w:sz w:val="21"/>
                <w:szCs w:val="21"/>
                <w:u w:val="none" w:color="auto"/>
              </w:rPr>
              <w:t>、</w:t>
            </w:r>
            <w:r>
              <w:rPr>
                <w:rFonts w:hint="eastAsia" w:ascii="Times New Roman" w:hAnsi="Times New Roman" w:eastAsia="宋体" w:cs="Times New Roman"/>
                <w:color w:val="auto"/>
                <w:kern w:val="0"/>
                <w:sz w:val="21"/>
                <w:szCs w:val="21"/>
                <w:highlight w:val="none"/>
                <w:u w:val="none" w:color="auto"/>
                <w:lang w:val="en-US" w:eastAsia="zh-CN" w:bidi="ar"/>
              </w:rPr>
              <w:t>挥发性有机物（TVOC计）、NOx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8" w:type="dxa"/>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水环境</w:t>
            </w:r>
          </w:p>
        </w:tc>
        <w:tc>
          <w:tcPr>
            <w:tcW w:w="876" w:type="dxa"/>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w:t>
            </w: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w:t>
            </w:r>
          </w:p>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799"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pH、高锰酸盐指数、COD、BOD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-N、TP、铜、锌、氟化物、硒、砷、汞、镉、六价铬、铅、氰化物、挥发酚、石油类、阴离子表面活性剂、硫化物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8" w:type="dxa"/>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876" w:type="dxa"/>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预测因子</w:t>
            </w:r>
          </w:p>
        </w:tc>
        <w:tc>
          <w:tcPr>
            <w:tcW w:w="5799"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8" w:type="dxa"/>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876" w:type="dxa"/>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w:t>
            </w: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w:t>
            </w:r>
          </w:p>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799"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bidi="ar"/>
              </w:rPr>
              <w:t>K、Na、Ca、Mg、CO</w:t>
            </w:r>
            <w:r>
              <w:rPr>
                <w:rFonts w:hint="default" w:ascii="Times New Roman" w:hAnsi="Times New Roman" w:eastAsia="宋体" w:cs="Times New Roman"/>
                <w:color w:val="auto"/>
                <w:kern w:val="0"/>
                <w:sz w:val="21"/>
                <w:szCs w:val="21"/>
                <w:highlight w:val="none"/>
                <w:u w:val="none" w:color="auto"/>
                <w:vertAlign w:val="subscript"/>
                <w:lang w:bidi="ar"/>
              </w:rPr>
              <w:t>3</w:t>
            </w:r>
            <w:r>
              <w:rPr>
                <w:rFonts w:hint="default" w:ascii="Times New Roman" w:hAnsi="Times New Roman" w:eastAsia="宋体" w:cs="Times New Roman"/>
                <w:color w:val="auto"/>
                <w:kern w:val="0"/>
                <w:sz w:val="21"/>
                <w:szCs w:val="21"/>
                <w:highlight w:val="none"/>
                <w:u w:val="none" w:color="auto"/>
                <w:vertAlign w:val="superscript"/>
                <w:lang w:bidi="ar"/>
              </w:rPr>
              <w:t>2-</w:t>
            </w:r>
            <w:r>
              <w:rPr>
                <w:rFonts w:hint="default" w:ascii="Times New Roman" w:hAnsi="Times New Roman" w:eastAsia="宋体" w:cs="Times New Roman"/>
                <w:color w:val="auto"/>
                <w:kern w:val="0"/>
                <w:sz w:val="21"/>
                <w:szCs w:val="21"/>
                <w:highlight w:val="none"/>
                <w:u w:val="none" w:color="auto"/>
                <w:lang w:bidi="ar"/>
              </w:rPr>
              <w:t>、HCO</w:t>
            </w:r>
            <w:r>
              <w:rPr>
                <w:rFonts w:hint="default" w:ascii="Times New Roman" w:hAnsi="Times New Roman" w:eastAsia="宋体" w:cs="Times New Roman"/>
                <w:color w:val="auto"/>
                <w:kern w:val="0"/>
                <w:sz w:val="21"/>
                <w:szCs w:val="21"/>
                <w:highlight w:val="none"/>
                <w:u w:val="none" w:color="auto"/>
                <w:vertAlign w:val="subscript"/>
                <w:lang w:bidi="ar"/>
              </w:rPr>
              <w:t>3</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、Cl</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、SO</w:t>
            </w:r>
            <w:r>
              <w:rPr>
                <w:rFonts w:hint="default" w:ascii="Times New Roman" w:hAnsi="Times New Roman" w:eastAsia="宋体" w:cs="Times New Roman"/>
                <w:color w:val="auto"/>
                <w:kern w:val="0"/>
                <w:sz w:val="21"/>
                <w:szCs w:val="21"/>
                <w:highlight w:val="none"/>
                <w:u w:val="none" w:color="auto"/>
                <w:vertAlign w:val="subscript"/>
                <w:lang w:bidi="ar"/>
              </w:rPr>
              <w:t>4</w:t>
            </w:r>
            <w:r>
              <w:rPr>
                <w:rFonts w:hint="default" w:ascii="Times New Roman" w:hAnsi="Times New Roman" w:eastAsia="宋体" w:cs="Times New Roman"/>
                <w:color w:val="auto"/>
                <w:kern w:val="0"/>
                <w:sz w:val="21"/>
                <w:szCs w:val="21"/>
                <w:highlight w:val="none"/>
                <w:u w:val="none" w:color="auto"/>
                <w:vertAlign w:val="superscript"/>
                <w:lang w:bidi="ar"/>
              </w:rPr>
              <w:t>2-</w:t>
            </w:r>
            <w:r>
              <w:rPr>
                <w:rFonts w:hint="default" w:ascii="Times New Roman" w:hAnsi="Times New Roman" w:eastAsia="宋体" w:cs="Times New Roman"/>
                <w:color w:val="auto"/>
                <w:kern w:val="0"/>
                <w:sz w:val="21"/>
                <w:szCs w:val="21"/>
                <w:highlight w:val="none"/>
                <w:u w:val="none" w:color="auto"/>
                <w:lang w:bidi="ar"/>
              </w:rPr>
              <w:t>、pH、氨氮、NO</w:t>
            </w:r>
            <w:r>
              <w:rPr>
                <w:rFonts w:hint="default" w:ascii="Times New Roman" w:hAnsi="Times New Roman" w:eastAsia="宋体" w:cs="Times New Roman"/>
                <w:color w:val="auto"/>
                <w:kern w:val="0"/>
                <w:sz w:val="21"/>
                <w:szCs w:val="21"/>
                <w:highlight w:val="none"/>
                <w:u w:val="none" w:color="auto"/>
                <w:vertAlign w:val="subscript"/>
                <w:lang w:bidi="ar"/>
              </w:rPr>
              <w:t>3</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、NO</w:t>
            </w:r>
            <w:r>
              <w:rPr>
                <w:rFonts w:hint="default" w:ascii="Times New Roman" w:hAnsi="Times New Roman" w:eastAsia="宋体" w:cs="Times New Roman"/>
                <w:color w:val="auto"/>
                <w:kern w:val="0"/>
                <w:sz w:val="21"/>
                <w:szCs w:val="21"/>
                <w:highlight w:val="none"/>
                <w:u w:val="none" w:color="auto"/>
                <w:vertAlign w:val="subscript"/>
                <w:lang w:bidi="ar"/>
              </w:rPr>
              <w:t>2</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、挥发性酚类、氰化物、As、Hg、Cr</w:t>
            </w:r>
            <w:r>
              <w:rPr>
                <w:rFonts w:hint="default" w:ascii="Times New Roman" w:hAnsi="Times New Roman" w:eastAsia="宋体" w:cs="Times New Roman"/>
                <w:color w:val="auto"/>
                <w:kern w:val="0"/>
                <w:sz w:val="21"/>
                <w:szCs w:val="21"/>
                <w:highlight w:val="none"/>
                <w:u w:val="none" w:color="auto"/>
                <w:vertAlign w:val="superscript"/>
                <w:lang w:bidi="ar"/>
              </w:rPr>
              <w:t>6+</w:t>
            </w:r>
            <w:r>
              <w:rPr>
                <w:rFonts w:hint="default" w:ascii="Times New Roman" w:hAnsi="Times New Roman" w:eastAsia="宋体" w:cs="Times New Roman"/>
                <w:color w:val="auto"/>
                <w:kern w:val="0"/>
                <w:sz w:val="21"/>
                <w:szCs w:val="21"/>
                <w:highlight w:val="none"/>
                <w:u w:val="none" w:color="auto"/>
                <w:lang w:bidi="ar"/>
              </w:rPr>
              <w:t>、总硬度、Pb、F</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、镉、Fe、Mn、溶解性总固体、高锰酸盐指数、总大肠菌群、细菌总数</w:t>
            </w:r>
            <w:r>
              <w:rPr>
                <w:rFonts w:hint="default" w:ascii="Times New Roman" w:hAnsi="Times New Roman" w:eastAsia="宋体" w:cs="Times New Roman"/>
                <w:color w:val="auto"/>
                <w:kern w:val="0"/>
                <w:sz w:val="21"/>
                <w:szCs w:val="21"/>
                <w:highlight w:val="none"/>
                <w:u w:val="none" w:color="auto"/>
                <w:lang w:eastAsia="zh-CN" w:bidi="ar"/>
              </w:rPr>
              <w:t>、</w:t>
            </w:r>
            <w:r>
              <w:rPr>
                <w:rFonts w:hint="default" w:ascii="Times New Roman" w:hAnsi="Times New Roman" w:eastAsia="宋体" w:cs="Times New Roman"/>
                <w:color w:val="auto"/>
                <w:kern w:val="0"/>
                <w:sz w:val="21"/>
                <w:szCs w:val="21"/>
                <w:highlight w:val="none"/>
                <w:u w:val="none" w:color="auto"/>
                <w:lang w:val="en-US" w:eastAsia="zh-CN" w:bidi="ar"/>
              </w:rPr>
              <w:t>COD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8" w:type="dxa"/>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876" w:type="dxa"/>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w:t>
            </w:r>
          </w:p>
        </w:tc>
        <w:tc>
          <w:tcPr>
            <w:tcW w:w="5799" w:type="dxa"/>
            <w:vAlign w:val="center"/>
          </w:tcPr>
          <w:p>
            <w:pPr>
              <w:pageBreakBefore w:val="0"/>
              <w:kinsoku/>
              <w:wordWrap/>
              <w:overflowPunct w:val="0"/>
              <w:topLinePunct/>
              <w:autoSpaceDE w:val="0"/>
              <w:autoSpaceDN w:val="0"/>
              <w:bidi w:val="0"/>
              <w:adjustRightInd w:val="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声环境</w:t>
            </w: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799" w:type="dxa"/>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连续等级A声效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w:t>
            </w:r>
          </w:p>
        </w:tc>
        <w:tc>
          <w:tcPr>
            <w:tcW w:w="5799" w:type="dxa"/>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Merge w:val="restart"/>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土壤环境</w:t>
            </w: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区域环境质量评价因子</w:t>
            </w:r>
          </w:p>
        </w:tc>
        <w:tc>
          <w:tcPr>
            <w:tcW w:w="5799"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等共4</w:t>
            </w:r>
            <w:r>
              <w:rPr>
                <w:rFonts w:hint="default" w:ascii="Times New Roman" w:hAnsi="Times New Roman" w:eastAsia="宋体"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94" w:type="dxa"/>
            <w:gridSpan w:val="2"/>
            <w:vMerge w:val="continue"/>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p>
        </w:tc>
        <w:tc>
          <w:tcPr>
            <w:tcW w:w="1095" w:type="dxa"/>
            <w:vAlign w:val="center"/>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w:t>
            </w:r>
          </w:p>
        </w:tc>
        <w:tc>
          <w:tcPr>
            <w:tcW w:w="5799" w:type="dxa"/>
            <w:vAlign w:val="center"/>
          </w:tcPr>
          <w:p>
            <w:pPr>
              <w:pageBreakBefore w:val="0"/>
              <w:kinsoku/>
              <w:wordWrap/>
              <w:overflowPunct w:val="0"/>
              <w:topLinePunct/>
              <w:autoSpaceDE w:val="0"/>
              <w:autoSpaceDN w:val="0"/>
              <w:bidi w:val="0"/>
              <w:adjustRightInd w:val="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pacing w:val="9"/>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89" w:type="dxa"/>
            <w:gridSpan w:val="3"/>
            <w:vAlign w:val="top"/>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固体废物</w:t>
            </w:r>
          </w:p>
        </w:tc>
        <w:tc>
          <w:tcPr>
            <w:tcW w:w="5799" w:type="dxa"/>
            <w:vAlign w:val="top"/>
          </w:tcPr>
          <w:p>
            <w:pPr>
              <w:pageBreakBefore w:val="0"/>
              <w:kinsoku/>
              <w:wordWrap/>
              <w:overflowPunct w:val="0"/>
              <w:topLinePunct/>
              <w:autoSpaceDE w:val="0"/>
              <w:autoSpaceDN w:val="0"/>
              <w:bidi w:val="0"/>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一般固废、危险固废</w:t>
            </w:r>
          </w:p>
        </w:tc>
      </w:tr>
    </w:tbl>
    <w:p>
      <w:pPr>
        <w:pStyle w:val="7"/>
        <w:pageBreakBefore w:val="0"/>
        <w:kinsoku/>
        <w:wordWrap/>
        <w:overflowPunct w:val="0"/>
        <w:topLinePunct/>
        <w:autoSpaceDE w:val="0"/>
        <w:autoSpaceDN w:val="0"/>
        <w:bidi w:val="0"/>
        <w:rPr>
          <w:rFonts w:hint="default" w:ascii="Times New Roman" w:hAnsi="Times New Roman" w:eastAsia="宋体" w:cs="Times New Roman"/>
          <w:color w:val="auto"/>
          <w:sz w:val="28"/>
          <w:szCs w:val="28"/>
          <w:highlight w:val="none"/>
          <w:u w:val="none" w:color="auto"/>
        </w:rPr>
      </w:pPr>
      <w:bookmarkStart w:id="53" w:name="_Toc19569"/>
      <w:bookmarkStart w:id="54" w:name="_Toc27017"/>
      <w:r>
        <w:rPr>
          <w:rFonts w:hint="default" w:ascii="Times New Roman" w:hAnsi="Times New Roman" w:eastAsia="宋体" w:cs="Times New Roman"/>
          <w:color w:val="auto"/>
          <w:sz w:val="28"/>
          <w:szCs w:val="28"/>
          <w:highlight w:val="none"/>
          <w:u w:val="none" w:color="auto"/>
        </w:rPr>
        <w:t>2.2.2评价标准</w:t>
      </w:r>
      <w:bookmarkEnd w:id="53"/>
      <w:bookmarkEnd w:id="54"/>
    </w:p>
    <w:p>
      <w:pPr>
        <w:pStyle w:val="58"/>
        <w:pageBreakBefore w:val="0"/>
        <w:kinsoku/>
        <w:wordWrap/>
        <w:overflowPunct w:val="0"/>
        <w:topLinePunct/>
        <w:autoSpaceDE w:val="0"/>
        <w:autoSpaceDN w:val="0"/>
        <w:bidi w:val="0"/>
        <w:ind w:firstLine="482"/>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1、环境质量标准</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u w:val="none" w:color="auto"/>
        </w:rPr>
      </w:pPr>
      <w:r>
        <w:rPr>
          <w:rFonts w:hint="eastAsia" w:ascii="Times New Roman" w:hAnsi="Times New Roman" w:eastAsia="宋体" w:cs="Times New Roman"/>
          <w:color w:val="auto"/>
          <w:spacing w:val="9"/>
          <w:sz w:val="24"/>
          <w:szCs w:val="24"/>
          <w:u w:val="none" w:color="auto"/>
          <w:lang w:eastAsia="zh-CN"/>
        </w:rPr>
        <w:t>（</w:t>
      </w:r>
      <w:r>
        <w:rPr>
          <w:rFonts w:hint="eastAsia" w:ascii="Times New Roman" w:hAnsi="Times New Roman" w:eastAsia="宋体" w:cs="Times New Roman"/>
          <w:color w:val="auto"/>
          <w:spacing w:val="9"/>
          <w:sz w:val="24"/>
          <w:szCs w:val="24"/>
          <w:u w:val="none" w:color="auto"/>
          <w:lang w:val="en-US" w:eastAsia="zh-CN"/>
        </w:rPr>
        <w:t>1</w:t>
      </w:r>
      <w:r>
        <w:rPr>
          <w:rFonts w:hint="eastAsia" w:ascii="Times New Roman" w:hAnsi="Times New Roman" w:eastAsia="宋体" w:cs="Times New Roman"/>
          <w:color w:val="auto"/>
          <w:spacing w:val="9"/>
          <w:sz w:val="24"/>
          <w:szCs w:val="24"/>
          <w:u w:val="none" w:color="auto"/>
          <w:lang w:eastAsia="zh-CN"/>
        </w:rPr>
        <w:t>）</w:t>
      </w:r>
      <w:r>
        <w:rPr>
          <w:rFonts w:hint="default" w:ascii="Times New Roman" w:hAnsi="Times New Roman" w:eastAsia="宋体" w:cs="Times New Roman"/>
          <w:color w:val="auto"/>
          <w:spacing w:val="9"/>
          <w:sz w:val="24"/>
          <w:szCs w:val="24"/>
          <w:u w:val="none" w:color="auto"/>
        </w:rPr>
        <w:t>空气环境</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eastAsia="zh-CN"/>
        </w:rPr>
        <w:t>项目区域</w:t>
      </w:r>
      <w:r>
        <w:rPr>
          <w:rFonts w:hint="default" w:ascii="Times New Roman" w:hAnsi="Times New Roman" w:eastAsia="宋体" w:cs="Times New Roman"/>
          <w:color w:val="auto"/>
          <w:sz w:val="24"/>
          <w:szCs w:val="24"/>
          <w:u w:val="none" w:color="auto"/>
        </w:rPr>
        <w:t>TSP</w:t>
      </w:r>
      <w:r>
        <w:rPr>
          <w:rFonts w:hint="default" w:ascii="Times New Roman" w:hAnsi="Times New Roman" w:eastAsia="宋体" w:cs="Times New Roman"/>
          <w:color w:val="auto"/>
          <w:spacing w:val="9"/>
          <w:sz w:val="24"/>
          <w:szCs w:val="24"/>
          <w:u w:val="none" w:color="auto"/>
        </w:rPr>
        <w:t>、氮氧化物、</w:t>
      </w:r>
      <w:r>
        <w:rPr>
          <w:rFonts w:hint="default" w:ascii="Times New Roman" w:hAnsi="Times New Roman" w:eastAsia="宋体" w:cs="Times New Roman"/>
          <w:color w:val="auto"/>
          <w:sz w:val="24"/>
          <w:szCs w:val="24"/>
          <w:u w:val="none" w:color="auto"/>
        </w:rPr>
        <w:t>SO</w:t>
      </w:r>
      <w:r>
        <w:rPr>
          <w:rFonts w:hint="default" w:ascii="Times New Roman" w:hAnsi="Times New Roman" w:eastAsia="宋体" w:cs="Times New Roman"/>
          <w:color w:val="auto"/>
          <w:spacing w:val="4"/>
          <w:position w:val="-1"/>
          <w:sz w:val="24"/>
          <w:szCs w:val="24"/>
          <w:u w:val="none" w:color="auto"/>
          <w:vertAlign w:val="subscript"/>
        </w:rPr>
        <w:t>2</w:t>
      </w:r>
      <w:r>
        <w:rPr>
          <w:rFonts w:hint="default" w:ascii="Times New Roman" w:hAnsi="Times New Roman" w:eastAsia="宋体" w:cs="Times New Roman"/>
          <w:color w:val="auto"/>
          <w:spacing w:val="4"/>
          <w:sz w:val="24"/>
          <w:szCs w:val="24"/>
          <w:u w:val="none" w:color="auto"/>
        </w:rPr>
        <w:t>、</w:t>
      </w:r>
      <w:r>
        <w:rPr>
          <w:rFonts w:hint="default" w:ascii="Times New Roman" w:hAnsi="Times New Roman" w:eastAsia="宋体" w:cs="Times New Roman"/>
          <w:color w:val="auto"/>
          <w:sz w:val="24"/>
          <w:szCs w:val="24"/>
          <w:u w:val="none" w:color="auto"/>
        </w:rPr>
        <w:t>NO</w:t>
      </w:r>
      <w:r>
        <w:rPr>
          <w:rFonts w:hint="default" w:ascii="Times New Roman" w:hAnsi="Times New Roman" w:eastAsia="宋体" w:cs="Times New Roman"/>
          <w:color w:val="auto"/>
          <w:spacing w:val="4"/>
          <w:position w:val="-1"/>
          <w:sz w:val="24"/>
          <w:szCs w:val="24"/>
          <w:u w:val="none" w:color="auto"/>
          <w:vertAlign w:val="subscript"/>
        </w:rPr>
        <w:t>2</w:t>
      </w:r>
      <w:r>
        <w:rPr>
          <w:rFonts w:hint="default" w:ascii="Times New Roman" w:hAnsi="Times New Roman" w:eastAsia="宋体" w:cs="Times New Roman"/>
          <w:color w:val="auto"/>
          <w:spacing w:val="4"/>
          <w:sz w:val="24"/>
          <w:szCs w:val="24"/>
          <w:u w:val="none" w:color="auto"/>
        </w:rPr>
        <w:t>、</w:t>
      </w:r>
      <w:r>
        <w:rPr>
          <w:rFonts w:hint="default" w:ascii="Times New Roman" w:hAnsi="Times New Roman" w:eastAsia="宋体" w:cs="Times New Roman"/>
          <w:color w:val="auto"/>
          <w:sz w:val="24"/>
          <w:szCs w:val="24"/>
          <w:u w:val="none" w:color="auto"/>
        </w:rPr>
        <w:t>PM</w:t>
      </w:r>
      <w:r>
        <w:rPr>
          <w:rFonts w:hint="default" w:ascii="Times New Roman" w:hAnsi="Times New Roman" w:eastAsia="宋体" w:cs="Times New Roman"/>
          <w:color w:val="auto"/>
          <w:spacing w:val="4"/>
          <w:position w:val="-1"/>
          <w:sz w:val="24"/>
          <w:szCs w:val="24"/>
          <w:u w:val="none" w:color="auto"/>
          <w:vertAlign w:val="subscript"/>
        </w:rPr>
        <w:t>10</w:t>
      </w:r>
      <w:r>
        <w:rPr>
          <w:rFonts w:hint="default" w:ascii="Times New Roman" w:hAnsi="Times New Roman" w:eastAsia="宋体" w:cs="Times New Roman"/>
          <w:color w:val="auto"/>
          <w:spacing w:val="2"/>
          <w:sz w:val="24"/>
          <w:szCs w:val="24"/>
          <w:u w:val="none" w:color="auto"/>
        </w:rPr>
        <w:t>、</w:t>
      </w:r>
      <w:r>
        <w:rPr>
          <w:rFonts w:hint="default" w:ascii="Times New Roman" w:hAnsi="Times New Roman" w:eastAsia="宋体" w:cs="Times New Roman"/>
          <w:color w:val="auto"/>
          <w:sz w:val="24"/>
          <w:szCs w:val="24"/>
          <w:u w:val="none" w:color="auto"/>
        </w:rPr>
        <w:t>PM</w:t>
      </w:r>
      <w:r>
        <w:rPr>
          <w:rFonts w:hint="default" w:ascii="Times New Roman" w:hAnsi="Times New Roman" w:eastAsia="宋体" w:cs="Times New Roman"/>
          <w:color w:val="auto"/>
          <w:spacing w:val="2"/>
          <w:position w:val="-1"/>
          <w:sz w:val="24"/>
          <w:szCs w:val="24"/>
          <w:u w:val="none" w:color="auto"/>
          <w:vertAlign w:val="subscript"/>
        </w:rPr>
        <w:t>2.5</w:t>
      </w:r>
      <w:r>
        <w:rPr>
          <w:rFonts w:hint="default" w:ascii="Times New Roman" w:hAnsi="Times New Roman" w:eastAsia="宋体" w:cs="Times New Roman"/>
          <w:color w:val="auto"/>
          <w:spacing w:val="2"/>
          <w:sz w:val="24"/>
          <w:szCs w:val="24"/>
          <w:u w:val="none" w:color="auto"/>
        </w:rPr>
        <w:t>、</w:t>
      </w:r>
      <w:r>
        <w:rPr>
          <w:rFonts w:hint="default" w:ascii="Times New Roman" w:hAnsi="Times New Roman" w:eastAsia="宋体" w:cs="Times New Roman"/>
          <w:color w:val="auto"/>
          <w:sz w:val="24"/>
          <w:szCs w:val="24"/>
          <w:u w:val="none" w:color="auto"/>
        </w:rPr>
        <w:t>CO</w:t>
      </w:r>
      <w:r>
        <w:rPr>
          <w:rFonts w:hint="default" w:ascii="Times New Roman" w:hAnsi="Times New Roman" w:eastAsia="宋体" w:cs="Times New Roman"/>
          <w:color w:val="auto"/>
          <w:spacing w:val="2"/>
          <w:sz w:val="24"/>
          <w:szCs w:val="24"/>
          <w:u w:val="none" w:color="auto"/>
        </w:rPr>
        <w:t>及</w:t>
      </w:r>
      <w:r>
        <w:rPr>
          <w:rFonts w:hint="default" w:ascii="Times New Roman" w:hAnsi="Times New Roman" w:eastAsia="宋体" w:cs="Times New Roman"/>
          <w:color w:val="auto"/>
          <w:sz w:val="24"/>
          <w:szCs w:val="24"/>
          <w:u w:val="none" w:color="auto"/>
        </w:rPr>
        <w:t>O</w:t>
      </w:r>
      <w:r>
        <w:rPr>
          <w:rFonts w:hint="default" w:ascii="Times New Roman" w:hAnsi="Times New Roman" w:eastAsia="宋体" w:cs="Times New Roman"/>
          <w:color w:val="auto"/>
          <w:spacing w:val="2"/>
          <w:position w:val="-1"/>
          <w:sz w:val="24"/>
          <w:szCs w:val="24"/>
          <w:u w:val="none" w:color="auto"/>
          <w:vertAlign w:val="subscript"/>
        </w:rPr>
        <w:t>3</w:t>
      </w:r>
      <w:r>
        <w:rPr>
          <w:rFonts w:hint="default" w:ascii="Times New Roman" w:hAnsi="Times New Roman" w:eastAsia="宋体" w:cs="Times New Roman"/>
          <w:color w:val="auto"/>
          <w:spacing w:val="2"/>
          <w:sz w:val="24"/>
          <w:szCs w:val="24"/>
          <w:u w:val="none" w:color="auto"/>
        </w:rPr>
        <w:t>执行《环境空气质量标准》</w:t>
      </w:r>
      <w:r>
        <w:rPr>
          <w:rFonts w:hint="default" w:ascii="Times New Roman" w:hAnsi="Times New Roman" w:eastAsia="宋体" w:cs="Times New Roman"/>
          <w:color w:val="auto"/>
          <w:spacing w:val="14"/>
          <w:sz w:val="24"/>
          <w:szCs w:val="24"/>
          <w:u w:val="none" w:color="auto"/>
        </w:rPr>
        <w:t>(</w:t>
      </w:r>
      <w:r>
        <w:rPr>
          <w:rFonts w:hint="default" w:ascii="Times New Roman" w:hAnsi="Times New Roman" w:eastAsia="宋体" w:cs="Times New Roman"/>
          <w:color w:val="auto"/>
          <w:sz w:val="24"/>
          <w:szCs w:val="24"/>
          <w:u w:val="none" w:color="auto"/>
        </w:rPr>
        <w:t>GB</w:t>
      </w:r>
      <w:r>
        <w:rPr>
          <w:rFonts w:hint="default" w:ascii="Times New Roman" w:hAnsi="Times New Roman" w:eastAsia="宋体" w:cs="Times New Roman"/>
          <w:color w:val="auto"/>
          <w:spacing w:val="14"/>
          <w:sz w:val="24"/>
          <w:szCs w:val="24"/>
          <w:u w:val="none" w:color="auto"/>
        </w:rPr>
        <w:t>30</w:t>
      </w:r>
      <w:r>
        <w:rPr>
          <w:rFonts w:hint="default" w:ascii="Times New Roman" w:hAnsi="Times New Roman" w:eastAsia="宋体" w:cs="Times New Roman"/>
          <w:color w:val="auto"/>
          <w:spacing w:val="12"/>
          <w:sz w:val="24"/>
          <w:szCs w:val="24"/>
          <w:u w:val="none" w:color="auto"/>
        </w:rPr>
        <w:t>9</w:t>
      </w:r>
      <w:r>
        <w:rPr>
          <w:rFonts w:hint="default" w:ascii="Times New Roman" w:hAnsi="Times New Roman" w:eastAsia="宋体" w:cs="Times New Roman"/>
          <w:color w:val="auto"/>
          <w:spacing w:val="7"/>
          <w:sz w:val="24"/>
          <w:szCs w:val="24"/>
          <w:u w:val="none" w:color="auto"/>
        </w:rPr>
        <w:t>5-2012)及其修改单中的二级标准；</w:t>
      </w:r>
      <w:r>
        <w:rPr>
          <w:rFonts w:hint="eastAsia" w:ascii="Times New Roman" w:hAnsi="Times New Roman" w:eastAsia="宋体" w:cs="Times New Roman"/>
          <w:color w:val="auto"/>
          <w:spacing w:val="7"/>
          <w:sz w:val="24"/>
          <w:szCs w:val="24"/>
          <w:u w:val="none" w:color="auto"/>
          <w:lang w:val="en-US" w:eastAsia="zh-CN"/>
        </w:rPr>
        <w:t>TVOC、</w:t>
      </w:r>
      <w:r>
        <w:rPr>
          <w:rFonts w:hint="default" w:ascii="Times New Roman" w:hAnsi="Times New Roman" w:eastAsia="宋体" w:cs="Times New Roman"/>
          <w:color w:val="auto"/>
          <w:spacing w:val="7"/>
          <w:sz w:val="24"/>
          <w:szCs w:val="24"/>
          <w:u w:val="none" w:color="auto"/>
        </w:rPr>
        <w:t>氯化氢执行《环境影响评价技术导</w:t>
      </w:r>
      <w:r>
        <w:rPr>
          <w:rFonts w:hint="default" w:ascii="Times New Roman" w:hAnsi="Times New Roman" w:eastAsia="宋体" w:cs="Times New Roman"/>
          <w:color w:val="auto"/>
          <w:spacing w:val="4"/>
          <w:sz w:val="24"/>
          <w:szCs w:val="24"/>
          <w:u w:val="none" w:color="auto"/>
        </w:rPr>
        <w:t>则大气环</w:t>
      </w:r>
      <w:r>
        <w:rPr>
          <w:rFonts w:hint="default" w:ascii="Times New Roman" w:hAnsi="Times New Roman" w:eastAsia="宋体" w:cs="Times New Roman"/>
          <w:color w:val="auto"/>
          <w:spacing w:val="2"/>
          <w:sz w:val="24"/>
          <w:szCs w:val="24"/>
          <w:u w:val="none" w:color="auto"/>
        </w:rPr>
        <w:t>境》(</w:t>
      </w:r>
      <w:r>
        <w:rPr>
          <w:rFonts w:hint="default" w:ascii="Times New Roman" w:hAnsi="Times New Roman" w:eastAsia="宋体" w:cs="Times New Roman"/>
          <w:color w:val="auto"/>
          <w:sz w:val="24"/>
          <w:szCs w:val="24"/>
          <w:u w:val="none" w:color="auto"/>
        </w:rPr>
        <w:t>HJ</w:t>
      </w:r>
      <w:r>
        <w:rPr>
          <w:rFonts w:hint="default" w:ascii="Times New Roman" w:hAnsi="Times New Roman" w:eastAsia="宋体" w:cs="Times New Roman"/>
          <w:color w:val="auto"/>
          <w:spacing w:val="2"/>
          <w:sz w:val="24"/>
          <w:szCs w:val="24"/>
          <w:u w:val="none" w:color="auto"/>
        </w:rPr>
        <w:t>2.2-2018)附录</w:t>
      </w:r>
      <w:r>
        <w:rPr>
          <w:rFonts w:hint="default" w:ascii="Times New Roman" w:hAnsi="Times New Roman" w:eastAsia="宋体" w:cs="Times New Roman"/>
          <w:color w:val="auto"/>
          <w:sz w:val="24"/>
          <w:szCs w:val="24"/>
          <w:u w:val="none" w:color="auto"/>
        </w:rPr>
        <w:t>D</w:t>
      </w:r>
      <w:r>
        <w:rPr>
          <w:rFonts w:hint="default" w:ascii="Times New Roman" w:hAnsi="Times New Roman" w:eastAsia="宋体" w:cs="Times New Roman"/>
          <w:color w:val="auto"/>
          <w:spacing w:val="2"/>
          <w:sz w:val="24"/>
          <w:szCs w:val="24"/>
          <w:u w:val="none" w:color="auto"/>
        </w:rPr>
        <w:t>表</w:t>
      </w:r>
      <w:r>
        <w:rPr>
          <w:rFonts w:hint="default" w:ascii="Times New Roman" w:hAnsi="Times New Roman" w:eastAsia="宋体" w:cs="Times New Roman"/>
          <w:color w:val="auto"/>
          <w:sz w:val="24"/>
          <w:szCs w:val="24"/>
          <w:u w:val="none" w:color="auto"/>
        </w:rPr>
        <w:t>D</w:t>
      </w:r>
      <w:r>
        <w:rPr>
          <w:rFonts w:hint="default" w:ascii="Times New Roman" w:hAnsi="Times New Roman" w:eastAsia="宋体" w:cs="Times New Roman"/>
          <w:color w:val="auto"/>
          <w:spacing w:val="2"/>
          <w:sz w:val="24"/>
          <w:szCs w:val="24"/>
          <w:u w:val="none" w:color="auto"/>
        </w:rPr>
        <w:t>.1其他污染物空气质量浓度参考限值</w:t>
      </w:r>
      <w:r>
        <w:rPr>
          <w:rFonts w:hint="default" w:ascii="Times New Roman" w:hAnsi="Times New Roman" w:eastAsia="宋体" w:cs="Times New Roman"/>
          <w:color w:val="auto"/>
          <w:spacing w:val="9"/>
          <w:sz w:val="24"/>
          <w:szCs w:val="24"/>
          <w:u w:val="none" w:color="auto"/>
        </w:rPr>
        <w:t>要</w:t>
      </w:r>
      <w:r>
        <w:rPr>
          <w:rFonts w:hint="default" w:ascii="Times New Roman" w:hAnsi="Times New Roman" w:eastAsia="宋体" w:cs="Times New Roman"/>
          <w:color w:val="auto"/>
          <w:spacing w:val="7"/>
          <w:sz w:val="24"/>
          <w:szCs w:val="24"/>
          <w:u w:val="none" w:color="auto"/>
        </w:rPr>
        <w:t>求；</w:t>
      </w:r>
    </w:p>
    <w:p>
      <w:pPr>
        <w:pageBreakBefore w:val="0"/>
        <w:tabs>
          <w:tab w:val="left" w:pos="257"/>
        </w:tabs>
        <w:kinsoku/>
        <w:wordWrap/>
        <w:overflowPunct w:val="0"/>
        <w:topLinePunct/>
        <w:autoSpaceDE w:val="0"/>
        <w:autoSpaceDN w:val="0"/>
        <w:bidi w:val="0"/>
        <w:spacing w:before="170" w:line="374" w:lineRule="auto"/>
        <w:ind w:left="130" w:right="39" w:firstLine="491"/>
        <w:jc w:val="center"/>
        <w:rPr>
          <w:rFonts w:hint="default" w:ascii="Times New Roman" w:hAnsi="Times New Roman" w:eastAsia="宋体" w:cs="Times New Roman"/>
          <w:b/>
          <w:bCs/>
          <w:color w:val="auto"/>
          <w:spacing w:val="2"/>
          <w:sz w:val="24"/>
          <w:szCs w:val="24"/>
          <w:u w:val="none" w:color="auto"/>
        </w:rPr>
      </w:pPr>
      <w:r>
        <w:rPr>
          <w:rFonts w:hint="default" w:ascii="Times New Roman" w:hAnsi="Times New Roman" w:eastAsia="宋体" w:cs="Times New Roman"/>
          <w:b/>
          <w:bCs/>
          <w:color w:val="auto"/>
          <w:spacing w:val="2"/>
          <w:sz w:val="24"/>
          <w:szCs w:val="24"/>
          <w:u w:val="none" w:color="auto"/>
        </w:rPr>
        <w:t>表2.2-</w:t>
      </w:r>
      <w:r>
        <w:rPr>
          <w:rFonts w:hint="eastAsia" w:ascii="Times New Roman" w:hAnsi="Times New Roman" w:eastAsia="宋体" w:cs="Times New Roman"/>
          <w:b/>
          <w:bCs/>
          <w:color w:val="auto"/>
          <w:spacing w:val="2"/>
          <w:sz w:val="24"/>
          <w:szCs w:val="24"/>
          <w:u w:val="none" w:color="auto"/>
          <w:lang w:val="en-US" w:eastAsia="zh-CN"/>
        </w:rPr>
        <w:t>3</w:t>
      </w:r>
      <w:r>
        <w:rPr>
          <w:rFonts w:hint="default" w:ascii="Times New Roman" w:hAnsi="Times New Roman" w:eastAsia="宋体" w:cs="Times New Roman"/>
          <w:b/>
          <w:bCs/>
          <w:color w:val="auto"/>
          <w:spacing w:val="2"/>
          <w:sz w:val="24"/>
          <w:szCs w:val="24"/>
          <w:u w:val="none" w:color="auto"/>
        </w:rPr>
        <w:t>环境空气质量标准一览表(摘录)</w:t>
      </w:r>
    </w:p>
    <w:tbl>
      <w:tblPr>
        <w:tblStyle w:val="204"/>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89"/>
        <w:gridCol w:w="2041"/>
        <w:gridCol w:w="1194"/>
        <w:gridCol w:w="1291"/>
        <w:gridCol w:w="16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spacing w:val="7"/>
                <w:sz w:val="21"/>
                <w:szCs w:val="21"/>
                <w:u w:val="none" w:color="auto"/>
              </w:rPr>
              <w:t>污染物</w:t>
            </w:r>
          </w:p>
        </w:tc>
        <w:tc>
          <w:tcPr>
            <w:tcW w:w="1202"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spacing w:val="7"/>
                <w:sz w:val="21"/>
                <w:szCs w:val="21"/>
                <w:u w:val="none" w:color="auto"/>
              </w:rPr>
              <w:t>取值时间</w:t>
            </w:r>
          </w:p>
        </w:tc>
        <w:tc>
          <w:tcPr>
            <w:tcW w:w="1463"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spacing w:val="7"/>
                <w:sz w:val="21"/>
                <w:szCs w:val="21"/>
                <w:u w:val="none" w:color="auto"/>
              </w:rPr>
              <w:t>浓度限值</w:t>
            </w:r>
          </w:p>
        </w:tc>
        <w:tc>
          <w:tcPr>
            <w:tcW w:w="985"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spacing w:val="7"/>
                <w:sz w:val="21"/>
                <w:szCs w:val="21"/>
                <w:u w:val="none" w:color="auto"/>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p>
        </w:tc>
        <w:tc>
          <w:tcPr>
            <w:tcW w:w="1202"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p>
        </w:tc>
        <w:tc>
          <w:tcPr>
            <w:tcW w:w="703"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spacing w:val="7"/>
                <w:sz w:val="21"/>
                <w:szCs w:val="21"/>
                <w:u w:val="none" w:color="auto"/>
              </w:rPr>
              <w:t>单位</w:t>
            </w: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spacing w:val="7"/>
                <w:sz w:val="21"/>
                <w:szCs w:val="21"/>
                <w:u w:val="none" w:color="auto"/>
              </w:rPr>
              <w:t>二级</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氮氧化</w:t>
            </w:r>
            <w:r>
              <w:rPr>
                <w:rFonts w:hint="default" w:ascii="Times New Roman" w:hAnsi="Times New Roman" w:eastAsia="宋体" w:cs="Times New Roman"/>
                <w:color w:val="auto"/>
                <w:spacing w:val="7"/>
                <w:sz w:val="21"/>
                <w:szCs w:val="21"/>
                <w:u w:val="none" w:color="auto"/>
              </w:rPr>
              <w:t>物</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年</w:t>
            </w:r>
            <w:r>
              <w:rPr>
                <w:rFonts w:hint="default" w:ascii="Times New Roman" w:hAnsi="Times New Roman" w:eastAsia="宋体" w:cs="Times New Roman"/>
                <w:color w:val="auto"/>
                <w:spacing w:val="6"/>
                <w:sz w:val="21"/>
                <w:szCs w:val="21"/>
                <w:u w:val="none" w:color="auto"/>
              </w:rPr>
              <w:t>平均</w:t>
            </w:r>
          </w:p>
        </w:tc>
        <w:tc>
          <w:tcPr>
            <w:tcW w:w="703"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pacing w:val="4"/>
                <w:position w:val="3"/>
                <w:sz w:val="21"/>
                <w:szCs w:val="21"/>
                <w:u w:val="none" w:color="auto"/>
              </w:rPr>
              <w:t>μ</w:t>
            </w:r>
            <w:r>
              <w:rPr>
                <w:rFonts w:hint="default" w:ascii="Times New Roman" w:hAnsi="Times New Roman" w:eastAsia="宋体" w:cs="Times New Roman"/>
                <w:color w:val="auto"/>
                <w:position w:val="3"/>
                <w:sz w:val="21"/>
                <w:szCs w:val="21"/>
                <w:u w:val="none" w:color="auto"/>
              </w:rPr>
              <w:t>g</w:t>
            </w:r>
            <w:r>
              <w:rPr>
                <w:rFonts w:hint="default" w:ascii="Times New Roman" w:hAnsi="Times New Roman" w:eastAsia="宋体" w:cs="Times New Roman"/>
                <w:color w:val="auto"/>
                <w:spacing w:val="4"/>
                <w:position w:val="3"/>
                <w:sz w:val="21"/>
                <w:szCs w:val="21"/>
                <w:u w:val="none" w:color="auto"/>
              </w:rPr>
              <w:t>/</w:t>
            </w:r>
            <w:r>
              <w:rPr>
                <w:rFonts w:hint="default" w:ascii="Times New Roman" w:hAnsi="Times New Roman" w:eastAsia="宋体" w:cs="Times New Roman"/>
                <w:color w:val="auto"/>
                <w:position w:val="3"/>
                <w:sz w:val="21"/>
                <w:szCs w:val="21"/>
                <w:u w:val="none" w:color="auto"/>
              </w:rPr>
              <w:t>m</w:t>
            </w:r>
            <w:r>
              <w:rPr>
                <w:rFonts w:hint="eastAsia" w:ascii="Times New Roman" w:hAnsi="Times New Roman" w:eastAsia="宋体" w:cs="Times New Roman"/>
                <w:color w:val="auto"/>
                <w:position w:val="3"/>
                <w:sz w:val="21"/>
                <w:szCs w:val="21"/>
                <w:u w:val="none" w:color="auto"/>
                <w:vertAlign w:val="superscript"/>
                <w:lang w:val="en-US" w:eastAsia="zh-CN"/>
              </w:rPr>
              <w:t>3</w:t>
            </w: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985"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《环境空气质量标</w:t>
            </w:r>
            <w:r>
              <w:rPr>
                <w:rFonts w:hint="default" w:ascii="Times New Roman" w:hAnsi="Times New Roman" w:eastAsia="宋体" w:cs="Times New Roman"/>
                <w:color w:val="auto"/>
                <w:spacing w:val="1"/>
                <w:sz w:val="21"/>
                <w:szCs w:val="21"/>
                <w:u w:val="none" w:color="auto"/>
              </w:rPr>
              <w:t>准》(</w:t>
            </w:r>
            <w:r>
              <w:rPr>
                <w:rFonts w:hint="default" w:ascii="Times New Roman" w:hAnsi="Times New Roman" w:eastAsia="宋体" w:cs="Times New Roman"/>
                <w:color w:val="auto"/>
                <w:sz w:val="21"/>
                <w:szCs w:val="21"/>
                <w:u w:val="none" w:color="auto"/>
              </w:rPr>
              <w:t>GB</w:t>
            </w:r>
            <w:r>
              <w:rPr>
                <w:rFonts w:hint="default" w:ascii="Times New Roman" w:hAnsi="Times New Roman" w:eastAsia="宋体" w:cs="Times New Roman"/>
                <w:color w:val="auto"/>
                <w:spacing w:val="1"/>
                <w:sz w:val="21"/>
                <w:szCs w:val="21"/>
                <w:u w:val="none" w:color="auto"/>
              </w:rPr>
              <w:t>309</w:t>
            </w:r>
            <w:r>
              <w:rPr>
                <w:rFonts w:hint="default" w:ascii="Times New Roman" w:hAnsi="Times New Roman" w:eastAsia="宋体" w:cs="Times New Roman"/>
                <w:color w:val="auto"/>
                <w:sz w:val="21"/>
                <w:szCs w:val="21"/>
                <w:u w:val="none" w:color="auto"/>
              </w:rPr>
              <w:t>5-2012)</w:t>
            </w:r>
            <w:r>
              <w:rPr>
                <w:rFonts w:hint="default" w:ascii="Times New Roman" w:hAnsi="Times New Roman" w:eastAsia="宋体" w:cs="Times New Roman"/>
                <w:color w:val="auto"/>
                <w:spacing w:val="9"/>
                <w:sz w:val="21"/>
                <w:szCs w:val="21"/>
                <w:u w:val="none" w:color="auto"/>
              </w:rPr>
              <w:t>及</w:t>
            </w:r>
            <w:r>
              <w:rPr>
                <w:rFonts w:hint="default" w:ascii="Times New Roman" w:hAnsi="Times New Roman" w:eastAsia="宋体" w:cs="Times New Roman"/>
                <w:color w:val="auto"/>
                <w:spacing w:val="8"/>
                <w:sz w:val="21"/>
                <w:szCs w:val="21"/>
                <w:u w:val="none" w:color="auto"/>
              </w:rPr>
              <w:t>其修改单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2</w:t>
            </w:r>
            <w:r>
              <w:rPr>
                <w:rFonts w:hint="default" w:ascii="Times New Roman" w:hAnsi="Times New Roman" w:eastAsia="宋体" w:cs="Times New Roman"/>
                <w:color w:val="auto"/>
                <w:spacing w:val="6"/>
                <w:sz w:val="21"/>
                <w:szCs w:val="21"/>
                <w:u w:val="none" w:color="auto"/>
              </w:rPr>
              <w:t>4小时平均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100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1</w:t>
            </w:r>
            <w:r>
              <w:rPr>
                <w:rFonts w:hint="default" w:ascii="Times New Roman" w:hAnsi="Times New Roman" w:eastAsia="宋体" w:cs="Times New Roman"/>
                <w:color w:val="auto"/>
                <w:spacing w:val="3"/>
                <w:sz w:val="21"/>
                <w:szCs w:val="21"/>
                <w:u w:val="none" w:color="auto"/>
              </w:rPr>
              <w:t>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2</w:t>
            </w:r>
            <w:r>
              <w:rPr>
                <w:rFonts w:hint="default" w:ascii="Times New Roman" w:hAnsi="Times New Roman" w:eastAsia="宋体" w:cs="Times New Roman"/>
                <w:color w:val="auto"/>
                <w:spacing w:val="3"/>
                <w:sz w:val="21"/>
                <w:szCs w:val="21"/>
                <w:u w:val="none" w:color="auto"/>
              </w:rPr>
              <w:t>50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二</w:t>
            </w:r>
            <w:r>
              <w:rPr>
                <w:rFonts w:hint="default" w:ascii="Times New Roman" w:hAnsi="Times New Roman" w:eastAsia="宋体" w:cs="Times New Roman"/>
                <w:color w:val="auto"/>
                <w:spacing w:val="6"/>
                <w:sz w:val="21"/>
                <w:szCs w:val="21"/>
                <w:u w:val="none" w:color="auto"/>
              </w:rPr>
              <w:t>氧化硫</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年</w:t>
            </w:r>
            <w:r>
              <w:rPr>
                <w:rFonts w:hint="default" w:ascii="Times New Roman" w:hAnsi="Times New Roman" w:eastAsia="宋体" w:cs="Times New Roman"/>
                <w:color w:val="auto"/>
                <w:spacing w:val="6"/>
                <w:sz w:val="21"/>
                <w:szCs w:val="21"/>
                <w:u w:val="none" w:color="auto"/>
              </w:rPr>
              <w:t>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6</w:t>
            </w:r>
            <w:r>
              <w:rPr>
                <w:rFonts w:hint="default" w:ascii="Times New Roman" w:hAnsi="Times New Roman" w:eastAsia="宋体" w:cs="Times New Roman"/>
                <w:color w:val="auto"/>
                <w:sz w:val="21"/>
                <w:szCs w:val="21"/>
                <w:u w:val="none" w:color="auto"/>
              </w:rPr>
              <w:t>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2</w:t>
            </w:r>
            <w:r>
              <w:rPr>
                <w:rFonts w:hint="default" w:ascii="Times New Roman" w:hAnsi="Times New Roman" w:eastAsia="宋体" w:cs="Times New Roman"/>
                <w:color w:val="auto"/>
                <w:spacing w:val="6"/>
                <w:sz w:val="21"/>
                <w:szCs w:val="21"/>
                <w:u w:val="none" w:color="auto"/>
              </w:rPr>
              <w:t>4小时平均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150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1</w:t>
            </w:r>
            <w:r>
              <w:rPr>
                <w:rFonts w:hint="default" w:ascii="Times New Roman" w:hAnsi="Times New Roman" w:eastAsia="宋体" w:cs="Times New Roman"/>
                <w:color w:val="auto"/>
                <w:spacing w:val="3"/>
                <w:sz w:val="21"/>
                <w:szCs w:val="21"/>
                <w:u w:val="none" w:color="auto"/>
              </w:rPr>
              <w:t>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2"/>
                <w:sz w:val="21"/>
                <w:szCs w:val="21"/>
                <w:u w:val="none" w:color="auto"/>
              </w:rPr>
              <w:t>50</w:t>
            </w:r>
            <w:r>
              <w:rPr>
                <w:rFonts w:hint="default" w:ascii="Times New Roman" w:hAnsi="Times New Roman" w:eastAsia="宋体" w:cs="Times New Roman"/>
                <w:color w:val="auto"/>
                <w:spacing w:val="1"/>
                <w:sz w:val="21"/>
                <w:szCs w:val="21"/>
                <w:u w:val="none" w:color="auto"/>
              </w:rPr>
              <w:t>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二</w:t>
            </w:r>
            <w:r>
              <w:rPr>
                <w:rFonts w:hint="default" w:ascii="Times New Roman" w:hAnsi="Times New Roman" w:eastAsia="宋体" w:cs="Times New Roman"/>
                <w:color w:val="auto"/>
                <w:spacing w:val="6"/>
                <w:sz w:val="21"/>
                <w:szCs w:val="21"/>
                <w:u w:val="none" w:color="auto"/>
              </w:rPr>
              <w:t>氧化氮</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年</w:t>
            </w:r>
            <w:r>
              <w:rPr>
                <w:rFonts w:hint="default" w:ascii="Times New Roman" w:hAnsi="Times New Roman" w:eastAsia="宋体" w:cs="Times New Roman"/>
                <w:color w:val="auto"/>
                <w:spacing w:val="6"/>
                <w:sz w:val="21"/>
                <w:szCs w:val="21"/>
                <w:u w:val="none" w:color="auto"/>
              </w:rPr>
              <w:t>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40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24平均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2"/>
                <w:sz w:val="21"/>
                <w:szCs w:val="21"/>
                <w:u w:val="none" w:color="auto"/>
              </w:rPr>
              <w:t>8</w:t>
            </w:r>
            <w:r>
              <w:rPr>
                <w:rFonts w:hint="default" w:ascii="Times New Roman" w:hAnsi="Times New Roman" w:eastAsia="宋体" w:cs="Times New Roman"/>
                <w:color w:val="auto"/>
                <w:spacing w:val="-1"/>
                <w:sz w:val="21"/>
                <w:szCs w:val="21"/>
                <w:u w:val="none" w:color="auto"/>
              </w:rPr>
              <w:t>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1</w:t>
            </w:r>
            <w:r>
              <w:rPr>
                <w:rFonts w:hint="default" w:ascii="Times New Roman" w:hAnsi="Times New Roman" w:eastAsia="宋体" w:cs="Times New Roman"/>
                <w:color w:val="auto"/>
                <w:spacing w:val="3"/>
                <w:sz w:val="21"/>
                <w:szCs w:val="21"/>
                <w:u w:val="none" w:color="auto"/>
              </w:rPr>
              <w:t>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2</w:t>
            </w:r>
            <w:r>
              <w:rPr>
                <w:rFonts w:hint="default" w:ascii="Times New Roman" w:hAnsi="Times New Roman" w:eastAsia="宋体" w:cs="Times New Roman"/>
                <w:color w:val="auto"/>
                <w:spacing w:val="3"/>
                <w:sz w:val="21"/>
                <w:szCs w:val="21"/>
                <w:u w:val="none" w:color="auto"/>
              </w:rPr>
              <w:t>00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细</w:t>
            </w:r>
            <w:r>
              <w:rPr>
                <w:rFonts w:hint="default" w:ascii="Times New Roman" w:hAnsi="Times New Roman" w:eastAsia="宋体" w:cs="Times New Roman"/>
                <w:color w:val="auto"/>
                <w:sz w:val="21"/>
                <w:szCs w:val="21"/>
                <w:u w:val="none" w:color="auto"/>
              </w:rPr>
              <w:t>颗粒物PM</w:t>
            </w:r>
            <w:r>
              <w:rPr>
                <w:rFonts w:hint="default" w:ascii="Times New Roman" w:hAnsi="Times New Roman" w:eastAsia="宋体" w:cs="Times New Roman"/>
                <w:color w:val="auto"/>
                <w:position w:val="-1"/>
                <w:sz w:val="21"/>
                <w:szCs w:val="21"/>
                <w:u w:val="none" w:color="auto"/>
              </w:rPr>
              <w:t>2.5</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年</w:t>
            </w:r>
            <w:r>
              <w:rPr>
                <w:rFonts w:hint="default" w:ascii="Times New Roman" w:hAnsi="Times New Roman" w:eastAsia="宋体" w:cs="Times New Roman"/>
                <w:color w:val="auto"/>
                <w:spacing w:val="6"/>
                <w:sz w:val="21"/>
                <w:szCs w:val="21"/>
                <w:u w:val="none" w:color="auto"/>
              </w:rPr>
              <w:t>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3</w:t>
            </w:r>
            <w:r>
              <w:rPr>
                <w:rFonts w:hint="default" w:ascii="Times New Roman" w:hAnsi="Times New Roman" w:eastAsia="宋体" w:cs="Times New Roman"/>
                <w:color w:val="auto"/>
                <w:sz w:val="21"/>
                <w:szCs w:val="21"/>
                <w:u w:val="none" w:color="auto"/>
              </w:rPr>
              <w:t>5</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2</w:t>
            </w:r>
            <w:r>
              <w:rPr>
                <w:rFonts w:hint="default" w:ascii="Times New Roman" w:hAnsi="Times New Roman" w:eastAsia="宋体" w:cs="Times New Roman"/>
                <w:color w:val="auto"/>
                <w:spacing w:val="6"/>
                <w:sz w:val="21"/>
                <w:szCs w:val="21"/>
                <w:u w:val="none" w:color="auto"/>
              </w:rPr>
              <w:t>4小时平均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75</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可吸入颗粒</w:t>
            </w:r>
            <w:r>
              <w:rPr>
                <w:rFonts w:hint="default" w:ascii="Times New Roman" w:hAnsi="Times New Roman" w:eastAsia="宋体" w:cs="Times New Roman"/>
                <w:color w:val="auto"/>
                <w:spacing w:val="7"/>
                <w:sz w:val="21"/>
                <w:szCs w:val="21"/>
                <w:u w:val="none" w:color="auto"/>
              </w:rPr>
              <w:t>物</w:t>
            </w: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pacing w:val="9"/>
                <w:position w:val="-1"/>
                <w:sz w:val="21"/>
                <w:szCs w:val="21"/>
                <w:u w:val="none" w:color="auto"/>
              </w:rPr>
              <w:t>1</w:t>
            </w:r>
            <w:r>
              <w:rPr>
                <w:rFonts w:hint="default" w:ascii="Times New Roman" w:hAnsi="Times New Roman" w:eastAsia="宋体" w:cs="Times New Roman"/>
                <w:color w:val="auto"/>
                <w:spacing w:val="8"/>
                <w:position w:val="-1"/>
                <w:sz w:val="21"/>
                <w:szCs w:val="21"/>
                <w:u w:val="none" w:color="auto"/>
              </w:rPr>
              <w:t>0</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年</w:t>
            </w:r>
            <w:r>
              <w:rPr>
                <w:rFonts w:hint="default" w:ascii="Times New Roman" w:hAnsi="Times New Roman" w:eastAsia="宋体" w:cs="Times New Roman"/>
                <w:color w:val="auto"/>
                <w:spacing w:val="6"/>
                <w:sz w:val="21"/>
                <w:szCs w:val="21"/>
                <w:u w:val="none" w:color="auto"/>
              </w:rPr>
              <w:t>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70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2</w:t>
            </w:r>
            <w:r>
              <w:rPr>
                <w:rFonts w:hint="default" w:ascii="Times New Roman" w:hAnsi="Times New Roman" w:eastAsia="宋体" w:cs="Times New Roman"/>
                <w:color w:val="auto"/>
                <w:spacing w:val="6"/>
                <w:sz w:val="21"/>
                <w:szCs w:val="21"/>
                <w:u w:val="none" w:color="auto"/>
              </w:rPr>
              <w:t>4小时平均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150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T</w:t>
            </w:r>
            <w:r>
              <w:rPr>
                <w:rFonts w:hint="default" w:ascii="Times New Roman" w:hAnsi="Times New Roman" w:eastAsia="宋体" w:cs="Times New Roman"/>
                <w:color w:val="auto"/>
                <w:spacing w:val="3"/>
                <w:sz w:val="21"/>
                <w:szCs w:val="21"/>
                <w:u w:val="none" w:color="auto"/>
              </w:rPr>
              <w:t>SP</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年</w:t>
            </w:r>
            <w:r>
              <w:rPr>
                <w:rFonts w:hint="default" w:ascii="Times New Roman" w:hAnsi="Times New Roman" w:eastAsia="宋体" w:cs="Times New Roman"/>
                <w:color w:val="auto"/>
                <w:spacing w:val="6"/>
                <w:sz w:val="21"/>
                <w:szCs w:val="21"/>
                <w:u w:val="none" w:color="auto"/>
              </w:rPr>
              <w:t>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2</w:t>
            </w:r>
            <w:r>
              <w:rPr>
                <w:rFonts w:hint="default" w:ascii="Times New Roman" w:hAnsi="Times New Roman" w:eastAsia="宋体" w:cs="Times New Roman"/>
                <w:color w:val="auto"/>
                <w:spacing w:val="3"/>
                <w:sz w:val="21"/>
                <w:szCs w:val="21"/>
                <w:u w:val="none" w:color="auto"/>
              </w:rPr>
              <w:t>00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2</w:t>
            </w:r>
            <w:r>
              <w:rPr>
                <w:rFonts w:hint="default" w:ascii="Times New Roman" w:hAnsi="Times New Roman" w:eastAsia="宋体" w:cs="Times New Roman"/>
                <w:color w:val="auto"/>
                <w:spacing w:val="6"/>
                <w:sz w:val="21"/>
                <w:szCs w:val="21"/>
                <w:u w:val="none" w:color="auto"/>
              </w:rPr>
              <w:t>4小时平均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3</w:t>
            </w:r>
            <w:r>
              <w:rPr>
                <w:rFonts w:hint="default" w:ascii="Times New Roman" w:hAnsi="Times New Roman" w:eastAsia="宋体" w:cs="Times New Roman"/>
                <w:color w:val="auto"/>
                <w:spacing w:val="2"/>
                <w:sz w:val="21"/>
                <w:szCs w:val="21"/>
                <w:u w:val="none" w:color="auto"/>
              </w:rPr>
              <w:t>00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O</w:t>
            </w:r>
            <w:r>
              <w:rPr>
                <w:rFonts w:hint="default" w:ascii="Times New Roman" w:hAnsi="Times New Roman" w:eastAsia="宋体" w:cs="Times New Roman"/>
                <w:color w:val="auto"/>
                <w:spacing w:val="2"/>
                <w:position w:val="-1"/>
                <w:sz w:val="21"/>
                <w:szCs w:val="21"/>
                <w:u w:val="none" w:color="auto"/>
              </w:rPr>
              <w:t>3</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日最</w:t>
            </w:r>
            <w:r>
              <w:rPr>
                <w:rFonts w:hint="default" w:ascii="Times New Roman" w:hAnsi="Times New Roman" w:eastAsia="宋体" w:cs="Times New Roman"/>
                <w:color w:val="auto"/>
                <w:spacing w:val="-4"/>
                <w:sz w:val="21"/>
                <w:szCs w:val="21"/>
                <w:u w:val="none" w:color="auto"/>
              </w:rPr>
              <w:t>大8小时平均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160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1</w:t>
            </w:r>
            <w:r>
              <w:rPr>
                <w:rFonts w:hint="default" w:ascii="Times New Roman" w:hAnsi="Times New Roman" w:eastAsia="宋体" w:cs="Times New Roman"/>
                <w:color w:val="auto"/>
                <w:spacing w:val="3"/>
                <w:sz w:val="21"/>
                <w:szCs w:val="21"/>
                <w:u w:val="none" w:color="auto"/>
              </w:rPr>
              <w:t>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2</w:t>
            </w:r>
            <w:r>
              <w:rPr>
                <w:rFonts w:hint="default" w:ascii="Times New Roman" w:hAnsi="Times New Roman" w:eastAsia="宋体" w:cs="Times New Roman"/>
                <w:color w:val="auto"/>
                <w:spacing w:val="3"/>
                <w:sz w:val="21"/>
                <w:szCs w:val="21"/>
                <w:u w:val="none" w:color="auto"/>
              </w:rPr>
              <w:t>00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u w:val="none" w:color="auto"/>
                <w:lang w:val="en-US" w:eastAsia="zh-CN"/>
              </w:rPr>
            </w:pPr>
            <w:r>
              <w:rPr>
                <w:rFonts w:hint="eastAsia" w:ascii="Times New Roman" w:hAnsi="Times New Roman" w:eastAsia="宋体" w:cs="Times New Roman"/>
                <w:color w:val="auto"/>
                <w:spacing w:val="6"/>
                <w:sz w:val="21"/>
                <w:szCs w:val="21"/>
                <w:u w:val="none" w:color="auto"/>
                <w:lang w:val="en-US" w:eastAsia="zh-CN"/>
              </w:rPr>
              <w:t>CO</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u w:val="none" w:color="auto"/>
              </w:rPr>
            </w:pPr>
            <w:r>
              <w:rPr>
                <w:rFonts w:hint="default" w:ascii="Times New Roman" w:hAnsi="Times New Roman" w:eastAsia="宋体" w:cs="Times New Roman"/>
                <w:color w:val="auto"/>
                <w:spacing w:val="5"/>
                <w:sz w:val="21"/>
                <w:szCs w:val="21"/>
                <w:u w:val="none" w:color="auto"/>
              </w:rPr>
              <w:t>24平均</w:t>
            </w:r>
          </w:p>
        </w:tc>
        <w:tc>
          <w:tcPr>
            <w:tcW w:w="703"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u w:val="none" w:color="auto"/>
                <w:lang w:val="en-US" w:eastAsia="zh-CN"/>
              </w:rPr>
            </w:pPr>
            <w:r>
              <w:rPr>
                <w:rFonts w:hint="eastAsia" w:ascii="Times New Roman" w:hAnsi="Times New Roman" w:eastAsia="宋体" w:cs="Times New Roman"/>
                <w:color w:val="auto"/>
                <w:spacing w:val="4"/>
                <w:position w:val="3"/>
                <w:sz w:val="21"/>
                <w:szCs w:val="21"/>
                <w:u w:val="none" w:color="auto"/>
                <w:lang w:val="en-US" w:eastAsia="zh-CN"/>
              </w:rPr>
              <w:t>m</w:t>
            </w:r>
            <w:r>
              <w:rPr>
                <w:rFonts w:hint="default" w:ascii="Times New Roman" w:hAnsi="Times New Roman" w:eastAsia="宋体" w:cs="Times New Roman"/>
                <w:color w:val="auto"/>
                <w:position w:val="3"/>
                <w:sz w:val="21"/>
                <w:szCs w:val="21"/>
                <w:u w:val="none" w:color="auto"/>
              </w:rPr>
              <w:t>g</w:t>
            </w:r>
            <w:r>
              <w:rPr>
                <w:rFonts w:hint="default" w:ascii="Times New Roman" w:hAnsi="Times New Roman" w:eastAsia="宋体" w:cs="Times New Roman"/>
                <w:color w:val="auto"/>
                <w:spacing w:val="4"/>
                <w:position w:val="3"/>
                <w:sz w:val="21"/>
                <w:szCs w:val="21"/>
                <w:u w:val="none" w:color="auto"/>
              </w:rPr>
              <w:t>/</w:t>
            </w:r>
            <w:r>
              <w:rPr>
                <w:rFonts w:hint="default" w:ascii="Times New Roman" w:hAnsi="Times New Roman" w:eastAsia="宋体" w:cs="Times New Roman"/>
                <w:color w:val="auto"/>
                <w:position w:val="3"/>
                <w:sz w:val="21"/>
                <w:szCs w:val="21"/>
                <w:u w:val="none" w:color="auto"/>
              </w:rPr>
              <w:t>m</w:t>
            </w:r>
            <w:r>
              <w:rPr>
                <w:rFonts w:hint="eastAsia" w:ascii="Times New Roman" w:hAnsi="Times New Roman" w:eastAsia="宋体" w:cs="Times New Roman"/>
                <w:color w:val="auto"/>
                <w:position w:val="3"/>
                <w:sz w:val="21"/>
                <w:szCs w:val="21"/>
                <w:u w:val="none" w:color="auto"/>
                <w:vertAlign w:val="superscript"/>
                <w:lang w:val="en-US" w:eastAsia="zh-CN"/>
              </w:rPr>
              <w:t>3</w:t>
            </w: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u w:val="none" w:color="auto"/>
              </w:rPr>
            </w:pPr>
            <w:r>
              <w:rPr>
                <w:rFonts w:hint="default" w:ascii="Times New Roman" w:hAnsi="Times New Roman" w:eastAsia="宋体" w:cs="Times New Roman"/>
                <w:color w:val="auto"/>
                <w:spacing w:val="4"/>
                <w:sz w:val="21"/>
                <w:szCs w:val="21"/>
                <w:u w:val="none" w:color="auto"/>
              </w:rPr>
              <w:t>1</w:t>
            </w:r>
            <w:r>
              <w:rPr>
                <w:rFonts w:hint="default" w:ascii="Times New Roman" w:hAnsi="Times New Roman" w:eastAsia="宋体" w:cs="Times New Roman"/>
                <w:color w:val="auto"/>
                <w:spacing w:val="3"/>
                <w:sz w:val="21"/>
                <w:szCs w:val="21"/>
                <w:u w:val="none" w:color="auto"/>
              </w:rPr>
              <w:t>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position w:val="3"/>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氯化</w:t>
            </w:r>
            <w:r>
              <w:rPr>
                <w:rFonts w:hint="default" w:ascii="Times New Roman" w:hAnsi="Times New Roman" w:eastAsia="宋体" w:cs="Times New Roman"/>
                <w:color w:val="auto"/>
                <w:spacing w:val="5"/>
                <w:sz w:val="21"/>
                <w:szCs w:val="21"/>
                <w:u w:val="none" w:color="auto"/>
              </w:rPr>
              <w:t>氢</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1</w:t>
            </w:r>
            <w:r>
              <w:rPr>
                <w:rFonts w:hint="default" w:ascii="Times New Roman" w:hAnsi="Times New Roman" w:eastAsia="宋体" w:cs="Times New Roman"/>
                <w:color w:val="auto"/>
                <w:spacing w:val="3"/>
                <w:sz w:val="21"/>
                <w:szCs w:val="21"/>
                <w:u w:val="none" w:color="auto"/>
              </w:rPr>
              <w:t>小时平均</w:t>
            </w:r>
          </w:p>
        </w:tc>
        <w:tc>
          <w:tcPr>
            <w:tcW w:w="703"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position w:val="3"/>
                <w:sz w:val="21"/>
                <w:szCs w:val="21"/>
                <w:u w:val="none" w:color="auto"/>
              </w:rPr>
              <w:t>μ</w:t>
            </w:r>
            <w:r>
              <w:rPr>
                <w:rFonts w:hint="default" w:ascii="Times New Roman" w:hAnsi="Times New Roman" w:eastAsia="宋体" w:cs="Times New Roman"/>
                <w:color w:val="auto"/>
                <w:position w:val="3"/>
                <w:sz w:val="21"/>
                <w:szCs w:val="21"/>
                <w:u w:val="none" w:color="auto"/>
              </w:rPr>
              <w:t>g</w:t>
            </w:r>
            <w:r>
              <w:rPr>
                <w:rFonts w:hint="default" w:ascii="Times New Roman" w:hAnsi="Times New Roman" w:eastAsia="宋体" w:cs="Times New Roman"/>
                <w:color w:val="auto"/>
                <w:spacing w:val="4"/>
                <w:position w:val="3"/>
                <w:sz w:val="21"/>
                <w:szCs w:val="21"/>
                <w:u w:val="none" w:color="auto"/>
              </w:rPr>
              <w:t>/</w:t>
            </w:r>
            <w:r>
              <w:rPr>
                <w:rFonts w:hint="default" w:ascii="Times New Roman" w:hAnsi="Times New Roman" w:eastAsia="宋体" w:cs="Times New Roman"/>
                <w:color w:val="auto"/>
                <w:position w:val="3"/>
                <w:sz w:val="21"/>
                <w:szCs w:val="21"/>
                <w:u w:val="none" w:color="auto"/>
              </w:rPr>
              <w:t>m</w:t>
            </w:r>
            <w:r>
              <w:rPr>
                <w:rFonts w:hint="eastAsia" w:ascii="Times New Roman" w:hAnsi="Times New Roman" w:eastAsia="宋体" w:cs="Times New Roman"/>
                <w:color w:val="auto"/>
                <w:position w:val="3"/>
                <w:sz w:val="21"/>
                <w:szCs w:val="21"/>
                <w:u w:val="none" w:color="auto"/>
                <w:vertAlign w:val="superscript"/>
                <w:lang w:val="en-US" w:eastAsia="zh-CN"/>
              </w:rPr>
              <w:t>3</w:t>
            </w: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985"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《环境影响评价技</w:t>
            </w:r>
            <w:r>
              <w:rPr>
                <w:rFonts w:hint="default" w:ascii="Times New Roman" w:hAnsi="Times New Roman" w:eastAsia="宋体" w:cs="Times New Roman"/>
                <w:color w:val="auto"/>
                <w:spacing w:val="11"/>
                <w:sz w:val="21"/>
                <w:szCs w:val="21"/>
                <w:u w:val="none" w:color="auto"/>
              </w:rPr>
              <w:t>术导则大气环境</w:t>
            </w:r>
            <w:r>
              <w:rPr>
                <w:rFonts w:hint="default" w:ascii="Times New Roman" w:hAnsi="Times New Roman" w:eastAsia="宋体" w:cs="Times New Roman"/>
                <w:color w:val="auto"/>
                <w:spacing w:val="10"/>
                <w:sz w:val="21"/>
                <w:szCs w:val="21"/>
                <w:u w:val="none" w:color="auto"/>
              </w:rPr>
              <w:t>》</w:t>
            </w:r>
            <w:r>
              <w:rPr>
                <w:rFonts w:hint="default" w:ascii="Times New Roman" w:hAnsi="Times New Roman" w:eastAsia="宋体" w:cs="Times New Roman"/>
                <w:color w:val="auto"/>
                <w:spacing w:val="12"/>
                <w:sz w:val="21"/>
                <w:szCs w:val="21"/>
                <w:u w:val="none" w:color="auto"/>
              </w:rPr>
              <w:t>(</w:t>
            </w:r>
            <w:r>
              <w:rPr>
                <w:rFonts w:hint="default" w:ascii="Times New Roman" w:hAnsi="Times New Roman" w:eastAsia="宋体" w:cs="Times New Roman"/>
                <w:color w:val="auto"/>
                <w:sz w:val="21"/>
                <w:szCs w:val="21"/>
                <w:u w:val="none" w:color="auto"/>
              </w:rPr>
              <w:t>HJ</w:t>
            </w:r>
            <w:r>
              <w:rPr>
                <w:rFonts w:hint="default" w:ascii="Times New Roman" w:hAnsi="Times New Roman" w:eastAsia="宋体" w:cs="Times New Roman"/>
                <w:color w:val="auto"/>
                <w:spacing w:val="12"/>
                <w:sz w:val="21"/>
                <w:szCs w:val="21"/>
                <w:u w:val="none" w:color="auto"/>
              </w:rPr>
              <w:t>2.2-2018)附</w:t>
            </w:r>
            <w:r>
              <w:rPr>
                <w:rFonts w:hint="default" w:ascii="Times New Roman" w:hAnsi="Times New Roman" w:eastAsia="宋体" w:cs="Times New Roman"/>
                <w:color w:val="auto"/>
                <w:spacing w:val="11"/>
                <w:sz w:val="21"/>
                <w:szCs w:val="21"/>
                <w:u w:val="none" w:color="auto"/>
              </w:rPr>
              <w:t>录</w:t>
            </w:r>
            <w:r>
              <w:rPr>
                <w:rFonts w:hint="default" w:ascii="Times New Roman" w:hAnsi="Times New Roman" w:eastAsia="宋体" w:cs="Times New Roman"/>
                <w:color w:val="auto"/>
                <w:sz w:val="21"/>
                <w:szCs w:val="21"/>
                <w:u w:val="none" w:color="auto"/>
              </w:rPr>
              <w:t>D</w:t>
            </w:r>
            <w:r>
              <w:rPr>
                <w:rFonts w:hint="default" w:ascii="Times New Roman" w:hAnsi="Times New Roman" w:eastAsia="宋体" w:cs="Times New Roman"/>
                <w:color w:val="auto"/>
                <w:spacing w:val="8"/>
                <w:sz w:val="21"/>
                <w:szCs w:val="21"/>
                <w:u w:val="none" w:color="auto"/>
              </w:rPr>
              <w:t>中其他污染物空气</w:t>
            </w:r>
            <w:r>
              <w:rPr>
                <w:rFonts w:hint="default" w:ascii="Times New Roman" w:hAnsi="Times New Roman" w:eastAsia="宋体" w:cs="Times New Roman"/>
                <w:color w:val="auto"/>
                <w:spacing w:val="12"/>
                <w:sz w:val="21"/>
                <w:szCs w:val="21"/>
                <w:u w:val="none" w:color="auto"/>
              </w:rPr>
              <w:t>质</w:t>
            </w:r>
            <w:r>
              <w:rPr>
                <w:rFonts w:hint="default" w:ascii="Times New Roman" w:hAnsi="Times New Roman" w:eastAsia="宋体" w:cs="Times New Roman"/>
                <w:color w:val="auto"/>
                <w:spacing w:val="8"/>
                <w:sz w:val="21"/>
                <w:szCs w:val="21"/>
                <w:u w:val="none" w:color="auto"/>
              </w:rPr>
              <w:t>量浓度参考限值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日</w:t>
            </w:r>
            <w:r>
              <w:rPr>
                <w:rFonts w:hint="default" w:ascii="Times New Roman" w:hAnsi="Times New Roman" w:eastAsia="宋体" w:cs="Times New Roman"/>
                <w:color w:val="auto"/>
                <w:spacing w:val="-5"/>
                <w:sz w:val="21"/>
                <w:szCs w:val="21"/>
                <w:u w:val="none" w:color="auto"/>
              </w:rPr>
              <w:t>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u w:val="none" w:color="auto"/>
              </w:rPr>
            </w:pPr>
            <w:r>
              <w:rPr>
                <w:rFonts w:hint="default" w:ascii="Times New Roman" w:hAnsi="Times New Roman" w:eastAsia="宋体" w:cs="Times New Roman"/>
                <w:color w:val="auto"/>
                <w:spacing w:val="-8"/>
                <w:sz w:val="21"/>
                <w:szCs w:val="21"/>
                <w:u w:val="none" w:color="auto"/>
              </w:rPr>
              <w:t>1</w:t>
            </w:r>
            <w:r>
              <w:rPr>
                <w:rFonts w:hint="default" w:ascii="Times New Roman" w:hAnsi="Times New Roman" w:eastAsia="宋体" w:cs="Times New Roman"/>
                <w:color w:val="auto"/>
                <w:spacing w:val="-7"/>
                <w:sz w:val="21"/>
                <w:szCs w:val="21"/>
                <w:u w:val="none" w:color="auto"/>
              </w:rPr>
              <w:t>5</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4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VOC</w:t>
            </w:r>
          </w:p>
        </w:tc>
        <w:tc>
          <w:tcPr>
            <w:tcW w:w="120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4"/>
                <w:sz w:val="21"/>
                <w:szCs w:val="21"/>
                <w:u w:val="none" w:color="auto"/>
                <w:lang w:val="en-US" w:eastAsia="zh-CN"/>
              </w:rPr>
              <w:t>8</w:t>
            </w:r>
            <w:r>
              <w:rPr>
                <w:rFonts w:hint="default" w:ascii="Times New Roman" w:hAnsi="Times New Roman" w:eastAsia="宋体" w:cs="Times New Roman"/>
                <w:color w:val="auto"/>
                <w:spacing w:val="3"/>
                <w:sz w:val="21"/>
                <w:szCs w:val="21"/>
                <w:u w:val="none" w:color="auto"/>
              </w:rPr>
              <w:t>小时平均</w:t>
            </w:r>
          </w:p>
        </w:tc>
        <w:tc>
          <w:tcPr>
            <w:tcW w:w="703"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u w:val="none" w:color="auto"/>
                <w:lang w:val="en-US" w:eastAsia="zh-CN"/>
              </w:rPr>
            </w:pPr>
            <w:r>
              <w:rPr>
                <w:rFonts w:hint="default" w:ascii="Times New Roman" w:hAnsi="Times New Roman" w:eastAsia="宋体" w:cs="Times New Roman"/>
                <w:color w:val="auto"/>
                <w:spacing w:val="-8"/>
                <w:sz w:val="21"/>
                <w:szCs w:val="21"/>
                <w:u w:val="none" w:color="auto"/>
                <w:lang w:val="en-US" w:eastAsia="zh-CN"/>
              </w:rPr>
              <w:t>600</w:t>
            </w:r>
          </w:p>
        </w:tc>
        <w:tc>
          <w:tcPr>
            <w:tcW w:w="985"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bl>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u w:val="none" w:color="auto"/>
          <w:lang w:val="en-US" w:eastAsia="zh-CN"/>
        </w:rPr>
      </w:pPr>
      <w:r>
        <w:rPr>
          <w:rFonts w:hint="eastAsia" w:ascii="Times New Roman" w:hAnsi="Times New Roman" w:eastAsia="宋体" w:cs="Times New Roman"/>
          <w:color w:val="auto"/>
          <w:spacing w:val="9"/>
          <w:sz w:val="24"/>
          <w:szCs w:val="24"/>
          <w:u w:val="none" w:color="auto"/>
          <w:lang w:val="en-US" w:eastAsia="zh-CN"/>
        </w:rPr>
        <w:t>（2）地表水质量标准</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u w:val="none" w:color="auto"/>
          <w:lang w:eastAsia="zh-CN"/>
        </w:rPr>
      </w:pPr>
      <w:r>
        <w:rPr>
          <w:rFonts w:hint="default" w:ascii="Times New Roman" w:hAnsi="Times New Roman" w:eastAsia="宋体" w:cs="Times New Roman"/>
          <w:color w:val="auto"/>
          <w:spacing w:val="9"/>
          <w:sz w:val="24"/>
          <w:szCs w:val="24"/>
          <w:u w:val="none" w:color="auto"/>
          <w:lang w:eastAsia="zh-CN"/>
        </w:rPr>
        <w:t>项目周边长江</w:t>
      </w:r>
      <w:r>
        <w:rPr>
          <w:rFonts w:hint="eastAsia" w:ascii="Times New Roman" w:hAnsi="Times New Roman" w:eastAsia="宋体" w:cs="Times New Roman"/>
          <w:color w:val="auto"/>
          <w:spacing w:val="9"/>
          <w:sz w:val="24"/>
          <w:szCs w:val="24"/>
          <w:u w:val="none" w:color="auto"/>
          <w:lang w:eastAsia="zh-CN"/>
        </w:rPr>
        <w:t>和桑泥湖</w:t>
      </w:r>
      <w:r>
        <w:rPr>
          <w:rFonts w:hint="default" w:ascii="Times New Roman" w:hAnsi="Times New Roman" w:eastAsia="宋体" w:cs="Times New Roman"/>
          <w:color w:val="auto"/>
          <w:spacing w:val="9"/>
          <w:sz w:val="24"/>
          <w:szCs w:val="24"/>
          <w:u w:val="none" w:color="auto"/>
          <w:lang w:eastAsia="zh-CN"/>
        </w:rPr>
        <w:t>执行《地表水环境质量标准》（GB3838-2002）表1中</w:t>
      </w:r>
      <w:r>
        <w:rPr>
          <w:rFonts w:hint="default" w:ascii="Times New Roman" w:hAnsi="Times New Roman" w:eastAsia="宋体" w:cs="Times New Roman"/>
          <w:color w:val="auto"/>
          <w:spacing w:val="5"/>
          <w:sz w:val="24"/>
          <w:szCs w:val="24"/>
          <w:u w:val="none" w:color="auto"/>
        </w:rPr>
        <w:t>Ⅲ</w:t>
      </w:r>
      <w:r>
        <w:rPr>
          <w:rFonts w:hint="default" w:ascii="Times New Roman" w:hAnsi="Times New Roman" w:eastAsia="宋体" w:cs="Times New Roman"/>
          <w:color w:val="auto"/>
          <w:spacing w:val="9"/>
          <w:sz w:val="24"/>
          <w:szCs w:val="24"/>
          <w:u w:val="none" w:color="auto"/>
          <w:lang w:eastAsia="zh-CN"/>
        </w:rPr>
        <w:t>类标准，</w:t>
      </w:r>
      <w:r>
        <w:rPr>
          <w:rFonts w:hint="eastAsia" w:ascii="Times New Roman" w:hAnsi="Times New Roman" w:eastAsia="宋体" w:cs="Times New Roman"/>
          <w:color w:val="auto"/>
          <w:spacing w:val="9"/>
          <w:sz w:val="24"/>
          <w:szCs w:val="24"/>
          <w:u w:val="none" w:color="auto"/>
          <w:lang w:eastAsia="zh-CN"/>
        </w:rPr>
        <w:t>松杨湖</w:t>
      </w:r>
      <w:r>
        <w:rPr>
          <w:rFonts w:hint="default" w:ascii="Times New Roman" w:hAnsi="Times New Roman" w:eastAsia="宋体" w:cs="Times New Roman"/>
          <w:color w:val="auto"/>
          <w:spacing w:val="9"/>
          <w:sz w:val="24"/>
          <w:szCs w:val="24"/>
          <w:u w:val="none" w:color="auto"/>
          <w:lang w:eastAsia="zh-CN"/>
        </w:rPr>
        <w:t>执行《地表水环境质量标准》（GB3838-2002）表1中的Ⅳ类标准，详见下表：</w:t>
      </w:r>
    </w:p>
    <w:p>
      <w:pPr>
        <w:pageBreakBefore w:val="0"/>
        <w:tabs>
          <w:tab w:val="left" w:pos="257"/>
        </w:tabs>
        <w:kinsoku/>
        <w:wordWrap/>
        <w:overflowPunct w:val="0"/>
        <w:topLinePunct/>
        <w:autoSpaceDE w:val="0"/>
        <w:autoSpaceDN w:val="0"/>
        <w:bidi w:val="0"/>
        <w:spacing w:before="170" w:line="374" w:lineRule="auto"/>
        <w:ind w:left="130" w:right="39" w:firstLine="491"/>
        <w:jc w:val="center"/>
        <w:rPr>
          <w:rFonts w:hint="default" w:ascii="Times New Roman" w:hAnsi="Times New Roman" w:eastAsia="宋体" w:cs="Times New Roman"/>
          <w:b/>
          <w:bCs/>
          <w:color w:val="auto"/>
          <w:spacing w:val="2"/>
          <w:sz w:val="24"/>
          <w:szCs w:val="24"/>
          <w:u w:val="none" w:color="auto"/>
        </w:rPr>
      </w:pPr>
      <w:r>
        <w:rPr>
          <w:rFonts w:hint="default" w:ascii="Times New Roman" w:hAnsi="Times New Roman" w:eastAsia="宋体" w:cs="Times New Roman"/>
          <w:b/>
          <w:bCs/>
          <w:color w:val="auto"/>
          <w:spacing w:val="2"/>
          <w:sz w:val="24"/>
          <w:szCs w:val="24"/>
          <w:u w:val="none" w:color="auto"/>
        </w:rPr>
        <w:t>表</w:t>
      </w:r>
      <w:r>
        <w:rPr>
          <w:rFonts w:hint="eastAsia" w:ascii="Times New Roman" w:hAnsi="Times New Roman" w:eastAsia="宋体" w:cs="Times New Roman"/>
          <w:b/>
          <w:bCs/>
          <w:color w:val="auto"/>
          <w:spacing w:val="2"/>
          <w:sz w:val="24"/>
          <w:szCs w:val="24"/>
          <w:u w:val="none" w:color="auto"/>
          <w:lang w:val="en-US" w:eastAsia="zh-CN"/>
        </w:rPr>
        <w:t>2.2-4</w:t>
      </w:r>
      <w:r>
        <w:rPr>
          <w:rFonts w:hint="default" w:ascii="Times New Roman" w:hAnsi="Times New Roman" w:eastAsia="宋体" w:cs="Times New Roman"/>
          <w:b/>
          <w:bCs/>
          <w:color w:val="auto"/>
          <w:spacing w:val="2"/>
          <w:sz w:val="24"/>
          <w:szCs w:val="24"/>
          <w:u w:val="none" w:color="auto"/>
        </w:rPr>
        <w:t xml:space="preserve"> 地表水环境质量标准（摘录）  单位：mg/L</w:t>
      </w:r>
    </w:p>
    <w:tbl>
      <w:tblPr>
        <w:tblStyle w:val="4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29"/>
        <w:gridCol w:w="1757"/>
        <w:gridCol w:w="3039"/>
        <w:gridCol w:w="29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5"/>
                <w:sz w:val="21"/>
                <w:szCs w:val="21"/>
                <w:u w:val="none" w:color="auto"/>
              </w:rPr>
            </w:pPr>
            <w:r>
              <w:rPr>
                <w:rFonts w:hint="default" w:ascii="Times New Roman" w:hAnsi="Times New Roman" w:eastAsia="宋体" w:cs="Times New Roman"/>
                <w:b/>
                <w:bCs/>
                <w:color w:val="auto"/>
                <w:spacing w:val="5"/>
                <w:sz w:val="21"/>
                <w:szCs w:val="21"/>
                <w:u w:val="none" w:color="auto"/>
              </w:rPr>
              <w:t>序号</w:t>
            </w:r>
          </w:p>
        </w:tc>
        <w:tc>
          <w:tcPr>
            <w:tcW w:w="1030"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5"/>
                <w:sz w:val="21"/>
                <w:szCs w:val="21"/>
                <w:u w:val="none" w:color="auto"/>
              </w:rPr>
            </w:pPr>
            <w:r>
              <w:rPr>
                <w:rFonts w:hint="default" w:ascii="Times New Roman" w:hAnsi="Times New Roman" w:eastAsia="宋体" w:cs="Times New Roman"/>
                <w:b/>
                <w:bCs/>
                <w:color w:val="auto"/>
                <w:spacing w:val="5"/>
                <w:sz w:val="21"/>
                <w:szCs w:val="21"/>
                <w:u w:val="none" w:color="auto"/>
              </w:rPr>
              <w:t>项目</w:t>
            </w:r>
          </w:p>
        </w:tc>
        <w:tc>
          <w:tcPr>
            <w:tcW w:w="1782"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5"/>
                <w:sz w:val="21"/>
                <w:szCs w:val="21"/>
                <w:u w:val="none" w:color="auto"/>
              </w:rPr>
            </w:pPr>
            <w:r>
              <w:rPr>
                <w:rFonts w:hint="default" w:ascii="Times New Roman" w:hAnsi="Times New Roman" w:eastAsia="宋体" w:cs="Times New Roman"/>
                <w:b/>
                <w:bCs/>
                <w:color w:val="auto"/>
                <w:spacing w:val="5"/>
                <w:sz w:val="21"/>
                <w:szCs w:val="21"/>
                <w:u w:val="none" w:color="auto"/>
              </w:rPr>
              <w:t>Ⅲ类标准</w:t>
            </w:r>
          </w:p>
        </w:tc>
        <w:tc>
          <w:tcPr>
            <w:tcW w:w="1700"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5"/>
                <w:sz w:val="21"/>
                <w:szCs w:val="21"/>
                <w:u w:val="none" w:color="auto"/>
              </w:rPr>
            </w:pPr>
            <w:r>
              <w:rPr>
                <w:rFonts w:hint="default" w:ascii="Times New Roman" w:hAnsi="Times New Roman" w:eastAsia="宋体" w:cs="Times New Roman"/>
                <w:b/>
                <w:bCs/>
                <w:color w:val="auto"/>
                <w:spacing w:val="5"/>
                <w:sz w:val="21"/>
                <w:szCs w:val="21"/>
                <w:u w:val="none" w:color="auto"/>
              </w:rPr>
              <w:t>Ⅳ类标准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1</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lang w:val="en-US" w:eastAsia="zh-CN"/>
              </w:rPr>
              <w:t>pH值</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kern w:val="2"/>
                <w:sz w:val="21"/>
                <w:szCs w:val="21"/>
                <w:highlight w:val="none"/>
                <w:vertAlign w:val="baseline"/>
                <w:lang w:val="en-US" w:eastAsia="zh-CN" w:bidi="ar-SA"/>
              </w:rPr>
              <w:t>6-9</w:t>
            </w:r>
            <w:r>
              <w:rPr>
                <w:rFonts w:hint="eastAsia" w:ascii="Times New Roman" w:hAnsi="Times New Roman" w:eastAsia="宋体" w:cs="Times New Roman"/>
                <w:color w:val="auto"/>
                <w:kern w:val="2"/>
                <w:sz w:val="21"/>
                <w:szCs w:val="21"/>
                <w:highlight w:val="none"/>
                <w:vertAlign w:val="baseline"/>
                <w:lang w:val="en-US" w:eastAsia="zh-CN" w:bidi="ar-SA"/>
              </w:rPr>
              <w:t>（无量纲）</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kern w:val="2"/>
                <w:sz w:val="21"/>
                <w:szCs w:val="21"/>
                <w:highlight w:val="none"/>
                <w:vertAlign w:val="baseline"/>
                <w:lang w:val="en-US" w:eastAsia="zh-CN" w:bidi="ar-SA"/>
              </w:rPr>
              <w:t>6-9</w:t>
            </w:r>
            <w:r>
              <w:rPr>
                <w:rFonts w:hint="eastAsia" w:ascii="Times New Roman" w:hAnsi="Times New Roman" w:eastAsia="宋体" w:cs="Times New Roman"/>
                <w:color w:val="auto"/>
                <w:kern w:val="2"/>
                <w:sz w:val="21"/>
                <w:szCs w:val="21"/>
                <w:highlight w:val="none"/>
                <w:vertAlign w:val="baseline"/>
                <w:lang w:val="en-US" w:eastAsia="zh-CN" w:bidi="ar-SA"/>
              </w:rPr>
              <w:t>（无量纲）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2</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化学需氧量</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kern w:val="2"/>
                <w:sz w:val="21"/>
                <w:szCs w:val="21"/>
                <w:highlight w:val="none"/>
                <w:vertAlign w:val="baseline"/>
                <w:lang w:val="en-US" w:eastAsia="zh-CN" w:bidi="ar-SA"/>
              </w:rPr>
              <w:t>20</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3</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五日生化需氧量</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4</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4</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氨氮</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5</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shd w:val="clear" w:color="auto" w:fill="auto"/>
                <w:lang w:val="en-US" w:eastAsia="zh-CN" w:bidi="ar-SA"/>
              </w:rPr>
              <w:t>总磷</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0.2（湖、库0.05）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0.3</w:t>
            </w:r>
            <w:r>
              <w:rPr>
                <w:rFonts w:hint="eastAsia" w:ascii="Times New Roman" w:hAnsi="Times New Roman" w:eastAsia="宋体" w:cs="Times New Roman"/>
                <w:color w:val="auto"/>
                <w:kern w:val="2"/>
                <w:sz w:val="21"/>
                <w:szCs w:val="21"/>
                <w:highlight w:val="none"/>
                <w:vertAlign w:val="baseline"/>
                <w:lang w:val="en-US" w:eastAsia="zh-CN" w:bidi="ar-SA"/>
              </w:rPr>
              <w:t>（湖、库0.1）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6</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shd w:val="clear" w:color="auto" w:fill="auto"/>
                <w:lang w:val="en-US" w:eastAsia="zh-CN" w:bidi="ar-SA"/>
              </w:rPr>
              <w:t>铜</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7</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shd w:val="clear" w:color="auto" w:fill="auto"/>
                <w:lang w:val="en-US" w:eastAsia="zh-CN" w:bidi="ar-SA"/>
              </w:rPr>
              <w:t>锌</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8</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shd w:val="clear" w:color="auto" w:fill="auto"/>
                <w:lang w:val="en-US" w:eastAsia="zh-CN" w:bidi="ar-SA"/>
              </w:rPr>
              <w:t>氟化物</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9</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硒</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0.01</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10</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砷</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11</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汞</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0.0001</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12</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镉</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pacing w:val="5"/>
                <w:sz w:val="21"/>
                <w:szCs w:val="21"/>
                <w:u w:val="none" w:color="auto"/>
              </w:rPr>
              <w:t>13</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六价铬</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14</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铅</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15</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挥发酚</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16</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石油类</w:t>
            </w:r>
          </w:p>
        </w:tc>
        <w:tc>
          <w:tcPr>
            <w:tcW w:w="3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1700"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17</w:t>
            </w:r>
          </w:p>
        </w:tc>
        <w:tc>
          <w:tcPr>
            <w:tcW w:w="1757"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阴离子表面活性剂</w:t>
            </w:r>
          </w:p>
        </w:tc>
        <w:tc>
          <w:tcPr>
            <w:tcW w:w="303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vertAlign w:val="baseline"/>
                <w:lang w:val="en-US" w:eastAsia="zh-CN" w:bidi="ar-SA"/>
              </w:rPr>
              <w:t>0.2</w:t>
            </w:r>
          </w:p>
        </w:tc>
        <w:tc>
          <w:tcPr>
            <w:tcW w:w="1700"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0.3</w:t>
            </w:r>
          </w:p>
        </w:tc>
      </w:tr>
    </w:tbl>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u w:val="none" w:color="auto"/>
          <w:lang w:eastAsia="zh-CN"/>
        </w:rPr>
      </w:pPr>
      <w:r>
        <w:rPr>
          <w:rFonts w:hint="eastAsia" w:ascii="Times New Roman" w:hAnsi="Times New Roman" w:eastAsia="宋体" w:cs="Times New Roman"/>
          <w:color w:val="auto"/>
          <w:spacing w:val="9"/>
          <w:sz w:val="24"/>
          <w:szCs w:val="24"/>
          <w:u w:val="none" w:color="auto"/>
          <w:lang w:val="en-US" w:eastAsia="zh-CN"/>
        </w:rPr>
        <w:t>（3）</w:t>
      </w:r>
      <w:r>
        <w:rPr>
          <w:rFonts w:hint="eastAsia" w:ascii="Times New Roman" w:hAnsi="Times New Roman" w:eastAsia="宋体" w:cs="Times New Roman"/>
          <w:color w:val="auto"/>
          <w:spacing w:val="9"/>
          <w:sz w:val="24"/>
          <w:szCs w:val="24"/>
          <w:u w:val="none" w:color="auto"/>
          <w:lang w:eastAsia="zh-CN"/>
        </w:rPr>
        <w:t>地下水质量标准</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u w:val="none" w:color="auto"/>
          <w:lang w:eastAsia="zh-CN"/>
        </w:rPr>
      </w:pPr>
      <w:r>
        <w:rPr>
          <w:rFonts w:hint="default" w:ascii="Times New Roman" w:hAnsi="Times New Roman" w:eastAsia="宋体" w:cs="Times New Roman"/>
          <w:color w:val="auto"/>
          <w:spacing w:val="9"/>
          <w:sz w:val="24"/>
          <w:szCs w:val="24"/>
          <w:u w:val="none" w:color="auto"/>
          <w:lang w:eastAsia="zh-CN"/>
        </w:rPr>
        <w:t>区域内地下水主要作为工农业用水及村民自备生活用水，尚未划分功能区划，执行《地下水质量标准》（GB/T14848-2017）中的Ⅲ类标准。</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u w:val="none" w:color="auto"/>
          <w:lang w:eastAsia="zh-CN"/>
        </w:rPr>
      </w:pPr>
      <w:r>
        <w:rPr>
          <w:rFonts w:hint="eastAsia" w:ascii="Times New Roman" w:hAnsi="Times New Roman" w:eastAsia="宋体" w:cs="Times New Roman"/>
          <w:color w:val="auto"/>
          <w:spacing w:val="9"/>
          <w:sz w:val="24"/>
          <w:szCs w:val="24"/>
          <w:u w:val="none" w:color="auto"/>
          <w:lang w:eastAsia="zh-CN"/>
        </w:rPr>
        <w:t>区域内地下水执行《地下水质量标准》（GB/T14848-2017）中的Ⅲ类标准。</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pacing w:val="9"/>
          <w:sz w:val="24"/>
          <w:szCs w:val="24"/>
          <w:u w:val="none" w:color="auto"/>
          <w:lang w:eastAsia="zh-CN"/>
        </w:rPr>
      </w:pPr>
      <w:r>
        <w:rPr>
          <w:rFonts w:hint="eastAsia" w:ascii="Times New Roman" w:hAnsi="Times New Roman" w:eastAsia="宋体" w:cs="Times New Roman"/>
          <w:b/>
          <w:bCs/>
          <w:color w:val="auto"/>
          <w:spacing w:val="9"/>
          <w:sz w:val="24"/>
          <w:szCs w:val="24"/>
          <w:u w:val="none" w:color="auto"/>
          <w:lang w:eastAsia="zh-CN"/>
        </w:rPr>
        <w:t>表</w:t>
      </w:r>
      <w:r>
        <w:rPr>
          <w:rFonts w:hint="eastAsia" w:ascii="Times New Roman" w:hAnsi="Times New Roman" w:eastAsia="宋体" w:cs="Times New Roman"/>
          <w:b/>
          <w:bCs/>
          <w:color w:val="auto"/>
          <w:spacing w:val="9"/>
          <w:sz w:val="24"/>
          <w:szCs w:val="24"/>
          <w:u w:val="none" w:color="auto"/>
          <w:lang w:val="en-US" w:eastAsia="zh-CN"/>
        </w:rPr>
        <w:t>2.2-5</w:t>
      </w:r>
      <w:r>
        <w:rPr>
          <w:rFonts w:hint="eastAsia" w:ascii="Times New Roman" w:hAnsi="Times New Roman" w:eastAsia="宋体" w:cs="Times New Roman"/>
          <w:b/>
          <w:bCs/>
          <w:color w:val="auto"/>
          <w:spacing w:val="9"/>
          <w:sz w:val="24"/>
          <w:szCs w:val="24"/>
          <w:u w:val="none" w:color="auto"/>
          <w:lang w:eastAsia="zh-CN"/>
        </w:rPr>
        <w:t>地下水环境质量标准（摘录）  单位：mg/L</w:t>
      </w:r>
    </w:p>
    <w:tbl>
      <w:tblPr>
        <w:tblStyle w:val="40"/>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38"/>
        <w:gridCol w:w="1495"/>
        <w:gridCol w:w="1711"/>
        <w:gridCol w:w="825"/>
        <w:gridCol w:w="1239"/>
        <w:gridCol w:w="25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序号</w:t>
            </w:r>
          </w:p>
        </w:tc>
        <w:tc>
          <w:tcPr>
            <w:tcW w:w="877"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项目</w:t>
            </w:r>
          </w:p>
        </w:tc>
        <w:tc>
          <w:tcPr>
            <w:tcW w:w="100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Ⅲ类标准</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序号</w:t>
            </w:r>
          </w:p>
        </w:tc>
        <w:tc>
          <w:tcPr>
            <w:tcW w:w="727"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项目</w:t>
            </w:r>
          </w:p>
        </w:tc>
        <w:tc>
          <w:tcPr>
            <w:tcW w:w="147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w:t>
            </w:r>
          </w:p>
        </w:tc>
        <w:tc>
          <w:tcPr>
            <w:tcW w:w="87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pH值</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6"/>
                <w:kern w:val="2"/>
                <w:sz w:val="21"/>
                <w:szCs w:val="21"/>
                <w:lang w:val="en-US" w:eastAsia="zh-CN" w:bidi="ar-SA"/>
              </w:rPr>
              <w:t>6.5</w:t>
            </w:r>
            <w:r>
              <w:rPr>
                <w:rFonts w:hint="default" w:ascii="Times New Roman" w:hAnsi="Times New Roman" w:cs="Times New Roman"/>
                <w:color w:val="auto"/>
                <w:spacing w:val="-6"/>
                <w:sz w:val="21"/>
                <w:szCs w:val="21"/>
                <w:lang w:val="en-US" w:eastAsia="zh-CN"/>
              </w:rPr>
              <w:t>≤</w:t>
            </w:r>
            <w:r>
              <w:rPr>
                <w:rFonts w:hint="eastAsia" w:ascii="Times New Roman" w:hAnsi="Times New Roman" w:cs="Times New Roman"/>
                <w:color w:val="auto"/>
                <w:spacing w:val="-6"/>
                <w:sz w:val="21"/>
                <w:szCs w:val="21"/>
                <w:lang w:val="en-US" w:eastAsia="zh-CN"/>
              </w:rPr>
              <w:t>pH</w:t>
            </w:r>
            <w:r>
              <w:rPr>
                <w:rFonts w:hint="default" w:ascii="Times New Roman" w:hAnsi="Times New Roman" w:cs="Times New Roman"/>
                <w:color w:val="auto"/>
                <w:spacing w:val="-6"/>
                <w:sz w:val="21"/>
                <w:szCs w:val="21"/>
                <w:lang w:val="en-US" w:eastAsia="zh-CN"/>
              </w:rPr>
              <w:t>≤</w:t>
            </w:r>
            <w:r>
              <w:rPr>
                <w:rFonts w:hint="eastAsia" w:ascii="Times New Roman" w:hAnsi="Times New Roman" w:cs="Times New Roman"/>
                <w:color w:val="auto"/>
                <w:spacing w:val="-6"/>
                <w:sz w:val="21"/>
                <w:szCs w:val="21"/>
                <w:lang w:val="en-US" w:eastAsia="zh-CN"/>
              </w:rPr>
              <w:t>8.5</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14</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kern w:val="2"/>
                <w:sz w:val="21"/>
                <w:szCs w:val="21"/>
                <w:lang w:val="en-US" w:eastAsia="zh-CN"/>
              </w:rPr>
              <w:t>锰</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2</w:t>
            </w:r>
          </w:p>
        </w:tc>
        <w:tc>
          <w:tcPr>
            <w:tcW w:w="87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eastAsia" w:ascii="Times New Roman" w:hAnsi="Times New Roman" w:cs="Times New Roman"/>
                <w:color w:val="auto"/>
                <w:kern w:val="2"/>
                <w:sz w:val="21"/>
                <w:szCs w:val="21"/>
                <w:lang w:val="en-US" w:eastAsia="zh-CN" w:bidi="ar-SA"/>
              </w:rPr>
              <w:t>钠</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≤200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lang w:val="en-US" w:eastAsia="zh-CN"/>
              </w:rPr>
              <w:t>15</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溶解性总固体</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3</w:t>
            </w:r>
          </w:p>
        </w:tc>
        <w:tc>
          <w:tcPr>
            <w:tcW w:w="877"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highlight w:val="none"/>
                <w:lang w:val="en-US" w:eastAsia="zh-CN"/>
              </w:rPr>
              <w:t>氯化物</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250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rPr>
              <w:t>16</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cs="Times New Roman"/>
                <w:color w:val="auto"/>
                <w:kern w:val="2"/>
                <w:sz w:val="21"/>
                <w:szCs w:val="21"/>
                <w:lang w:val="en-US" w:eastAsia="zh-CN" w:bidi="ar-SA"/>
              </w:rPr>
              <w:t>耗氧量</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4</w:t>
            </w:r>
          </w:p>
        </w:tc>
        <w:tc>
          <w:tcPr>
            <w:tcW w:w="877"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vertAlign w:val="baseline"/>
                <w:lang w:val="en-US" w:eastAsia="zh-CN"/>
              </w:rPr>
              <w:t>硫酸盐</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250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lang w:val="en-US" w:eastAsia="zh-CN"/>
              </w:rPr>
            </w:pPr>
            <w:r>
              <w:rPr>
                <w:rFonts w:hint="eastAsia" w:ascii="Times New Roman" w:hAnsi="Times New Roman" w:eastAsia="宋体" w:cs="Times New Roman"/>
                <w:color w:val="auto"/>
                <w:spacing w:val="5"/>
                <w:sz w:val="21"/>
                <w:szCs w:val="21"/>
                <w:u w:val="none" w:color="auto"/>
              </w:rPr>
              <w:t>17</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cs="Times New Roman"/>
                <w:color w:val="auto"/>
                <w:lang w:val="en-US" w:eastAsia="zh-CN"/>
              </w:rPr>
              <w:t>总大肠菌群</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5</w:t>
            </w:r>
          </w:p>
        </w:tc>
        <w:tc>
          <w:tcPr>
            <w:tcW w:w="87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氨氮</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0.50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rPr>
              <w:t>18</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cs="Times New Roman"/>
                <w:color w:val="auto"/>
                <w:lang w:val="en-US" w:eastAsia="zh-CN"/>
              </w:rPr>
              <w:t>细菌总数</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6</w:t>
            </w:r>
          </w:p>
        </w:tc>
        <w:tc>
          <w:tcPr>
            <w:tcW w:w="87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highlight w:val="none"/>
                <w:lang w:val="en-US" w:eastAsia="zh-CN"/>
              </w:rPr>
              <w:t>硝酸盐</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20.0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rPr>
              <w:t>19</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cs="Times New Roman"/>
                <w:color w:val="auto"/>
                <w:lang w:val="en-US" w:eastAsia="zh-CN"/>
              </w:rPr>
              <w:t>锌</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7</w:t>
            </w:r>
          </w:p>
        </w:tc>
        <w:tc>
          <w:tcPr>
            <w:tcW w:w="87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highlight w:val="none"/>
                <w:lang w:val="en-US" w:eastAsia="zh-CN"/>
              </w:rPr>
              <w:t>亚硝酸盐</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rPr>
              <w:t>20</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eastAsia" w:ascii="Times New Roman" w:hAnsi="Times New Roman" w:cs="Times New Roman"/>
                <w:color w:val="auto"/>
                <w:lang w:val="en-US" w:eastAsia="zh-CN"/>
              </w:rPr>
              <w:t>铜</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8</w:t>
            </w:r>
          </w:p>
        </w:tc>
        <w:tc>
          <w:tcPr>
            <w:tcW w:w="87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highlight w:val="none"/>
                <w:lang w:val="en-US" w:eastAsia="zh-CN"/>
              </w:rPr>
              <w:t>挥发性酚类</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0.002</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rPr>
              <w:t>21</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cs="Times New Roman"/>
                <w:color w:val="auto"/>
                <w:lang w:val="en-US" w:eastAsia="zh-CN"/>
              </w:rPr>
              <w:t>铝</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9</w:t>
            </w:r>
          </w:p>
        </w:tc>
        <w:tc>
          <w:tcPr>
            <w:tcW w:w="877"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氰化物</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0.05</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rPr>
              <w:t>22</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镉</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10</w:t>
            </w:r>
          </w:p>
        </w:tc>
        <w:tc>
          <w:tcPr>
            <w:tcW w:w="87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b w:val="0"/>
                <w:bCs w:val="0"/>
                <w:color w:val="auto"/>
                <w:kern w:val="2"/>
                <w:sz w:val="21"/>
                <w:szCs w:val="21"/>
                <w:highlight w:val="none"/>
                <w:lang w:val="en-US" w:eastAsia="zh-CN" w:bidi="ar-SA"/>
              </w:rPr>
              <w:t>砷</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0.01</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rPr>
              <w:t>23</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铁</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11</w:t>
            </w:r>
          </w:p>
        </w:tc>
        <w:tc>
          <w:tcPr>
            <w:tcW w:w="87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b w:val="0"/>
                <w:bCs w:val="0"/>
                <w:color w:val="auto"/>
                <w:kern w:val="2"/>
                <w:sz w:val="21"/>
                <w:szCs w:val="21"/>
                <w:lang w:val="en-US" w:eastAsia="zh-CN" w:bidi="ar-SA"/>
              </w:rPr>
              <w:t>汞</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0.001</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lang w:val="en-US" w:eastAsia="zh-CN"/>
              </w:rPr>
              <w:t>24</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kern w:val="2"/>
                <w:sz w:val="21"/>
                <w:szCs w:val="21"/>
                <w:lang w:val="en-US" w:eastAsia="zh-CN" w:bidi="ar-SA"/>
              </w:rPr>
              <w:t>铅</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12</w:t>
            </w:r>
          </w:p>
        </w:tc>
        <w:tc>
          <w:tcPr>
            <w:tcW w:w="877" w:type="pc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snapToGrid w:val="0"/>
              <w:spacing w:before="0" w:after="0" w:line="240" w:lineRule="auto"/>
              <w:ind w:left="0" w:lef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b w:val="0"/>
                <w:bCs w:val="0"/>
                <w:color w:val="auto"/>
                <w:sz w:val="21"/>
                <w:szCs w:val="22"/>
                <w:lang w:val="en-US" w:eastAsia="zh-CN"/>
              </w:rPr>
              <w:t>六价铬</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0.05</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u w:val="none" w:color="auto"/>
                <w:lang w:val="en-US" w:eastAsia="zh-CN" w:bidi="ar-SA"/>
              </w:rPr>
            </w:pPr>
            <w:r>
              <w:rPr>
                <w:rFonts w:hint="eastAsia" w:ascii="Times New Roman" w:hAnsi="Times New Roman" w:eastAsia="宋体" w:cs="Times New Roman"/>
                <w:color w:val="auto"/>
                <w:spacing w:val="5"/>
                <w:sz w:val="21"/>
                <w:szCs w:val="21"/>
                <w:u w:val="none" w:color="auto"/>
                <w:lang w:val="en-US" w:eastAsia="zh-CN"/>
              </w:rPr>
              <w:t>25</w:t>
            </w: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kern w:val="2"/>
                <w:sz w:val="21"/>
                <w:szCs w:val="21"/>
                <w:lang w:val="en-US" w:eastAsia="zh-CN"/>
              </w:rPr>
              <w:t>氟化物</w:t>
            </w: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kern w:val="2"/>
                <w:sz w:val="21"/>
                <w:szCs w:val="21"/>
                <w:u w:val="none" w:color="auto"/>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spacing w:val="5"/>
                <w:sz w:val="21"/>
                <w:szCs w:val="21"/>
                <w:u w:val="none" w:color="auto"/>
              </w:rPr>
              <w:t>13</w:t>
            </w:r>
          </w:p>
        </w:tc>
        <w:tc>
          <w:tcPr>
            <w:tcW w:w="877"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eastAsia" w:ascii="Times New Roman" w:hAnsi="Times New Roman" w:eastAsia="宋体" w:cs="Times New Roman"/>
                <w:color w:val="auto"/>
                <w:spacing w:val="5"/>
                <w:sz w:val="21"/>
                <w:szCs w:val="21"/>
                <w:u w:val="none" w:color="auto"/>
              </w:rPr>
            </w:pPr>
            <w:r>
              <w:rPr>
                <w:rFonts w:hint="eastAsia" w:ascii="Times New Roman" w:hAnsi="Times New Roman" w:eastAsia="宋体" w:cs="Times New Roman"/>
                <w:color w:val="auto"/>
                <w:kern w:val="2"/>
                <w:sz w:val="21"/>
                <w:szCs w:val="21"/>
                <w:highlight w:val="none"/>
                <w:shd w:val="clear" w:color="auto" w:fill="auto"/>
                <w:lang w:val="en-US" w:eastAsia="zh-CN" w:bidi="ar-SA"/>
              </w:rPr>
              <w:t>总硬度</w:t>
            </w:r>
          </w:p>
        </w:tc>
        <w:tc>
          <w:tcPr>
            <w:tcW w:w="1004"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450</w:t>
            </w:r>
          </w:p>
        </w:tc>
        <w:tc>
          <w:tcPr>
            <w:tcW w:w="48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5"/>
                <w:sz w:val="21"/>
                <w:szCs w:val="21"/>
                <w:u w:val="none" w:color="auto"/>
              </w:rPr>
            </w:pPr>
          </w:p>
        </w:tc>
        <w:tc>
          <w:tcPr>
            <w:tcW w:w="727"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eastAsia" w:ascii="Times New Roman" w:hAnsi="Times New Roman" w:eastAsia="宋体" w:cs="Times New Roman"/>
                <w:color w:val="auto"/>
                <w:spacing w:val="5"/>
                <w:sz w:val="21"/>
                <w:szCs w:val="21"/>
                <w:u w:val="none" w:color="auto"/>
              </w:rPr>
            </w:pPr>
          </w:p>
        </w:tc>
        <w:tc>
          <w:tcPr>
            <w:tcW w:w="14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spacing w:val="5"/>
                <w:sz w:val="21"/>
                <w:szCs w:val="21"/>
                <w:u w:val="none" w:color="auto"/>
              </w:rPr>
            </w:pPr>
          </w:p>
        </w:tc>
      </w:tr>
    </w:tbl>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u w:val="none" w:color="auto"/>
          <w:lang w:val="en-US" w:eastAsia="zh-CN"/>
        </w:rPr>
      </w:pPr>
      <w:bookmarkStart w:id="55" w:name="_Toc31753"/>
      <w:r>
        <w:rPr>
          <w:rFonts w:hint="eastAsia" w:ascii="Times New Roman" w:hAnsi="Times New Roman" w:eastAsia="宋体" w:cs="Times New Roman"/>
          <w:color w:val="auto"/>
          <w:spacing w:val="9"/>
          <w:sz w:val="24"/>
          <w:szCs w:val="24"/>
          <w:u w:val="none" w:color="auto"/>
          <w:lang w:val="en-US" w:eastAsia="zh-CN"/>
        </w:rPr>
        <w:t>（4）声环境</w:t>
      </w:r>
      <w:bookmarkEnd w:id="55"/>
      <w:r>
        <w:rPr>
          <w:rFonts w:hint="eastAsia" w:ascii="Times New Roman" w:hAnsi="Times New Roman" w:eastAsia="宋体" w:cs="Times New Roman"/>
          <w:color w:val="auto"/>
          <w:spacing w:val="9"/>
          <w:sz w:val="24"/>
          <w:szCs w:val="24"/>
          <w:u w:val="none" w:color="auto"/>
          <w:lang w:val="en-US" w:eastAsia="zh-CN"/>
        </w:rPr>
        <w:t>质量标准</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u w:val="none" w:color="auto"/>
          <w:lang w:val="en-US" w:eastAsia="zh-CN"/>
        </w:rPr>
      </w:pPr>
      <w:r>
        <w:rPr>
          <w:rFonts w:hint="eastAsia" w:ascii="Times New Roman" w:hAnsi="Times New Roman" w:eastAsia="宋体" w:cs="Times New Roman"/>
          <w:color w:val="auto"/>
          <w:spacing w:val="9"/>
          <w:sz w:val="24"/>
          <w:szCs w:val="24"/>
          <w:u w:val="none" w:color="auto"/>
          <w:lang w:val="en-US" w:eastAsia="zh-CN"/>
        </w:rPr>
        <w:t>根据《城市区域环境噪声适用区划分技术规范》，本项目所在地属于3类区，执行《声环境质量标准》（GB3096-2008）中的3类标准。</w:t>
      </w:r>
    </w:p>
    <w:p>
      <w:pPr>
        <w:pageBreakBefore w:val="0"/>
        <w:tabs>
          <w:tab w:val="left" w:pos="257"/>
        </w:tabs>
        <w:kinsoku/>
        <w:wordWrap/>
        <w:overflowPunct w:val="0"/>
        <w:topLinePunct/>
        <w:autoSpaceDE w:val="0"/>
        <w:autoSpaceDN w:val="0"/>
        <w:bidi w:val="0"/>
        <w:spacing w:before="170" w:line="374" w:lineRule="auto"/>
        <w:ind w:left="130" w:right="39" w:firstLine="491"/>
        <w:jc w:val="center"/>
        <w:rPr>
          <w:rFonts w:hint="default" w:ascii="Times New Roman" w:hAnsi="Times New Roman" w:eastAsia="宋体" w:cs="Times New Roman"/>
          <w:b/>
          <w:bCs/>
          <w:color w:val="auto"/>
          <w:spacing w:val="2"/>
          <w:sz w:val="24"/>
          <w:szCs w:val="24"/>
          <w:u w:val="none" w:color="auto"/>
        </w:rPr>
      </w:pPr>
      <w:r>
        <w:rPr>
          <w:rFonts w:hint="default" w:ascii="Times New Roman" w:hAnsi="Times New Roman" w:eastAsia="宋体" w:cs="Times New Roman"/>
          <w:b/>
          <w:bCs/>
          <w:color w:val="auto"/>
          <w:spacing w:val="2"/>
          <w:sz w:val="24"/>
          <w:szCs w:val="24"/>
          <w:u w:val="none" w:color="auto"/>
        </w:rPr>
        <w:t xml:space="preserve">表 </w:t>
      </w:r>
      <w:r>
        <w:rPr>
          <w:rFonts w:hint="eastAsia" w:ascii="Times New Roman" w:hAnsi="Times New Roman" w:eastAsia="宋体" w:cs="Times New Roman"/>
          <w:b/>
          <w:bCs/>
          <w:color w:val="auto"/>
          <w:spacing w:val="2"/>
          <w:sz w:val="24"/>
          <w:szCs w:val="24"/>
          <w:u w:val="none" w:color="auto"/>
          <w:lang w:val="en-US" w:eastAsia="zh-CN"/>
        </w:rPr>
        <w:t>2.2-6</w:t>
      </w:r>
      <w:r>
        <w:rPr>
          <w:rFonts w:hint="default" w:ascii="Times New Roman" w:hAnsi="Times New Roman" w:eastAsia="宋体" w:cs="Times New Roman"/>
          <w:b/>
          <w:bCs/>
          <w:color w:val="auto"/>
          <w:spacing w:val="2"/>
          <w:sz w:val="24"/>
          <w:szCs w:val="24"/>
          <w:u w:val="none" w:color="auto"/>
        </w:rPr>
        <w:t>声环境质量标准</w:t>
      </w:r>
      <w:r>
        <w:rPr>
          <w:rFonts w:hint="eastAsia" w:ascii="Times New Roman" w:hAnsi="Times New Roman" w:eastAsia="宋体" w:cs="Times New Roman"/>
          <w:b/>
          <w:bCs/>
          <w:color w:val="auto"/>
          <w:spacing w:val="2"/>
          <w:sz w:val="24"/>
          <w:szCs w:val="24"/>
          <w:u w:val="none" w:color="auto"/>
        </w:rPr>
        <w:t>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36"/>
        <w:gridCol w:w="2151"/>
        <w:gridCol w:w="23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7" w:type="pct"/>
            <w:tcBorders>
              <w:tl2br w:val="nil"/>
              <w:tr2bl w:val="nil"/>
            </w:tcBorders>
            <w:noWrap w:val="0"/>
            <w:vAlign w:val="center"/>
          </w:tcPr>
          <w:p>
            <w:pPr>
              <w:pStyle w:val="91"/>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c>
          <w:tcPr>
            <w:tcW w:w="1261" w:type="pct"/>
            <w:tcBorders>
              <w:tl2br w:val="nil"/>
              <w:tr2bl w:val="nil"/>
            </w:tcBorders>
            <w:noWrap w:val="0"/>
            <w:vAlign w:val="center"/>
          </w:tcPr>
          <w:p>
            <w:pPr>
              <w:pStyle w:val="91"/>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取值时间</w:t>
            </w:r>
          </w:p>
        </w:tc>
        <w:tc>
          <w:tcPr>
            <w:tcW w:w="1371" w:type="pct"/>
            <w:tcBorders>
              <w:tl2br w:val="nil"/>
              <w:tr2bl w:val="nil"/>
            </w:tcBorders>
            <w:noWrap w:val="0"/>
            <w:vAlign w:val="center"/>
          </w:tcPr>
          <w:p>
            <w:pPr>
              <w:pStyle w:val="91"/>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噪声标准值dB（A）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7" w:type="pct"/>
            <w:vMerge w:val="restart"/>
            <w:tcBorders>
              <w:tl2br w:val="nil"/>
              <w:tr2bl w:val="nil"/>
            </w:tcBorders>
            <w:noWrap w:val="0"/>
            <w:vAlign w:val="center"/>
          </w:tcPr>
          <w:p>
            <w:pPr>
              <w:pStyle w:val="9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《声环境质量标准》（GB3096-2008）3类</w:t>
            </w:r>
          </w:p>
        </w:tc>
        <w:tc>
          <w:tcPr>
            <w:tcW w:w="1261" w:type="pct"/>
            <w:tcBorders>
              <w:tl2br w:val="nil"/>
              <w:tr2bl w:val="nil"/>
            </w:tcBorders>
            <w:noWrap w:val="0"/>
            <w:vAlign w:val="center"/>
          </w:tcPr>
          <w:p>
            <w:pPr>
              <w:pStyle w:val="9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371" w:type="pct"/>
            <w:tcBorders>
              <w:tl2br w:val="nil"/>
              <w:tr2bl w:val="nil"/>
            </w:tcBorders>
            <w:noWrap w:val="0"/>
            <w:vAlign w:val="center"/>
          </w:tcPr>
          <w:p>
            <w:pPr>
              <w:pStyle w:val="9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7" w:type="pct"/>
            <w:vMerge w:val="continue"/>
            <w:tcBorders>
              <w:tl2br w:val="nil"/>
              <w:tr2bl w:val="nil"/>
            </w:tcBorders>
            <w:noWrap w:val="0"/>
            <w:vAlign w:val="center"/>
          </w:tcPr>
          <w:p>
            <w:pPr>
              <w:pStyle w:val="91"/>
              <w:rPr>
                <w:rFonts w:hint="default" w:ascii="Times New Roman" w:hAnsi="Times New Roman" w:cs="Times New Roman"/>
                <w:color w:val="auto"/>
                <w:sz w:val="21"/>
                <w:szCs w:val="21"/>
              </w:rPr>
            </w:pPr>
          </w:p>
        </w:tc>
        <w:tc>
          <w:tcPr>
            <w:tcW w:w="1261" w:type="pct"/>
            <w:tcBorders>
              <w:tl2br w:val="nil"/>
              <w:tr2bl w:val="nil"/>
            </w:tcBorders>
            <w:noWrap w:val="0"/>
            <w:vAlign w:val="center"/>
          </w:tcPr>
          <w:p>
            <w:pPr>
              <w:pStyle w:val="9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371" w:type="pct"/>
            <w:tcBorders>
              <w:tl2br w:val="nil"/>
              <w:tr2bl w:val="nil"/>
            </w:tcBorders>
            <w:noWrap w:val="0"/>
            <w:vAlign w:val="center"/>
          </w:tcPr>
          <w:p>
            <w:pPr>
              <w:pStyle w:val="9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u w:val="none" w:color="auto"/>
          <w:lang w:val="en-US" w:eastAsia="zh-CN"/>
        </w:rPr>
      </w:pPr>
      <w:bookmarkStart w:id="56" w:name="_Toc30339"/>
      <w:r>
        <w:rPr>
          <w:rFonts w:hint="eastAsia" w:ascii="Times New Roman" w:hAnsi="Times New Roman" w:eastAsia="宋体" w:cs="Times New Roman"/>
          <w:color w:val="auto"/>
          <w:spacing w:val="9"/>
          <w:sz w:val="24"/>
          <w:szCs w:val="24"/>
          <w:u w:val="none" w:color="auto"/>
          <w:lang w:val="en-US" w:eastAsia="zh-CN"/>
        </w:rPr>
        <w:t>（5）土壤环境</w:t>
      </w:r>
      <w:bookmarkEnd w:id="56"/>
      <w:r>
        <w:rPr>
          <w:rFonts w:hint="eastAsia" w:ascii="Times New Roman" w:hAnsi="Times New Roman" w:eastAsia="宋体" w:cs="Times New Roman"/>
          <w:color w:val="auto"/>
          <w:spacing w:val="9"/>
          <w:sz w:val="24"/>
          <w:szCs w:val="24"/>
          <w:u w:val="none" w:color="auto"/>
          <w:lang w:val="en-US" w:eastAsia="zh-CN"/>
        </w:rPr>
        <w:t>质量</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u w:val="none" w:color="auto"/>
          <w:lang w:val="en-US" w:eastAsia="zh-CN"/>
        </w:rPr>
      </w:pPr>
      <w:r>
        <w:rPr>
          <w:rFonts w:hint="eastAsia" w:ascii="Times New Roman" w:hAnsi="Times New Roman" w:eastAsia="宋体" w:cs="Times New Roman"/>
          <w:color w:val="auto"/>
          <w:spacing w:val="9"/>
          <w:sz w:val="24"/>
          <w:szCs w:val="24"/>
          <w:u w:val="none" w:color="auto"/>
          <w:lang w:val="en-US" w:eastAsia="zh-CN"/>
        </w:rPr>
        <w:t>项目区域建设用地土壤</w:t>
      </w:r>
      <w:bookmarkStart w:id="57" w:name="_Hlk26442819"/>
      <w:r>
        <w:rPr>
          <w:rFonts w:hint="eastAsia" w:ascii="Times New Roman" w:hAnsi="Times New Roman" w:eastAsia="宋体" w:cs="Times New Roman"/>
          <w:color w:val="auto"/>
          <w:spacing w:val="9"/>
          <w:sz w:val="24"/>
          <w:szCs w:val="24"/>
          <w:u w:val="none" w:color="auto"/>
          <w:lang w:val="en-US" w:eastAsia="zh-CN"/>
        </w:rPr>
        <w:t>环境质量执行《土壤环境质量标准 建设用地土壤污染风险管控标准（试行）》（GB36600-2018）</w:t>
      </w:r>
      <w:bookmarkEnd w:id="57"/>
      <w:r>
        <w:rPr>
          <w:rFonts w:hint="eastAsia" w:ascii="Times New Roman" w:hAnsi="Times New Roman" w:eastAsia="宋体" w:cs="Times New Roman"/>
          <w:color w:val="auto"/>
          <w:spacing w:val="9"/>
          <w:sz w:val="24"/>
          <w:szCs w:val="24"/>
          <w:u w:val="none" w:color="auto"/>
          <w:lang w:val="en-US" w:eastAsia="zh-CN"/>
        </w:rPr>
        <w:t>表1标准第二类用地筛选值，见下表。</w:t>
      </w:r>
    </w:p>
    <w:p>
      <w:pPr>
        <w:pStyle w:val="12"/>
        <w:spacing w:before="93"/>
        <w:ind w:firstLine="482" w:firstLineChars="20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2.2-7</w:t>
      </w:r>
      <w:r>
        <w:rPr>
          <w:rFonts w:hint="default" w:ascii="Times New Roman" w:hAnsi="Times New Roman" w:cs="Times New Roman"/>
          <w:color w:val="auto"/>
        </w:rPr>
        <w:t xml:space="preserve"> 建设用地土壤环境质量标准  单位：mg/kg</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59"/>
        <w:gridCol w:w="2940"/>
        <w:gridCol w:w="1103"/>
        <w:gridCol w:w="3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第二类用地筛选值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间（对）二甲苯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2－氯酚</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5"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762"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661"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2060" w:type="pct"/>
            <w:tcBorders>
              <w:tl2br w:val="nil"/>
              <w:tr2bl w:val="nil"/>
            </w:tcBorders>
            <w:noWrap w:val="0"/>
            <w:vAlign w:val="center"/>
          </w:tcPr>
          <w:p>
            <w:pPr>
              <w:pStyle w:val="91"/>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r>
    </w:tbl>
    <w:p>
      <w:pPr>
        <w:pStyle w:val="58"/>
        <w:pageBreakBefore w:val="0"/>
        <w:kinsoku/>
        <w:wordWrap/>
        <w:overflowPunct w:val="0"/>
        <w:topLinePunct/>
        <w:autoSpaceDE w:val="0"/>
        <w:autoSpaceDN w:val="0"/>
        <w:bidi w:val="0"/>
        <w:ind w:firstLine="482"/>
        <w:rPr>
          <w:rFonts w:hint="default" w:ascii="Times New Roman" w:hAnsi="Times New Roman" w:eastAsia="宋体" w:cs="Times New Roman"/>
          <w:b/>
          <w:bCs/>
          <w:color w:val="auto"/>
          <w:highlight w:val="none"/>
          <w:u w:val="none" w:color="auto"/>
          <w:lang w:eastAsia="zh-CN"/>
        </w:rPr>
      </w:pPr>
      <w:r>
        <w:rPr>
          <w:rFonts w:hint="default" w:ascii="Times New Roman" w:hAnsi="Times New Roman" w:eastAsia="宋体" w:cs="Times New Roman"/>
          <w:b/>
          <w:bCs/>
          <w:color w:val="auto"/>
          <w:highlight w:val="none"/>
          <w:u w:val="none" w:color="auto"/>
        </w:rPr>
        <w:t>2、污染物排放标准</w:t>
      </w:r>
    </w:p>
    <w:p>
      <w:pPr>
        <w:keepNext w:val="0"/>
        <w:keepLines w:val="0"/>
        <w:pageBreakBefore w:val="0"/>
        <w:widowControl w:val="0"/>
        <w:tabs>
          <w:tab w:val="left" w:pos="266"/>
        </w:tabs>
        <w:kinsoku/>
        <w:wordWrap/>
        <w:overflowPunct w:val="0"/>
        <w:topLinePunct/>
        <w:autoSpaceDE w:val="0"/>
        <w:autoSpaceDN w:val="0"/>
        <w:bidi w:val="0"/>
        <w:adjustRightInd/>
        <w:snapToGrid/>
        <w:spacing w:line="360" w:lineRule="auto"/>
        <w:ind w:left="0" w:right="0" w:firstLine="538" w:firstLineChars="200"/>
        <w:textAlignment w:val="auto"/>
        <w:outlineLvl w:val="9"/>
        <w:rPr>
          <w:rFonts w:hint="default" w:ascii="Times New Roman" w:hAnsi="Times New Roman" w:eastAsia="宋体" w:cs="Times New Roman"/>
          <w:b/>
          <w:bCs/>
          <w:color w:val="auto"/>
          <w:spacing w:val="13"/>
          <w:sz w:val="24"/>
          <w:szCs w:val="24"/>
          <w:u w:val="none" w:color="auto"/>
        </w:rPr>
      </w:pPr>
      <w:r>
        <w:rPr>
          <w:rFonts w:hint="default" w:ascii="Times New Roman" w:hAnsi="Times New Roman" w:eastAsia="宋体" w:cs="Times New Roman"/>
          <w:b/>
          <w:bCs/>
          <w:color w:val="auto"/>
          <w:spacing w:val="14"/>
          <w:sz w:val="24"/>
          <w:szCs w:val="24"/>
          <w:u w:val="none" w:color="auto"/>
        </w:rPr>
        <w:t>(</w:t>
      </w:r>
      <w:r>
        <w:rPr>
          <w:rFonts w:hint="default" w:ascii="Times New Roman" w:hAnsi="Times New Roman" w:eastAsia="宋体" w:cs="Times New Roman"/>
          <w:b/>
          <w:bCs/>
          <w:color w:val="auto"/>
          <w:spacing w:val="13"/>
          <w:sz w:val="24"/>
          <w:szCs w:val="24"/>
          <w:u w:val="none" w:color="auto"/>
        </w:rPr>
        <w:t>1)废气</w:t>
      </w:r>
    </w:p>
    <w:p>
      <w:pPr>
        <w:keepNext w:val="0"/>
        <w:keepLines w:val="0"/>
        <w:pageBreakBefore w:val="0"/>
        <w:widowControl w:val="0"/>
        <w:tabs>
          <w:tab w:val="left" w:pos="266"/>
        </w:tabs>
        <w:kinsoku/>
        <w:wordWrap/>
        <w:overflowPunct w:val="0"/>
        <w:topLinePunct/>
        <w:autoSpaceDE w:val="0"/>
        <w:autoSpaceDN w:val="0"/>
        <w:bidi w:val="0"/>
        <w:adjustRightInd/>
        <w:snapToGrid/>
        <w:spacing w:line="360" w:lineRule="auto"/>
        <w:ind w:left="0" w:right="0" w:firstLine="532" w:firstLineChars="200"/>
        <w:textAlignment w:val="auto"/>
        <w:outlineLvl w:val="9"/>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pacing w:val="13"/>
          <w:sz w:val="24"/>
          <w:szCs w:val="24"/>
          <w:u w:val="none" w:color="auto"/>
          <w:lang w:eastAsia="zh-CN"/>
        </w:rPr>
        <w:t>有组织废气</w:t>
      </w:r>
      <w:r>
        <w:rPr>
          <w:rFonts w:hint="default" w:ascii="Times New Roman" w:hAnsi="Times New Roman" w:eastAsia="宋体" w:cs="Times New Roman"/>
          <w:color w:val="auto"/>
          <w:spacing w:val="13"/>
          <w:sz w:val="24"/>
          <w:szCs w:val="24"/>
          <w:u w:val="none" w:color="auto"/>
        </w:rPr>
        <w:t>：</w:t>
      </w:r>
      <w:r>
        <w:rPr>
          <w:rFonts w:hint="eastAsia" w:ascii="Times New Roman" w:hAnsi="Times New Roman" w:eastAsia="宋体" w:cs="Times New Roman"/>
          <w:color w:val="auto"/>
          <w:spacing w:val="13"/>
          <w:sz w:val="24"/>
          <w:szCs w:val="24"/>
          <w:u w:val="none" w:color="auto"/>
          <w:lang w:eastAsia="zh-CN"/>
        </w:rPr>
        <w:t>加热炉天然气废气颗粒物、二氧化硫和氮氧化物参照</w:t>
      </w:r>
      <w:r>
        <w:rPr>
          <w:rFonts w:hint="default" w:ascii="Times New Roman" w:hAnsi="Times New Roman" w:eastAsia="宋体" w:cs="Times New Roman"/>
          <w:color w:val="auto"/>
          <w:spacing w:val="13"/>
          <w:sz w:val="24"/>
          <w:szCs w:val="24"/>
          <w:u w:val="none" w:color="auto"/>
        </w:rPr>
        <w:t>《湖南省工业炉窑大气污染综合治理实施方案》(湘环发〔2020〕6号)</w:t>
      </w:r>
      <w:r>
        <w:rPr>
          <w:rFonts w:hint="eastAsia" w:ascii="Times New Roman" w:hAnsi="Times New Roman" w:eastAsia="宋体" w:cs="Times New Roman"/>
          <w:color w:val="auto"/>
          <w:spacing w:val="13"/>
          <w:sz w:val="24"/>
          <w:szCs w:val="24"/>
          <w:u w:val="none" w:color="auto"/>
          <w:lang w:eastAsia="zh-CN"/>
        </w:rPr>
        <w:t>；熔炼车间废气颗粒物参照</w:t>
      </w:r>
      <w:r>
        <w:rPr>
          <w:rFonts w:hint="default" w:ascii="Times New Roman" w:hAnsi="Times New Roman" w:eastAsia="宋体" w:cs="Times New Roman"/>
          <w:color w:val="auto"/>
          <w:spacing w:val="13"/>
          <w:sz w:val="24"/>
          <w:szCs w:val="24"/>
          <w:u w:val="none" w:color="auto"/>
        </w:rPr>
        <w:t>《湖南省工业炉窑大气污染综合治理实施方案》(湘环发〔2020〕6号)</w:t>
      </w:r>
      <w:r>
        <w:rPr>
          <w:rFonts w:hint="eastAsia" w:ascii="Times New Roman" w:hAnsi="Times New Roman" w:eastAsia="宋体" w:cs="Times New Roman"/>
          <w:color w:val="auto"/>
          <w:spacing w:val="13"/>
          <w:sz w:val="24"/>
          <w:szCs w:val="24"/>
          <w:u w:val="none" w:color="auto"/>
          <w:lang w:eastAsia="zh-CN"/>
        </w:rPr>
        <w:t>、氯化氢执行</w:t>
      </w:r>
      <w:r>
        <w:rPr>
          <w:rFonts w:hint="default" w:ascii="Times New Roman" w:hAnsi="Times New Roman"/>
          <w:color w:val="auto"/>
          <w:sz w:val="24"/>
          <w:szCs w:val="24"/>
          <w:u w:val="none" w:color="auto"/>
          <w:lang w:eastAsia="zh-CN"/>
        </w:rPr>
        <w:t>《大气污染物综合排放标准》（GB16297-1996）</w:t>
      </w:r>
      <w:r>
        <w:rPr>
          <w:rFonts w:hint="eastAsia" w:ascii="Times New Roman" w:hAnsi="Times New Roman"/>
          <w:color w:val="auto"/>
          <w:sz w:val="24"/>
          <w:szCs w:val="24"/>
          <w:u w:val="none" w:color="auto"/>
          <w:lang w:eastAsia="zh-CN"/>
        </w:rPr>
        <w:t>；板材和表面处理车间废气颗粒物和</w:t>
      </w:r>
      <w:r>
        <w:rPr>
          <w:rFonts w:hint="eastAsia" w:ascii="Times New Roman" w:hAnsi="Times New Roman" w:eastAsia="宋体" w:cs="Times New Roman"/>
          <w:color w:val="auto"/>
          <w:spacing w:val="13"/>
          <w:sz w:val="24"/>
          <w:szCs w:val="24"/>
          <w:u w:val="none" w:color="auto"/>
          <w:lang w:val="en-US" w:eastAsia="zh-CN"/>
        </w:rPr>
        <w:t>VOCs（</w:t>
      </w:r>
      <w:r>
        <w:rPr>
          <w:rFonts w:hint="eastAsia" w:ascii="Times New Roman" w:hAnsi="Times New Roman"/>
          <w:color w:val="auto"/>
          <w:sz w:val="24"/>
          <w:szCs w:val="24"/>
          <w:u w:val="none" w:color="auto"/>
          <w:lang w:val="en-US" w:eastAsia="zh-CN"/>
        </w:rPr>
        <w:t>以</w:t>
      </w:r>
      <w:r>
        <w:rPr>
          <w:rFonts w:hint="eastAsia" w:ascii="Times New Roman" w:hAnsi="Times New Roman"/>
          <w:color w:val="auto"/>
          <w:sz w:val="24"/>
          <w:szCs w:val="24"/>
          <w:u w:val="none" w:color="auto"/>
          <w:lang w:eastAsia="zh-CN"/>
        </w:rPr>
        <w:t>非甲烷总烃计</w:t>
      </w:r>
      <w:r>
        <w:rPr>
          <w:rFonts w:hint="eastAsia" w:ascii="Times New Roman" w:hAnsi="Times New Roman" w:eastAsia="宋体" w:cs="Times New Roman"/>
          <w:color w:val="auto"/>
          <w:spacing w:val="13"/>
          <w:sz w:val="24"/>
          <w:szCs w:val="24"/>
          <w:u w:val="none" w:color="auto"/>
          <w:lang w:val="en-US" w:eastAsia="zh-CN"/>
        </w:rPr>
        <w:t>）执行</w:t>
      </w:r>
      <w:r>
        <w:rPr>
          <w:rFonts w:hint="default" w:ascii="Times New Roman" w:hAnsi="Times New Roman"/>
          <w:color w:val="auto"/>
          <w:sz w:val="24"/>
          <w:szCs w:val="24"/>
          <w:u w:val="none" w:color="auto"/>
          <w:lang w:eastAsia="zh-CN"/>
        </w:rPr>
        <w:t>《大气污染物综合排放标准》（GB16297-1996）</w:t>
      </w:r>
      <w:r>
        <w:rPr>
          <w:rFonts w:hint="default" w:ascii="Times New Roman" w:hAnsi="Times New Roman" w:eastAsia="宋体" w:cs="Times New Roman"/>
          <w:color w:val="auto"/>
          <w:spacing w:val="13"/>
          <w:sz w:val="24"/>
          <w:szCs w:val="24"/>
          <w:u w:val="none" w:color="auto"/>
          <w:lang w:eastAsia="zh-CN"/>
        </w:rPr>
        <w:t>；</w:t>
      </w:r>
      <w:r>
        <w:rPr>
          <w:rFonts w:hint="eastAsia" w:ascii="Times New Roman" w:hAnsi="Times New Roman" w:eastAsia="宋体" w:cs="Times New Roman"/>
          <w:color w:val="auto"/>
          <w:spacing w:val="13"/>
          <w:sz w:val="24"/>
          <w:szCs w:val="24"/>
          <w:u w:val="none" w:color="auto"/>
          <w:lang w:eastAsia="zh-CN"/>
        </w:rPr>
        <w:t>厂界无组织废气：</w:t>
      </w:r>
      <w:r>
        <w:rPr>
          <w:rFonts w:hint="default" w:ascii="Times New Roman" w:hAnsi="Times New Roman" w:eastAsia="宋体" w:cs="Times New Roman"/>
          <w:color w:val="auto"/>
          <w:spacing w:val="13"/>
          <w:sz w:val="24"/>
          <w:szCs w:val="24"/>
          <w:u w:val="none" w:color="auto"/>
        </w:rPr>
        <w:t>颗粒物</w:t>
      </w:r>
      <w:r>
        <w:rPr>
          <w:rFonts w:hint="eastAsia" w:ascii="Times New Roman" w:hAnsi="Times New Roman" w:eastAsia="宋体" w:cs="Times New Roman"/>
          <w:color w:val="auto"/>
          <w:spacing w:val="13"/>
          <w:sz w:val="24"/>
          <w:szCs w:val="24"/>
          <w:u w:val="none" w:color="auto"/>
          <w:lang w:eastAsia="zh-CN"/>
        </w:rPr>
        <w:t>、</w:t>
      </w:r>
      <w:r>
        <w:rPr>
          <w:rFonts w:hint="eastAsia" w:ascii="Times New Roman" w:hAnsi="Times New Roman" w:eastAsia="宋体" w:cs="Times New Roman"/>
          <w:color w:val="auto"/>
          <w:spacing w:val="13"/>
          <w:sz w:val="24"/>
          <w:szCs w:val="24"/>
          <w:u w:val="none" w:color="auto"/>
          <w:lang w:val="en-US" w:eastAsia="zh-CN"/>
        </w:rPr>
        <w:t>VOCs（</w:t>
      </w:r>
      <w:r>
        <w:rPr>
          <w:rFonts w:hint="eastAsia" w:ascii="Times New Roman" w:hAnsi="Times New Roman"/>
          <w:color w:val="auto"/>
          <w:sz w:val="24"/>
          <w:szCs w:val="24"/>
          <w:u w:val="none" w:color="auto"/>
          <w:lang w:val="en-US" w:eastAsia="zh-CN"/>
        </w:rPr>
        <w:t>以</w:t>
      </w:r>
      <w:r>
        <w:rPr>
          <w:rFonts w:hint="eastAsia" w:ascii="Times New Roman" w:hAnsi="Times New Roman"/>
          <w:color w:val="auto"/>
          <w:sz w:val="24"/>
          <w:szCs w:val="24"/>
          <w:u w:val="none" w:color="auto"/>
          <w:lang w:eastAsia="zh-CN"/>
        </w:rPr>
        <w:t>非甲烷总烃计</w:t>
      </w:r>
      <w:r>
        <w:rPr>
          <w:rFonts w:hint="eastAsia" w:ascii="Times New Roman" w:hAnsi="Times New Roman" w:eastAsia="宋体" w:cs="Times New Roman"/>
          <w:color w:val="auto"/>
          <w:spacing w:val="13"/>
          <w:sz w:val="24"/>
          <w:szCs w:val="24"/>
          <w:u w:val="none" w:color="auto"/>
          <w:lang w:val="en-US" w:eastAsia="zh-CN"/>
        </w:rPr>
        <w:t>）、</w:t>
      </w:r>
      <w:r>
        <w:rPr>
          <w:rFonts w:hint="default" w:ascii="Times New Roman" w:hAnsi="Times New Roman" w:eastAsia="宋体" w:cs="Times New Roman"/>
          <w:color w:val="auto"/>
          <w:spacing w:val="13"/>
          <w:sz w:val="24"/>
          <w:szCs w:val="24"/>
          <w:u w:val="none" w:color="auto"/>
        </w:rPr>
        <w:t>非甲烷总烃氯化氢</w:t>
      </w:r>
      <w:r>
        <w:rPr>
          <w:rFonts w:hint="eastAsia" w:ascii="Times New Roman" w:hAnsi="Times New Roman" w:eastAsia="宋体" w:cs="Times New Roman"/>
          <w:color w:val="auto"/>
          <w:spacing w:val="13"/>
          <w:sz w:val="24"/>
          <w:szCs w:val="24"/>
          <w:u w:val="none" w:color="auto"/>
          <w:lang w:eastAsia="zh-CN"/>
        </w:rPr>
        <w:t>执行</w:t>
      </w:r>
      <w:r>
        <w:rPr>
          <w:rFonts w:hint="default" w:ascii="Times New Roman" w:hAnsi="Times New Roman"/>
          <w:color w:val="auto"/>
          <w:sz w:val="24"/>
          <w:szCs w:val="24"/>
          <w:u w:val="none" w:color="auto"/>
          <w:lang w:eastAsia="zh-CN"/>
        </w:rPr>
        <w:t>《大气污染物综合排放标准》（GB16297-1996）</w:t>
      </w:r>
      <w:r>
        <w:rPr>
          <w:rFonts w:hint="eastAsia" w:ascii="Times New Roman" w:hAnsi="Times New Roman"/>
          <w:color w:val="auto"/>
          <w:sz w:val="24"/>
          <w:szCs w:val="24"/>
          <w:u w:val="none" w:color="auto"/>
          <w:lang w:eastAsia="zh-CN"/>
        </w:rPr>
        <w:t>；</w:t>
      </w:r>
      <w:r>
        <w:rPr>
          <w:rFonts w:hint="eastAsia" w:ascii="Times New Roman" w:hAnsi="Times New Roman" w:eastAsia="宋体" w:cs="Times New Roman"/>
          <w:color w:val="auto"/>
          <w:spacing w:val="13"/>
          <w:sz w:val="24"/>
          <w:szCs w:val="24"/>
          <w:u w:val="none" w:color="auto"/>
          <w:lang w:eastAsia="zh-CN"/>
        </w:rPr>
        <w:t>厂区内无组织排放监控点VOCS执行《挥发性有机物无组织排放控制标准》（GB37822-2019）</w:t>
      </w:r>
      <w:r>
        <w:rPr>
          <w:rFonts w:hint="eastAsia" w:ascii="Times New Roman" w:hAnsi="Times New Roman"/>
          <w:color w:val="auto"/>
          <w:sz w:val="24"/>
          <w:szCs w:val="24"/>
          <w:u w:val="none" w:color="auto"/>
          <w:lang w:eastAsia="zh-CN"/>
        </w:rPr>
        <w:t>。</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14"/>
          <w:kern w:val="2"/>
          <w:sz w:val="24"/>
          <w:szCs w:val="24"/>
          <w:u w:val="none" w:color="auto"/>
          <w:lang w:val="en-US" w:eastAsia="zh-CN" w:bidi="ar-SA"/>
        </w:rPr>
      </w:pPr>
      <w:r>
        <w:rPr>
          <w:rFonts w:hint="eastAsia" w:ascii="Times New Roman" w:hAnsi="Times New Roman" w:eastAsia="宋体" w:cs="Times New Roman"/>
          <w:b/>
          <w:bCs/>
          <w:color w:val="auto"/>
          <w:spacing w:val="14"/>
          <w:kern w:val="2"/>
          <w:sz w:val="24"/>
          <w:szCs w:val="24"/>
          <w:u w:val="none" w:color="auto"/>
          <w:lang w:val="en-US" w:eastAsia="zh-CN" w:bidi="ar-SA"/>
        </w:rPr>
        <w:t>表2.2-8项目废气排放标准</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339"/>
        <w:gridCol w:w="1327"/>
        <w:gridCol w:w="1298"/>
        <w:gridCol w:w="1337"/>
        <w:gridCol w:w="1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废气</w:t>
            </w:r>
          </w:p>
        </w:tc>
        <w:tc>
          <w:tcPr>
            <w:tcW w:w="785"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废气</w:t>
            </w:r>
          </w:p>
        </w:tc>
        <w:tc>
          <w:tcPr>
            <w:tcW w:w="778"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污染物</w:t>
            </w:r>
          </w:p>
        </w:tc>
        <w:tc>
          <w:tcPr>
            <w:tcW w:w="1544" w:type="pct"/>
            <w:gridSpan w:val="2"/>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val="en-US" w:eastAsia="zh-CN"/>
              </w:rPr>
              <w:t>标准限值</w:t>
            </w:r>
          </w:p>
        </w:tc>
        <w:tc>
          <w:tcPr>
            <w:tcW w:w="1139"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778"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浓度</w:t>
            </w:r>
            <w:r>
              <w:rPr>
                <w:rFonts w:hint="default" w:ascii="Times New Roman" w:hAnsi="Times New Roman" w:eastAsia="宋体" w:cs="Times New Roman"/>
                <w:bCs/>
                <w:color w:val="auto"/>
                <w:sz w:val="21"/>
                <w:szCs w:val="21"/>
                <w:highlight w:val="none"/>
                <w:u w:val="none" w:color="auto"/>
                <w:lang w:eastAsia="en-US"/>
              </w:rPr>
              <w:t>mg/m</w:t>
            </w:r>
            <w:r>
              <w:rPr>
                <w:rFonts w:hint="default" w:ascii="Times New Roman" w:hAnsi="Times New Roman" w:eastAsia="宋体" w:cs="Times New Roman"/>
                <w:bCs/>
                <w:color w:val="auto"/>
                <w:sz w:val="21"/>
                <w:szCs w:val="21"/>
                <w:highlight w:val="none"/>
                <w:u w:val="none" w:color="auto"/>
                <w:vertAlign w:val="superscript"/>
                <w:lang w:eastAsia="en-US"/>
              </w:rPr>
              <w:t>3</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排放速率kg/h</w:t>
            </w:r>
          </w:p>
        </w:tc>
        <w:tc>
          <w:tcPr>
            <w:tcW w:w="1139"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有组织废气</w:t>
            </w:r>
          </w:p>
        </w:tc>
        <w:tc>
          <w:tcPr>
            <w:tcW w:w="785"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熔炼车间废气DA001</w:t>
            </w: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颗粒物</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湖南省工业炉窑大气污染综合治理实施方案》(湘环发〔2020〕6号)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氯化氢</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100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0.43</w:t>
            </w:r>
            <w:r>
              <w:rPr>
                <w:rFonts w:hint="default" w:ascii="Times New Roman" w:hAnsi="Times New Roman"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20</w:t>
            </w:r>
            <w:r>
              <w:rPr>
                <w:rFonts w:hint="default" w:ascii="Times New Roman" w:hAnsi="Times New Roman" w:cs="Times New Roman"/>
                <w:color w:val="auto"/>
                <w:sz w:val="21"/>
                <w:szCs w:val="21"/>
                <w:u w:val="none" w:color="auto"/>
                <w:lang w:val="en-US" w:eastAsia="zh-CN"/>
              </w:rPr>
              <w:t>m排气筒）</w:t>
            </w:r>
          </w:p>
        </w:tc>
        <w:tc>
          <w:tcPr>
            <w:tcW w:w="1139"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eastAsia="zh-CN"/>
              </w:rPr>
              <w:t>加热炉废气</w:t>
            </w:r>
            <w:r>
              <w:rPr>
                <w:rFonts w:hint="default" w:ascii="Times New Roman" w:hAnsi="Times New Roman" w:cs="Times New Roman"/>
                <w:color w:val="auto"/>
                <w:sz w:val="21"/>
                <w:szCs w:val="21"/>
                <w:u w:val="none" w:color="auto"/>
                <w:lang w:val="en-US" w:eastAsia="zh-CN"/>
              </w:rPr>
              <w:t>DA002</w:t>
            </w: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颗粒物</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湖南省工业炉窑大气污染综合治理实施方案》(湘环发〔2020〕6号)）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二氧化硫</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氮氧化物</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300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eastAsia="zh-CN"/>
              </w:rPr>
              <w:t>镁板轧机废气</w:t>
            </w:r>
            <w:r>
              <w:rPr>
                <w:rFonts w:hint="eastAsia" w:ascii="Times New Roman" w:hAnsi="Times New Roman" w:cs="Times New Roman"/>
                <w:color w:val="auto"/>
                <w:sz w:val="21"/>
                <w:szCs w:val="21"/>
                <w:u w:val="none" w:color="auto"/>
                <w:lang w:eastAsia="zh-CN"/>
              </w:rPr>
              <w:t>、喷涂、喷漆废气</w:t>
            </w:r>
            <w:r>
              <w:rPr>
                <w:rFonts w:hint="default" w:ascii="Times New Roman" w:hAnsi="Times New Roman" w:cs="Times New Roman"/>
                <w:color w:val="auto"/>
                <w:sz w:val="21"/>
                <w:szCs w:val="21"/>
                <w:u w:val="none" w:color="auto"/>
                <w:lang w:val="en-US" w:eastAsia="zh-CN"/>
              </w:rPr>
              <w:t>DA003</w:t>
            </w: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val="en-US" w:eastAsia="zh-CN"/>
              </w:rPr>
              <w:t>VOCs（以</w:t>
            </w:r>
            <w:r>
              <w:rPr>
                <w:rFonts w:hint="default" w:ascii="Times New Roman" w:hAnsi="Times New Roman" w:cs="Times New Roman"/>
                <w:color w:val="auto"/>
                <w:sz w:val="21"/>
                <w:szCs w:val="21"/>
                <w:u w:val="none" w:color="auto"/>
                <w:lang w:eastAsia="zh-CN"/>
              </w:rPr>
              <w:t>非甲烷总烃计</w:t>
            </w:r>
            <w:r>
              <w:rPr>
                <w:rFonts w:hint="default" w:ascii="Times New Roman" w:hAnsi="Times New Roman" w:cs="Times New Roman"/>
                <w:color w:val="auto"/>
                <w:sz w:val="21"/>
                <w:szCs w:val="21"/>
                <w:u w:val="none" w:color="auto"/>
                <w:lang w:val="en-US" w:eastAsia="zh-CN"/>
              </w:rPr>
              <w:t>）</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17</w:t>
            </w:r>
            <w:r>
              <w:rPr>
                <w:rFonts w:hint="default" w:ascii="Times New Roman" w:hAnsi="Times New Roman"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20</w:t>
            </w:r>
            <w:r>
              <w:rPr>
                <w:rFonts w:hint="default" w:ascii="Times New Roman" w:hAnsi="Times New Roman" w:cs="Times New Roman"/>
                <w:color w:val="auto"/>
                <w:sz w:val="21"/>
                <w:szCs w:val="21"/>
                <w:u w:val="none" w:color="auto"/>
                <w:lang w:val="en-US" w:eastAsia="zh-CN"/>
              </w:rPr>
              <w:t>m排气筒）</w:t>
            </w:r>
          </w:p>
        </w:tc>
        <w:tc>
          <w:tcPr>
            <w:tcW w:w="1139"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颗粒物</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100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5.9</w:t>
            </w:r>
            <w:r>
              <w:rPr>
                <w:rFonts w:hint="default" w:ascii="Times New Roman" w:hAnsi="Times New Roman"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20</w:t>
            </w:r>
            <w:r>
              <w:rPr>
                <w:rFonts w:hint="default" w:ascii="Times New Roman" w:hAnsi="Times New Roman" w:cs="Times New Roman"/>
                <w:color w:val="auto"/>
                <w:sz w:val="21"/>
                <w:szCs w:val="21"/>
                <w:u w:val="none" w:color="auto"/>
                <w:lang w:val="en-US" w:eastAsia="zh-CN"/>
              </w:rPr>
              <w:t>m排气筒）</w:t>
            </w:r>
          </w:p>
        </w:tc>
        <w:tc>
          <w:tcPr>
            <w:tcW w:w="1139"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无组织废气</w:t>
            </w:r>
          </w:p>
        </w:tc>
        <w:tc>
          <w:tcPr>
            <w:tcW w:w="785"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厂界</w:t>
            </w: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颗粒物</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eastAsia="宋体" w:cs="Times New Roman"/>
                <w:bCs/>
                <w:color w:val="auto"/>
                <w:sz w:val="21"/>
                <w:szCs w:val="21"/>
                <w:highlight w:val="none"/>
                <w:u w:val="none" w:color="auto"/>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非甲烷总烃</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氯化氢</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139"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p>
        </w:tc>
        <w:tc>
          <w:tcPr>
            <w:tcW w:w="785"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eastAsia" w:ascii="Times New Roman" w:hAnsi="Times New Roman" w:cs="Times New Roman"/>
                <w:color w:val="auto"/>
                <w:sz w:val="21"/>
                <w:szCs w:val="21"/>
                <w:u w:val="none" w:color="auto"/>
                <w:lang w:eastAsia="zh-CN"/>
              </w:rPr>
              <w:t>厂区内</w:t>
            </w:r>
          </w:p>
        </w:tc>
        <w:tc>
          <w:tcPr>
            <w:tcW w:w="77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VOCs</w:t>
            </w:r>
          </w:p>
        </w:tc>
        <w:tc>
          <w:tcPr>
            <w:tcW w:w="761"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10</w:t>
            </w:r>
          </w:p>
        </w:tc>
        <w:tc>
          <w:tcPr>
            <w:tcW w:w="783"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1139"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挥发性有机物无组织排放控制标准》（GB37822-2019）</w:t>
            </w:r>
          </w:p>
        </w:tc>
      </w:tr>
    </w:tbl>
    <w:p>
      <w:pPr>
        <w:keepNext w:val="0"/>
        <w:keepLines w:val="0"/>
        <w:pageBreakBefore w:val="0"/>
        <w:widowControl w:val="0"/>
        <w:tabs>
          <w:tab w:val="left" w:pos="266"/>
        </w:tabs>
        <w:kinsoku/>
        <w:wordWrap/>
        <w:overflowPunct w:val="0"/>
        <w:topLinePunct/>
        <w:autoSpaceDE w:val="0"/>
        <w:autoSpaceDN w:val="0"/>
        <w:bidi w:val="0"/>
        <w:adjustRightInd/>
        <w:snapToGrid/>
        <w:spacing w:line="360" w:lineRule="auto"/>
        <w:ind w:left="0" w:right="0" w:firstLine="508" w:firstLineChars="200"/>
        <w:textAlignment w:val="auto"/>
        <w:outlineLvl w:val="9"/>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食堂油烟执行《饮食业油烟</w:t>
      </w:r>
      <w:r>
        <w:rPr>
          <w:rFonts w:hint="default" w:ascii="Times New Roman" w:hAnsi="Times New Roman" w:eastAsia="宋体" w:cs="Times New Roman"/>
          <w:color w:val="auto"/>
          <w:spacing w:val="6"/>
          <w:sz w:val="24"/>
          <w:szCs w:val="24"/>
          <w:u w:val="none" w:color="auto"/>
        </w:rPr>
        <w:t>排放标准(试</w:t>
      </w:r>
      <w:r>
        <w:rPr>
          <w:rFonts w:hint="default" w:ascii="Times New Roman" w:hAnsi="Times New Roman" w:eastAsia="宋体" w:cs="Times New Roman"/>
          <w:color w:val="auto"/>
          <w:spacing w:val="4"/>
          <w:sz w:val="24"/>
          <w:szCs w:val="24"/>
          <w:u w:val="none" w:color="auto"/>
        </w:rPr>
        <w:t>行</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sz w:val="24"/>
          <w:szCs w:val="24"/>
          <w:u w:val="none" w:color="auto"/>
        </w:rPr>
        <w:t>GB</w:t>
      </w:r>
      <w:r>
        <w:rPr>
          <w:rFonts w:hint="default" w:ascii="Times New Roman" w:hAnsi="Times New Roman" w:eastAsia="宋体" w:cs="Times New Roman"/>
          <w:color w:val="auto"/>
          <w:spacing w:val="3"/>
          <w:sz w:val="24"/>
          <w:szCs w:val="24"/>
          <w:u w:val="none" w:color="auto"/>
        </w:rPr>
        <w:t>18483-2001)中的中型排放限值。</w:t>
      </w:r>
    </w:p>
    <w:p>
      <w:pPr>
        <w:keepNext w:val="0"/>
        <w:keepLines w:val="0"/>
        <w:pageBreakBefore w:val="0"/>
        <w:widowControl w:val="0"/>
        <w:kinsoku/>
        <w:wordWrap/>
        <w:overflowPunct w:val="0"/>
        <w:topLinePunct/>
        <w:autoSpaceDE w:val="0"/>
        <w:autoSpaceDN w:val="0"/>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eastAsia" w:ascii="Times New Roman" w:hAnsi="Times New Roman" w:eastAsia="宋体" w:cs="Times New Roman"/>
          <w:b/>
          <w:bCs/>
          <w:color w:val="auto"/>
          <w:sz w:val="24"/>
          <w:szCs w:val="24"/>
          <w:highlight w:val="none"/>
          <w:u w:val="none" w:color="auto"/>
          <w:lang w:eastAsia="zh-CN"/>
        </w:rPr>
        <w:t>（</w:t>
      </w:r>
      <w:r>
        <w:rPr>
          <w:rFonts w:hint="eastAsia" w:ascii="Times New Roman" w:hAnsi="Times New Roman" w:eastAsia="宋体" w:cs="Times New Roman"/>
          <w:b/>
          <w:bCs/>
          <w:color w:val="auto"/>
          <w:sz w:val="24"/>
          <w:szCs w:val="24"/>
          <w:highlight w:val="none"/>
          <w:u w:val="none" w:color="auto"/>
          <w:lang w:val="en-US" w:eastAsia="zh-CN"/>
        </w:rPr>
        <w:t>2</w:t>
      </w:r>
      <w:r>
        <w:rPr>
          <w:rFonts w:hint="eastAsia"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rPr>
        <w:t>废水</w:t>
      </w:r>
    </w:p>
    <w:p>
      <w:pPr>
        <w:keepNext w:val="0"/>
        <w:keepLines w:val="0"/>
        <w:pageBreakBefore w:val="0"/>
        <w:widowControl w:val="0"/>
        <w:kinsoku/>
        <w:wordWrap/>
        <w:overflowPunct w:val="0"/>
        <w:topLinePunct/>
        <w:autoSpaceDE w:val="0"/>
        <w:autoSpaceDN w:val="0"/>
        <w:bidi w:val="0"/>
        <w:adjustRightInd w:val="0"/>
        <w:snapToGrid w:val="0"/>
        <w:spacing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eastAsia="zh-CN"/>
        </w:rPr>
        <w:t>项目废水厂区预处理</w:t>
      </w:r>
      <w:r>
        <w:rPr>
          <w:rFonts w:hint="eastAsia" w:ascii="Times New Roman" w:hAnsi="Times New Roman" w:eastAsia="宋体" w:cs="Times New Roman"/>
          <w:color w:val="auto"/>
          <w:sz w:val="24"/>
          <w:szCs w:val="24"/>
          <w:highlight w:val="none"/>
          <w:u w:val="none" w:color="auto"/>
        </w:rPr>
        <w:t>达到《污水综合排放标准》</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rPr>
        <w:t>GB8978</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rPr>
        <w:t>1996</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rPr>
        <w:t>三级标准</w:t>
      </w:r>
      <w:r>
        <w:rPr>
          <w:rFonts w:hint="eastAsia" w:ascii="Times New Roman" w:hAnsi="Times New Roman" w:eastAsia="宋体" w:cs="Times New Roman"/>
          <w:color w:val="auto"/>
          <w:sz w:val="24"/>
          <w:szCs w:val="24"/>
          <w:highlight w:val="none"/>
          <w:u w:val="none" w:color="auto"/>
          <w:lang w:val="en-US" w:eastAsia="zh-CN"/>
        </w:rPr>
        <w:t>及</w:t>
      </w:r>
      <w:r>
        <w:rPr>
          <w:rFonts w:hint="eastAsia" w:ascii="Times New Roman" w:hAnsi="Times New Roman" w:eastAsia="宋体" w:cs="Times New Roman"/>
          <w:color w:val="auto"/>
          <w:sz w:val="24"/>
          <w:szCs w:val="24"/>
          <w:highlight w:val="none"/>
          <w:u w:val="none" w:color="auto"/>
        </w:rPr>
        <w:t>临港污水处理厂的纳管协议标准后由管网排入城陵矶临港产业新区污水处理厂深度处理，达到《城镇污水处理厂污染物排放标准》(GB18918</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rPr>
        <w:t>2002)</w:t>
      </w:r>
      <w:r>
        <w:rPr>
          <w:rFonts w:hint="eastAsia" w:ascii="Times New Roman" w:hAnsi="Times New Roman" w:eastAsia="宋体" w:cs="Times New Roman"/>
          <w:color w:val="auto"/>
          <w:sz w:val="24"/>
          <w:szCs w:val="24"/>
          <w:highlight w:val="none"/>
          <w:u w:val="none" w:color="auto"/>
          <w:lang w:eastAsia="zh-CN"/>
        </w:rPr>
        <w:t>一</w:t>
      </w:r>
      <w:r>
        <w:rPr>
          <w:rFonts w:hint="eastAsia" w:ascii="Times New Roman" w:hAnsi="Times New Roman" w:eastAsia="宋体" w:cs="Times New Roman"/>
          <w:color w:val="auto"/>
          <w:sz w:val="24"/>
          <w:szCs w:val="24"/>
          <w:highlight w:val="none"/>
          <w:u w:val="none" w:color="auto"/>
        </w:rPr>
        <w:t>级A标准经象骨港汇入长江</w:t>
      </w:r>
      <w:r>
        <w:rPr>
          <w:rFonts w:hint="eastAsia" w:ascii="Times New Roman" w:hAnsi="Times New Roman" w:eastAsia="宋体" w:cs="Times New Roman"/>
          <w:color w:val="auto"/>
          <w:sz w:val="24"/>
          <w:szCs w:val="24"/>
          <w:highlight w:val="none"/>
          <w:u w:val="none" w:color="auto"/>
          <w:lang w:eastAsia="zh-CN"/>
        </w:rPr>
        <w:t>。</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bCs/>
          <w:color w:val="auto"/>
          <w:spacing w:val="14"/>
          <w:kern w:val="2"/>
          <w:sz w:val="24"/>
          <w:szCs w:val="24"/>
          <w:u w:val="none" w:color="auto"/>
          <w:lang w:val="en-US" w:eastAsia="zh-CN" w:bidi="ar-SA"/>
        </w:rPr>
      </w:pPr>
      <w:r>
        <w:rPr>
          <w:rFonts w:hint="eastAsia" w:ascii="Times New Roman" w:hAnsi="Times New Roman" w:eastAsia="宋体" w:cs="Times New Roman"/>
          <w:b/>
          <w:bCs/>
          <w:color w:val="auto"/>
          <w:spacing w:val="14"/>
          <w:kern w:val="2"/>
          <w:sz w:val="24"/>
          <w:szCs w:val="24"/>
          <w:u w:val="none" w:color="auto"/>
          <w:lang w:val="en-US" w:eastAsia="zh-CN" w:bidi="ar-SA"/>
        </w:rPr>
        <w:t>表2.2-5厂区废水排放标准（单位：mg/L）</w:t>
      </w:r>
    </w:p>
    <w:tbl>
      <w:tblPr>
        <w:tblStyle w:val="4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98"/>
        <w:gridCol w:w="770"/>
        <w:gridCol w:w="942"/>
        <w:gridCol w:w="1037"/>
        <w:gridCol w:w="921"/>
        <w:gridCol w:w="1154"/>
        <w:gridCol w:w="659"/>
        <w:gridCol w:w="771"/>
        <w:gridCol w:w="7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指标</w:t>
            </w:r>
          </w:p>
        </w:tc>
        <w:tc>
          <w:tcPr>
            <w:tcW w:w="451"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pH</w:t>
            </w:r>
          </w:p>
        </w:tc>
        <w:tc>
          <w:tcPr>
            <w:tcW w:w="5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COD</w:t>
            </w:r>
          </w:p>
        </w:tc>
        <w:tc>
          <w:tcPr>
            <w:tcW w:w="60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hint="eastAsia" w:ascii="Times New Roman" w:hAnsi="Times New Roman"/>
                <w:color w:val="auto"/>
                <w:sz w:val="21"/>
                <w:szCs w:val="21"/>
                <w:u w:val="none" w:color="auto"/>
              </w:rPr>
              <w:t>BOD</w:t>
            </w:r>
            <w:r>
              <w:rPr>
                <w:rFonts w:hint="eastAsia" w:ascii="Times New Roman" w:hAnsi="Times New Roman"/>
                <w:color w:val="auto"/>
                <w:sz w:val="21"/>
                <w:szCs w:val="21"/>
                <w:u w:val="none" w:color="auto"/>
                <w:vertAlign w:val="subscript"/>
              </w:rPr>
              <w:t>5</w:t>
            </w:r>
          </w:p>
        </w:tc>
        <w:tc>
          <w:tcPr>
            <w:tcW w:w="540"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SS</w:t>
            </w:r>
          </w:p>
        </w:tc>
        <w:tc>
          <w:tcPr>
            <w:tcW w:w="676"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hint="eastAsia" w:ascii="Times New Roman" w:hAnsi="Times New Roman"/>
                <w:color w:val="auto"/>
                <w:sz w:val="21"/>
                <w:szCs w:val="21"/>
                <w:u w:val="none" w:color="auto"/>
              </w:rPr>
              <w:t>NH</w:t>
            </w:r>
            <w:r>
              <w:rPr>
                <w:rFonts w:hint="eastAsia" w:ascii="Times New Roman" w:hAnsi="Times New Roman"/>
                <w:color w:val="auto"/>
                <w:sz w:val="21"/>
                <w:szCs w:val="21"/>
                <w:u w:val="none" w:color="auto"/>
                <w:vertAlign w:val="subscript"/>
              </w:rPr>
              <w:t>3</w:t>
            </w:r>
            <w:r>
              <w:rPr>
                <w:rFonts w:ascii="Times New Roman" w:hAnsi="Times New Roman" w:eastAsia="Calibri"/>
                <w:color w:val="auto"/>
                <w:sz w:val="21"/>
                <w:szCs w:val="21"/>
                <w:u w:val="none" w:color="auto"/>
              </w:rPr>
              <w:t>-N</w:t>
            </w:r>
          </w:p>
        </w:tc>
        <w:tc>
          <w:tcPr>
            <w:tcW w:w="386"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ascii="Times New Roman" w:hAnsi="Times New Roman"/>
                <w:color w:val="auto"/>
                <w:sz w:val="21"/>
                <w:szCs w:val="21"/>
                <w:u w:val="none" w:color="auto"/>
              </w:rPr>
              <w:t>TP</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hint="eastAsia"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TN</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综排三级标准</w:t>
            </w:r>
          </w:p>
        </w:tc>
        <w:tc>
          <w:tcPr>
            <w:tcW w:w="451"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6~9</w:t>
            </w:r>
          </w:p>
        </w:tc>
        <w:tc>
          <w:tcPr>
            <w:tcW w:w="5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≤500</w:t>
            </w:r>
          </w:p>
        </w:tc>
        <w:tc>
          <w:tcPr>
            <w:tcW w:w="60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≤300</w:t>
            </w:r>
          </w:p>
        </w:tc>
        <w:tc>
          <w:tcPr>
            <w:tcW w:w="540"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≤400</w:t>
            </w:r>
          </w:p>
        </w:tc>
        <w:tc>
          <w:tcPr>
            <w:tcW w:w="676"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w:t>
            </w:r>
          </w:p>
        </w:tc>
        <w:tc>
          <w:tcPr>
            <w:tcW w:w="386"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ascii="Times New Roman" w:hAnsi="Times New Roman" w:eastAsia="Calibri"/>
                <w:color w:val="auto"/>
                <w:sz w:val="21"/>
                <w:szCs w:val="21"/>
                <w:u w:val="none" w:color="auto"/>
              </w:rPr>
              <w:t>-</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ascii="Times New Roman" w:hAnsi="Times New Roman"/>
                <w:color w:val="auto"/>
                <w:sz w:val="21"/>
                <w:szCs w:val="21"/>
                <w:u w:val="none" w:color="auto"/>
              </w:rPr>
              <w:t>污水处理厂</w:t>
            </w:r>
            <w:r>
              <w:rPr>
                <w:rFonts w:hint="eastAsia" w:ascii="Times New Roman" w:hAnsi="Times New Roman"/>
                <w:color w:val="auto"/>
                <w:sz w:val="21"/>
                <w:szCs w:val="21"/>
                <w:u w:val="none" w:color="auto"/>
                <w:lang w:val="en-US" w:eastAsia="zh-CN"/>
              </w:rPr>
              <w:t>纳管协议</w:t>
            </w:r>
            <w:r>
              <w:rPr>
                <w:rFonts w:ascii="Times New Roman" w:hAnsi="Times New Roman"/>
                <w:color w:val="auto"/>
                <w:sz w:val="21"/>
                <w:szCs w:val="21"/>
                <w:u w:val="none" w:color="auto"/>
              </w:rPr>
              <w:t>标准</w:t>
            </w:r>
          </w:p>
        </w:tc>
        <w:tc>
          <w:tcPr>
            <w:tcW w:w="451"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6~9</w:t>
            </w:r>
          </w:p>
        </w:tc>
        <w:tc>
          <w:tcPr>
            <w:tcW w:w="5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≤500</w:t>
            </w:r>
          </w:p>
        </w:tc>
        <w:tc>
          <w:tcPr>
            <w:tcW w:w="60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≤300</w:t>
            </w:r>
          </w:p>
        </w:tc>
        <w:tc>
          <w:tcPr>
            <w:tcW w:w="540"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≤400</w:t>
            </w:r>
          </w:p>
        </w:tc>
        <w:tc>
          <w:tcPr>
            <w:tcW w:w="676" w:type="pct"/>
            <w:vAlign w:val="center"/>
          </w:tcPr>
          <w:p>
            <w:pPr>
              <w:pageBreakBefore w:val="0"/>
              <w:kinsoku/>
              <w:wordWrap/>
              <w:overflowPunct w:val="0"/>
              <w:topLinePunct/>
              <w:autoSpaceDE w:val="0"/>
              <w:autoSpaceDN w:val="0"/>
              <w:bidi w:val="0"/>
              <w:spacing w:line="240" w:lineRule="auto"/>
              <w:ind w:firstLine="0" w:firstLineChars="0"/>
              <w:jc w:val="center"/>
              <w:rPr>
                <w:rFonts w:hint="default" w:ascii="Times New Roman" w:hAnsi="Times New Roman" w:eastAsia="宋体"/>
                <w:color w:val="auto"/>
                <w:sz w:val="21"/>
                <w:szCs w:val="21"/>
                <w:u w:val="none" w:color="auto"/>
                <w:lang w:val="en-US" w:eastAsia="zh-CN"/>
              </w:rPr>
            </w:pPr>
            <w:r>
              <w:rPr>
                <w:rFonts w:ascii="Times New Roman" w:hAnsi="Times New Roman" w:eastAsia="Calibri"/>
                <w:color w:val="auto"/>
                <w:sz w:val="21"/>
                <w:szCs w:val="21"/>
                <w:u w:val="none" w:color="auto"/>
              </w:rPr>
              <w:t>≤</w:t>
            </w:r>
            <w:r>
              <w:rPr>
                <w:rFonts w:hint="eastAsia" w:ascii="Times New Roman" w:hAnsi="Times New Roman" w:eastAsia="宋体"/>
                <w:color w:val="auto"/>
                <w:sz w:val="21"/>
                <w:szCs w:val="21"/>
                <w:u w:val="none" w:color="auto"/>
                <w:lang w:val="en-US" w:eastAsia="zh-CN"/>
              </w:rPr>
              <w:t>30</w:t>
            </w:r>
          </w:p>
        </w:tc>
        <w:tc>
          <w:tcPr>
            <w:tcW w:w="386" w:type="pct"/>
            <w:vAlign w:val="center"/>
          </w:tcPr>
          <w:p>
            <w:pPr>
              <w:pageBreakBefore w:val="0"/>
              <w:kinsoku/>
              <w:wordWrap/>
              <w:overflowPunct w:val="0"/>
              <w:topLinePunct/>
              <w:autoSpaceDE w:val="0"/>
              <w:autoSpaceDN w:val="0"/>
              <w:bidi w:val="0"/>
              <w:spacing w:line="240" w:lineRule="auto"/>
              <w:ind w:firstLine="0" w:firstLineChars="0"/>
              <w:jc w:val="center"/>
              <w:rPr>
                <w:rFonts w:hint="eastAsia" w:ascii="Times New Roman" w:hAnsi="Times New Roman" w:eastAsia="宋体"/>
                <w:color w:val="auto"/>
                <w:sz w:val="21"/>
                <w:szCs w:val="21"/>
                <w:u w:val="none" w:color="auto"/>
                <w:lang w:eastAsia="zh-CN"/>
              </w:rPr>
            </w:pPr>
            <w:r>
              <w:rPr>
                <w:rFonts w:ascii="Times New Roman" w:hAnsi="Times New Roman" w:eastAsia="Calibri"/>
                <w:color w:val="auto"/>
                <w:sz w:val="21"/>
                <w:szCs w:val="21"/>
                <w:u w:val="none" w:color="auto"/>
              </w:rPr>
              <w:t>≤</w:t>
            </w:r>
            <w:r>
              <w:rPr>
                <w:rFonts w:hint="eastAsia" w:ascii="Times New Roman" w:hAnsi="Times New Roman" w:eastAsia="宋体"/>
                <w:color w:val="auto"/>
                <w:sz w:val="21"/>
                <w:szCs w:val="21"/>
                <w:u w:val="none" w:color="auto"/>
                <w:lang w:val="en-US" w:eastAsia="zh-CN"/>
              </w:rPr>
              <w:t>3</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ascii="Times New Roman" w:hAnsi="Times New Roman" w:eastAsia="Calibri"/>
                <w:color w:val="auto"/>
                <w:sz w:val="21"/>
                <w:szCs w:val="21"/>
                <w:u w:val="none" w:color="auto"/>
              </w:rPr>
              <w:t>≤</w:t>
            </w:r>
            <w:r>
              <w:rPr>
                <w:rFonts w:hint="eastAsia" w:ascii="Times New Roman" w:hAnsi="Times New Roman"/>
                <w:color w:val="auto"/>
                <w:sz w:val="21"/>
                <w:szCs w:val="21"/>
                <w:u w:val="none" w:color="auto"/>
                <w:lang w:val="en-US" w:eastAsia="zh-CN"/>
              </w:rPr>
              <w:t>40</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ascii="Times New Roman" w:hAnsi="Times New Roman" w:eastAsia="Calibri"/>
                <w:color w:val="auto"/>
                <w:sz w:val="21"/>
                <w:szCs w:val="21"/>
                <w:u w:val="none" w:color="auto"/>
              </w:rPr>
              <w:t>≤</w:t>
            </w:r>
            <w:r>
              <w:rPr>
                <w:rFonts w:ascii="Times New Roman" w:hAnsi="Times New Roman"/>
                <w:color w:val="auto"/>
                <w:sz w:val="21"/>
                <w:szCs w:val="21"/>
                <w:u w:val="none" w:color="auto"/>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hint="eastAsia" w:ascii="Times New Roman" w:hAnsi="Times New Roman"/>
                <w:color w:val="auto"/>
                <w:sz w:val="21"/>
                <w:szCs w:val="21"/>
                <w:u w:val="none" w:color="auto"/>
              </w:rPr>
              <w:t>本项目排放标准</w:t>
            </w:r>
          </w:p>
        </w:tc>
        <w:tc>
          <w:tcPr>
            <w:tcW w:w="451"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6~9</w:t>
            </w:r>
          </w:p>
        </w:tc>
        <w:tc>
          <w:tcPr>
            <w:tcW w:w="5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≤500</w:t>
            </w:r>
          </w:p>
        </w:tc>
        <w:tc>
          <w:tcPr>
            <w:tcW w:w="608"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≤300</w:t>
            </w:r>
          </w:p>
        </w:tc>
        <w:tc>
          <w:tcPr>
            <w:tcW w:w="540"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≤400</w:t>
            </w:r>
          </w:p>
        </w:tc>
        <w:tc>
          <w:tcPr>
            <w:tcW w:w="676" w:type="pct"/>
            <w:vAlign w:val="center"/>
          </w:tcPr>
          <w:p>
            <w:pPr>
              <w:pageBreakBefore w:val="0"/>
              <w:kinsoku/>
              <w:wordWrap/>
              <w:overflowPunct w:val="0"/>
              <w:topLinePunct/>
              <w:autoSpaceDE w:val="0"/>
              <w:autoSpaceDN w:val="0"/>
              <w:bidi w:val="0"/>
              <w:spacing w:line="240" w:lineRule="auto"/>
              <w:ind w:firstLine="0" w:firstLineChars="0"/>
              <w:jc w:val="center"/>
              <w:rPr>
                <w:rFonts w:hint="default" w:ascii="Times New Roman" w:hAnsi="Times New Roman" w:eastAsia="宋体"/>
                <w:color w:val="auto"/>
                <w:sz w:val="21"/>
                <w:szCs w:val="21"/>
                <w:u w:val="none" w:color="auto"/>
                <w:lang w:val="en-US" w:eastAsia="zh-CN"/>
              </w:rPr>
            </w:pPr>
            <w:r>
              <w:rPr>
                <w:rFonts w:ascii="Times New Roman" w:hAnsi="Times New Roman" w:eastAsia="Calibri"/>
                <w:color w:val="auto"/>
                <w:sz w:val="21"/>
                <w:szCs w:val="21"/>
                <w:u w:val="none" w:color="auto"/>
              </w:rPr>
              <w:t>≤</w:t>
            </w:r>
            <w:r>
              <w:rPr>
                <w:rFonts w:hint="eastAsia" w:ascii="Times New Roman" w:hAnsi="Times New Roman" w:eastAsia="宋体"/>
                <w:color w:val="auto"/>
                <w:sz w:val="21"/>
                <w:szCs w:val="21"/>
                <w:u w:val="none" w:color="auto"/>
                <w:lang w:val="en-US" w:eastAsia="zh-CN"/>
              </w:rPr>
              <w:t>30</w:t>
            </w:r>
          </w:p>
        </w:tc>
        <w:tc>
          <w:tcPr>
            <w:tcW w:w="386" w:type="pct"/>
            <w:vAlign w:val="center"/>
          </w:tcPr>
          <w:p>
            <w:pPr>
              <w:pageBreakBefore w:val="0"/>
              <w:kinsoku/>
              <w:wordWrap/>
              <w:overflowPunct w:val="0"/>
              <w:topLinePunct/>
              <w:autoSpaceDE w:val="0"/>
              <w:autoSpaceDN w:val="0"/>
              <w:bidi w:val="0"/>
              <w:spacing w:line="240" w:lineRule="auto"/>
              <w:ind w:firstLine="0" w:firstLineChars="0"/>
              <w:jc w:val="center"/>
              <w:rPr>
                <w:rFonts w:hint="eastAsia" w:ascii="Times New Roman" w:hAnsi="Times New Roman" w:eastAsia="宋体"/>
                <w:color w:val="auto"/>
                <w:sz w:val="21"/>
                <w:szCs w:val="21"/>
                <w:u w:val="none" w:color="auto"/>
                <w:lang w:eastAsia="zh-CN"/>
              </w:rPr>
            </w:pPr>
            <w:r>
              <w:rPr>
                <w:rFonts w:ascii="Times New Roman" w:hAnsi="Times New Roman" w:eastAsia="Calibri"/>
                <w:color w:val="auto"/>
                <w:sz w:val="21"/>
                <w:szCs w:val="21"/>
                <w:u w:val="none" w:color="auto"/>
              </w:rPr>
              <w:t>≤</w:t>
            </w:r>
            <w:r>
              <w:rPr>
                <w:rFonts w:hint="eastAsia" w:ascii="Times New Roman" w:hAnsi="Times New Roman" w:eastAsia="宋体"/>
                <w:color w:val="auto"/>
                <w:sz w:val="21"/>
                <w:szCs w:val="21"/>
                <w:u w:val="none" w:color="auto"/>
                <w:lang w:val="en-US" w:eastAsia="zh-CN"/>
              </w:rPr>
              <w:t>3</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ascii="Times New Roman" w:hAnsi="Times New Roman" w:eastAsia="Calibri"/>
                <w:color w:val="auto"/>
                <w:sz w:val="21"/>
                <w:szCs w:val="21"/>
                <w:u w:val="none" w:color="auto"/>
              </w:rPr>
              <w:t>≤</w:t>
            </w:r>
            <w:r>
              <w:rPr>
                <w:rFonts w:hint="eastAsia" w:ascii="Times New Roman" w:hAnsi="Times New Roman"/>
                <w:color w:val="auto"/>
                <w:sz w:val="21"/>
                <w:szCs w:val="21"/>
                <w:u w:val="none" w:color="auto"/>
                <w:lang w:val="en-US" w:eastAsia="zh-CN"/>
              </w:rPr>
              <w:t>40</w:t>
            </w:r>
          </w:p>
        </w:tc>
        <w:tc>
          <w:tcPr>
            <w:tcW w:w="452"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ascii="Times New Roman" w:hAnsi="Times New Roman" w:eastAsia="Calibri"/>
                <w:color w:val="auto"/>
                <w:sz w:val="21"/>
                <w:szCs w:val="21"/>
                <w:u w:val="none" w:color="auto"/>
              </w:rPr>
              <w:t>≤</w:t>
            </w:r>
            <w:r>
              <w:rPr>
                <w:rFonts w:ascii="Times New Roman" w:hAnsi="Times New Roman"/>
                <w:color w:val="auto"/>
                <w:sz w:val="21"/>
                <w:szCs w:val="21"/>
                <w:u w:val="none" w:color="auto"/>
              </w:rPr>
              <w:t>15</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bCs/>
          <w:color w:val="auto"/>
          <w:spacing w:val="14"/>
          <w:kern w:val="2"/>
          <w:sz w:val="24"/>
          <w:szCs w:val="24"/>
          <w:u w:val="none" w:color="auto"/>
          <w:lang w:val="en-US" w:eastAsia="zh-CN" w:bidi="ar-SA"/>
        </w:rPr>
      </w:pPr>
      <w:r>
        <w:rPr>
          <w:rFonts w:hint="eastAsia" w:ascii="Times New Roman" w:hAnsi="Times New Roman" w:eastAsia="宋体" w:cs="Times New Roman"/>
          <w:b/>
          <w:bCs/>
          <w:color w:val="auto"/>
          <w:spacing w:val="14"/>
          <w:kern w:val="2"/>
          <w:sz w:val="24"/>
          <w:szCs w:val="24"/>
          <w:u w:val="none" w:color="auto"/>
          <w:lang w:val="en-US" w:eastAsia="zh-CN" w:bidi="ar-SA"/>
        </w:rPr>
        <w:t>表2.2-6《城镇污水处理厂污染物排放标准》中一级A标准（单位：mg/L）</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59"/>
        <w:gridCol w:w="895"/>
        <w:gridCol w:w="896"/>
        <w:gridCol w:w="891"/>
        <w:gridCol w:w="766"/>
        <w:gridCol w:w="1023"/>
        <w:gridCol w:w="1023"/>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94"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污染物名称</w:t>
            </w:r>
          </w:p>
        </w:tc>
        <w:tc>
          <w:tcPr>
            <w:tcW w:w="536"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pH</w:t>
            </w:r>
          </w:p>
        </w:tc>
        <w:tc>
          <w:tcPr>
            <w:tcW w:w="537"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SS</w:t>
            </w:r>
          </w:p>
        </w:tc>
        <w:tc>
          <w:tcPr>
            <w:tcW w:w="534"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COD</w:t>
            </w:r>
          </w:p>
        </w:tc>
        <w:tc>
          <w:tcPr>
            <w:tcW w:w="459"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hint="eastAsia" w:ascii="Times New Roman" w:hAnsi="Times New Roman"/>
                <w:color w:val="auto"/>
                <w:sz w:val="21"/>
                <w:szCs w:val="21"/>
                <w:u w:val="none" w:color="auto"/>
              </w:rPr>
              <w:t>BOD</w:t>
            </w:r>
            <w:r>
              <w:rPr>
                <w:rFonts w:hint="eastAsia" w:ascii="Times New Roman" w:hAnsi="Times New Roman"/>
                <w:color w:val="auto"/>
                <w:sz w:val="21"/>
                <w:szCs w:val="21"/>
                <w:u w:val="none" w:color="auto"/>
                <w:vertAlign w:val="subscript"/>
              </w:rPr>
              <w:t>5</w:t>
            </w:r>
          </w:p>
        </w:tc>
        <w:tc>
          <w:tcPr>
            <w:tcW w:w="613"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氨氮</w:t>
            </w:r>
          </w:p>
        </w:tc>
        <w:tc>
          <w:tcPr>
            <w:tcW w:w="613"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石油类</w:t>
            </w:r>
          </w:p>
        </w:tc>
        <w:tc>
          <w:tcPr>
            <w:tcW w:w="710"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color w:val="auto"/>
                <w:sz w:val="21"/>
                <w:szCs w:val="21"/>
                <w:u w:val="none" w:color="auto"/>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94"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标准限值</w:t>
            </w:r>
          </w:p>
        </w:tc>
        <w:tc>
          <w:tcPr>
            <w:tcW w:w="536"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6～9</w:t>
            </w:r>
          </w:p>
        </w:tc>
        <w:tc>
          <w:tcPr>
            <w:tcW w:w="537"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10</w:t>
            </w:r>
          </w:p>
        </w:tc>
        <w:tc>
          <w:tcPr>
            <w:tcW w:w="534"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50</w:t>
            </w:r>
          </w:p>
        </w:tc>
        <w:tc>
          <w:tcPr>
            <w:tcW w:w="459"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10</w:t>
            </w:r>
          </w:p>
        </w:tc>
        <w:tc>
          <w:tcPr>
            <w:tcW w:w="613"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5</w:t>
            </w:r>
          </w:p>
        </w:tc>
        <w:tc>
          <w:tcPr>
            <w:tcW w:w="613"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eastAsia="Calibri"/>
                <w:color w:val="auto"/>
                <w:sz w:val="21"/>
                <w:szCs w:val="21"/>
                <w:u w:val="none" w:color="auto"/>
              </w:rPr>
            </w:pPr>
            <w:r>
              <w:rPr>
                <w:rFonts w:ascii="Times New Roman" w:hAnsi="Times New Roman" w:eastAsia="Calibri"/>
                <w:color w:val="auto"/>
                <w:sz w:val="21"/>
                <w:szCs w:val="21"/>
                <w:u w:val="none" w:color="auto"/>
              </w:rPr>
              <w:t>1</w:t>
            </w:r>
          </w:p>
        </w:tc>
        <w:tc>
          <w:tcPr>
            <w:tcW w:w="710" w:type="pct"/>
            <w:vAlign w:val="center"/>
          </w:tcPr>
          <w:p>
            <w:pPr>
              <w:pageBreakBefore w:val="0"/>
              <w:kinsoku/>
              <w:wordWrap/>
              <w:overflowPunct w:val="0"/>
              <w:topLinePunct/>
              <w:autoSpaceDE w:val="0"/>
              <w:autoSpaceDN w:val="0"/>
              <w:bidi w:val="0"/>
              <w:spacing w:line="240" w:lineRule="auto"/>
              <w:ind w:firstLine="0" w:firstLineChars="0"/>
              <w:jc w:val="center"/>
              <w:rPr>
                <w:rFonts w:ascii="Times New Roman" w:hAnsi="Times New Roman"/>
                <w:color w:val="auto"/>
                <w:sz w:val="21"/>
                <w:szCs w:val="21"/>
                <w:u w:val="none" w:color="auto"/>
              </w:rPr>
            </w:pPr>
            <w:r>
              <w:rPr>
                <w:rFonts w:ascii="Times New Roman" w:hAnsi="Times New Roman" w:eastAsia="Calibri"/>
                <w:color w:val="auto"/>
                <w:sz w:val="21"/>
                <w:szCs w:val="21"/>
                <w:u w:val="none" w:color="auto"/>
              </w:rPr>
              <w:t>≤</w:t>
            </w:r>
            <w:r>
              <w:rPr>
                <w:rFonts w:ascii="Times New Roman" w:hAnsi="Times New Roman"/>
                <w:color w:val="auto"/>
                <w:sz w:val="21"/>
                <w:szCs w:val="21"/>
                <w:u w:val="none" w:color="auto"/>
              </w:rPr>
              <w:t>0.5</w:t>
            </w:r>
          </w:p>
        </w:tc>
      </w:tr>
    </w:tbl>
    <w:p>
      <w:pPr>
        <w:pageBreakBefore w:val="0"/>
        <w:kinsoku/>
        <w:wordWrap/>
        <w:overflowPunct w:val="0"/>
        <w:topLinePunct/>
        <w:autoSpaceDE w:val="0"/>
        <w:autoSpaceDN w:val="0"/>
        <w:bidi w:val="0"/>
        <w:adjustRightInd w:val="0"/>
        <w:snapToGrid w:val="0"/>
        <w:spacing w:before="120" w:beforeLines="50" w:line="360" w:lineRule="auto"/>
        <w:ind w:firstLine="482" w:firstLineChars="200"/>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（3）噪声</w:t>
      </w:r>
    </w:p>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施工期厂界执行《建筑施工场界环境噪声排放标准》（GB12523-2011），运营期厂界执行《工业企业厂界环境噪声排放标准》（GB</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rPr>
        <w:t>2348-2008）3类标准，具体标准限值见下表。</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表2.2-</w:t>
      </w:r>
      <w:r>
        <w:rPr>
          <w:rFonts w:hint="eastAsia" w:ascii="Times New Roman" w:hAnsi="Times New Roman" w:eastAsia="宋体" w:cs="Times New Roman"/>
          <w:b/>
          <w:color w:val="auto"/>
          <w:sz w:val="24"/>
          <w:highlight w:val="none"/>
          <w:u w:val="none" w:color="auto"/>
          <w:lang w:val="en-US" w:eastAsia="zh-CN"/>
        </w:rPr>
        <w:t>7</w:t>
      </w:r>
      <w:r>
        <w:rPr>
          <w:rFonts w:hint="default" w:ascii="Times New Roman" w:hAnsi="Times New Roman" w:eastAsia="宋体" w:cs="Times New Roman"/>
          <w:b/>
          <w:color w:val="auto"/>
          <w:sz w:val="24"/>
          <w:highlight w:val="none"/>
          <w:u w:val="none" w:color="auto"/>
        </w:rPr>
        <w:t>噪声排放执行标准单位：LeqdB(A)</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45"/>
        <w:gridCol w:w="1350"/>
        <w:gridCol w:w="12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45" w:type="dxa"/>
            <w:vMerge w:val="restar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项目</w:t>
            </w:r>
          </w:p>
        </w:tc>
        <w:tc>
          <w:tcPr>
            <w:tcW w:w="2622" w:type="dxa"/>
            <w:gridSpan w:val="2"/>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噪声限值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45" w:type="dxa"/>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p>
        </w:tc>
        <w:tc>
          <w:tcPr>
            <w:tcW w:w="1350" w:type="dxa"/>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昼间</w:t>
            </w:r>
          </w:p>
        </w:tc>
        <w:tc>
          <w:tcPr>
            <w:tcW w:w="1272" w:type="dxa"/>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45" w:type="dxa"/>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《建筑施工场界环境噪声排放标准》（GB12523-2011）</w:t>
            </w:r>
          </w:p>
        </w:tc>
        <w:tc>
          <w:tcPr>
            <w:tcW w:w="1350" w:type="dxa"/>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70</w:t>
            </w:r>
          </w:p>
        </w:tc>
        <w:tc>
          <w:tcPr>
            <w:tcW w:w="1272" w:type="dxa"/>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45" w:type="dxa"/>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highlight w:val="none"/>
                <w:u w:val="none" w:color="auto"/>
              </w:rPr>
              <w:t>《工业企业厂界环境噪声排放标准》（GB12348-2008）3类</w:t>
            </w:r>
          </w:p>
        </w:tc>
        <w:tc>
          <w:tcPr>
            <w:tcW w:w="1350" w:type="dxa"/>
            <w:vAlign w:val="center"/>
          </w:tcPr>
          <w:p>
            <w:pPr>
              <w:pageBreakBefore w:val="0"/>
              <w:kinsoku/>
              <w:wordWrap/>
              <w:overflowPunct w:val="0"/>
              <w:topLinePunct/>
              <w:autoSpaceDE w:val="0"/>
              <w:autoSpaceDN w:val="0"/>
              <w:bidi w:val="0"/>
              <w:adjustRightInd w:val="0"/>
              <w:snapToGrid w:val="0"/>
              <w:jc w:val="center"/>
              <w:textAlignment w:val="baseline"/>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65</w:t>
            </w:r>
          </w:p>
        </w:tc>
        <w:tc>
          <w:tcPr>
            <w:tcW w:w="1272" w:type="dxa"/>
            <w:vAlign w:val="center"/>
          </w:tcPr>
          <w:p>
            <w:pPr>
              <w:pageBreakBefore w:val="0"/>
              <w:kinsoku/>
              <w:wordWrap/>
              <w:overflowPunct w:val="0"/>
              <w:topLinePunct/>
              <w:autoSpaceDE w:val="0"/>
              <w:autoSpaceDN w:val="0"/>
              <w:bidi w:val="0"/>
              <w:adjustRightInd w:val="0"/>
              <w:snapToGrid w:val="0"/>
              <w:jc w:val="center"/>
              <w:textAlignment w:val="baseline"/>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55</w:t>
            </w:r>
          </w:p>
        </w:tc>
      </w:tr>
    </w:tbl>
    <w:p>
      <w:pPr>
        <w:pageBreakBefore w:val="0"/>
        <w:kinsoku/>
        <w:wordWrap/>
        <w:overflowPunct w:val="0"/>
        <w:topLinePunct/>
        <w:autoSpaceDE w:val="0"/>
        <w:autoSpaceDN w:val="0"/>
        <w:bidi w:val="0"/>
        <w:adjustRightInd w:val="0"/>
        <w:snapToGrid w:val="0"/>
        <w:spacing w:before="120" w:beforeLines="50" w:line="360" w:lineRule="auto"/>
        <w:ind w:firstLine="482" w:firstLineChars="200"/>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（4）固体废物</w:t>
      </w:r>
    </w:p>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bookmarkStart w:id="58" w:name="_Toc30217"/>
      <w:r>
        <w:rPr>
          <w:rFonts w:hint="default" w:ascii="Times New Roman" w:hAnsi="Times New Roman" w:eastAsia="宋体" w:cs="Times New Roman"/>
          <w:color w:val="auto"/>
          <w:sz w:val="24"/>
          <w:highlight w:val="none"/>
          <w:u w:val="none" w:color="auto"/>
        </w:rPr>
        <w:t>固体废物：危险废物执行《危险废物贮存污染控制标准》(GB18597-20</w:t>
      </w:r>
      <w:r>
        <w:rPr>
          <w:rFonts w:hint="eastAsia" w:ascii="Times New Roman" w:hAnsi="Times New Roman" w:eastAsia="宋体" w:cs="Times New Roman"/>
          <w:color w:val="auto"/>
          <w:sz w:val="24"/>
          <w:highlight w:val="none"/>
          <w:u w:val="none" w:color="auto"/>
          <w:lang w:val="en-US" w:eastAsia="zh-CN"/>
        </w:rPr>
        <w:t>23</w:t>
      </w:r>
      <w:r>
        <w:rPr>
          <w:rFonts w:hint="default" w:ascii="Times New Roman" w:hAnsi="Times New Roman" w:eastAsia="宋体" w:cs="Times New Roman"/>
          <w:color w:val="auto"/>
          <w:sz w:val="24"/>
          <w:highlight w:val="none"/>
          <w:u w:val="none" w:color="auto"/>
        </w:rPr>
        <w:t>)</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一般固废执行《一般工业固体废物贮存和填埋污染控制标准》(GB18599-2020)。</w:t>
      </w:r>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59" w:name="_Toc25248"/>
      <w:r>
        <w:rPr>
          <w:rFonts w:hint="default" w:ascii="Times New Roman" w:hAnsi="Times New Roman" w:eastAsia="宋体" w:cs="Times New Roman"/>
          <w:color w:val="auto"/>
          <w:highlight w:val="none"/>
          <w:u w:val="none" w:color="auto"/>
        </w:rPr>
        <w:t>2.3评价工作等级和评价重点</w:t>
      </w:r>
      <w:bookmarkEnd w:id="58"/>
      <w:bookmarkEnd w:id="59"/>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根据国家环保部颁布的相关《环境影响评价技术导则》，经分析而确定本项目大气、地面水、地下水、声环境、土壤和环境风险影响评价等级。</w:t>
      </w:r>
    </w:p>
    <w:p>
      <w:pPr>
        <w:pStyle w:val="7"/>
        <w:bidi w:val="0"/>
        <w:rPr>
          <w:rFonts w:hint="default"/>
          <w:color w:val="auto"/>
          <w:sz w:val="28"/>
          <w:szCs w:val="28"/>
        </w:rPr>
      </w:pPr>
      <w:bookmarkStart w:id="60" w:name="_Toc27012"/>
      <w:r>
        <w:rPr>
          <w:rFonts w:hint="eastAsia"/>
          <w:color w:val="auto"/>
          <w:sz w:val="28"/>
          <w:szCs w:val="28"/>
          <w:lang w:val="en-US" w:eastAsia="zh-CN"/>
        </w:rPr>
        <w:t>2.3.1</w:t>
      </w:r>
      <w:r>
        <w:rPr>
          <w:rFonts w:hint="default"/>
          <w:color w:val="auto"/>
          <w:sz w:val="28"/>
          <w:szCs w:val="28"/>
        </w:rPr>
        <w:t>大气环境影响评价等级</w:t>
      </w:r>
      <w:bookmarkEnd w:id="60"/>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环境影响评价技术导则大气环境》（HJ2.2-2018）的规定，选择项目污染源正常排放的主要污染物及排放参数，采用附录A推荐模型中的估算模型AERSCREEN分别计算项目污染源的最大环境影响，然后按评价工作分级判据进行分级。</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项目污染源初步调查结果，分别计算项目排放的主要污染物的最大地面空气质量浓度占标率Pi及第i个污染物的地面空气质量浓度达到标准值的10%时所对应的最远距离D10%。其中，最大地面质量浓度占标率Pi计算公式如下：</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m:oMathPara>
        <m:oMath>
          <m:sSub>
            <m:sSubPr>
              <m:ctrlPr>
                <w:rPr>
                  <w:rFonts w:hint="default" w:ascii="Cambria Math" w:hAnsi="Cambria Math" w:eastAsia="宋体" w:cs="Times New Roman"/>
                  <w:color w:val="auto"/>
                  <w:sz w:val="24"/>
                  <w:highlight w:val="none"/>
                  <w:u w:val="none" w:color="auto"/>
                </w:rPr>
              </m:ctrlPr>
            </m:sSubPr>
            <m:e>
              <m:r>
                <m:rPr>
                  <m:sty m:val="p"/>
                </m:rPr>
                <w:rPr>
                  <w:rFonts w:hint="default" w:ascii="Cambria Math" w:hAnsi="Cambria Math" w:eastAsia="宋体" w:cs="Times New Roman"/>
                  <w:color w:val="auto"/>
                  <w:sz w:val="24"/>
                  <w:highlight w:val="none"/>
                  <w:u w:val="none" w:color="auto"/>
                </w:rPr>
                <m:t>P</m:t>
              </m:r>
              <m:ctrlPr>
                <w:rPr>
                  <w:rFonts w:hint="default" w:ascii="Cambria Math" w:hAnsi="Cambria Math" w:eastAsia="宋体" w:cs="Times New Roman"/>
                  <w:color w:val="auto"/>
                  <w:sz w:val="24"/>
                  <w:highlight w:val="none"/>
                  <w:u w:val="none" w:color="auto"/>
                </w:rPr>
              </m:ctrlPr>
            </m:e>
            <m:sub>
              <m:r>
                <m:rPr>
                  <m:sty m:val="p"/>
                </m:rPr>
                <w:rPr>
                  <w:rFonts w:hint="default" w:ascii="Cambria Math" w:hAnsi="Cambria Math" w:eastAsia="宋体" w:cs="Times New Roman"/>
                  <w:color w:val="auto"/>
                  <w:sz w:val="24"/>
                  <w:highlight w:val="none"/>
                  <w:u w:val="none" w:color="auto"/>
                </w:rPr>
                <m:t>i</m:t>
              </m:r>
              <m:ctrlPr>
                <w:rPr>
                  <w:rFonts w:hint="default" w:ascii="Cambria Math" w:hAnsi="Cambria Math" w:eastAsia="宋体" w:cs="Times New Roman"/>
                  <w:color w:val="auto"/>
                  <w:sz w:val="24"/>
                  <w:highlight w:val="none"/>
                  <w:u w:val="none" w:color="auto"/>
                </w:rPr>
              </m:ctrlPr>
            </m:sub>
          </m:sSub>
          <m:r>
            <m:rPr>
              <m:sty m:val="p"/>
            </m:rPr>
            <w:rPr>
              <w:rFonts w:hint="default" w:ascii="Cambria Math" w:hAnsi="Cambria Math" w:eastAsia="宋体" w:cs="Times New Roman"/>
              <w:color w:val="auto"/>
              <w:sz w:val="24"/>
              <w:highlight w:val="none"/>
              <w:u w:val="none" w:color="auto"/>
            </w:rPr>
            <m:t>=</m:t>
          </m:r>
          <m:f>
            <m:fPr>
              <m:ctrlPr>
                <w:rPr>
                  <w:rFonts w:hint="default" w:ascii="Cambria Math" w:hAnsi="Cambria Math" w:eastAsia="宋体" w:cs="Times New Roman"/>
                  <w:color w:val="auto"/>
                  <w:sz w:val="24"/>
                  <w:highlight w:val="none"/>
                  <w:u w:val="none" w:color="auto"/>
                </w:rPr>
              </m:ctrlPr>
            </m:fPr>
            <m:num>
              <m:sSub>
                <m:sSubPr>
                  <m:ctrlPr>
                    <w:rPr>
                      <w:rFonts w:hint="default" w:ascii="Cambria Math" w:hAnsi="Cambria Math" w:eastAsia="宋体" w:cs="Times New Roman"/>
                      <w:color w:val="auto"/>
                      <w:sz w:val="24"/>
                      <w:highlight w:val="none"/>
                      <w:u w:val="none" w:color="auto"/>
                    </w:rPr>
                  </m:ctrlPr>
                </m:sSubPr>
                <m:e>
                  <m:r>
                    <m:rPr>
                      <m:sty m:val="p"/>
                    </m:rPr>
                    <w:rPr>
                      <w:rFonts w:hint="default" w:ascii="Cambria Math" w:hAnsi="Cambria Math" w:eastAsia="宋体" w:cs="Times New Roman"/>
                      <w:color w:val="auto"/>
                      <w:sz w:val="24"/>
                      <w:highlight w:val="none"/>
                      <w:u w:val="none" w:color="auto"/>
                    </w:rPr>
                    <m:t>C</m:t>
                  </m:r>
                  <m:ctrlPr>
                    <w:rPr>
                      <w:rFonts w:hint="default" w:ascii="Cambria Math" w:hAnsi="Cambria Math" w:eastAsia="宋体" w:cs="Times New Roman"/>
                      <w:color w:val="auto"/>
                      <w:sz w:val="24"/>
                      <w:highlight w:val="none"/>
                      <w:u w:val="none" w:color="auto"/>
                    </w:rPr>
                  </m:ctrlPr>
                </m:e>
                <m:sub>
                  <m:r>
                    <m:rPr>
                      <m:sty m:val="p"/>
                    </m:rPr>
                    <w:rPr>
                      <w:rFonts w:hint="default" w:ascii="Cambria Math" w:hAnsi="Cambria Math" w:eastAsia="宋体" w:cs="Times New Roman"/>
                      <w:color w:val="auto"/>
                      <w:sz w:val="24"/>
                      <w:highlight w:val="none"/>
                      <w:u w:val="none" w:color="auto"/>
                    </w:rPr>
                    <m:t>i</m:t>
                  </m:r>
                  <m:ctrlPr>
                    <w:rPr>
                      <w:rFonts w:hint="default" w:ascii="Cambria Math" w:hAnsi="Cambria Math" w:eastAsia="宋体" w:cs="Times New Roman"/>
                      <w:color w:val="auto"/>
                      <w:sz w:val="24"/>
                      <w:highlight w:val="none"/>
                      <w:u w:val="none" w:color="auto"/>
                    </w:rPr>
                  </m:ctrlPr>
                </m:sub>
              </m:sSub>
              <m:ctrlPr>
                <w:rPr>
                  <w:rFonts w:hint="default" w:ascii="Cambria Math" w:hAnsi="Cambria Math" w:eastAsia="宋体" w:cs="Times New Roman"/>
                  <w:color w:val="auto"/>
                  <w:sz w:val="24"/>
                  <w:highlight w:val="none"/>
                  <w:u w:val="none" w:color="auto"/>
                </w:rPr>
              </m:ctrlPr>
            </m:num>
            <m:den>
              <m:sSub>
                <m:sSubPr>
                  <m:ctrlPr>
                    <w:rPr>
                      <w:rFonts w:hint="default" w:ascii="Cambria Math" w:hAnsi="Cambria Math" w:eastAsia="宋体" w:cs="Times New Roman"/>
                      <w:color w:val="auto"/>
                      <w:sz w:val="24"/>
                      <w:highlight w:val="none"/>
                      <w:u w:val="none" w:color="auto"/>
                    </w:rPr>
                  </m:ctrlPr>
                </m:sSubPr>
                <m:e>
                  <m:r>
                    <m:rPr>
                      <m:sty m:val="p"/>
                    </m:rPr>
                    <w:rPr>
                      <w:rFonts w:hint="default" w:ascii="Cambria Math" w:hAnsi="Cambria Math" w:eastAsia="宋体" w:cs="Times New Roman"/>
                      <w:color w:val="auto"/>
                      <w:sz w:val="24"/>
                      <w:highlight w:val="none"/>
                      <w:u w:val="none" w:color="auto"/>
                    </w:rPr>
                    <m:t>C</m:t>
                  </m:r>
                  <m:ctrlPr>
                    <w:rPr>
                      <w:rFonts w:hint="default" w:ascii="Cambria Math" w:hAnsi="Cambria Math" w:eastAsia="宋体" w:cs="Times New Roman"/>
                      <w:color w:val="auto"/>
                      <w:sz w:val="24"/>
                      <w:highlight w:val="none"/>
                      <w:u w:val="none" w:color="auto"/>
                    </w:rPr>
                  </m:ctrlPr>
                </m:e>
                <m:sub>
                  <m:r>
                    <m:rPr>
                      <m:sty m:val="p"/>
                    </m:rPr>
                    <w:rPr>
                      <w:rFonts w:hint="default" w:ascii="Cambria Math" w:hAnsi="Cambria Math" w:eastAsia="宋体" w:cs="Times New Roman"/>
                      <w:color w:val="auto"/>
                      <w:sz w:val="24"/>
                      <w:highlight w:val="none"/>
                      <w:u w:val="none" w:color="auto"/>
                    </w:rPr>
                    <m:t>0i</m:t>
                  </m:r>
                  <m:ctrlPr>
                    <w:rPr>
                      <w:rFonts w:hint="default" w:ascii="Cambria Math" w:hAnsi="Cambria Math" w:eastAsia="宋体" w:cs="Times New Roman"/>
                      <w:color w:val="auto"/>
                      <w:sz w:val="24"/>
                      <w:highlight w:val="none"/>
                      <w:u w:val="none" w:color="auto"/>
                    </w:rPr>
                  </m:ctrlPr>
                </m:sub>
              </m:sSub>
              <m:ctrlPr>
                <w:rPr>
                  <w:rFonts w:hint="default" w:ascii="Cambria Math" w:hAnsi="Cambria Math" w:eastAsia="宋体" w:cs="Times New Roman"/>
                  <w:color w:val="auto"/>
                  <w:sz w:val="24"/>
                  <w:highlight w:val="none"/>
                  <w:u w:val="none" w:color="auto"/>
                </w:rPr>
              </m:ctrlPr>
            </m:den>
          </m:f>
          <m:r>
            <m:rPr>
              <m:sty m:val="p"/>
            </m:rPr>
            <w:rPr>
              <w:rFonts w:hint="default" w:ascii="Cambria Math" w:hAnsi="Cambria Math" w:eastAsia="宋体" w:cs="Times New Roman"/>
              <w:color w:val="auto"/>
              <w:sz w:val="24"/>
              <w:highlight w:val="none"/>
              <w:u w:val="none" w:color="auto"/>
            </w:rPr>
            <m:t>×100%</m:t>
          </m:r>
        </m:oMath>
      </m:oMathPara>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式中：Pi—第i个污染物的最大地面质量浓度占标率，%；</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Ci—采用估算模式计算出的第i个污染物的最大1h地面空气质量浓度，ug/m3；</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Coi－第i个污染物的环境空气质量浓度标准，ug/m</w:t>
      </w:r>
      <w:r>
        <w:rPr>
          <w:rFonts w:hint="default" w:ascii="Times New Roman" w:hAnsi="Times New Roman" w:eastAsia="宋体" w:cs="Times New Roman"/>
          <w:color w:val="auto"/>
          <w:sz w:val="24"/>
          <w:highlight w:val="none"/>
          <w:u w:val="none" w:color="auto"/>
          <w:vertAlign w:val="superscript"/>
        </w:rPr>
        <w:t>3</w:t>
      </w:r>
      <w:r>
        <w:rPr>
          <w:rFonts w:hint="default" w:ascii="Times New Roman" w:hAnsi="Times New Roman" w:eastAsia="宋体" w:cs="Times New Roman"/>
          <w:color w:val="auto"/>
          <w:sz w:val="24"/>
          <w:highlight w:val="none"/>
          <w:u w:val="none" w:color="auto"/>
        </w:rPr>
        <w:t>，一般选用GB3095中1h平均质量浓度的二级浓度限值，对仅有8h平均质量浓度限值、日平均质量浓度限值或年平均质量浓度限值的，可分别按2倍、3倍、6倍折算为1h平均质量浓度限值。</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大气评价等级按下表的分级判据进行划分。</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表2.3-1大气评价等级判别表</w:t>
      </w:r>
    </w:p>
    <w:tbl>
      <w:tblPr>
        <w:tblStyle w:val="4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16"/>
        <w:gridCol w:w="5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03"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评价工作等级</w:t>
            </w:r>
          </w:p>
        </w:tc>
        <w:tc>
          <w:tcPr>
            <w:tcW w:w="2996"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03"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一级评价</w:t>
            </w:r>
          </w:p>
        </w:tc>
        <w:tc>
          <w:tcPr>
            <w:tcW w:w="2996"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03"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二级评价</w:t>
            </w:r>
          </w:p>
        </w:tc>
        <w:tc>
          <w:tcPr>
            <w:tcW w:w="2996"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1%≤Pmax&lt;10%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03"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三级评价</w:t>
            </w:r>
          </w:p>
        </w:tc>
        <w:tc>
          <w:tcPr>
            <w:tcW w:w="2996"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Pmax&lt;1%</w:t>
            </w:r>
          </w:p>
        </w:tc>
      </w:tr>
    </w:tbl>
    <w:p>
      <w:pPr>
        <w:pageBreakBefore w:val="0"/>
        <w:kinsoku/>
        <w:wordWrap/>
        <w:overflowPunct w:val="0"/>
        <w:topLinePunct/>
        <w:autoSpaceDE w:val="0"/>
        <w:autoSpaceDN w:val="0"/>
        <w:bidi w:val="0"/>
        <w:spacing w:line="120" w:lineRule="exact"/>
        <w:ind w:right="-113" w:firstLine="480" w:firstLineChars="200"/>
        <w:jc w:val="left"/>
        <w:rPr>
          <w:rFonts w:hint="default" w:ascii="Times New Roman" w:hAnsi="Times New Roman" w:eastAsia="宋体" w:cs="Times New Roman"/>
          <w:color w:val="auto"/>
          <w:kern w:val="0"/>
          <w:sz w:val="24"/>
          <w:highlight w:val="none"/>
          <w:u w:val="none" w:color="auto"/>
        </w:rPr>
      </w:pP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本项目估算模型参数见下表：</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表2.3-2项目估算模型参数表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09"/>
        <w:gridCol w:w="3987"/>
        <w:gridCol w:w="19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0" w:type="dxa"/>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参数</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restar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城市农村/选项</w:t>
            </w: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城市/农村</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人口数（城市人口数）</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0" w:type="dxa"/>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最高环境温度</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39.3°C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0" w:type="dxa"/>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最低环境温度</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-11.8°C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0" w:type="dxa"/>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土地利用类型</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0" w:type="dxa"/>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区域湿度条件</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潮湿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restar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是否考虑地形</w:t>
            </w: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考虑地形</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地形数据分辨率（m)</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restar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是否考虑海岸线熏烟</w:t>
            </w: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考虑海岸线熏烟</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海岸线距离/km</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9" w:type="dxa"/>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405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岸线方向/°</w:t>
            </w:r>
          </w:p>
        </w:tc>
        <w:tc>
          <w:tcPr>
            <w:tcW w:w="1961" w:type="dxa"/>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t>
            </w:r>
          </w:p>
        </w:tc>
      </w:tr>
    </w:tbl>
    <w:p>
      <w:pPr>
        <w:pageBreakBefore w:val="0"/>
        <w:kinsoku/>
        <w:wordWrap/>
        <w:overflowPunct w:val="0"/>
        <w:topLinePunct/>
        <w:autoSpaceDE w:val="0"/>
        <w:autoSpaceDN w:val="0"/>
        <w:bidi w:val="0"/>
        <w:rPr>
          <w:rFonts w:hint="default"/>
          <w:color w:val="auto"/>
        </w:rPr>
      </w:pP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项目主要污染源估算模型计算结果见下表。</w:t>
      </w:r>
    </w:p>
    <w:p>
      <w:pPr>
        <w:pageBreakBefore w:val="0"/>
        <w:widowControl/>
        <w:kinsoku/>
        <w:wordWrap/>
        <w:overflowPunct w:val="0"/>
        <w:topLinePunct/>
        <w:autoSpaceDE w:val="0"/>
        <w:autoSpaceDN w:val="0"/>
        <w:bidi w:val="0"/>
        <w:spacing w:line="360" w:lineRule="auto"/>
        <w:ind w:firstLine="482" w:firstLineChars="200"/>
        <w:jc w:val="center"/>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rPr>
        <w:t>表</w:t>
      </w:r>
      <w:r>
        <w:rPr>
          <w:rFonts w:hint="eastAsia" w:ascii="Times New Roman" w:hAnsi="Times New Roman" w:eastAsia="宋体" w:cs="Times New Roman"/>
          <w:b/>
          <w:bCs/>
          <w:color w:val="auto"/>
          <w:sz w:val="24"/>
          <w:highlight w:val="none"/>
          <w:u w:val="none" w:color="auto"/>
          <w:lang w:val="en-US" w:eastAsia="zh-CN"/>
        </w:rPr>
        <w:t>2.3-3</w:t>
      </w:r>
      <w:r>
        <w:rPr>
          <w:rFonts w:hint="default" w:ascii="Times New Roman" w:hAnsi="Times New Roman" w:eastAsia="宋体" w:cs="Times New Roman"/>
          <w:b/>
          <w:bCs/>
          <w:color w:val="auto"/>
          <w:sz w:val="24"/>
          <w:highlight w:val="none"/>
          <w:u w:val="none" w:color="auto"/>
        </w:rPr>
        <w:t>污染物下风向预测最大地面浓度、占标率一览表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91"/>
        <w:gridCol w:w="1156"/>
        <w:gridCol w:w="1877"/>
        <w:gridCol w:w="1877"/>
        <w:gridCol w:w="1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9"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类别</w:t>
            </w:r>
          </w:p>
        </w:tc>
        <w:tc>
          <w:tcPr>
            <w:tcW w:w="1091"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污染源</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污染物</w:t>
            </w:r>
          </w:p>
        </w:tc>
        <w:tc>
          <w:tcPr>
            <w:tcW w:w="1877"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下风向最大落地浓度（μg/m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1877"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最大落地浓度占标率Pmax（%）</w:t>
            </w:r>
          </w:p>
        </w:tc>
        <w:tc>
          <w:tcPr>
            <w:tcW w:w="176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下风向最大浓度出现距离m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有组织</w:t>
            </w: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DA001</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TSP</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0.0032</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1.08</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氯化氢</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氟化物</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DA002</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二氧化硫</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氮氧化物</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0.0034</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1.35</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DA00</w:t>
            </w:r>
            <w:r>
              <w:rPr>
                <w:rFonts w:hint="eastAsia" w:ascii="Times New Roman" w:hAnsi="Times New Roman" w:eastAsia="宋体" w:cs="Times New Roman"/>
                <w:color w:val="auto"/>
                <w:sz w:val="21"/>
                <w:szCs w:val="21"/>
                <w:u w:val="none" w:color="auto"/>
                <w:lang w:val="en-US" w:eastAsia="zh-CN"/>
              </w:rPr>
              <w:t>3</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0.72</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0.006</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0.5</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无组织</w:t>
            </w: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熔炼</w:t>
            </w:r>
            <w:r>
              <w:rPr>
                <w:rFonts w:hint="default" w:ascii="Times New Roman" w:hAnsi="Times New Roman" w:eastAsia="宋体" w:cs="Times New Roman"/>
                <w:color w:val="auto"/>
                <w:sz w:val="21"/>
                <w:szCs w:val="21"/>
                <w:u w:val="none" w:color="auto"/>
              </w:rPr>
              <w:t>车间</w:t>
            </w: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0.0255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8.67</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氯化氢</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0.0028</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2.82</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氟化物</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val="en-US" w:eastAsia="zh-CN"/>
              </w:rPr>
              <w:t>镁板轧机</w:t>
            </w:r>
            <w:r>
              <w:rPr>
                <w:rFonts w:hint="default" w:ascii="Times New Roman" w:hAnsi="Times New Roman" w:eastAsia="宋体" w:cs="Times New Roman"/>
                <w:color w:val="auto"/>
                <w:sz w:val="21"/>
                <w:szCs w:val="21"/>
                <w:u w:val="none" w:color="auto"/>
              </w:rPr>
              <w:t>车间</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76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表面处理车间</w:t>
            </w: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8.51</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0.29</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bl>
    <w:p>
      <w:pPr>
        <w:pageBreakBefore w:val="0"/>
        <w:widowControl/>
        <w:kinsoku/>
        <w:wordWrap/>
        <w:overflowPunct w:val="0"/>
        <w:topLinePunct/>
        <w:autoSpaceDE w:val="0"/>
        <w:autoSpaceDN w:val="0"/>
        <w:bidi w:val="0"/>
        <w:spacing w:line="360" w:lineRule="auto"/>
        <w:ind w:firstLine="480" w:firstLineChars="200"/>
        <w:jc w:val="left"/>
        <w:rPr>
          <w:rFonts w:hint="eastAsia"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rPr>
        <w:t>由估算模式计算结果可知，项目废气排放的污染因子中地面浓度占标率最大的是</w:t>
      </w:r>
      <w:r>
        <w:rPr>
          <w:rFonts w:hint="eastAsia" w:ascii="Times New Roman" w:hAnsi="Times New Roman" w:eastAsia="宋体" w:cs="Times New Roman"/>
          <w:color w:val="auto"/>
          <w:sz w:val="24"/>
          <w:highlight w:val="none"/>
          <w:u w:val="none" w:color="auto"/>
          <w:lang w:eastAsia="zh-CN"/>
        </w:rPr>
        <w:t>熔炼车间有组织</w:t>
      </w:r>
      <w:r>
        <w:rPr>
          <w:rFonts w:hint="default" w:ascii="Times New Roman" w:hAnsi="Times New Roman" w:eastAsia="宋体" w:cs="Times New Roman"/>
          <w:color w:val="auto"/>
          <w:sz w:val="24"/>
          <w:highlight w:val="none"/>
          <w:u w:val="none" w:color="auto"/>
        </w:rPr>
        <w:t>排放的</w:t>
      </w:r>
      <w:r>
        <w:rPr>
          <w:rFonts w:hint="eastAsia" w:ascii="Times New Roman" w:hAnsi="Times New Roman" w:eastAsia="宋体" w:cs="Times New Roman"/>
          <w:color w:val="auto"/>
          <w:sz w:val="24"/>
          <w:highlight w:val="none"/>
          <w:u w:val="none" w:color="auto"/>
          <w:lang w:val="en-US" w:eastAsia="zh-CN"/>
        </w:rPr>
        <w:t>TSP</w:t>
      </w:r>
      <w:r>
        <w:rPr>
          <w:rFonts w:hint="default" w:ascii="Times New Roman" w:hAnsi="Times New Roman" w:eastAsia="宋体" w:cs="Times New Roman"/>
          <w:color w:val="auto"/>
          <w:sz w:val="24"/>
          <w:highlight w:val="none"/>
          <w:u w:val="none" w:color="auto"/>
        </w:rPr>
        <w:t>，Pmax=</w:t>
      </w:r>
      <w:r>
        <w:rPr>
          <w:rFonts w:hint="eastAsia" w:ascii="Times New Roman" w:hAnsi="Times New Roman" w:eastAsia="宋体" w:cs="Times New Roman"/>
          <w:color w:val="auto"/>
          <w:sz w:val="24"/>
          <w:highlight w:val="none"/>
          <w:u w:val="none" w:color="auto"/>
          <w:lang w:val="en-US" w:eastAsia="zh-CN"/>
        </w:rPr>
        <w:t>8.67</w:t>
      </w:r>
      <w:r>
        <w:rPr>
          <w:rFonts w:hint="default" w:ascii="Times New Roman" w:hAnsi="Times New Roman" w:eastAsia="宋体" w:cs="Times New Roman"/>
          <w:color w:val="auto"/>
          <w:sz w:val="24"/>
          <w:highlight w:val="none"/>
          <w:u w:val="none" w:color="auto"/>
        </w:rPr>
        <w:t>%</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10%</w:t>
      </w:r>
      <w:r>
        <w:rPr>
          <w:rFonts w:hint="eastAsia" w:ascii="Times New Roman" w:hAnsi="Times New Roman" w:eastAsia="宋体" w:cs="Times New Roman"/>
          <w:color w:val="auto"/>
          <w:sz w:val="24"/>
          <w:highlight w:val="none"/>
          <w:u w:val="none" w:color="auto"/>
          <w:lang w:eastAsia="zh-CN"/>
        </w:rPr>
        <w:t>。</w:t>
      </w:r>
    </w:p>
    <w:p>
      <w:pPr>
        <w:pageBreakBefore w:val="0"/>
        <w:widowControl/>
        <w:kinsoku/>
        <w:wordWrap/>
        <w:overflowPunct w:val="0"/>
        <w:topLinePunct/>
        <w:autoSpaceDE w:val="0"/>
        <w:autoSpaceDN w:val="0"/>
        <w:bidi w:val="0"/>
        <w:spacing w:line="360" w:lineRule="auto"/>
        <w:ind w:firstLine="480" w:firstLineChars="200"/>
        <w:jc w:val="left"/>
        <w:rPr>
          <w:rFonts w:hint="eastAsia" w:ascii="Times New Roman" w:hAnsi="Times New Roman" w:eastAsia="宋体" w:cs="Times New Roman"/>
          <w:color w:val="auto"/>
          <w:sz w:val="24"/>
          <w:highlight w:val="none"/>
          <w:u w:val="none" w:color="auto"/>
          <w:lang w:eastAsia="zh-CN"/>
        </w:rPr>
      </w:pPr>
      <w:r>
        <w:rPr>
          <w:rFonts w:hint="eastAsia" w:ascii="Times New Roman" w:hAnsi="Times New Roman" w:eastAsia="宋体" w:cs="Times New Roman"/>
          <w:color w:val="auto"/>
          <w:sz w:val="24"/>
          <w:highlight w:val="none"/>
          <w:u w:val="none" w:color="auto"/>
          <w:lang w:eastAsia="zh-CN"/>
        </w:rPr>
        <w:t>根据</w:t>
      </w:r>
      <w:r>
        <w:rPr>
          <w:rFonts w:hint="default" w:ascii="Times New Roman" w:hAnsi="Times New Roman" w:eastAsia="宋体" w:cs="Times New Roman"/>
          <w:color w:val="auto"/>
          <w:sz w:val="24"/>
          <w:highlight w:val="none"/>
          <w:u w:val="none" w:color="auto"/>
        </w:rPr>
        <w:t>《环境影响评价技术导则大气环境》（HJ2.2-2018）5.3.3.2对电力、钢铁、水泥、石化、化工、平板玻璃、有色等高耗能行业的多源项目或以使用高污染燃料为主的多源项目，并且编制环境影响报告书的项目评价等级提高</w:t>
      </w:r>
      <w:r>
        <w:rPr>
          <w:rFonts w:hint="eastAsia" w:ascii="Times New Roman" w:hAnsi="Times New Roman" w:eastAsia="宋体" w:cs="Times New Roman"/>
          <w:color w:val="auto"/>
          <w:sz w:val="24"/>
          <w:highlight w:val="none"/>
          <w:u w:val="none" w:color="auto"/>
          <w:lang w:eastAsia="zh-CN"/>
        </w:rPr>
        <w:t>一</w:t>
      </w:r>
      <w:r>
        <w:rPr>
          <w:rFonts w:hint="default" w:ascii="Times New Roman" w:hAnsi="Times New Roman" w:eastAsia="宋体" w:cs="Times New Roman"/>
          <w:color w:val="auto"/>
          <w:sz w:val="24"/>
          <w:highlight w:val="none"/>
          <w:u w:val="none" w:color="auto"/>
        </w:rPr>
        <w:t>级。</w:t>
      </w:r>
      <w:r>
        <w:rPr>
          <w:rFonts w:hint="eastAsia" w:ascii="Times New Roman" w:hAnsi="Times New Roman" w:eastAsia="宋体" w:cs="Times New Roman"/>
          <w:color w:val="auto"/>
          <w:sz w:val="24"/>
          <w:highlight w:val="none"/>
          <w:u w:val="none" w:color="auto"/>
          <w:lang w:val="en-US" w:eastAsia="zh-CN"/>
        </w:rPr>
        <w:t>。因此本项目大气评价等级提高一级。</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本项目，大气评价等级为</w:t>
      </w:r>
      <w:r>
        <w:rPr>
          <w:rFonts w:hint="eastAsia" w:ascii="Times New Roman" w:hAnsi="Times New Roman" w:eastAsia="宋体" w:cs="Times New Roman"/>
          <w:color w:val="auto"/>
          <w:sz w:val="24"/>
          <w:highlight w:val="none"/>
          <w:u w:val="none" w:color="auto"/>
          <w:lang w:eastAsia="zh-CN"/>
        </w:rPr>
        <w:t>一</w:t>
      </w:r>
      <w:r>
        <w:rPr>
          <w:rFonts w:hint="default" w:ascii="Times New Roman" w:hAnsi="Times New Roman" w:eastAsia="宋体" w:cs="Times New Roman"/>
          <w:color w:val="auto"/>
          <w:sz w:val="24"/>
          <w:highlight w:val="none"/>
          <w:u w:val="none" w:color="auto"/>
        </w:rPr>
        <w:t>级。</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评价范围为以厂址为中心，厂界外5km的矩形区域。</w:t>
      </w:r>
    </w:p>
    <w:p>
      <w:pPr>
        <w:pStyle w:val="7"/>
        <w:bidi w:val="0"/>
        <w:rPr>
          <w:rFonts w:hint="default"/>
          <w:color w:val="auto"/>
        </w:rPr>
      </w:pPr>
      <w:bookmarkStart w:id="61" w:name="_Toc31218"/>
      <w:r>
        <w:rPr>
          <w:rFonts w:hint="eastAsia"/>
          <w:color w:val="auto"/>
          <w:lang w:val="en-US" w:eastAsia="zh-CN"/>
        </w:rPr>
        <w:t>2.3.2</w:t>
      </w:r>
      <w:r>
        <w:rPr>
          <w:rFonts w:hint="default"/>
          <w:color w:val="auto"/>
        </w:rPr>
        <w:t>地表水环境影响评价等级</w:t>
      </w:r>
      <w:bookmarkEnd w:id="61"/>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1、地表水环境影响评价等级</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《环境影响评价技术导则地表水环境》(HJ2.3-2018)的评价等级判定依据如下表所示。</w:t>
      </w:r>
    </w:p>
    <w:p>
      <w:pPr>
        <w:pageBreakBefore w:val="0"/>
        <w:widowControl/>
        <w:kinsoku/>
        <w:wordWrap/>
        <w:overflowPunct w:val="0"/>
        <w:topLinePunct/>
        <w:autoSpaceDE w:val="0"/>
        <w:autoSpaceDN w:val="0"/>
        <w:bidi w:val="0"/>
        <w:spacing w:line="360" w:lineRule="auto"/>
        <w:ind w:firstLine="482" w:firstLineChars="200"/>
        <w:jc w:val="center"/>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rPr>
        <w:t>表2.3-4地表水环境评价工作等级判定表</w:t>
      </w:r>
    </w:p>
    <w:tbl>
      <w:tblPr>
        <w:tblStyle w:val="204"/>
        <w:tblW w:w="85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56"/>
        <w:gridCol w:w="1743"/>
        <w:gridCol w:w="50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56"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65"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评</w:t>
            </w:r>
            <w:r>
              <w:rPr>
                <w:rFonts w:hint="default" w:ascii="Times New Roman" w:hAnsi="Times New Roman" w:eastAsia="宋体" w:cs="Times New Roman"/>
                <w:color w:val="auto"/>
                <w:spacing w:val="7"/>
                <w:sz w:val="21"/>
                <w:szCs w:val="21"/>
                <w:u w:val="none" w:color="auto"/>
              </w:rPr>
              <w:t>价等级</w:t>
            </w:r>
          </w:p>
        </w:tc>
        <w:tc>
          <w:tcPr>
            <w:tcW w:w="6751"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57"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判</w:t>
            </w:r>
            <w:r>
              <w:rPr>
                <w:rFonts w:hint="default" w:ascii="Times New Roman" w:hAnsi="Times New Roman" w:eastAsia="宋体" w:cs="Times New Roman"/>
                <w:color w:val="auto"/>
                <w:spacing w:val="7"/>
                <w:sz w:val="21"/>
                <w:szCs w:val="21"/>
                <w:u w:val="none" w:color="auto"/>
              </w:rPr>
              <w:t>定依据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56"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p>
        </w:tc>
        <w:tc>
          <w:tcPr>
            <w:tcW w:w="174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165"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排</w:t>
            </w:r>
            <w:r>
              <w:rPr>
                <w:rFonts w:hint="default" w:ascii="Times New Roman" w:hAnsi="Times New Roman" w:eastAsia="宋体" w:cs="Times New Roman"/>
                <w:color w:val="auto"/>
                <w:spacing w:val="7"/>
                <w:sz w:val="21"/>
                <w:szCs w:val="21"/>
                <w:u w:val="none" w:color="auto"/>
              </w:rPr>
              <w:t>放方式</w:t>
            </w:r>
          </w:p>
        </w:tc>
        <w:tc>
          <w:tcPr>
            <w:tcW w:w="500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position w:val="2"/>
                <w:sz w:val="21"/>
                <w:szCs w:val="21"/>
                <w:u w:val="none" w:color="auto"/>
              </w:rPr>
              <w:t>废水排</w:t>
            </w:r>
            <w:r>
              <w:rPr>
                <w:rFonts w:hint="default" w:ascii="Times New Roman" w:hAnsi="Times New Roman" w:eastAsia="宋体" w:cs="Times New Roman"/>
                <w:color w:val="auto"/>
                <w:spacing w:val="3"/>
                <w:position w:val="2"/>
                <w:sz w:val="21"/>
                <w:szCs w:val="21"/>
                <w:u w:val="none" w:color="auto"/>
              </w:rPr>
              <w:t>放</w:t>
            </w:r>
            <w:r>
              <w:rPr>
                <w:rFonts w:hint="default" w:ascii="Times New Roman" w:hAnsi="Times New Roman" w:eastAsia="宋体" w:cs="Times New Roman"/>
                <w:color w:val="auto"/>
                <w:spacing w:val="2"/>
                <w:position w:val="2"/>
                <w:sz w:val="21"/>
                <w:szCs w:val="21"/>
                <w:u w:val="none" w:color="auto"/>
              </w:rPr>
              <w:t>量</w:t>
            </w:r>
            <w:r>
              <w:rPr>
                <w:rFonts w:hint="default" w:ascii="Times New Roman" w:hAnsi="Times New Roman" w:eastAsia="宋体" w:cs="Times New Roman"/>
                <w:color w:val="auto"/>
                <w:position w:val="2"/>
                <w:sz w:val="21"/>
                <w:szCs w:val="21"/>
                <w:u w:val="none" w:color="auto"/>
              </w:rPr>
              <w:t>Q</w:t>
            </w:r>
            <w:r>
              <w:rPr>
                <w:rFonts w:hint="default" w:ascii="Times New Roman" w:hAnsi="Times New Roman" w:eastAsia="宋体" w:cs="Times New Roman"/>
                <w:color w:val="auto"/>
                <w:spacing w:val="2"/>
                <w:position w:val="2"/>
                <w:sz w:val="21"/>
                <w:szCs w:val="21"/>
                <w:u w:val="none" w:color="auto"/>
              </w:rPr>
              <w:t>/(</w:t>
            </w:r>
            <w:r>
              <w:rPr>
                <w:rFonts w:hint="default" w:ascii="Times New Roman" w:hAnsi="Times New Roman" w:eastAsia="宋体" w:cs="Times New Roman"/>
                <w:color w:val="auto"/>
                <w:position w:val="2"/>
                <w:sz w:val="21"/>
                <w:szCs w:val="21"/>
                <w:u w:val="none" w:color="auto"/>
              </w:rPr>
              <w:t>m</w:t>
            </w:r>
            <w:r>
              <w:rPr>
                <w:rFonts w:hint="eastAsia" w:ascii="Times New Roman" w:hAnsi="Times New Roman" w:eastAsia="宋体" w:cs="Times New Roman"/>
                <w:color w:val="auto"/>
                <w:position w:val="2"/>
                <w:sz w:val="21"/>
                <w:szCs w:val="21"/>
                <w:u w:val="none" w:color="auto"/>
                <w:vertAlign w:val="superscript"/>
                <w:lang w:val="en-US" w:eastAsia="zh-CN"/>
              </w:rPr>
              <w:t>3</w:t>
            </w:r>
            <w:r>
              <w:rPr>
                <w:rFonts w:hint="default" w:ascii="Times New Roman" w:hAnsi="Times New Roman" w:eastAsia="宋体" w:cs="Times New Roman"/>
                <w:color w:val="auto"/>
                <w:spacing w:val="2"/>
                <w:position w:val="2"/>
                <w:sz w:val="21"/>
                <w:szCs w:val="21"/>
                <w:u w:val="none" w:color="auto"/>
              </w:rPr>
              <w:t>/</w:t>
            </w:r>
            <w:r>
              <w:rPr>
                <w:rFonts w:hint="default" w:ascii="Times New Roman" w:hAnsi="Times New Roman" w:eastAsia="宋体" w:cs="Times New Roman"/>
                <w:color w:val="auto"/>
                <w:position w:val="2"/>
                <w:sz w:val="21"/>
                <w:szCs w:val="21"/>
                <w:u w:val="none" w:color="auto"/>
              </w:rPr>
              <w:t>d</w:t>
            </w:r>
            <w:r>
              <w:rPr>
                <w:rFonts w:hint="default" w:ascii="Times New Roman" w:hAnsi="Times New Roman" w:eastAsia="宋体" w:cs="Times New Roman"/>
                <w:color w:val="auto"/>
                <w:spacing w:val="2"/>
                <w:position w:val="2"/>
                <w:sz w:val="21"/>
                <w:szCs w:val="21"/>
                <w:u w:val="none" w:color="auto"/>
              </w:rPr>
              <w:t>)</w:t>
            </w:r>
          </w:p>
          <w:p>
            <w:pPr>
              <w:keepNext w:val="0"/>
              <w:keepLines w:val="0"/>
              <w:pageBreakBefore w:val="0"/>
              <w:widowControl w:val="0"/>
              <w:kinsoku/>
              <w:wordWrap/>
              <w:overflowPunct w:val="0"/>
              <w:topLinePunct/>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position w:val="1"/>
                <w:sz w:val="21"/>
                <w:szCs w:val="21"/>
                <w:u w:val="none" w:color="auto"/>
              </w:rPr>
              <w:t>水污染物当量数</w:t>
            </w:r>
            <w:r>
              <w:rPr>
                <w:rFonts w:hint="default" w:ascii="Times New Roman" w:hAnsi="Times New Roman" w:eastAsia="宋体" w:cs="Times New Roman"/>
                <w:color w:val="auto"/>
                <w:position w:val="1"/>
                <w:sz w:val="21"/>
                <w:szCs w:val="21"/>
                <w:u w:val="none" w:color="auto"/>
              </w:rPr>
              <w:t>W</w:t>
            </w:r>
            <w:r>
              <w:rPr>
                <w:rFonts w:hint="default" w:ascii="Times New Roman" w:hAnsi="Times New Roman" w:eastAsia="宋体" w:cs="Times New Roman"/>
                <w:color w:val="auto"/>
                <w:spacing w:val="6"/>
                <w:position w:val="1"/>
                <w:sz w:val="21"/>
                <w:szCs w:val="21"/>
                <w:u w:val="none" w:color="auto"/>
              </w:rPr>
              <w:t>/(量纲一</w:t>
            </w:r>
            <w:r>
              <w:rPr>
                <w:rFonts w:hint="default" w:ascii="Times New Roman" w:hAnsi="Times New Roman" w:eastAsia="宋体" w:cs="Times New Roman"/>
                <w:color w:val="auto"/>
                <w:spacing w:val="3"/>
                <w:position w:val="1"/>
                <w:sz w:val="21"/>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56"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2"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一级</w:t>
            </w:r>
          </w:p>
        </w:tc>
        <w:tc>
          <w:tcPr>
            <w:tcW w:w="174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2"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直接排</w:t>
            </w:r>
            <w:r>
              <w:rPr>
                <w:rFonts w:hint="default" w:ascii="Times New Roman" w:hAnsi="Times New Roman" w:eastAsia="宋体" w:cs="Times New Roman"/>
                <w:color w:val="auto"/>
                <w:spacing w:val="6"/>
                <w:sz w:val="21"/>
                <w:szCs w:val="21"/>
                <w:u w:val="none" w:color="auto"/>
              </w:rPr>
              <w:t>放</w:t>
            </w:r>
          </w:p>
        </w:tc>
        <w:tc>
          <w:tcPr>
            <w:tcW w:w="500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position w:val="2"/>
                <w:sz w:val="21"/>
                <w:szCs w:val="21"/>
                <w:u w:val="none" w:color="auto"/>
              </w:rPr>
              <w:t>Q</w:t>
            </w:r>
            <w:r>
              <w:rPr>
                <w:rFonts w:hint="default" w:ascii="Times New Roman" w:hAnsi="Times New Roman" w:eastAsia="宋体" w:cs="Times New Roman"/>
                <w:color w:val="auto"/>
                <w:spacing w:val="4"/>
                <w:position w:val="2"/>
                <w:sz w:val="21"/>
                <w:szCs w:val="21"/>
                <w:u w:val="none" w:color="auto"/>
              </w:rPr>
              <w:t>≥200</w:t>
            </w:r>
            <w:r>
              <w:rPr>
                <w:rFonts w:hint="default" w:ascii="Times New Roman" w:hAnsi="Times New Roman" w:eastAsia="宋体" w:cs="Times New Roman"/>
                <w:color w:val="auto"/>
                <w:spacing w:val="2"/>
                <w:position w:val="2"/>
                <w:sz w:val="21"/>
                <w:szCs w:val="21"/>
                <w:u w:val="none" w:color="auto"/>
              </w:rPr>
              <w:t>00或</w:t>
            </w:r>
            <w:r>
              <w:rPr>
                <w:rFonts w:hint="default" w:ascii="Times New Roman" w:hAnsi="Times New Roman" w:eastAsia="宋体" w:cs="Times New Roman"/>
                <w:color w:val="auto"/>
                <w:position w:val="2"/>
                <w:sz w:val="21"/>
                <w:szCs w:val="21"/>
                <w:u w:val="none" w:color="auto"/>
              </w:rPr>
              <w:t>W</w:t>
            </w:r>
            <w:r>
              <w:rPr>
                <w:rFonts w:hint="default" w:ascii="Times New Roman" w:hAnsi="Times New Roman" w:eastAsia="宋体" w:cs="Times New Roman"/>
                <w:color w:val="auto"/>
                <w:spacing w:val="2"/>
                <w:position w:val="2"/>
                <w:sz w:val="21"/>
                <w:szCs w:val="21"/>
                <w:u w:val="none" w:color="auto"/>
              </w:rPr>
              <w:t>≥600000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56"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3"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二级</w:t>
            </w:r>
          </w:p>
        </w:tc>
        <w:tc>
          <w:tcPr>
            <w:tcW w:w="174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3"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直接排</w:t>
            </w:r>
            <w:r>
              <w:rPr>
                <w:rFonts w:hint="default" w:ascii="Times New Roman" w:hAnsi="Times New Roman" w:eastAsia="宋体" w:cs="Times New Roman"/>
                <w:color w:val="auto"/>
                <w:spacing w:val="6"/>
                <w:sz w:val="21"/>
                <w:szCs w:val="21"/>
                <w:u w:val="none" w:color="auto"/>
              </w:rPr>
              <w:t>放</w:t>
            </w:r>
          </w:p>
        </w:tc>
        <w:tc>
          <w:tcPr>
            <w:tcW w:w="500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3"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56"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6"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三</w:t>
            </w:r>
            <w:r>
              <w:rPr>
                <w:rFonts w:hint="default" w:ascii="Times New Roman" w:hAnsi="Times New Roman" w:eastAsia="宋体" w:cs="Times New Roman"/>
                <w:color w:val="auto"/>
                <w:spacing w:val="-7"/>
                <w:sz w:val="21"/>
                <w:szCs w:val="21"/>
                <w:u w:val="none" w:color="auto"/>
              </w:rPr>
              <w:t>级A</w:t>
            </w:r>
          </w:p>
        </w:tc>
        <w:tc>
          <w:tcPr>
            <w:tcW w:w="174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6"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直接排</w:t>
            </w:r>
            <w:r>
              <w:rPr>
                <w:rFonts w:hint="default" w:ascii="Times New Roman" w:hAnsi="Times New Roman" w:eastAsia="宋体" w:cs="Times New Roman"/>
                <w:color w:val="auto"/>
                <w:spacing w:val="6"/>
                <w:sz w:val="21"/>
                <w:szCs w:val="21"/>
                <w:u w:val="none" w:color="auto"/>
              </w:rPr>
              <w:t>放</w:t>
            </w:r>
          </w:p>
        </w:tc>
        <w:tc>
          <w:tcPr>
            <w:tcW w:w="500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5"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Q</w:t>
            </w:r>
            <w:r>
              <w:rPr>
                <w:rFonts w:hint="default" w:ascii="Times New Roman" w:hAnsi="Times New Roman" w:eastAsia="宋体" w:cs="Times New Roman"/>
                <w:color w:val="auto"/>
                <w:spacing w:val="4"/>
                <w:sz w:val="21"/>
                <w:szCs w:val="21"/>
                <w:u w:val="none" w:color="auto"/>
              </w:rPr>
              <w:t>＜2</w:t>
            </w:r>
            <w:r>
              <w:rPr>
                <w:rFonts w:hint="default" w:ascii="Times New Roman" w:hAnsi="Times New Roman" w:eastAsia="宋体" w:cs="Times New Roman"/>
                <w:color w:val="auto"/>
                <w:spacing w:val="3"/>
                <w:sz w:val="21"/>
                <w:szCs w:val="21"/>
                <w:u w:val="none" w:color="auto"/>
              </w:rPr>
              <w:t>0</w:t>
            </w:r>
            <w:r>
              <w:rPr>
                <w:rFonts w:hint="default" w:ascii="Times New Roman" w:hAnsi="Times New Roman" w:eastAsia="宋体" w:cs="Times New Roman"/>
                <w:color w:val="auto"/>
                <w:spacing w:val="2"/>
                <w:sz w:val="21"/>
                <w:szCs w:val="21"/>
                <w:u w:val="none" w:color="auto"/>
              </w:rPr>
              <w:t>0且</w:t>
            </w:r>
            <w:r>
              <w:rPr>
                <w:rFonts w:hint="default" w:ascii="Times New Roman" w:hAnsi="Times New Roman" w:eastAsia="宋体" w:cs="Times New Roman"/>
                <w:color w:val="auto"/>
                <w:sz w:val="21"/>
                <w:szCs w:val="21"/>
                <w:u w:val="none" w:color="auto"/>
              </w:rPr>
              <w:t>W</w:t>
            </w:r>
            <w:r>
              <w:rPr>
                <w:rFonts w:hint="default" w:ascii="Times New Roman" w:hAnsi="Times New Roman" w:eastAsia="宋体" w:cs="Times New Roman"/>
                <w:color w:val="auto"/>
                <w:spacing w:val="2"/>
                <w:sz w:val="21"/>
                <w:szCs w:val="21"/>
                <w:u w:val="none" w:color="auto"/>
              </w:rPr>
              <w:t>＜6000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56"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4"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三</w:t>
            </w:r>
            <w:r>
              <w:rPr>
                <w:rFonts w:hint="default" w:ascii="Times New Roman" w:hAnsi="Times New Roman" w:eastAsia="宋体" w:cs="Times New Roman"/>
                <w:color w:val="auto"/>
                <w:spacing w:val="-7"/>
                <w:sz w:val="21"/>
                <w:szCs w:val="21"/>
                <w:u w:val="none" w:color="auto"/>
              </w:rPr>
              <w:t>级B</w:t>
            </w:r>
          </w:p>
        </w:tc>
        <w:tc>
          <w:tcPr>
            <w:tcW w:w="174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4"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间</w:t>
            </w:r>
            <w:r>
              <w:rPr>
                <w:rFonts w:hint="default" w:ascii="Times New Roman" w:hAnsi="Times New Roman" w:eastAsia="宋体" w:cs="Times New Roman"/>
                <w:color w:val="auto"/>
                <w:spacing w:val="3"/>
                <w:sz w:val="21"/>
                <w:szCs w:val="21"/>
                <w:u w:val="none" w:color="auto"/>
              </w:rPr>
              <w:t>接排放</w:t>
            </w:r>
          </w:p>
        </w:tc>
        <w:tc>
          <w:tcPr>
            <w:tcW w:w="500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159"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position w:val="-1"/>
                <w:sz w:val="21"/>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7" w:type="dxa"/>
            <w:gridSpan w:val="3"/>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before="36"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注10：建设项目生产工艺中有废水产生，但作为回水利用，不排放到外环境的，按三级</w:t>
            </w:r>
            <w:r>
              <w:rPr>
                <w:rFonts w:hint="default" w:ascii="Times New Roman" w:hAnsi="Times New Roman" w:eastAsia="宋体" w:cs="Times New Roman"/>
                <w:color w:val="auto"/>
                <w:sz w:val="21"/>
                <w:szCs w:val="21"/>
                <w:u w:val="none" w:color="auto"/>
              </w:rPr>
              <w:t>B</w:t>
            </w:r>
            <w:r>
              <w:rPr>
                <w:rFonts w:hint="default" w:ascii="Times New Roman" w:hAnsi="Times New Roman" w:eastAsia="宋体" w:cs="Times New Roman"/>
                <w:color w:val="auto"/>
                <w:spacing w:val="4"/>
                <w:sz w:val="21"/>
                <w:szCs w:val="21"/>
                <w:u w:val="none" w:color="auto"/>
              </w:rPr>
              <w:t>评</w:t>
            </w:r>
            <w:r>
              <w:rPr>
                <w:rFonts w:hint="default" w:ascii="Times New Roman" w:hAnsi="Times New Roman" w:eastAsia="宋体" w:cs="Times New Roman"/>
                <w:color w:val="auto"/>
                <w:spacing w:val="3"/>
                <w:sz w:val="21"/>
                <w:szCs w:val="21"/>
                <w:u w:val="none" w:color="auto"/>
              </w:rPr>
              <w:t>价。</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
          <w:sz w:val="24"/>
          <w:szCs w:val="24"/>
          <w:u w:val="none" w:color="auto"/>
        </w:rPr>
        <w:t>由工程分析可知，项目外排废水为生活污水</w:t>
      </w:r>
      <w:r>
        <w:rPr>
          <w:rFonts w:hint="eastAsia" w:ascii="Times New Roman" w:hAnsi="Times New Roman" w:eastAsia="宋体" w:cs="Times New Roman"/>
          <w:color w:val="auto"/>
          <w:spacing w:val="-1"/>
          <w:sz w:val="24"/>
          <w:szCs w:val="24"/>
          <w:u w:val="none" w:color="auto"/>
          <w:lang w:eastAsia="zh-CN"/>
        </w:rPr>
        <w:t>和少量冷却含油污水</w:t>
      </w:r>
      <w:r>
        <w:rPr>
          <w:rFonts w:hint="default" w:ascii="Times New Roman" w:hAnsi="Times New Roman" w:eastAsia="宋体" w:cs="Times New Roman"/>
          <w:color w:val="auto"/>
          <w:spacing w:val="-1"/>
          <w:sz w:val="24"/>
          <w:szCs w:val="24"/>
          <w:u w:val="none" w:color="auto"/>
        </w:rPr>
        <w:t>，</w:t>
      </w:r>
      <w:r>
        <w:rPr>
          <w:rFonts w:hint="default" w:ascii="Times New Roman" w:hAnsi="Times New Roman" w:eastAsia="宋体" w:cs="Times New Roman"/>
          <w:color w:val="auto"/>
          <w:spacing w:val="-1"/>
          <w:sz w:val="24"/>
          <w:szCs w:val="24"/>
          <w:u w:val="none" w:color="auto"/>
          <w:lang w:eastAsia="zh-CN"/>
        </w:rPr>
        <w:t>通过</w:t>
      </w:r>
      <w:r>
        <w:rPr>
          <w:rFonts w:hint="default" w:ascii="Times New Roman" w:hAnsi="Times New Roman" w:eastAsia="宋体" w:cs="Times New Roman"/>
          <w:color w:val="auto"/>
          <w:kern w:val="0"/>
          <w:sz w:val="24"/>
          <w:szCs w:val="24"/>
          <w:u w:val="none" w:color="auto"/>
        </w:rPr>
        <w:t>市政污水管网排入</w:t>
      </w:r>
      <w:r>
        <w:rPr>
          <w:rFonts w:hint="eastAsia" w:ascii="Times New Roman" w:hAnsi="Times New Roman" w:eastAsia="宋体" w:cs="Times New Roman"/>
          <w:color w:val="auto"/>
          <w:kern w:val="0"/>
          <w:sz w:val="24"/>
          <w:szCs w:val="24"/>
          <w:u w:val="none" w:color="auto"/>
          <w:lang w:eastAsia="zh-CN"/>
        </w:rPr>
        <w:t>湖南三峡环境临港水质净化厂</w:t>
      </w:r>
      <w:r>
        <w:rPr>
          <w:rFonts w:hint="default" w:ascii="Times New Roman" w:hAnsi="Times New Roman" w:eastAsia="宋体" w:cs="Times New Roman"/>
          <w:color w:val="auto"/>
          <w:kern w:val="0"/>
          <w:sz w:val="24"/>
          <w:szCs w:val="24"/>
          <w:u w:val="none" w:color="auto"/>
        </w:rPr>
        <w:t>，经处理达标后经象骨港汇入长江，因此项目废水排放属于间接排放，根据《环境影响评价技术导则—地表水环境》（HJ2.3-2018），确定项目地表水环境评价等级为三级B</w:t>
      </w:r>
      <w:r>
        <w:rPr>
          <w:rFonts w:hint="default" w:ascii="Times New Roman" w:hAnsi="Times New Roman" w:eastAsia="宋体" w:cs="Times New Roman"/>
          <w:color w:val="auto"/>
          <w:sz w:val="24"/>
          <w:szCs w:val="24"/>
          <w:u w:val="none" w:color="auto"/>
        </w:rPr>
        <w:t>。</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2、地表水环境影响评价范围</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根据《环境影响评价技术导则-地表水环境》(HJ2.3-2018)，三级B建设项目评价范围应满足其依托污水处理设施环境可行性分析要求。因此对水环境影响分析从简，仅对水环境进行现状评价，同时分析</w:t>
      </w:r>
      <w:r>
        <w:rPr>
          <w:rFonts w:hint="eastAsia" w:ascii="Times New Roman" w:hAnsi="Times New Roman" w:eastAsia="宋体" w:cs="Times New Roman"/>
          <w:color w:val="auto"/>
          <w:sz w:val="24"/>
          <w:highlight w:val="none"/>
          <w:u w:val="none" w:color="auto"/>
          <w:lang w:eastAsia="zh-CN"/>
        </w:rPr>
        <w:t>湖南三峡环境临港水质净化厂</w:t>
      </w:r>
      <w:r>
        <w:rPr>
          <w:rFonts w:hint="default" w:ascii="Times New Roman" w:hAnsi="Times New Roman" w:eastAsia="宋体" w:cs="Times New Roman"/>
          <w:color w:val="auto"/>
          <w:sz w:val="24"/>
          <w:highlight w:val="none"/>
          <w:u w:val="none" w:color="auto"/>
        </w:rPr>
        <w:t>接受处理本项目废水环境可行性分析。</w:t>
      </w:r>
    </w:p>
    <w:p>
      <w:pPr>
        <w:pStyle w:val="7"/>
        <w:bidi w:val="0"/>
        <w:rPr>
          <w:rFonts w:hint="default"/>
          <w:color w:val="auto"/>
        </w:rPr>
      </w:pPr>
      <w:bookmarkStart w:id="62" w:name="_Toc5382"/>
      <w:r>
        <w:rPr>
          <w:rFonts w:hint="eastAsia"/>
          <w:color w:val="auto"/>
          <w:lang w:val="en-US" w:eastAsia="zh-CN"/>
        </w:rPr>
        <w:t>2.3.3</w:t>
      </w:r>
      <w:r>
        <w:rPr>
          <w:rFonts w:hint="default"/>
          <w:color w:val="auto"/>
        </w:rPr>
        <w:t>地下水环境影响评价等级</w:t>
      </w:r>
      <w:bookmarkEnd w:id="62"/>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1、地下水环境影响评价等级</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根据《环境影响评价技术导则地下水环境》(HJ610-2016)，工作等级划分见表2.3-5，地下水环境影响评价行业分类表见表2.3-6。</w:t>
      </w:r>
    </w:p>
    <w:p>
      <w:pPr>
        <w:pageBreakBefore w:val="0"/>
        <w:widowControl/>
        <w:kinsoku/>
        <w:wordWrap/>
        <w:overflowPunct w:val="0"/>
        <w:topLinePunct/>
        <w:autoSpaceDE w:val="0"/>
        <w:autoSpaceDN w:val="0"/>
        <w:bidi w:val="0"/>
        <w:spacing w:line="360" w:lineRule="auto"/>
        <w:ind w:firstLine="482" w:firstLineChars="20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z w:val="24"/>
          <w:highlight w:val="none"/>
          <w:u w:val="none" w:color="auto"/>
        </w:rPr>
        <w:t>表2.3-5项目地下水环境影响评价工作等级判据</w:t>
      </w:r>
    </w:p>
    <w:tbl>
      <w:tblPr>
        <w:tblStyle w:val="204"/>
        <w:tblW w:w="5000" w:type="pct"/>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734"/>
        <w:gridCol w:w="1912"/>
        <w:gridCol w:w="1912"/>
        <w:gridCol w:w="17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41" w:type="dxa"/>
            <w:tcBorders>
              <w:tl2br w:val="nil"/>
              <w:tr2bl w:val="nil"/>
            </w:tcBorders>
            <w:vAlign w:val="top"/>
          </w:tcPr>
          <w:p>
            <w:pPr>
              <w:pageBreakBefore w:val="0"/>
              <w:kinsoku/>
              <w:wordWrap/>
              <w:overflowPunct w:val="0"/>
              <w:topLinePunct/>
              <w:autoSpaceDE w:val="0"/>
              <w:autoSpaceDN w:val="0"/>
              <w:bidi w:val="0"/>
              <w:spacing w:before="55"/>
              <w:ind w:right="477" w:firstLine="1130" w:firstLineChars="500"/>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8"/>
                <w:sz w:val="21"/>
                <w:szCs w:val="21"/>
                <w:u w:val="none" w:color="auto"/>
              </w:rPr>
              <w:t>项</w:t>
            </w:r>
            <w:r>
              <w:rPr>
                <w:rFonts w:hint="default" w:ascii="Times New Roman" w:hAnsi="Times New Roman" w:eastAsia="宋体" w:cs="Times New Roman"/>
                <w:color w:val="auto"/>
                <w:spacing w:val="6"/>
                <w:sz w:val="21"/>
                <w:szCs w:val="21"/>
                <w:u w:val="none" w:color="auto"/>
              </w:rPr>
              <w:t>目类别</w:t>
            </w:r>
          </w:p>
          <w:p>
            <w:pPr>
              <w:pageBreakBefore w:val="0"/>
              <w:kinsoku/>
              <w:wordWrap/>
              <w:overflowPunct w:val="0"/>
              <w:topLinePunct/>
              <w:autoSpaceDE w:val="0"/>
              <w:autoSpaceDN w:val="0"/>
              <w:bidi w:val="0"/>
              <w:spacing w:before="55"/>
              <w:ind w:right="477"/>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环</w:t>
            </w:r>
            <w:r>
              <w:rPr>
                <w:rFonts w:hint="default" w:ascii="Times New Roman" w:hAnsi="Times New Roman" w:eastAsia="宋体" w:cs="Times New Roman"/>
                <w:color w:val="auto"/>
                <w:spacing w:val="8"/>
                <w:sz w:val="21"/>
                <w:szCs w:val="21"/>
                <w:u w:val="none" w:color="auto"/>
              </w:rPr>
              <w:t>境敏感程度</w:t>
            </w:r>
          </w:p>
        </w:tc>
        <w:tc>
          <w:tcPr>
            <w:tcW w:w="1917" w:type="dxa"/>
            <w:tcBorders>
              <w:tl2br w:val="nil"/>
              <w:tr2bl w:val="nil"/>
            </w:tcBorders>
            <w:vAlign w:val="top"/>
          </w:tcPr>
          <w:p>
            <w:pPr>
              <w:pageBreakBefore w:val="0"/>
              <w:kinsoku/>
              <w:wordWrap/>
              <w:overflowPunct w:val="0"/>
              <w:topLinePunct/>
              <w:autoSpaceDE w:val="0"/>
              <w:autoSpaceDN w:val="0"/>
              <w:bidi w:val="0"/>
              <w:spacing w:before="188" w:line="228" w:lineRule="auto"/>
              <w:ind w:left="607"/>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Ⅰ</w:t>
            </w:r>
            <w:r>
              <w:rPr>
                <w:rFonts w:hint="default" w:ascii="Times New Roman" w:hAnsi="Times New Roman" w:eastAsia="宋体" w:cs="Times New Roman"/>
                <w:color w:val="auto"/>
                <w:spacing w:val="6"/>
                <w:sz w:val="21"/>
                <w:szCs w:val="21"/>
                <w:u w:val="none" w:color="auto"/>
              </w:rPr>
              <w:t>类项目</w:t>
            </w:r>
          </w:p>
        </w:tc>
        <w:tc>
          <w:tcPr>
            <w:tcW w:w="1917" w:type="dxa"/>
            <w:tcBorders>
              <w:tl2br w:val="nil"/>
              <w:tr2bl w:val="nil"/>
            </w:tcBorders>
            <w:vAlign w:val="top"/>
          </w:tcPr>
          <w:p>
            <w:pPr>
              <w:pageBreakBefore w:val="0"/>
              <w:kinsoku/>
              <w:wordWrap/>
              <w:overflowPunct w:val="0"/>
              <w:topLinePunct/>
              <w:autoSpaceDE w:val="0"/>
              <w:autoSpaceDN w:val="0"/>
              <w:bidi w:val="0"/>
              <w:spacing w:before="188" w:line="228" w:lineRule="auto"/>
              <w:ind w:left="57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Ⅱ类项</w:t>
            </w:r>
            <w:r>
              <w:rPr>
                <w:rFonts w:hint="default" w:ascii="Times New Roman" w:hAnsi="Times New Roman" w:eastAsia="宋体" w:cs="Times New Roman"/>
                <w:color w:val="auto"/>
                <w:spacing w:val="7"/>
                <w:sz w:val="21"/>
                <w:szCs w:val="21"/>
                <w:u w:val="none" w:color="auto"/>
              </w:rPr>
              <w:t>目</w:t>
            </w:r>
          </w:p>
        </w:tc>
        <w:tc>
          <w:tcPr>
            <w:tcW w:w="1788" w:type="dxa"/>
            <w:tcBorders>
              <w:tl2br w:val="nil"/>
              <w:tr2bl w:val="nil"/>
            </w:tcBorders>
            <w:vAlign w:val="top"/>
          </w:tcPr>
          <w:p>
            <w:pPr>
              <w:pageBreakBefore w:val="0"/>
              <w:kinsoku/>
              <w:wordWrap/>
              <w:overflowPunct w:val="0"/>
              <w:topLinePunct/>
              <w:autoSpaceDE w:val="0"/>
              <w:autoSpaceDN w:val="0"/>
              <w:bidi w:val="0"/>
              <w:spacing w:before="188" w:line="228" w:lineRule="auto"/>
              <w:ind w:left="55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Ⅲ</w:t>
            </w:r>
            <w:r>
              <w:rPr>
                <w:rFonts w:hint="default" w:ascii="Times New Roman" w:hAnsi="Times New Roman" w:eastAsia="宋体" w:cs="Times New Roman"/>
                <w:color w:val="auto"/>
                <w:spacing w:val="8"/>
                <w:sz w:val="21"/>
                <w:szCs w:val="21"/>
                <w:u w:val="none" w:color="auto"/>
              </w:rPr>
              <w:t>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41" w:type="dxa"/>
            <w:tcBorders>
              <w:tl2br w:val="nil"/>
              <w:tr2bl w:val="nil"/>
            </w:tcBorders>
            <w:vAlign w:val="top"/>
          </w:tcPr>
          <w:p>
            <w:pPr>
              <w:pageBreakBefore w:val="0"/>
              <w:kinsoku/>
              <w:wordWrap/>
              <w:overflowPunct w:val="0"/>
              <w:topLinePunct/>
              <w:autoSpaceDE w:val="0"/>
              <w:autoSpaceDN w:val="0"/>
              <w:bidi w:val="0"/>
              <w:spacing w:before="67" w:line="228" w:lineRule="auto"/>
              <w:ind w:left="115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敏感</w:t>
            </w:r>
          </w:p>
        </w:tc>
        <w:tc>
          <w:tcPr>
            <w:tcW w:w="1917" w:type="dxa"/>
            <w:tcBorders>
              <w:tl2br w:val="nil"/>
              <w:tr2bl w:val="nil"/>
            </w:tcBorders>
            <w:vAlign w:val="top"/>
          </w:tcPr>
          <w:p>
            <w:pPr>
              <w:pageBreakBefore w:val="0"/>
              <w:kinsoku/>
              <w:wordWrap/>
              <w:overflowPunct w:val="0"/>
              <w:topLinePunct/>
              <w:autoSpaceDE w:val="0"/>
              <w:autoSpaceDN w:val="0"/>
              <w:bidi w:val="0"/>
              <w:spacing w:before="146" w:line="168" w:lineRule="exact"/>
              <w:ind w:left="858"/>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97"/>
                <w:position w:val="1"/>
                <w:sz w:val="21"/>
                <w:szCs w:val="21"/>
                <w:u w:val="none" w:color="auto"/>
                <w:lang w:eastAsia="zh-CN"/>
              </w:rPr>
              <w:t>一</w:t>
            </w:r>
          </w:p>
        </w:tc>
        <w:tc>
          <w:tcPr>
            <w:tcW w:w="1917" w:type="dxa"/>
            <w:tcBorders>
              <w:tl2br w:val="nil"/>
              <w:tr2bl w:val="nil"/>
            </w:tcBorders>
            <w:vAlign w:val="top"/>
          </w:tcPr>
          <w:p>
            <w:pPr>
              <w:pageBreakBefore w:val="0"/>
              <w:kinsoku/>
              <w:wordWrap/>
              <w:overflowPunct w:val="0"/>
              <w:topLinePunct/>
              <w:autoSpaceDE w:val="0"/>
              <w:autoSpaceDN w:val="0"/>
              <w:bidi w:val="0"/>
              <w:spacing w:before="146" w:line="168" w:lineRule="exact"/>
              <w:ind w:left="86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7"/>
                <w:position w:val="1"/>
                <w:sz w:val="21"/>
                <w:szCs w:val="21"/>
                <w:u w:val="none" w:color="auto"/>
              </w:rPr>
              <w:t>一</w:t>
            </w:r>
          </w:p>
        </w:tc>
        <w:tc>
          <w:tcPr>
            <w:tcW w:w="1788" w:type="dxa"/>
            <w:tcBorders>
              <w:tl2br w:val="nil"/>
              <w:tr2bl w:val="nil"/>
            </w:tcBorders>
            <w:vAlign w:val="top"/>
          </w:tcPr>
          <w:p>
            <w:pPr>
              <w:pageBreakBefore w:val="0"/>
              <w:kinsoku/>
              <w:wordWrap/>
              <w:overflowPunct w:val="0"/>
              <w:topLinePunct/>
              <w:autoSpaceDE w:val="0"/>
              <w:autoSpaceDN w:val="0"/>
              <w:bidi w:val="0"/>
              <w:spacing w:before="106" w:line="189" w:lineRule="auto"/>
              <w:ind w:left="86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41" w:type="dxa"/>
            <w:tcBorders>
              <w:tl2br w:val="nil"/>
              <w:tr2bl w:val="nil"/>
            </w:tcBorders>
            <w:vAlign w:val="top"/>
          </w:tcPr>
          <w:p>
            <w:pPr>
              <w:pageBreakBefore w:val="0"/>
              <w:kinsoku/>
              <w:wordWrap/>
              <w:overflowPunct w:val="0"/>
              <w:topLinePunct/>
              <w:autoSpaceDE w:val="0"/>
              <w:autoSpaceDN w:val="0"/>
              <w:bidi w:val="0"/>
              <w:spacing w:before="68" w:line="228" w:lineRule="auto"/>
              <w:ind w:left="104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较敏</w:t>
            </w:r>
            <w:r>
              <w:rPr>
                <w:rFonts w:hint="default" w:ascii="Times New Roman" w:hAnsi="Times New Roman" w:eastAsia="宋体" w:cs="Times New Roman"/>
                <w:color w:val="auto"/>
                <w:spacing w:val="6"/>
                <w:sz w:val="21"/>
                <w:szCs w:val="21"/>
                <w:u w:val="none" w:color="auto"/>
              </w:rPr>
              <w:t>感</w:t>
            </w:r>
          </w:p>
        </w:tc>
        <w:tc>
          <w:tcPr>
            <w:tcW w:w="1917" w:type="dxa"/>
            <w:tcBorders>
              <w:tl2br w:val="nil"/>
              <w:tr2bl w:val="nil"/>
            </w:tcBorders>
            <w:vAlign w:val="top"/>
          </w:tcPr>
          <w:p>
            <w:pPr>
              <w:pageBreakBefore w:val="0"/>
              <w:kinsoku/>
              <w:wordWrap/>
              <w:overflowPunct w:val="0"/>
              <w:topLinePunct/>
              <w:autoSpaceDE w:val="0"/>
              <w:autoSpaceDN w:val="0"/>
              <w:bidi w:val="0"/>
              <w:spacing w:before="147" w:line="168" w:lineRule="exact"/>
              <w:ind w:left="858"/>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7"/>
                <w:position w:val="1"/>
                <w:sz w:val="21"/>
                <w:szCs w:val="21"/>
                <w:u w:val="none" w:color="auto"/>
              </w:rPr>
              <w:t>一</w:t>
            </w:r>
          </w:p>
        </w:tc>
        <w:tc>
          <w:tcPr>
            <w:tcW w:w="1917" w:type="dxa"/>
            <w:tcBorders>
              <w:tl2br w:val="nil"/>
              <w:tr2bl w:val="nil"/>
            </w:tcBorders>
            <w:vAlign w:val="top"/>
          </w:tcPr>
          <w:p>
            <w:pPr>
              <w:pageBreakBefore w:val="0"/>
              <w:kinsoku/>
              <w:wordWrap/>
              <w:overflowPunct w:val="0"/>
              <w:topLinePunct/>
              <w:autoSpaceDE w:val="0"/>
              <w:autoSpaceDN w:val="0"/>
              <w:bidi w:val="0"/>
              <w:spacing w:before="108" w:line="189" w:lineRule="auto"/>
              <w:ind w:left="86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二</w:t>
            </w:r>
          </w:p>
        </w:tc>
        <w:tc>
          <w:tcPr>
            <w:tcW w:w="1788" w:type="dxa"/>
            <w:tcBorders>
              <w:tl2br w:val="nil"/>
              <w:tr2bl w:val="nil"/>
            </w:tcBorders>
            <w:vAlign w:val="top"/>
          </w:tcPr>
          <w:p>
            <w:pPr>
              <w:pageBreakBefore w:val="0"/>
              <w:kinsoku/>
              <w:wordWrap/>
              <w:overflowPunct w:val="0"/>
              <w:topLinePunct/>
              <w:autoSpaceDE w:val="0"/>
              <w:autoSpaceDN w:val="0"/>
              <w:bidi w:val="0"/>
              <w:spacing w:before="68" w:line="266" w:lineRule="exact"/>
              <w:ind w:left="86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position w:val="1"/>
                <w:sz w:val="21"/>
                <w:szCs w:val="21"/>
                <w:u w:val="none" w:color="auto"/>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41" w:type="dxa"/>
            <w:tcBorders>
              <w:tl2br w:val="nil"/>
              <w:tr2bl w:val="nil"/>
            </w:tcBorders>
            <w:vAlign w:val="top"/>
          </w:tcPr>
          <w:p>
            <w:pPr>
              <w:pageBreakBefore w:val="0"/>
              <w:kinsoku/>
              <w:wordWrap/>
              <w:overflowPunct w:val="0"/>
              <w:topLinePunct/>
              <w:autoSpaceDE w:val="0"/>
              <w:autoSpaceDN w:val="0"/>
              <w:bidi w:val="0"/>
              <w:spacing w:before="69" w:line="228" w:lineRule="auto"/>
              <w:ind w:left="1052"/>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不敏</w:t>
            </w:r>
            <w:r>
              <w:rPr>
                <w:rFonts w:hint="default" w:ascii="Times New Roman" w:hAnsi="Times New Roman" w:eastAsia="宋体" w:cs="Times New Roman"/>
                <w:color w:val="auto"/>
                <w:spacing w:val="5"/>
                <w:sz w:val="21"/>
                <w:szCs w:val="21"/>
                <w:u w:val="none" w:color="auto"/>
              </w:rPr>
              <w:t>感</w:t>
            </w:r>
          </w:p>
        </w:tc>
        <w:tc>
          <w:tcPr>
            <w:tcW w:w="1917" w:type="dxa"/>
            <w:tcBorders>
              <w:tl2br w:val="nil"/>
              <w:tr2bl w:val="nil"/>
            </w:tcBorders>
            <w:vAlign w:val="top"/>
          </w:tcPr>
          <w:p>
            <w:pPr>
              <w:pageBreakBefore w:val="0"/>
              <w:kinsoku/>
              <w:wordWrap/>
              <w:overflowPunct w:val="0"/>
              <w:topLinePunct/>
              <w:autoSpaceDE w:val="0"/>
              <w:autoSpaceDN w:val="0"/>
              <w:bidi w:val="0"/>
              <w:spacing w:before="109" w:line="189" w:lineRule="auto"/>
              <w:ind w:left="858"/>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二</w:t>
            </w:r>
          </w:p>
        </w:tc>
        <w:tc>
          <w:tcPr>
            <w:tcW w:w="1917" w:type="dxa"/>
            <w:tcBorders>
              <w:tl2br w:val="nil"/>
              <w:tr2bl w:val="nil"/>
            </w:tcBorders>
            <w:vAlign w:val="top"/>
          </w:tcPr>
          <w:p>
            <w:pPr>
              <w:pageBreakBefore w:val="0"/>
              <w:kinsoku/>
              <w:wordWrap/>
              <w:overflowPunct w:val="0"/>
              <w:topLinePunct/>
              <w:autoSpaceDE w:val="0"/>
              <w:autoSpaceDN w:val="0"/>
              <w:bidi w:val="0"/>
              <w:spacing w:before="70" w:line="265" w:lineRule="exact"/>
              <w:ind w:left="86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position w:val="1"/>
                <w:sz w:val="21"/>
                <w:szCs w:val="21"/>
                <w:u w:val="none" w:color="auto"/>
              </w:rPr>
              <w:t>三</w:t>
            </w:r>
          </w:p>
        </w:tc>
        <w:tc>
          <w:tcPr>
            <w:tcW w:w="1788" w:type="dxa"/>
            <w:tcBorders>
              <w:tl2br w:val="nil"/>
              <w:tr2bl w:val="nil"/>
            </w:tcBorders>
            <w:vAlign w:val="top"/>
          </w:tcPr>
          <w:p>
            <w:pPr>
              <w:pageBreakBefore w:val="0"/>
              <w:kinsoku/>
              <w:wordWrap/>
              <w:overflowPunct w:val="0"/>
              <w:topLinePunct/>
              <w:autoSpaceDE w:val="0"/>
              <w:autoSpaceDN w:val="0"/>
              <w:bidi w:val="0"/>
              <w:spacing w:before="70" w:line="265" w:lineRule="exact"/>
              <w:ind w:left="86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position w:val="1"/>
                <w:sz w:val="21"/>
                <w:szCs w:val="21"/>
                <w:u w:val="none" w:color="auto"/>
              </w:rPr>
              <w:t>三</w:t>
            </w:r>
          </w:p>
        </w:tc>
      </w:tr>
    </w:tbl>
    <w:p>
      <w:pPr>
        <w:pageBreakBefore w:val="0"/>
        <w:widowControl/>
        <w:kinsoku/>
        <w:wordWrap/>
        <w:overflowPunct w:val="0"/>
        <w:topLinePunct/>
        <w:autoSpaceDE w:val="0"/>
        <w:autoSpaceDN w:val="0"/>
        <w:bidi w:val="0"/>
        <w:spacing w:line="360" w:lineRule="auto"/>
        <w:ind w:firstLine="482" w:firstLineChars="200"/>
        <w:jc w:val="center"/>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rPr>
        <w:t>表2.3-6地下水环境影响评价行业分类表(摘自HJ610-2016中附录A)</w:t>
      </w:r>
    </w:p>
    <w:tbl>
      <w:tblPr>
        <w:tblStyle w:val="204"/>
        <w:tblW w:w="85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24"/>
        <w:gridCol w:w="1567"/>
        <w:gridCol w:w="1567"/>
        <w:gridCol w:w="1567"/>
        <w:gridCol w:w="15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24"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环评类别</w:t>
            </w:r>
          </w:p>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项目类别</w:t>
            </w:r>
          </w:p>
        </w:tc>
        <w:tc>
          <w:tcPr>
            <w:tcW w:w="1567"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报告书</w:t>
            </w:r>
          </w:p>
        </w:tc>
        <w:tc>
          <w:tcPr>
            <w:tcW w:w="1567"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报告表</w:t>
            </w:r>
          </w:p>
        </w:tc>
        <w:tc>
          <w:tcPr>
            <w:tcW w:w="3149"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地下水环境影响评价项目类别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24"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p>
        </w:tc>
        <w:tc>
          <w:tcPr>
            <w:tcW w:w="1567"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p>
        </w:tc>
        <w:tc>
          <w:tcPr>
            <w:tcW w:w="1567"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报告书</w:t>
            </w:r>
          </w:p>
        </w:tc>
        <w:tc>
          <w:tcPr>
            <w:tcW w:w="1582"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报告表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2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lang w:eastAsia="zh-CN"/>
              </w:rPr>
            </w:pPr>
            <w:r>
              <w:rPr>
                <w:rFonts w:hint="default" w:ascii="Times New Roman" w:hAnsi="Times New Roman" w:eastAsia="宋体" w:cs="Times New Roman"/>
                <w:color w:val="auto"/>
                <w:spacing w:val="6"/>
                <w:sz w:val="21"/>
                <w:szCs w:val="21"/>
                <w:u w:val="none" w:color="auto"/>
                <w:lang w:val="en-US" w:eastAsia="zh-CN"/>
              </w:rPr>
              <w:t>49.</w:t>
            </w:r>
            <w:r>
              <w:rPr>
                <w:rFonts w:hint="default" w:ascii="Times New Roman" w:hAnsi="Times New Roman" w:eastAsia="宋体" w:cs="Times New Roman"/>
                <w:color w:val="auto"/>
                <w:spacing w:val="6"/>
                <w:sz w:val="21"/>
                <w:szCs w:val="21"/>
                <w:u w:val="none" w:color="auto"/>
                <w:lang w:eastAsia="zh-CN"/>
              </w:rPr>
              <w:t>合金制造</w:t>
            </w: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全部</w:t>
            </w: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w:t>
            </w: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Ⅲ类</w:t>
            </w:r>
          </w:p>
        </w:tc>
        <w:tc>
          <w:tcPr>
            <w:tcW w:w="1582"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2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50.压延加工</w:t>
            </w: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w:t>
            </w: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全部</w:t>
            </w:r>
          </w:p>
        </w:tc>
        <w:tc>
          <w:tcPr>
            <w:tcW w:w="156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w:t>
            </w:r>
          </w:p>
        </w:tc>
        <w:tc>
          <w:tcPr>
            <w:tcW w:w="1582"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spacing w:val="6"/>
                <w:sz w:val="21"/>
                <w:szCs w:val="21"/>
                <w:u w:val="none" w:color="auto"/>
              </w:rPr>
              <w:t>Ⅳ类</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生产、生活用水来源为园区给水管网，本项目所在区域居民生活用水由市</w:t>
      </w:r>
      <w:r>
        <w:rPr>
          <w:rFonts w:hint="default" w:ascii="Times New Roman" w:hAnsi="Times New Roman" w:eastAsia="宋体" w:cs="Times New Roman"/>
          <w:color w:val="auto"/>
          <w:spacing w:val="1"/>
          <w:sz w:val="24"/>
          <w:szCs w:val="24"/>
          <w:u w:val="none" w:color="auto"/>
        </w:rPr>
        <w:t>政</w:t>
      </w:r>
      <w:r>
        <w:rPr>
          <w:rFonts w:hint="default" w:ascii="Times New Roman" w:hAnsi="Times New Roman" w:eastAsia="宋体" w:cs="Times New Roman"/>
          <w:color w:val="auto"/>
          <w:spacing w:val="12"/>
          <w:sz w:val="24"/>
          <w:szCs w:val="24"/>
          <w:u w:val="none" w:color="auto"/>
        </w:rPr>
        <w:t>供水管网</w:t>
      </w:r>
      <w:r>
        <w:rPr>
          <w:rFonts w:hint="default" w:ascii="Times New Roman" w:hAnsi="Times New Roman" w:eastAsia="宋体" w:cs="Times New Roman"/>
          <w:color w:val="auto"/>
          <w:spacing w:val="10"/>
          <w:sz w:val="24"/>
          <w:szCs w:val="24"/>
          <w:u w:val="none" w:color="auto"/>
        </w:rPr>
        <w:t>提</w:t>
      </w:r>
      <w:r>
        <w:rPr>
          <w:rFonts w:hint="default" w:ascii="Times New Roman" w:hAnsi="Times New Roman" w:eastAsia="宋体" w:cs="Times New Roman"/>
          <w:color w:val="auto"/>
          <w:spacing w:val="6"/>
          <w:sz w:val="24"/>
          <w:szCs w:val="24"/>
          <w:u w:val="none" w:color="auto"/>
        </w:rPr>
        <w:t>供，项目所在区域无集中式饮用水源等表1中的敏感区、较敏感区，</w:t>
      </w:r>
      <w:r>
        <w:rPr>
          <w:rFonts w:hint="default" w:ascii="Times New Roman" w:hAnsi="Times New Roman" w:eastAsia="宋体" w:cs="Times New Roman"/>
          <w:color w:val="auto"/>
          <w:spacing w:val="12"/>
          <w:sz w:val="24"/>
          <w:szCs w:val="24"/>
          <w:u w:val="none" w:color="auto"/>
        </w:rPr>
        <w:t>即项</w:t>
      </w:r>
      <w:r>
        <w:rPr>
          <w:rFonts w:hint="default" w:ascii="Times New Roman" w:hAnsi="Times New Roman" w:eastAsia="宋体" w:cs="Times New Roman"/>
          <w:color w:val="auto"/>
          <w:spacing w:val="9"/>
          <w:sz w:val="24"/>
          <w:szCs w:val="24"/>
          <w:u w:val="none" w:color="auto"/>
        </w:rPr>
        <w:t>目</w:t>
      </w:r>
      <w:r>
        <w:rPr>
          <w:rFonts w:hint="default" w:ascii="Times New Roman" w:hAnsi="Times New Roman" w:eastAsia="宋体" w:cs="Times New Roman"/>
          <w:color w:val="auto"/>
          <w:spacing w:val="6"/>
          <w:sz w:val="24"/>
          <w:szCs w:val="24"/>
          <w:u w:val="none" w:color="auto"/>
        </w:rPr>
        <w:t>区域地下水环境敏感程度为不敏感。地下水环境影响评价项目类别为Ⅲ类，</w:t>
      </w:r>
      <w:r>
        <w:rPr>
          <w:rFonts w:hint="default" w:ascii="Times New Roman" w:hAnsi="Times New Roman" w:eastAsia="宋体" w:cs="Times New Roman"/>
          <w:color w:val="auto"/>
          <w:spacing w:val="16"/>
          <w:sz w:val="24"/>
          <w:szCs w:val="24"/>
          <w:u w:val="none" w:color="auto"/>
        </w:rPr>
        <w:t>通</w:t>
      </w:r>
      <w:r>
        <w:rPr>
          <w:rFonts w:hint="default" w:ascii="Times New Roman" w:hAnsi="Times New Roman" w:eastAsia="宋体" w:cs="Times New Roman"/>
          <w:color w:val="auto"/>
          <w:spacing w:val="9"/>
          <w:sz w:val="24"/>
          <w:szCs w:val="24"/>
          <w:u w:val="none" w:color="auto"/>
        </w:rPr>
        <w:t>过查询评价工作等级分级表，项目地下水评价等级为</w:t>
      </w:r>
      <w:r>
        <w:rPr>
          <w:rFonts w:hint="default" w:ascii="Times New Roman" w:hAnsi="Times New Roman" w:eastAsia="宋体" w:cs="Times New Roman"/>
          <w:color w:val="auto"/>
          <w:spacing w:val="9"/>
          <w:sz w:val="24"/>
          <w:szCs w:val="24"/>
          <w:u w:val="none" w:color="auto"/>
          <w:lang w:eastAsia="zh-CN"/>
        </w:rPr>
        <w:t>三</w:t>
      </w:r>
      <w:r>
        <w:rPr>
          <w:rFonts w:hint="default" w:ascii="Times New Roman" w:hAnsi="Times New Roman" w:eastAsia="宋体" w:cs="Times New Roman"/>
          <w:color w:val="auto"/>
          <w:spacing w:val="9"/>
          <w:sz w:val="24"/>
          <w:szCs w:val="24"/>
          <w:u w:val="none" w:color="auto"/>
        </w:rPr>
        <w:t>级。</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2、地下水环境影响评价范围</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lang w:eastAsia="zh-CN"/>
        </w:rPr>
        <w:t>本项目</w:t>
      </w:r>
      <w:r>
        <w:rPr>
          <w:rFonts w:hint="default" w:ascii="Times New Roman" w:hAnsi="Times New Roman" w:eastAsia="宋体" w:cs="Times New Roman"/>
          <w:color w:val="auto"/>
          <w:spacing w:val="9"/>
          <w:sz w:val="24"/>
          <w:szCs w:val="24"/>
          <w:u w:val="none" w:color="auto"/>
        </w:rPr>
        <w:t>地下水评价等级为</w:t>
      </w:r>
      <w:r>
        <w:rPr>
          <w:rFonts w:hint="default" w:ascii="Times New Roman" w:hAnsi="Times New Roman" w:eastAsia="宋体" w:cs="Times New Roman"/>
          <w:color w:val="auto"/>
          <w:spacing w:val="9"/>
          <w:sz w:val="24"/>
          <w:szCs w:val="24"/>
          <w:u w:val="none" w:color="auto"/>
          <w:lang w:eastAsia="zh-CN"/>
        </w:rPr>
        <w:t>三</w:t>
      </w:r>
      <w:r>
        <w:rPr>
          <w:rFonts w:hint="default" w:ascii="Times New Roman" w:hAnsi="Times New Roman" w:eastAsia="宋体" w:cs="Times New Roman"/>
          <w:color w:val="auto"/>
          <w:spacing w:val="9"/>
          <w:sz w:val="24"/>
          <w:szCs w:val="24"/>
          <w:u w:val="none" w:color="auto"/>
        </w:rPr>
        <w:t>级</w:t>
      </w:r>
      <w:r>
        <w:rPr>
          <w:rFonts w:hint="default" w:ascii="Times New Roman" w:hAnsi="Times New Roman" w:eastAsia="宋体" w:cs="Times New Roman"/>
          <w:color w:val="auto"/>
          <w:spacing w:val="9"/>
          <w:sz w:val="24"/>
          <w:szCs w:val="24"/>
          <w:u w:val="none" w:color="auto"/>
          <w:lang w:eastAsia="zh-CN"/>
        </w:rPr>
        <w:t>，评价范围为周围</w:t>
      </w:r>
      <w:r>
        <w:rPr>
          <w:rFonts w:hint="default" w:ascii="Times New Roman" w:hAnsi="Times New Roman" w:eastAsia="宋体" w:cs="Times New Roman"/>
          <w:color w:val="auto"/>
          <w:spacing w:val="9"/>
          <w:sz w:val="24"/>
          <w:szCs w:val="24"/>
          <w:u w:val="none" w:color="auto"/>
          <w:lang w:val="en-US" w:eastAsia="zh-CN"/>
        </w:rPr>
        <w:t>6km</w:t>
      </w:r>
      <w:r>
        <w:rPr>
          <w:rFonts w:hint="default" w:ascii="Times New Roman" w:hAnsi="Times New Roman" w:eastAsia="宋体" w:cs="Times New Roman"/>
          <w:color w:val="auto"/>
          <w:spacing w:val="9"/>
          <w:sz w:val="24"/>
          <w:szCs w:val="24"/>
          <w:u w:val="none" w:color="auto"/>
          <w:vertAlign w:val="superscript"/>
          <w:lang w:val="en-US" w:eastAsia="zh-CN"/>
        </w:rPr>
        <w:t>2</w:t>
      </w:r>
      <w:r>
        <w:rPr>
          <w:rFonts w:hint="default" w:ascii="Times New Roman" w:hAnsi="Times New Roman" w:eastAsia="宋体" w:cs="Times New Roman"/>
          <w:color w:val="auto"/>
          <w:spacing w:val="5"/>
          <w:sz w:val="24"/>
          <w:szCs w:val="24"/>
          <w:u w:val="none" w:color="auto"/>
        </w:rPr>
        <w:t>。</w:t>
      </w:r>
    </w:p>
    <w:p>
      <w:pPr>
        <w:pStyle w:val="7"/>
        <w:bidi w:val="0"/>
        <w:rPr>
          <w:rFonts w:hint="default"/>
          <w:color w:val="auto"/>
        </w:rPr>
      </w:pPr>
      <w:bookmarkStart w:id="63" w:name="_Toc27551"/>
      <w:r>
        <w:rPr>
          <w:rFonts w:hint="eastAsia"/>
          <w:color w:val="auto"/>
          <w:lang w:val="en-US" w:eastAsia="zh-CN"/>
        </w:rPr>
        <w:t>2.3.</w:t>
      </w:r>
      <w:r>
        <w:rPr>
          <w:rFonts w:hint="default"/>
          <w:color w:val="auto"/>
        </w:rPr>
        <w:t>4声环境</w:t>
      </w:r>
      <w:r>
        <w:rPr>
          <w:rFonts w:hint="eastAsia"/>
          <w:color w:val="auto"/>
          <w:lang w:eastAsia="zh-CN"/>
        </w:rPr>
        <w:t>影响</w:t>
      </w:r>
      <w:r>
        <w:rPr>
          <w:rFonts w:hint="default"/>
          <w:color w:val="auto"/>
        </w:rPr>
        <w:t>评价等级</w:t>
      </w:r>
      <w:bookmarkEnd w:id="63"/>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1、声环境评价等级</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本项目位于工业园，为声环境功能3类区，建设前后噪声级增加小于3dB(A)，且受影响人口变化不大的情况。</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根据《环境影响评价技术导则—声环境》(HJ2.4-2021)规定，确定声环境影响评价等级为三级。</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2、声环境评价范围</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根据《环境影响评价技术导则声环境》(HJ2.4-2021)中的有关规定，确定本项目声环境评价范围为建设项目场区边界外200m以内的范围。</w:t>
      </w:r>
    </w:p>
    <w:p>
      <w:pPr>
        <w:pStyle w:val="7"/>
        <w:bidi w:val="0"/>
        <w:rPr>
          <w:rFonts w:hint="default"/>
          <w:color w:val="auto"/>
        </w:rPr>
      </w:pPr>
      <w:bookmarkStart w:id="64" w:name="_Toc2439"/>
      <w:r>
        <w:rPr>
          <w:rFonts w:hint="eastAsia"/>
          <w:color w:val="auto"/>
          <w:lang w:val="en-US" w:eastAsia="zh-CN"/>
        </w:rPr>
        <w:t>2.3.</w:t>
      </w:r>
      <w:r>
        <w:rPr>
          <w:rFonts w:hint="default"/>
          <w:color w:val="auto"/>
        </w:rPr>
        <w:t>5生态环境影响评价等级</w:t>
      </w:r>
      <w:bookmarkEnd w:id="64"/>
    </w:p>
    <w:p>
      <w:pPr>
        <w:pageBreakBefore w:val="0"/>
        <w:kinsoku/>
        <w:wordWrap/>
        <w:overflowPunct w:val="0"/>
        <w:topLinePunct/>
        <w:autoSpaceDE w:val="0"/>
        <w:autoSpaceDN w:val="0"/>
        <w:bidi w:val="0"/>
        <w:spacing w:before="211" w:line="375" w:lineRule="auto"/>
        <w:ind w:left="138" w:right="139"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2"/>
          <w:sz w:val="24"/>
          <w:szCs w:val="24"/>
          <w:u w:val="none" w:color="auto"/>
        </w:rPr>
        <w:t>根据《环</w:t>
      </w:r>
      <w:r>
        <w:rPr>
          <w:rFonts w:hint="default" w:ascii="Times New Roman" w:hAnsi="Times New Roman" w:eastAsia="宋体" w:cs="Times New Roman"/>
          <w:color w:val="auto"/>
          <w:spacing w:val="9"/>
          <w:sz w:val="24"/>
          <w:szCs w:val="24"/>
          <w:u w:val="none" w:color="auto"/>
        </w:rPr>
        <w:t>境</w:t>
      </w:r>
      <w:r>
        <w:rPr>
          <w:rFonts w:hint="default" w:ascii="Times New Roman" w:hAnsi="Times New Roman" w:eastAsia="宋体" w:cs="Times New Roman"/>
          <w:color w:val="auto"/>
          <w:spacing w:val="6"/>
          <w:sz w:val="24"/>
          <w:szCs w:val="24"/>
          <w:u w:val="none" w:color="auto"/>
        </w:rPr>
        <w:t>影响评价技术导则-生态影响》(</w:t>
      </w:r>
      <w:r>
        <w:rPr>
          <w:rFonts w:hint="default" w:ascii="Times New Roman" w:hAnsi="Times New Roman" w:eastAsia="宋体" w:cs="Times New Roman"/>
          <w:color w:val="auto"/>
          <w:sz w:val="24"/>
          <w:szCs w:val="24"/>
          <w:u w:val="none" w:color="auto"/>
        </w:rPr>
        <w:t>HJ</w:t>
      </w:r>
      <w:r>
        <w:rPr>
          <w:rFonts w:hint="default" w:ascii="Times New Roman" w:hAnsi="Times New Roman" w:eastAsia="宋体" w:cs="Times New Roman"/>
          <w:color w:val="auto"/>
          <w:spacing w:val="6"/>
          <w:sz w:val="24"/>
          <w:szCs w:val="24"/>
          <w:u w:val="none" w:color="auto"/>
        </w:rPr>
        <w:t>19-2022)第6.1.8条“位于</w:t>
      </w:r>
      <w:r>
        <w:rPr>
          <w:rFonts w:hint="default" w:ascii="Times New Roman" w:hAnsi="Times New Roman" w:eastAsia="宋体" w:cs="Times New Roman"/>
          <w:color w:val="auto"/>
          <w:spacing w:val="9"/>
          <w:sz w:val="24"/>
          <w:szCs w:val="24"/>
          <w:u w:val="none" w:color="auto"/>
        </w:rPr>
        <w:t>已</w:t>
      </w:r>
      <w:r>
        <w:rPr>
          <w:rFonts w:hint="default" w:ascii="Times New Roman" w:hAnsi="Times New Roman" w:eastAsia="宋体" w:cs="Times New Roman"/>
          <w:color w:val="auto"/>
          <w:spacing w:val="7"/>
          <w:sz w:val="24"/>
          <w:szCs w:val="24"/>
          <w:u w:val="none" w:color="auto"/>
        </w:rPr>
        <w:t>批准规划环评的产业园区内且符合规划环评要求、不涉及生态敏感区的污染影</w:t>
      </w:r>
      <w:r>
        <w:rPr>
          <w:rFonts w:hint="default" w:ascii="Times New Roman" w:hAnsi="Times New Roman" w:eastAsia="宋体" w:cs="Times New Roman"/>
          <w:color w:val="auto"/>
          <w:spacing w:val="20"/>
          <w:sz w:val="24"/>
          <w:szCs w:val="24"/>
          <w:u w:val="none" w:color="auto"/>
        </w:rPr>
        <w:t>响类</w:t>
      </w:r>
      <w:r>
        <w:rPr>
          <w:rFonts w:hint="default" w:ascii="Times New Roman" w:hAnsi="Times New Roman" w:eastAsia="宋体" w:cs="Times New Roman"/>
          <w:color w:val="auto"/>
          <w:spacing w:val="13"/>
          <w:sz w:val="24"/>
          <w:szCs w:val="24"/>
          <w:u w:val="none" w:color="auto"/>
        </w:rPr>
        <w:t>建</w:t>
      </w:r>
      <w:r>
        <w:rPr>
          <w:rFonts w:hint="default" w:ascii="Times New Roman" w:hAnsi="Times New Roman" w:eastAsia="宋体" w:cs="Times New Roman"/>
          <w:color w:val="auto"/>
          <w:spacing w:val="10"/>
          <w:sz w:val="24"/>
          <w:szCs w:val="24"/>
          <w:u w:val="none" w:color="auto"/>
        </w:rPr>
        <w:t>设项目，可不确定评价等级，直接进行生态影响简单分析。”本项目位于岳阳临港高新技术产业开发区</w:t>
      </w:r>
      <w:r>
        <w:rPr>
          <w:rFonts w:hint="default" w:ascii="Times New Roman" w:hAnsi="Times New Roman" w:eastAsia="宋体" w:cs="Times New Roman"/>
          <w:color w:val="auto"/>
          <w:spacing w:val="7"/>
          <w:sz w:val="24"/>
          <w:szCs w:val="24"/>
          <w:u w:val="none" w:color="auto"/>
        </w:rPr>
        <w:t>，属于不涉及生态敏感区的污染影响类建设项目，因此本项目进行生</w:t>
      </w:r>
      <w:r>
        <w:rPr>
          <w:rFonts w:hint="default" w:ascii="Times New Roman" w:hAnsi="Times New Roman" w:eastAsia="宋体" w:cs="Times New Roman"/>
          <w:color w:val="auto"/>
          <w:spacing w:val="12"/>
          <w:sz w:val="24"/>
          <w:szCs w:val="24"/>
          <w:u w:val="none" w:color="auto"/>
        </w:rPr>
        <w:t>态</w:t>
      </w:r>
      <w:r>
        <w:rPr>
          <w:rFonts w:hint="default" w:ascii="Times New Roman" w:hAnsi="Times New Roman" w:eastAsia="宋体" w:cs="Times New Roman"/>
          <w:color w:val="auto"/>
          <w:spacing w:val="7"/>
          <w:sz w:val="24"/>
          <w:szCs w:val="24"/>
          <w:u w:val="none" w:color="auto"/>
        </w:rPr>
        <w:t>影响简单分析。</w:t>
      </w:r>
    </w:p>
    <w:p>
      <w:pPr>
        <w:pStyle w:val="7"/>
        <w:bidi w:val="0"/>
        <w:rPr>
          <w:rFonts w:hint="default"/>
          <w:color w:val="auto"/>
          <w:lang w:val="zh-CN"/>
        </w:rPr>
      </w:pPr>
      <w:bookmarkStart w:id="65" w:name="_Toc16167"/>
      <w:r>
        <w:rPr>
          <w:rFonts w:hint="eastAsia"/>
          <w:color w:val="auto"/>
          <w:lang w:val="en-US" w:eastAsia="zh-CN"/>
        </w:rPr>
        <w:t>2.3.</w:t>
      </w:r>
      <w:r>
        <w:rPr>
          <w:rFonts w:hint="default"/>
          <w:color w:val="auto"/>
        </w:rPr>
        <w:t>6.</w:t>
      </w:r>
      <w:r>
        <w:rPr>
          <w:rFonts w:hint="default"/>
          <w:color w:val="auto"/>
          <w:lang w:val="zh-CN"/>
        </w:rPr>
        <w:t>土壤环境影响评价等级确定</w:t>
      </w:r>
      <w:bookmarkEnd w:id="65"/>
    </w:p>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①对照《环境影响评价技术导则土壤环境（试行）》（HJ964-2018）中附录A土壤环境影响评价项目类别，本项目属于污染影响型中的制造业，本项目属于“制造业-金属冶炼和压延加工及非金属矿物制品”中的“有色金属铸造及合金制造”，土壤环境影响评价项目类别为Ⅱ类，因此本项目土壤环境影响评价项目类别取Ⅱ类。。</w:t>
      </w:r>
    </w:p>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②根据《环境影响评价技术导则土壤环境（试行）》（HJ964-2018）和项目实际建设内容，本项目属于污染影响型建设项目。根据项目占地规模（主要为永久占地）分为大型（≥50km</w:t>
      </w:r>
      <w:r>
        <w:rPr>
          <w:rFonts w:hint="default" w:ascii="Times New Roman" w:hAnsi="Times New Roman" w:eastAsia="宋体" w:cs="Times New Roman"/>
          <w:color w:val="auto"/>
          <w:sz w:val="24"/>
          <w:highlight w:val="none"/>
          <w:u w:val="none" w:color="auto"/>
          <w:vertAlign w:val="superscript"/>
        </w:rPr>
        <w:t>2</w:t>
      </w:r>
      <w:r>
        <w:rPr>
          <w:rFonts w:hint="default" w:ascii="Times New Roman" w:hAnsi="Times New Roman" w:eastAsia="宋体" w:cs="Times New Roman"/>
          <w:color w:val="auto"/>
          <w:sz w:val="24"/>
          <w:highlight w:val="none"/>
          <w:u w:val="none" w:color="auto"/>
        </w:rPr>
        <w:t>）、中型（5-50km</w:t>
      </w:r>
      <w:r>
        <w:rPr>
          <w:rFonts w:hint="default" w:ascii="Times New Roman" w:hAnsi="Times New Roman" w:eastAsia="宋体" w:cs="Times New Roman"/>
          <w:color w:val="auto"/>
          <w:sz w:val="24"/>
          <w:highlight w:val="none"/>
          <w:u w:val="none" w:color="auto"/>
          <w:vertAlign w:val="superscript"/>
        </w:rPr>
        <w:t>2</w:t>
      </w:r>
      <w:r>
        <w:rPr>
          <w:rFonts w:hint="default" w:ascii="Times New Roman" w:hAnsi="Times New Roman" w:eastAsia="宋体" w:cs="Times New Roman"/>
          <w:color w:val="auto"/>
          <w:sz w:val="24"/>
          <w:highlight w:val="none"/>
          <w:u w:val="none" w:color="auto"/>
        </w:rPr>
        <w:t>）、小型（≤5km</w:t>
      </w:r>
      <w:r>
        <w:rPr>
          <w:rFonts w:hint="default" w:ascii="Times New Roman" w:hAnsi="Times New Roman" w:eastAsia="宋体" w:cs="Times New Roman"/>
          <w:color w:val="auto"/>
          <w:sz w:val="24"/>
          <w:highlight w:val="none"/>
          <w:u w:val="none" w:color="auto"/>
          <w:vertAlign w:val="superscript"/>
        </w:rPr>
        <w:t>2</w:t>
      </w:r>
      <w:r>
        <w:rPr>
          <w:rFonts w:hint="default" w:ascii="Times New Roman" w:hAnsi="Times New Roman" w:eastAsia="宋体" w:cs="Times New Roman"/>
          <w:color w:val="auto"/>
          <w:sz w:val="24"/>
          <w:highlight w:val="none"/>
          <w:u w:val="none" w:color="auto"/>
        </w:rPr>
        <w:t>），项目整体厂区占地面积为130844.41m</w:t>
      </w:r>
      <w:r>
        <w:rPr>
          <w:rFonts w:hint="default" w:ascii="Times New Roman" w:hAnsi="Times New Roman" w:eastAsia="宋体" w:cs="Times New Roman"/>
          <w:color w:val="auto"/>
          <w:sz w:val="24"/>
          <w:highlight w:val="none"/>
          <w:u w:val="none" w:color="auto"/>
          <w:vertAlign w:val="superscript"/>
        </w:rPr>
        <w:t>2</w:t>
      </w:r>
      <w:r>
        <w:rPr>
          <w:rFonts w:hint="default" w:ascii="Times New Roman" w:hAnsi="Times New Roman" w:eastAsia="宋体" w:cs="Times New Roman"/>
          <w:color w:val="auto"/>
          <w:sz w:val="24"/>
          <w:highlight w:val="none"/>
          <w:u w:val="none" w:color="auto"/>
        </w:rPr>
        <w:t>约为13.1公顷，占地规模属于</w:t>
      </w:r>
      <w:r>
        <w:rPr>
          <w:rFonts w:hint="default" w:ascii="Times New Roman" w:hAnsi="Times New Roman" w:eastAsia="宋体" w:cs="Times New Roman"/>
          <w:color w:val="auto"/>
          <w:sz w:val="24"/>
          <w:highlight w:val="none"/>
          <w:u w:val="none" w:color="auto"/>
          <w:lang w:eastAsia="zh-CN"/>
        </w:rPr>
        <w:t>中</w:t>
      </w:r>
      <w:r>
        <w:rPr>
          <w:rFonts w:hint="default" w:ascii="Times New Roman" w:hAnsi="Times New Roman" w:eastAsia="宋体" w:cs="Times New Roman"/>
          <w:color w:val="auto"/>
          <w:sz w:val="24"/>
          <w:highlight w:val="none"/>
          <w:u w:val="none" w:color="auto"/>
        </w:rPr>
        <w:t>型。</w:t>
      </w:r>
    </w:p>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③建设项目所在地土壤环境敏感程度分为敏感、较敏感、不敏感。敏感程度依据下表进行判定：</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Cs w:val="21"/>
          <w:highlight w:val="none"/>
          <w:u w:val="none" w:color="auto"/>
        </w:rPr>
      </w:pPr>
      <w:r>
        <w:rPr>
          <w:rFonts w:hint="default" w:ascii="Times New Roman" w:hAnsi="Times New Roman" w:eastAsia="宋体" w:cs="Times New Roman"/>
          <w:b/>
          <w:color w:val="auto"/>
          <w:sz w:val="24"/>
          <w:highlight w:val="none"/>
          <w:u w:val="none" w:color="auto"/>
        </w:rPr>
        <w:t>表2.3-7污染影响型敏感程度分级表</w:t>
      </w:r>
    </w:p>
    <w:tbl>
      <w:tblPr>
        <w:tblStyle w:val="40"/>
        <w:tblW w:w="0" w:type="auto"/>
        <w:tblInd w:w="7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3"/>
        <w:gridCol w:w="6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7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敏感程度</w:t>
            </w:r>
          </w:p>
        </w:tc>
        <w:tc>
          <w:tcPr>
            <w:tcW w:w="6468"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判别依据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7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敏感</w:t>
            </w:r>
          </w:p>
        </w:tc>
        <w:tc>
          <w:tcPr>
            <w:tcW w:w="6468"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建设项目周边存在耕地、园地、牧草地、饮用水水源地或居民区、学校、医院、疗养院、养老院等土壤敏感目标的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7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较敏感</w:t>
            </w:r>
          </w:p>
        </w:tc>
        <w:tc>
          <w:tcPr>
            <w:tcW w:w="6468"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7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不敏感</w:t>
            </w:r>
          </w:p>
        </w:tc>
        <w:tc>
          <w:tcPr>
            <w:tcW w:w="6468"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其他情况</w:t>
            </w:r>
          </w:p>
        </w:tc>
      </w:tr>
    </w:tbl>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通过现场调查，项目所在地属于</w:t>
      </w:r>
      <w:r>
        <w:rPr>
          <w:rFonts w:hint="default" w:ascii="Times New Roman" w:hAnsi="Times New Roman" w:eastAsia="宋体" w:cs="Times New Roman"/>
          <w:color w:val="auto"/>
          <w:sz w:val="24"/>
          <w:highlight w:val="none"/>
          <w:u w:val="none" w:color="auto"/>
          <w:lang w:val="en-US" w:eastAsia="zh-CN"/>
        </w:rPr>
        <w:t>岳阳临港高新技术产业开发区</w:t>
      </w:r>
      <w:r>
        <w:rPr>
          <w:rFonts w:hint="default" w:ascii="Times New Roman" w:hAnsi="Times New Roman" w:eastAsia="宋体" w:cs="Times New Roman"/>
          <w:color w:val="auto"/>
          <w:sz w:val="24"/>
          <w:highlight w:val="none"/>
          <w:u w:val="none" w:color="auto"/>
        </w:rPr>
        <w:t>，厂界周边200m范围内</w:t>
      </w:r>
      <w:r>
        <w:rPr>
          <w:rFonts w:hint="default" w:ascii="Times New Roman" w:hAnsi="Times New Roman" w:eastAsia="宋体" w:cs="Times New Roman"/>
          <w:color w:val="auto"/>
          <w:sz w:val="24"/>
          <w:highlight w:val="none"/>
          <w:u w:val="none" w:color="auto"/>
          <w:lang w:eastAsia="zh-CN"/>
        </w:rPr>
        <w:t>无土壤敏感目标</w:t>
      </w:r>
      <w:r>
        <w:rPr>
          <w:rFonts w:hint="default" w:ascii="Times New Roman" w:hAnsi="Times New Roman" w:eastAsia="宋体" w:cs="Times New Roman"/>
          <w:color w:val="auto"/>
          <w:sz w:val="24"/>
          <w:highlight w:val="none"/>
          <w:u w:val="none" w:color="auto"/>
        </w:rPr>
        <w:t>，土壤敏感程度属于不敏感。</w:t>
      </w:r>
    </w:p>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依据《环境影响评价技术导则土壤环境（试行）》（HJ964-2018）中污染影响型评价工作分级表见下表。</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表2.3-8污染影响型土壤环境评价工作等级划分表</w:t>
      </w:r>
    </w:p>
    <w:tbl>
      <w:tblPr>
        <w:tblStyle w:val="40"/>
        <w:tblW w:w="488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59"/>
        <w:gridCol w:w="732"/>
        <w:gridCol w:w="761"/>
        <w:gridCol w:w="695"/>
        <w:gridCol w:w="679"/>
        <w:gridCol w:w="664"/>
        <w:gridCol w:w="639"/>
        <w:gridCol w:w="684"/>
        <w:gridCol w:w="644"/>
        <w:gridCol w:w="6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5" w:type="pct"/>
            <w:vMerge w:val="restart"/>
            <w:vAlign w:val="center"/>
            <mc:AlternateContent>
              <mc:Choice Requires="wpsCustomData">
                <wpsCustomData:diagonals>
                  <wpsCustomData:diagonal from="5000" to="30000">
                    <wpsCustomData:border w:val="single" w:color="auto" w:sz="12" w:space="0"/>
                  </wpsCustomData:diagonal>
                  <wpsCustomData:diagonal from="15000" to="30000">
                    <wpsCustomData:border w:val="single" w:color="auto" w:sz="12" w:space="0"/>
                  </wpsCustomData:diagonal>
                </wpsCustomData:diagonals>
              </mc:Choice>
            </mc:AlternateContent>
          </w:tcPr>
          <w:p>
            <w:pPr>
              <w:pStyle w:val="15"/>
              <w:pageBreakBefore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敏感程度</w:t>
            </w:r>
          </w:p>
          <w:p>
            <w:pPr>
              <w:pageBreakBefore w:val="0"/>
              <w:kinsoku/>
              <w:wordWrap/>
              <w:overflowPunct w:val="0"/>
              <w:topLinePunct/>
              <w:autoSpaceDE w:val="0"/>
              <w:autoSpaceDN w:val="0"/>
              <w:bidi w:val="0"/>
              <mc:AlternateContent>
                <mc:Choice Requires="wpsCustomData">
                  <wpsCustomData:diagonalParaType/>
                </mc:Choice>
              </mc:AlternateContent>
              <w:rPr>
                <w:rFonts w:hint="default" w:ascii="Times New Roman" w:hAnsi="Times New Roman" w:eastAsia="宋体" w:cs="Times New Roman"/>
                <w:color w:val="auto"/>
                <w:u w:val="none" w:color="auto"/>
                <w:lang w:val="en-US" w:eastAsia="zh-CN"/>
              </w:rPr>
            </w:pPr>
          </w:p>
          <w:p>
            <w:pPr>
              <w:pageBreakBefore w:val="0"/>
              <w:kinsoku/>
              <w:wordWrap/>
              <w:overflowPunct w:val="0"/>
              <w:topLinePunct/>
              <w:autoSpaceDE w:val="0"/>
              <w:autoSpaceDN w:val="0"/>
              <w:bidi w:val="0"/>
              <w:adjustRightInd w:val="0"/>
              <w:snapToGrid w:val="0"/>
              <mc:AlternateContent>
                <mc:Choice Requires="wpsCustomData">
                  <wpsCustomData:diagonalParaType/>
                </mc:Choice>
              </mc:AlternateContent>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评价工作等级</w:t>
            </w:r>
          </w:p>
          <w:p>
            <w:pPr>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占地规模</w:t>
            </w:r>
          </w:p>
        </w:tc>
        <w:tc>
          <w:tcPr>
            <w:tcW w:w="1312" w:type="pct"/>
            <w:gridSpan w:val="3"/>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Ⅰ类</w:t>
            </w:r>
          </w:p>
        </w:tc>
        <w:tc>
          <w:tcPr>
            <w:tcW w:w="1188" w:type="pct"/>
            <w:gridSpan w:val="3"/>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Ⅱ类</w:t>
            </w:r>
          </w:p>
        </w:tc>
        <w:tc>
          <w:tcPr>
            <w:tcW w:w="1203" w:type="pct"/>
            <w:gridSpan w:val="3"/>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5" w:type="pct"/>
            <w:vMerge w:val="continue"/>
            <w:vAlign w:val="center"/>
          </w:tcPr>
          <w:p>
            <w:pPr>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szCs w:val="21"/>
                <w:highlight w:val="none"/>
                <w:u w:val="none" w:color="auto"/>
              </w:rPr>
            </w:pPr>
          </w:p>
        </w:tc>
        <w:tc>
          <w:tcPr>
            <w:tcW w:w="439"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大</w:t>
            </w:r>
          </w:p>
        </w:tc>
        <w:tc>
          <w:tcPr>
            <w:tcW w:w="45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中</w:t>
            </w:r>
          </w:p>
        </w:tc>
        <w:tc>
          <w:tcPr>
            <w:tcW w:w="41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小</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大</w:t>
            </w:r>
          </w:p>
        </w:tc>
        <w:tc>
          <w:tcPr>
            <w:tcW w:w="398"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中</w:t>
            </w:r>
          </w:p>
        </w:tc>
        <w:tc>
          <w:tcPr>
            <w:tcW w:w="383"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小</w:t>
            </w:r>
          </w:p>
        </w:tc>
        <w:tc>
          <w:tcPr>
            <w:tcW w:w="410"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大</w:t>
            </w:r>
          </w:p>
        </w:tc>
        <w:tc>
          <w:tcPr>
            <w:tcW w:w="38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中</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5"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敏感</w:t>
            </w:r>
          </w:p>
        </w:tc>
        <w:tc>
          <w:tcPr>
            <w:tcW w:w="439"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一级</w:t>
            </w:r>
          </w:p>
        </w:tc>
        <w:tc>
          <w:tcPr>
            <w:tcW w:w="45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一级</w:t>
            </w:r>
          </w:p>
        </w:tc>
        <w:tc>
          <w:tcPr>
            <w:tcW w:w="41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一级</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398"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383"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410"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38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5"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较敏感</w:t>
            </w:r>
          </w:p>
        </w:tc>
        <w:tc>
          <w:tcPr>
            <w:tcW w:w="439"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一级</w:t>
            </w:r>
          </w:p>
        </w:tc>
        <w:tc>
          <w:tcPr>
            <w:tcW w:w="45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一级</w:t>
            </w:r>
          </w:p>
        </w:tc>
        <w:tc>
          <w:tcPr>
            <w:tcW w:w="41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398"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383"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410"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38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5"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不敏感</w:t>
            </w:r>
          </w:p>
        </w:tc>
        <w:tc>
          <w:tcPr>
            <w:tcW w:w="439"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一级</w:t>
            </w:r>
          </w:p>
        </w:tc>
        <w:tc>
          <w:tcPr>
            <w:tcW w:w="45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41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二级</w:t>
            </w:r>
          </w:p>
        </w:tc>
        <w:tc>
          <w:tcPr>
            <w:tcW w:w="398"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b/>
                <w:bCs/>
                <w:color w:val="auto"/>
                <w:szCs w:val="21"/>
                <w:highlight w:val="none"/>
                <w:u w:val="none" w:color="auto"/>
              </w:rPr>
              <w:t>三级</w:t>
            </w:r>
          </w:p>
        </w:tc>
        <w:tc>
          <w:tcPr>
            <w:tcW w:w="383"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410"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三级</w:t>
            </w:r>
          </w:p>
        </w:tc>
        <w:tc>
          <w:tcPr>
            <w:tcW w:w="386"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w:t>
            </w:r>
          </w:p>
        </w:tc>
        <w:tc>
          <w:tcPr>
            <w:tcW w:w="407" w:type="pct"/>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10"/>
            <w:vAlign w:val="center"/>
          </w:tcPr>
          <w:p>
            <w:pPr>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注：“-”表示可不开展土壤环境影响评价工作</w:t>
            </w:r>
          </w:p>
        </w:tc>
      </w:tr>
    </w:tbl>
    <w:p>
      <w:pPr>
        <w:pageBreakBefore w:val="0"/>
        <w:kinsoku/>
        <w:wordWrap/>
        <w:overflowPunct w:val="0"/>
        <w:topLinePunct/>
        <w:autoSpaceDE w:val="0"/>
        <w:autoSpaceDN w:val="0"/>
        <w:bidi w:val="0"/>
        <w:adjustRightInd w:val="0"/>
        <w:snapToGrid w:val="0"/>
        <w:spacing w:before="120" w:beforeLines="50"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根据项目实际情况和导则要求，本次评价土壤环境影响评价工作等级划定见下表：</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表2.3-9本次环评土壤环境影响评价判定表</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3"/>
        <w:gridCol w:w="5763"/>
        <w:gridCol w:w="10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3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等级划分指标</w:t>
            </w:r>
          </w:p>
        </w:tc>
        <w:tc>
          <w:tcPr>
            <w:tcW w:w="576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建设项目实际情况</w:t>
            </w:r>
          </w:p>
        </w:tc>
        <w:tc>
          <w:tcPr>
            <w:tcW w:w="1076"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分级情况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3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建设项目</w:t>
            </w:r>
          </w:p>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行业分类</w:t>
            </w:r>
          </w:p>
        </w:tc>
        <w:tc>
          <w:tcPr>
            <w:tcW w:w="576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依据HJ610-2016附录A，本项目属于制造业，有色金属铸造及合金制造”，按土壤环境影响评价项目类别</w:t>
            </w:r>
          </w:p>
        </w:tc>
        <w:tc>
          <w:tcPr>
            <w:tcW w:w="1076"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3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土壤环境</w:t>
            </w:r>
          </w:p>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敏感程度</w:t>
            </w:r>
          </w:p>
        </w:tc>
        <w:tc>
          <w:tcPr>
            <w:tcW w:w="576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项目厂界周边200m范围内不存在耕地、园地、牧草地、饮用水水源地或居民区、学校、医院、疗养院、养老院等土壤敏感目标的及其他土壤环境敏感目标</w:t>
            </w:r>
          </w:p>
        </w:tc>
        <w:tc>
          <w:tcPr>
            <w:tcW w:w="1076"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不敏感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3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占地规模</w:t>
            </w:r>
          </w:p>
        </w:tc>
        <w:tc>
          <w:tcPr>
            <w:tcW w:w="576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130844.41m</w:t>
            </w:r>
            <w:r>
              <w:rPr>
                <w:rFonts w:hint="default" w:ascii="Times New Roman" w:hAnsi="Times New Roman" w:eastAsia="宋体" w:cs="Times New Roman"/>
                <w:color w:val="auto"/>
                <w:szCs w:val="21"/>
                <w:highlight w:val="none"/>
                <w:u w:val="none" w:color="auto"/>
                <w:vertAlign w:val="superscript"/>
              </w:rPr>
              <w:t>2</w:t>
            </w:r>
            <w:r>
              <w:rPr>
                <w:rFonts w:hint="default" w:ascii="Times New Roman" w:hAnsi="Times New Roman" w:eastAsia="宋体" w:cs="Times New Roman"/>
                <w:color w:val="auto"/>
                <w:szCs w:val="21"/>
                <w:highlight w:val="none"/>
                <w:u w:val="none" w:color="auto"/>
              </w:rPr>
              <w:t>约为</w:t>
            </w:r>
            <w:r>
              <w:rPr>
                <w:rFonts w:hint="default" w:ascii="Times New Roman" w:hAnsi="Times New Roman" w:eastAsia="宋体" w:cs="Times New Roman"/>
                <w:color w:val="auto"/>
                <w:szCs w:val="21"/>
                <w:highlight w:val="none"/>
                <w:u w:val="none" w:color="auto"/>
                <w:lang w:val="en-US" w:eastAsia="zh-CN"/>
              </w:rPr>
              <w:t>13.1</w:t>
            </w:r>
            <w:r>
              <w:rPr>
                <w:rFonts w:hint="default" w:ascii="Times New Roman" w:hAnsi="Times New Roman" w:eastAsia="宋体" w:cs="Times New Roman"/>
                <w:color w:val="auto"/>
                <w:szCs w:val="21"/>
                <w:highlight w:val="none"/>
                <w:u w:val="none" w:color="auto"/>
              </w:rPr>
              <w:t>公顷</w:t>
            </w:r>
          </w:p>
        </w:tc>
        <w:tc>
          <w:tcPr>
            <w:tcW w:w="1076"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t>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33" w:type="dxa"/>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工作等级划分</w:t>
            </w:r>
          </w:p>
        </w:tc>
        <w:tc>
          <w:tcPr>
            <w:tcW w:w="6839" w:type="dxa"/>
            <w:gridSpan w:val="2"/>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lang w:eastAsia="zh-CN"/>
              </w:rPr>
              <w:t>三</w:t>
            </w:r>
            <w:r>
              <w:rPr>
                <w:rFonts w:hint="default" w:ascii="Times New Roman" w:hAnsi="Times New Roman" w:eastAsia="宋体" w:cs="Times New Roman"/>
                <w:color w:val="auto"/>
                <w:szCs w:val="21"/>
                <w:highlight w:val="none"/>
                <w:u w:val="none" w:color="auto"/>
              </w:rPr>
              <w:t>级</w:t>
            </w:r>
          </w:p>
        </w:tc>
      </w:tr>
    </w:tbl>
    <w:p>
      <w:pPr>
        <w:pageBreakBefore w:val="0"/>
        <w:kinsoku/>
        <w:wordWrap/>
        <w:overflowPunct w:val="0"/>
        <w:topLinePunct/>
        <w:autoSpaceDE w:val="0"/>
        <w:autoSpaceDN w:val="0"/>
        <w:bidi w:val="0"/>
        <w:spacing w:line="360" w:lineRule="auto"/>
        <w:ind w:firstLine="504" w:firstLineChars="200"/>
        <w:rPr>
          <w:rFonts w:hint="default" w:ascii="Times New Roman" w:hAnsi="Times New Roman" w:eastAsia="宋体" w:cs="Times New Roman"/>
          <w:color w:val="auto"/>
          <w:spacing w:val="6"/>
          <w:sz w:val="24"/>
          <w:highlight w:val="none"/>
          <w:u w:val="none" w:color="auto"/>
        </w:rPr>
      </w:pPr>
      <w:r>
        <w:rPr>
          <w:rFonts w:hint="default" w:ascii="Times New Roman" w:hAnsi="Times New Roman" w:eastAsia="宋体" w:cs="Times New Roman"/>
          <w:color w:val="auto"/>
          <w:spacing w:val="6"/>
          <w:sz w:val="24"/>
          <w:highlight w:val="none"/>
          <w:u w:val="none" w:color="auto"/>
        </w:rPr>
        <w:t>经以上分析，根据《环境影响评价技术导则土壤环境（试行）》（HJ964-2018）中相关规定，本项目为污染影响型的</w:t>
      </w:r>
      <w:r>
        <w:rPr>
          <w:rFonts w:hint="default" w:ascii="Times New Roman" w:hAnsi="Times New Roman" w:eastAsia="宋体" w:cs="Times New Roman"/>
          <w:color w:val="auto"/>
          <w:spacing w:val="6"/>
          <w:sz w:val="24"/>
          <w:highlight w:val="none"/>
          <w:u w:val="none" w:color="auto"/>
          <w:lang w:eastAsia="zh-CN"/>
        </w:rPr>
        <w:t>三</w:t>
      </w:r>
      <w:r>
        <w:rPr>
          <w:rFonts w:hint="default" w:ascii="Times New Roman" w:hAnsi="Times New Roman" w:eastAsia="宋体" w:cs="Times New Roman"/>
          <w:color w:val="auto"/>
          <w:spacing w:val="6"/>
          <w:sz w:val="24"/>
          <w:highlight w:val="none"/>
          <w:u w:val="none" w:color="auto"/>
        </w:rPr>
        <w:t>级土壤评价。</w:t>
      </w:r>
    </w:p>
    <w:p>
      <w:pPr>
        <w:pageBreakBefore w:val="0"/>
        <w:kinsoku/>
        <w:wordWrap/>
        <w:overflowPunct w:val="0"/>
        <w:topLinePunct/>
        <w:autoSpaceDE w:val="0"/>
        <w:autoSpaceDN w:val="0"/>
        <w:bidi w:val="0"/>
        <w:spacing w:line="360" w:lineRule="auto"/>
        <w:ind w:firstLine="504" w:firstLineChars="200"/>
        <w:rPr>
          <w:rFonts w:hint="default" w:ascii="Times New Roman" w:hAnsi="Times New Roman" w:eastAsia="宋体" w:cs="Times New Roman"/>
          <w:color w:val="auto"/>
          <w:spacing w:val="6"/>
          <w:sz w:val="24"/>
          <w:highlight w:val="none"/>
          <w:u w:val="none" w:color="auto"/>
        </w:rPr>
      </w:pPr>
      <w:r>
        <w:rPr>
          <w:rFonts w:hint="default" w:ascii="Times New Roman" w:hAnsi="Times New Roman" w:eastAsia="宋体" w:cs="Times New Roman"/>
          <w:color w:val="auto"/>
          <w:spacing w:val="6"/>
          <w:sz w:val="24"/>
          <w:highlight w:val="none"/>
          <w:u w:val="none" w:color="auto"/>
        </w:rPr>
        <w:t>2、土壤环境评价范围</w:t>
      </w:r>
    </w:p>
    <w:p>
      <w:pPr>
        <w:pageBreakBefore w:val="0"/>
        <w:kinsoku/>
        <w:wordWrap/>
        <w:overflowPunct w:val="0"/>
        <w:topLinePunct/>
        <w:autoSpaceDE w:val="0"/>
        <w:autoSpaceDN w:val="0"/>
        <w:bidi w:val="0"/>
        <w:spacing w:line="360" w:lineRule="auto"/>
        <w:ind w:firstLine="504" w:firstLineChars="200"/>
        <w:rPr>
          <w:rFonts w:hint="default" w:ascii="Times New Roman" w:hAnsi="Times New Roman" w:eastAsia="宋体" w:cs="Times New Roman"/>
          <w:color w:val="auto"/>
          <w:spacing w:val="6"/>
          <w:sz w:val="24"/>
          <w:highlight w:val="none"/>
          <w:u w:val="none" w:color="auto"/>
        </w:rPr>
      </w:pPr>
      <w:r>
        <w:rPr>
          <w:rFonts w:hint="default" w:ascii="Times New Roman" w:hAnsi="Times New Roman" w:eastAsia="宋体" w:cs="Times New Roman"/>
          <w:color w:val="auto"/>
          <w:spacing w:val="6"/>
          <w:sz w:val="24"/>
          <w:highlight w:val="none"/>
          <w:u w:val="none" w:color="auto"/>
        </w:rPr>
        <w:t>根据《环境影响评价技术导则-土壤环境(试行)》(HJ964-2018)，确定本项目土壤环境评价范围为</w:t>
      </w:r>
      <w:r>
        <w:rPr>
          <w:rFonts w:hint="default" w:ascii="Times New Roman" w:hAnsi="Times New Roman" w:eastAsia="宋体" w:cs="Times New Roman"/>
          <w:color w:val="auto"/>
          <w:spacing w:val="6"/>
          <w:sz w:val="24"/>
          <w:highlight w:val="none"/>
          <w:u w:val="none" w:color="auto"/>
          <w:lang w:eastAsia="zh-CN"/>
        </w:rPr>
        <w:t>项目占地面积范围及周围</w:t>
      </w:r>
      <w:r>
        <w:rPr>
          <w:rFonts w:hint="default" w:ascii="Times New Roman" w:hAnsi="Times New Roman" w:eastAsia="宋体" w:cs="Times New Roman"/>
          <w:color w:val="auto"/>
          <w:spacing w:val="6"/>
          <w:sz w:val="24"/>
          <w:highlight w:val="none"/>
          <w:u w:val="none" w:color="auto"/>
        </w:rPr>
        <w:t>0.</w:t>
      </w:r>
      <w:r>
        <w:rPr>
          <w:rFonts w:hint="default" w:ascii="Times New Roman" w:hAnsi="Times New Roman" w:eastAsia="宋体" w:cs="Times New Roman"/>
          <w:color w:val="auto"/>
          <w:spacing w:val="6"/>
          <w:sz w:val="24"/>
          <w:highlight w:val="none"/>
          <w:u w:val="none" w:color="auto"/>
          <w:lang w:val="en-US" w:eastAsia="zh-CN"/>
        </w:rPr>
        <w:t>05</w:t>
      </w:r>
      <w:r>
        <w:rPr>
          <w:rFonts w:hint="default" w:ascii="Times New Roman" w:hAnsi="Times New Roman" w:eastAsia="宋体" w:cs="Times New Roman"/>
          <w:color w:val="auto"/>
          <w:spacing w:val="6"/>
          <w:sz w:val="24"/>
          <w:highlight w:val="none"/>
          <w:u w:val="none" w:color="auto"/>
        </w:rPr>
        <w:t>km的范围内。</w:t>
      </w:r>
    </w:p>
    <w:p>
      <w:pPr>
        <w:pStyle w:val="7"/>
        <w:bidi w:val="0"/>
        <w:rPr>
          <w:rFonts w:hint="default"/>
          <w:color w:val="auto"/>
        </w:rPr>
      </w:pPr>
      <w:bookmarkStart w:id="66" w:name="_Toc21228"/>
      <w:r>
        <w:rPr>
          <w:rFonts w:hint="eastAsia"/>
          <w:color w:val="auto"/>
          <w:lang w:val="en-US"/>
        </w:rPr>
        <w:t>2.3.7</w:t>
      </w:r>
      <w:r>
        <w:rPr>
          <w:rFonts w:hint="default"/>
          <w:color w:val="auto"/>
        </w:rPr>
        <w:t>环境风险影响评价等级确定</w:t>
      </w:r>
      <w:bookmarkEnd w:id="66"/>
    </w:p>
    <w:p>
      <w:pPr>
        <w:pageBreakBefore w:val="0"/>
        <w:kinsoku/>
        <w:wordWrap/>
        <w:overflowPunct w:val="0"/>
        <w:topLinePunct/>
        <w:autoSpaceDE w:val="0"/>
        <w:autoSpaceDN w:val="0"/>
        <w:bidi w:val="0"/>
        <w:spacing w:before="208" w:line="370" w:lineRule="auto"/>
        <w:ind w:left="139" w:right="58"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根据《</w:t>
      </w:r>
      <w:r>
        <w:rPr>
          <w:rFonts w:hint="default" w:ascii="Times New Roman" w:hAnsi="Times New Roman" w:eastAsia="宋体" w:cs="Times New Roman"/>
          <w:color w:val="auto"/>
          <w:spacing w:val="3"/>
          <w:sz w:val="24"/>
          <w:szCs w:val="24"/>
          <w:u w:val="none" w:color="auto"/>
        </w:rPr>
        <w:t>建</w:t>
      </w:r>
      <w:r>
        <w:rPr>
          <w:rFonts w:hint="default" w:ascii="Times New Roman" w:hAnsi="Times New Roman" w:eastAsia="宋体" w:cs="Times New Roman"/>
          <w:color w:val="auto"/>
          <w:spacing w:val="2"/>
          <w:sz w:val="24"/>
          <w:szCs w:val="24"/>
          <w:u w:val="none" w:color="auto"/>
        </w:rPr>
        <w:t>设项目环境风险评价技术导则》(</w:t>
      </w:r>
      <w:r>
        <w:rPr>
          <w:rFonts w:hint="default" w:ascii="Times New Roman" w:hAnsi="Times New Roman" w:eastAsia="宋体" w:cs="Times New Roman"/>
          <w:color w:val="auto"/>
          <w:sz w:val="24"/>
          <w:szCs w:val="24"/>
          <w:u w:val="none" w:color="auto"/>
        </w:rPr>
        <w:t>HJ</w:t>
      </w:r>
      <w:r>
        <w:rPr>
          <w:rFonts w:hint="default" w:ascii="Times New Roman" w:hAnsi="Times New Roman" w:eastAsia="宋体" w:cs="Times New Roman"/>
          <w:color w:val="auto"/>
          <w:spacing w:val="2"/>
          <w:sz w:val="24"/>
          <w:szCs w:val="24"/>
          <w:u w:val="none" w:color="auto"/>
        </w:rPr>
        <w:t>169-2018)适用范围及附录</w:t>
      </w:r>
      <w:r>
        <w:rPr>
          <w:rFonts w:hint="default" w:ascii="Times New Roman" w:hAnsi="Times New Roman" w:eastAsia="宋体" w:cs="Times New Roman"/>
          <w:color w:val="auto"/>
          <w:sz w:val="24"/>
          <w:szCs w:val="24"/>
          <w:u w:val="none" w:color="auto"/>
        </w:rPr>
        <w:t>B</w:t>
      </w:r>
      <w:r>
        <w:rPr>
          <w:rFonts w:hint="default" w:ascii="Times New Roman" w:hAnsi="Times New Roman" w:eastAsia="宋体" w:cs="Times New Roman"/>
          <w:color w:val="auto"/>
          <w:spacing w:val="6"/>
          <w:sz w:val="24"/>
          <w:szCs w:val="24"/>
          <w:u w:val="none" w:color="auto"/>
        </w:rPr>
        <w:t>中物质危险性标准，本项目危险物质的数量与临界量比值</w:t>
      </w:r>
      <w:r>
        <w:rPr>
          <w:rFonts w:hint="default" w:ascii="Times New Roman" w:hAnsi="Times New Roman" w:eastAsia="宋体" w:cs="Times New Roman"/>
          <w:color w:val="auto"/>
          <w:spacing w:val="2"/>
          <w:sz w:val="24"/>
          <w:szCs w:val="24"/>
          <w:u w:val="none" w:color="auto"/>
        </w:rPr>
        <w:t>Q=</w:t>
      </w:r>
      <w:r>
        <w:rPr>
          <w:rFonts w:hint="default" w:ascii="Times New Roman" w:hAnsi="Times New Roman" w:eastAsia="宋体" w:cs="Times New Roman"/>
          <w:color w:val="auto"/>
          <w:spacing w:val="2"/>
          <w:sz w:val="24"/>
          <w:szCs w:val="24"/>
          <w:u w:val="none" w:color="auto"/>
          <w:lang w:val="en-US" w:eastAsia="zh-CN"/>
        </w:rPr>
        <w:t>0.04326</w:t>
      </w:r>
      <w:r>
        <w:rPr>
          <w:rFonts w:hint="default" w:ascii="Times New Roman" w:hAnsi="Times New Roman" w:eastAsia="宋体" w:cs="Times New Roman"/>
          <w:color w:val="auto"/>
          <w:spacing w:val="2"/>
          <w:sz w:val="24"/>
          <w:szCs w:val="24"/>
          <w:u w:val="none" w:color="auto"/>
        </w:rPr>
        <w:t>＜1(具</w:t>
      </w:r>
      <w:r>
        <w:rPr>
          <w:rFonts w:hint="default" w:ascii="Times New Roman" w:hAnsi="Times New Roman" w:eastAsia="宋体" w:cs="Times New Roman"/>
          <w:color w:val="auto"/>
          <w:sz w:val="24"/>
          <w:szCs w:val="24"/>
          <w:u w:val="none" w:color="auto"/>
        </w:rPr>
        <w:t>体</w:t>
      </w:r>
      <w:r>
        <w:rPr>
          <w:rFonts w:hint="default" w:ascii="Times New Roman" w:hAnsi="Times New Roman" w:eastAsia="宋体" w:cs="Times New Roman"/>
          <w:color w:val="auto"/>
          <w:spacing w:val="-1"/>
          <w:sz w:val="24"/>
          <w:szCs w:val="24"/>
          <w:u w:val="none" w:color="auto"/>
        </w:rPr>
        <w:t>判定过程详见5.2.</w:t>
      </w:r>
      <w:r>
        <w:rPr>
          <w:rFonts w:hint="eastAsia" w:ascii="Times New Roman" w:hAnsi="Times New Roman" w:eastAsia="宋体" w:cs="Times New Roman"/>
          <w:color w:val="auto"/>
          <w:spacing w:val="-1"/>
          <w:sz w:val="24"/>
          <w:szCs w:val="24"/>
          <w:u w:val="none" w:color="auto"/>
          <w:lang w:val="en-US" w:eastAsia="zh-CN"/>
        </w:rPr>
        <w:t>7</w:t>
      </w:r>
      <w:r>
        <w:rPr>
          <w:rFonts w:hint="default" w:ascii="Times New Roman" w:hAnsi="Times New Roman" w:eastAsia="宋体" w:cs="Times New Roman"/>
          <w:color w:val="auto"/>
          <w:spacing w:val="-1"/>
          <w:sz w:val="24"/>
          <w:szCs w:val="24"/>
          <w:u w:val="none" w:color="auto"/>
        </w:rPr>
        <w:t>章节)，风险潜势为</w:t>
      </w:r>
      <w:r>
        <w:rPr>
          <w:rFonts w:hint="default" w:ascii="Times New Roman" w:hAnsi="Times New Roman" w:eastAsia="宋体" w:cs="Times New Roman"/>
          <w:color w:val="auto"/>
          <w:sz w:val="24"/>
          <w:szCs w:val="24"/>
          <w:u w:val="none" w:color="auto"/>
        </w:rPr>
        <w:t>I</w:t>
      </w:r>
      <w:r>
        <w:rPr>
          <w:rFonts w:hint="default" w:ascii="Times New Roman" w:hAnsi="Times New Roman" w:eastAsia="宋体" w:cs="Times New Roman"/>
          <w:color w:val="auto"/>
          <w:spacing w:val="-1"/>
          <w:sz w:val="24"/>
          <w:szCs w:val="24"/>
          <w:u w:val="none" w:color="auto"/>
        </w:rPr>
        <w:t>，仅简单分析，不设环境风险</w:t>
      </w:r>
      <w:r>
        <w:rPr>
          <w:rFonts w:hint="default" w:ascii="Times New Roman" w:hAnsi="Times New Roman" w:eastAsia="宋体" w:cs="Times New Roman"/>
          <w:color w:val="auto"/>
          <w:sz w:val="24"/>
          <w:szCs w:val="24"/>
          <w:u w:val="none" w:color="auto"/>
        </w:rPr>
        <w:t>评价范围。</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b/>
          <w:color w:val="auto"/>
          <w:sz w:val="24"/>
          <w:highlight w:val="none"/>
          <w:u w:val="none" w:color="auto"/>
        </w:rPr>
        <w:t>表2.3-</w:t>
      </w:r>
      <w:r>
        <w:rPr>
          <w:rFonts w:hint="eastAsia" w:ascii="Times New Roman" w:hAnsi="Times New Roman" w:eastAsia="宋体" w:cs="Times New Roman"/>
          <w:b/>
          <w:color w:val="auto"/>
          <w:sz w:val="24"/>
          <w:highlight w:val="none"/>
          <w:u w:val="none" w:color="auto"/>
          <w:lang w:val="en-US" w:eastAsia="zh-CN"/>
        </w:rPr>
        <w:t>10</w:t>
      </w:r>
      <w:r>
        <w:rPr>
          <w:rFonts w:hint="default" w:ascii="Times New Roman" w:hAnsi="Times New Roman" w:eastAsia="宋体" w:cs="Times New Roman"/>
          <w:b/>
          <w:color w:val="auto"/>
          <w:sz w:val="24"/>
          <w:highlight w:val="none"/>
          <w:u w:val="none" w:color="auto"/>
        </w:rPr>
        <w:t>风险评价等级划分</w:t>
      </w:r>
    </w:p>
    <w:tbl>
      <w:tblPr>
        <w:tblStyle w:val="204"/>
        <w:tblW w:w="854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6"/>
        <w:gridCol w:w="1830"/>
        <w:gridCol w:w="831"/>
        <w:gridCol w:w="829"/>
        <w:gridCol w:w="21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46" w:type="dxa"/>
            <w:tcBorders>
              <w:top w:val="single" w:color="000000" w:sz="12"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spacing w:before="56" w:line="225"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9"/>
                <w:sz w:val="20"/>
                <w:szCs w:val="20"/>
                <w:u w:val="none" w:color="auto"/>
              </w:rPr>
              <w:t>环</w:t>
            </w:r>
            <w:r>
              <w:rPr>
                <w:rFonts w:hint="default" w:ascii="Times New Roman" w:hAnsi="Times New Roman" w:eastAsia="宋体" w:cs="Times New Roman"/>
                <w:color w:val="auto"/>
                <w:spacing w:val="8"/>
                <w:sz w:val="20"/>
                <w:szCs w:val="20"/>
                <w:u w:val="none" w:color="auto"/>
              </w:rPr>
              <w:t>境风险潜势</w:t>
            </w:r>
          </w:p>
        </w:tc>
        <w:tc>
          <w:tcPr>
            <w:tcW w:w="1830" w:type="dxa"/>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before="23" w:line="267" w:lineRule="exact"/>
              <w:ind w:left="0" w:leftChars="0" w:right="0" w:rightChars="0" w:firstLine="0" w:firstLineChars="0"/>
              <w:jc w:val="center"/>
              <w:rPr>
                <w:rFonts w:hint="default" w:ascii="Times New Roman" w:hAnsi="Times New Roman" w:eastAsia="宋体" w:cs="Times New Roman"/>
                <w:color w:val="auto"/>
                <w:sz w:val="13"/>
                <w:szCs w:val="13"/>
                <w:u w:val="none" w:color="auto"/>
              </w:rPr>
            </w:pPr>
            <w:r>
              <w:rPr>
                <w:rFonts w:hint="default" w:ascii="Times New Roman" w:hAnsi="Times New Roman" w:eastAsia="宋体" w:cs="Times New Roman"/>
                <w:color w:val="auto"/>
                <w:spacing w:val="-3"/>
                <w:position w:val="1"/>
                <w:sz w:val="20"/>
                <w:szCs w:val="20"/>
                <w:u w:val="none" w:color="auto"/>
              </w:rPr>
              <w:t>IV、IV</w:t>
            </w:r>
            <w:r>
              <w:rPr>
                <w:rFonts w:hint="default" w:ascii="Times New Roman" w:hAnsi="Times New Roman" w:eastAsia="宋体" w:cs="Times New Roman"/>
                <w:color w:val="auto"/>
                <w:spacing w:val="-3"/>
                <w:position w:val="7"/>
                <w:sz w:val="13"/>
                <w:szCs w:val="13"/>
                <w:u w:val="none" w:color="auto"/>
              </w:rPr>
              <w:t>+</w:t>
            </w:r>
          </w:p>
        </w:tc>
        <w:tc>
          <w:tcPr>
            <w:tcW w:w="831" w:type="dxa"/>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before="95" w:line="192"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1"/>
                <w:sz w:val="20"/>
                <w:szCs w:val="20"/>
                <w:u w:val="none" w:color="auto"/>
              </w:rPr>
              <w:t>III</w:t>
            </w:r>
          </w:p>
        </w:tc>
        <w:tc>
          <w:tcPr>
            <w:tcW w:w="829" w:type="dxa"/>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before="95" w:line="192"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II</w:t>
            </w:r>
          </w:p>
        </w:tc>
        <w:tc>
          <w:tcPr>
            <w:tcW w:w="2104" w:type="dxa"/>
            <w:tcBorders>
              <w:top w:val="single" w:color="000000" w:sz="12"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spacing w:before="95" w:line="192"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46" w:type="dxa"/>
            <w:tcBorders>
              <w:top w:val="single" w:color="000000" w:sz="4" w:space="0"/>
              <w:left w:val="single" w:color="000000" w:sz="12" w:space="0"/>
              <w:bottom w:val="single" w:color="000000" w:sz="12" w:space="0"/>
              <w:right w:val="single" w:color="000000" w:sz="4" w:space="0"/>
            </w:tcBorders>
            <w:vAlign w:val="center"/>
          </w:tcPr>
          <w:p>
            <w:pPr>
              <w:pageBreakBefore w:val="0"/>
              <w:kinsoku/>
              <w:wordWrap/>
              <w:overflowPunct w:val="0"/>
              <w:topLinePunct/>
              <w:autoSpaceDE w:val="0"/>
              <w:autoSpaceDN w:val="0"/>
              <w:bidi w:val="0"/>
              <w:spacing w:before="34" w:line="226"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10"/>
                <w:sz w:val="20"/>
                <w:szCs w:val="20"/>
                <w:u w:val="none" w:color="auto"/>
              </w:rPr>
              <w:t>评</w:t>
            </w:r>
            <w:r>
              <w:rPr>
                <w:rFonts w:hint="default" w:ascii="Times New Roman" w:hAnsi="Times New Roman" w:eastAsia="宋体" w:cs="Times New Roman"/>
                <w:color w:val="auto"/>
                <w:spacing w:val="8"/>
                <w:sz w:val="20"/>
                <w:szCs w:val="20"/>
                <w:u w:val="none" w:color="auto"/>
              </w:rPr>
              <w:t>价工作等级</w:t>
            </w:r>
          </w:p>
        </w:tc>
        <w:tc>
          <w:tcPr>
            <w:tcW w:w="1830" w:type="dxa"/>
            <w:tcBorders>
              <w:top w:val="single" w:color="000000" w:sz="4" w:space="0"/>
              <w:left w:val="single" w:color="000000" w:sz="4" w:space="0"/>
              <w:bottom w:val="single" w:color="000000" w:sz="12" w:space="0"/>
              <w:right w:val="single" w:color="000000" w:sz="4" w:space="0"/>
            </w:tcBorders>
            <w:vAlign w:val="center"/>
          </w:tcPr>
          <w:p>
            <w:pPr>
              <w:pageBreakBefore w:val="0"/>
              <w:kinsoku/>
              <w:wordWrap/>
              <w:overflowPunct w:val="0"/>
              <w:topLinePunct/>
              <w:autoSpaceDE w:val="0"/>
              <w:autoSpaceDN w:val="0"/>
              <w:bidi w:val="0"/>
              <w:spacing w:before="112" w:line="168" w:lineRule="exact"/>
              <w:ind w:left="0" w:leftChars="0" w:right="0" w:rightChars="0" w:firstLine="0" w:firstLineChars="0"/>
              <w:jc w:val="center"/>
              <w:rPr>
                <w:rFonts w:hint="default" w:ascii="Times New Roman" w:hAnsi="Times New Roman" w:eastAsia="宋体" w:cs="Times New Roman"/>
                <w:color w:val="auto"/>
                <w:sz w:val="10"/>
                <w:szCs w:val="10"/>
                <w:u w:val="none" w:color="auto"/>
              </w:rPr>
            </w:pPr>
            <w:r>
              <w:rPr>
                <w:rFonts w:hint="default" w:ascii="Times New Roman" w:hAnsi="Times New Roman" w:eastAsia="宋体" w:cs="Times New Roman"/>
                <w:color w:val="auto"/>
                <w:spacing w:val="97"/>
                <w:position w:val="1"/>
                <w:sz w:val="10"/>
                <w:szCs w:val="10"/>
                <w:u w:val="none" w:color="auto"/>
              </w:rPr>
              <w:t>一</w:t>
            </w:r>
          </w:p>
        </w:tc>
        <w:tc>
          <w:tcPr>
            <w:tcW w:w="831" w:type="dxa"/>
            <w:tcBorders>
              <w:top w:val="single" w:color="000000" w:sz="4" w:space="0"/>
              <w:left w:val="single" w:color="000000" w:sz="4" w:space="0"/>
              <w:bottom w:val="single" w:color="000000" w:sz="12" w:space="0"/>
              <w:right w:val="single" w:color="000000" w:sz="4" w:space="0"/>
            </w:tcBorders>
            <w:vAlign w:val="center"/>
          </w:tcPr>
          <w:p>
            <w:pPr>
              <w:pageBreakBefore w:val="0"/>
              <w:kinsoku/>
              <w:wordWrap/>
              <w:overflowPunct w:val="0"/>
              <w:topLinePunct/>
              <w:autoSpaceDE w:val="0"/>
              <w:autoSpaceDN w:val="0"/>
              <w:bidi w:val="0"/>
              <w:spacing w:before="73" w:line="189"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二</w:t>
            </w:r>
          </w:p>
        </w:tc>
        <w:tc>
          <w:tcPr>
            <w:tcW w:w="829" w:type="dxa"/>
            <w:tcBorders>
              <w:top w:val="single" w:color="000000" w:sz="4" w:space="0"/>
              <w:left w:val="single" w:color="000000" w:sz="4" w:space="0"/>
              <w:bottom w:val="single" w:color="000000" w:sz="12" w:space="0"/>
              <w:right w:val="single" w:color="000000" w:sz="4" w:space="0"/>
            </w:tcBorders>
            <w:vAlign w:val="center"/>
          </w:tcPr>
          <w:p>
            <w:pPr>
              <w:pageBreakBefore w:val="0"/>
              <w:kinsoku/>
              <w:wordWrap/>
              <w:overflowPunct w:val="0"/>
              <w:topLinePunct/>
              <w:autoSpaceDE w:val="0"/>
              <w:autoSpaceDN w:val="0"/>
              <w:bidi w:val="0"/>
              <w:spacing w:before="34" w:line="264" w:lineRule="exact"/>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position w:val="1"/>
                <w:sz w:val="20"/>
                <w:szCs w:val="20"/>
                <w:u w:val="none" w:color="auto"/>
              </w:rPr>
              <w:t>三</w:t>
            </w:r>
          </w:p>
        </w:tc>
        <w:tc>
          <w:tcPr>
            <w:tcW w:w="2104" w:type="dxa"/>
            <w:tcBorders>
              <w:top w:val="single" w:color="000000" w:sz="4" w:space="0"/>
              <w:left w:val="single" w:color="000000" w:sz="4" w:space="0"/>
              <w:bottom w:val="single" w:color="000000" w:sz="12" w:space="0"/>
              <w:right w:val="single" w:color="000000" w:sz="12" w:space="0"/>
            </w:tcBorders>
            <w:vAlign w:val="center"/>
          </w:tcPr>
          <w:p>
            <w:pPr>
              <w:pageBreakBefore w:val="0"/>
              <w:kinsoku/>
              <w:wordWrap/>
              <w:overflowPunct w:val="0"/>
              <w:topLinePunct/>
              <w:autoSpaceDE w:val="0"/>
              <w:autoSpaceDN w:val="0"/>
              <w:bidi w:val="0"/>
              <w:spacing w:before="34" w:line="227"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7"/>
                <w:sz w:val="20"/>
                <w:szCs w:val="20"/>
                <w:u w:val="none" w:color="auto"/>
              </w:rPr>
              <w:t>简</w:t>
            </w:r>
            <w:r>
              <w:rPr>
                <w:rFonts w:hint="default" w:ascii="Times New Roman" w:hAnsi="Times New Roman" w:eastAsia="宋体" w:cs="Times New Roman"/>
                <w:color w:val="auto"/>
                <w:spacing w:val="6"/>
                <w:sz w:val="20"/>
                <w:szCs w:val="20"/>
                <w:u w:val="none" w:color="auto"/>
              </w:rPr>
              <w:t>单分析</w:t>
            </w:r>
          </w:p>
        </w:tc>
      </w:tr>
    </w:tbl>
    <w:p>
      <w:pPr>
        <w:pStyle w:val="6"/>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bookmarkStart w:id="67" w:name="_Toc4509"/>
      <w:bookmarkStart w:id="68" w:name="_Toc14158"/>
      <w:r>
        <w:rPr>
          <w:rFonts w:hint="default" w:ascii="Times New Roman" w:hAnsi="Times New Roman" w:eastAsia="宋体" w:cs="Times New Roman"/>
          <w:color w:val="auto"/>
          <w:u w:val="none" w:color="auto"/>
        </w:rPr>
        <w:t>2.4环境敏感目标</w:t>
      </w:r>
      <w:bookmarkEnd w:id="67"/>
      <w:bookmarkEnd w:id="68"/>
    </w:p>
    <w:p>
      <w:pPr>
        <w:pageBreakBefore w:val="0"/>
        <w:kinsoku/>
        <w:wordWrap/>
        <w:overflowPunct w:val="0"/>
        <w:topLinePunct/>
        <w:autoSpaceDE w:val="0"/>
        <w:autoSpaceDN w:val="0"/>
        <w:bidi w:val="0"/>
        <w:adjustRightInd w:val="0"/>
        <w:snapToGrid w:val="0"/>
        <w:spacing w:before="120" w:beforeLines="50" w:line="360" w:lineRule="auto"/>
        <w:ind w:firstLine="504" w:firstLineChars="200"/>
        <w:rPr>
          <w:rFonts w:hint="default" w:ascii="Times New Roman" w:hAnsi="Times New Roman" w:eastAsia="宋体" w:cs="Times New Roman"/>
          <w:color w:val="auto"/>
          <w:spacing w:val="6"/>
          <w:sz w:val="24"/>
          <w:highlight w:val="none"/>
          <w:u w:val="none" w:color="auto"/>
        </w:rPr>
      </w:pPr>
      <w:r>
        <w:rPr>
          <w:rFonts w:hint="default" w:ascii="Times New Roman" w:hAnsi="Times New Roman" w:eastAsia="宋体" w:cs="Times New Roman"/>
          <w:color w:val="auto"/>
          <w:spacing w:val="6"/>
          <w:sz w:val="24"/>
          <w:highlight w:val="none"/>
          <w:u w:val="none" w:color="auto"/>
        </w:rPr>
        <w:t>本项目位于岳阳临港高新技术产业开发区创新创业基地内，根据本次环评确定的各要素评价工作等级，结合现场踏勘和环境敏感点分布情况，具体环境保护目标及距离、方位见表</w:t>
      </w:r>
      <w:r>
        <w:rPr>
          <w:rFonts w:hint="default" w:ascii="Times New Roman" w:hAnsi="Times New Roman" w:eastAsia="宋体" w:cs="Times New Roman"/>
          <w:color w:val="auto"/>
          <w:sz w:val="24"/>
          <w:highlight w:val="none"/>
          <w:u w:val="none" w:color="auto"/>
        </w:rPr>
        <w:t>2.4-1、2.4-2</w:t>
      </w:r>
      <w:r>
        <w:rPr>
          <w:rFonts w:hint="default" w:ascii="Times New Roman" w:hAnsi="Times New Roman" w:eastAsia="宋体" w:cs="Times New Roman"/>
          <w:color w:val="auto"/>
          <w:spacing w:val="6"/>
          <w:sz w:val="24"/>
          <w:highlight w:val="none"/>
          <w:u w:val="none" w:color="auto"/>
        </w:rPr>
        <w:t>。</w:t>
      </w:r>
    </w:p>
    <w:p>
      <w:pPr>
        <w:pStyle w:val="3"/>
        <w:pageBreakBefore w:val="0"/>
        <w:kinsoku/>
        <w:wordWrap/>
        <w:overflowPunct w:val="0"/>
        <w:topLinePunct/>
        <w:autoSpaceDE w:val="0"/>
        <w:autoSpaceDN w:val="0"/>
        <w:bidi w:val="0"/>
        <w:spacing w:after="0" w:line="360" w:lineRule="auto"/>
        <w:ind w:left="0" w:leftChars="0" w:firstLine="0" w:firstLineChars="0"/>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表2.4-1环境空气保护目标</w:t>
      </w:r>
    </w:p>
    <w:tbl>
      <w:tblPr>
        <w:tblStyle w:val="40"/>
        <w:tblW w:w="490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534"/>
        <w:gridCol w:w="1480"/>
        <w:gridCol w:w="851"/>
        <w:gridCol w:w="1023"/>
        <w:gridCol w:w="853"/>
        <w:gridCol w:w="679"/>
        <w:gridCol w:w="8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vMerge w:val="restar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名称</w:t>
            </w:r>
          </w:p>
        </w:tc>
        <w:tc>
          <w:tcPr>
            <w:tcW w:w="1802" w:type="pct"/>
            <w:gridSpan w:val="2"/>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坐标（经纬度）</w:t>
            </w:r>
          </w:p>
        </w:tc>
        <w:tc>
          <w:tcPr>
            <w:tcW w:w="508" w:type="pct"/>
            <w:vMerge w:val="restar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保护</w:t>
            </w:r>
          </w:p>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对象</w:t>
            </w:r>
          </w:p>
        </w:tc>
        <w:tc>
          <w:tcPr>
            <w:tcW w:w="611" w:type="pct"/>
            <w:vMerge w:val="restar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保护</w:t>
            </w:r>
          </w:p>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内容</w:t>
            </w:r>
          </w:p>
        </w:tc>
        <w:tc>
          <w:tcPr>
            <w:tcW w:w="510" w:type="pct"/>
            <w:vMerge w:val="restar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环境功</w:t>
            </w:r>
          </w:p>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能区</w:t>
            </w:r>
          </w:p>
        </w:tc>
        <w:tc>
          <w:tcPr>
            <w:tcW w:w="406" w:type="pct"/>
            <w:vMerge w:val="restar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相对厂</w:t>
            </w:r>
          </w:p>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址方位</w:t>
            </w:r>
          </w:p>
        </w:tc>
        <w:tc>
          <w:tcPr>
            <w:tcW w:w="490" w:type="pct"/>
            <w:vMerge w:val="restar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相对厂界</w:t>
            </w:r>
          </w:p>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vMerge w:val="continue"/>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p>
        </w:tc>
        <w:tc>
          <w:tcPr>
            <w:tcW w:w="917" w:type="pc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X</w:t>
            </w:r>
          </w:p>
        </w:tc>
        <w:tc>
          <w:tcPr>
            <w:tcW w:w="885" w:type="pct"/>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Y</w:t>
            </w:r>
          </w:p>
        </w:tc>
        <w:tc>
          <w:tcPr>
            <w:tcW w:w="508" w:type="pct"/>
            <w:vMerge w:val="continue"/>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p>
        </w:tc>
        <w:tc>
          <w:tcPr>
            <w:tcW w:w="611" w:type="pct"/>
            <w:vMerge w:val="continue"/>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p>
        </w:tc>
        <w:tc>
          <w:tcPr>
            <w:tcW w:w="510" w:type="pct"/>
            <w:vMerge w:val="continue"/>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p>
        </w:tc>
        <w:tc>
          <w:tcPr>
            <w:tcW w:w="406" w:type="pct"/>
            <w:vMerge w:val="continue"/>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p>
        </w:tc>
        <w:tc>
          <w:tcPr>
            <w:tcW w:w="490" w:type="pct"/>
            <w:vMerge w:val="continue"/>
            <w:tcBorders>
              <w:tl2br w:val="nil"/>
              <w:tr2bl w:val="nil"/>
            </w:tcBorders>
            <w:vAlign w:val="center"/>
          </w:tcPr>
          <w:p>
            <w:pPr>
              <w:pageBreakBefore w:val="0"/>
              <w:kinsoku/>
              <w:wordWrap/>
              <w:overflowPunct w:val="0"/>
              <w:topLinePunct/>
              <w:autoSpaceDE w:val="0"/>
              <w:autoSpaceDN w:val="0"/>
              <w:bidi w:val="0"/>
              <w:snapToGrid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eastAsia="zh-CN"/>
              </w:rPr>
              <w:t>枫桥湖村</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113.133597081</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29.313044144</w:t>
            </w:r>
          </w:p>
        </w:tc>
        <w:tc>
          <w:tcPr>
            <w:tcW w:w="508" w:type="pct"/>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村庄</w:t>
            </w:r>
          </w:p>
        </w:tc>
        <w:tc>
          <w:tcPr>
            <w:tcW w:w="611" w:type="pct"/>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村民，约</w:t>
            </w:r>
            <w:r>
              <w:rPr>
                <w:rFonts w:hint="eastAsia" w:ascii="Times New Roman" w:hAnsi="Times New Roman" w:eastAsia="宋体" w:cs="Times New Roman"/>
                <w:bCs/>
                <w:color w:val="auto"/>
                <w:szCs w:val="21"/>
                <w:highlight w:val="none"/>
                <w:u w:val="none" w:color="auto"/>
                <w:lang w:val="en-US" w:eastAsia="zh-CN"/>
              </w:rPr>
              <w:t>50</w:t>
            </w:r>
            <w:r>
              <w:rPr>
                <w:rFonts w:hint="default" w:ascii="Times New Roman" w:hAnsi="Times New Roman" w:eastAsia="宋体" w:cs="Times New Roman"/>
                <w:bCs/>
                <w:color w:val="auto"/>
                <w:szCs w:val="21"/>
                <w:highlight w:val="none"/>
                <w:u w:val="none" w:color="auto"/>
              </w:rPr>
              <w:t>户</w:t>
            </w:r>
            <w:r>
              <w:rPr>
                <w:rFonts w:hint="eastAsia" w:ascii="Times New Roman" w:hAnsi="Times New Roman" w:eastAsia="宋体" w:cs="Times New Roman"/>
                <w:bCs/>
                <w:color w:val="auto"/>
                <w:szCs w:val="21"/>
                <w:highlight w:val="none"/>
                <w:u w:val="none" w:color="auto"/>
                <w:lang w:eastAsia="zh-CN"/>
              </w:rPr>
              <w:t>，</w:t>
            </w:r>
            <w:r>
              <w:rPr>
                <w:rFonts w:hint="eastAsia" w:ascii="Times New Roman" w:hAnsi="Times New Roman" w:eastAsia="宋体" w:cs="Times New Roman"/>
                <w:bCs/>
                <w:color w:val="auto"/>
                <w:szCs w:val="21"/>
                <w:highlight w:val="none"/>
                <w:u w:val="none" w:color="auto"/>
                <w:lang w:val="en-US" w:eastAsia="zh-CN"/>
              </w:rPr>
              <w:t>150人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N</w:t>
            </w:r>
            <w:r>
              <w:rPr>
                <w:rFonts w:hint="default" w:ascii="Times New Roman" w:hAnsi="Times New Roman" w:eastAsia="宋体" w:cs="Times New Roman"/>
                <w:bCs/>
                <w:color w:val="auto"/>
                <w:szCs w:val="21"/>
                <w:highlight w:val="none"/>
                <w:u w:val="none" w:color="auto"/>
              </w:rPr>
              <w:t>E</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680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eastAsia="zh-CN"/>
              </w:rPr>
              <w:t>谌家屋场</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113.135054174</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29.305671489</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村庄</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rPr>
              <w:t>村民，约</w:t>
            </w:r>
            <w:r>
              <w:rPr>
                <w:rFonts w:hint="eastAsia" w:ascii="Times New Roman" w:hAnsi="Times New Roman" w:eastAsia="宋体" w:cs="Times New Roman"/>
                <w:bCs/>
                <w:color w:val="auto"/>
                <w:szCs w:val="21"/>
                <w:highlight w:val="none"/>
                <w:u w:val="none" w:color="auto"/>
                <w:lang w:val="en-US" w:eastAsia="zh-CN"/>
              </w:rPr>
              <w:t>20</w:t>
            </w:r>
            <w:r>
              <w:rPr>
                <w:rFonts w:hint="default" w:ascii="Times New Roman" w:hAnsi="Times New Roman" w:eastAsia="宋体" w:cs="Times New Roman"/>
                <w:bCs/>
                <w:color w:val="auto"/>
                <w:szCs w:val="21"/>
                <w:highlight w:val="none"/>
                <w:u w:val="none" w:color="auto"/>
              </w:rPr>
              <w:t>户</w:t>
            </w:r>
            <w:r>
              <w:rPr>
                <w:rFonts w:hint="eastAsia" w:ascii="Times New Roman" w:hAnsi="Times New Roman" w:eastAsia="宋体" w:cs="Times New Roman"/>
                <w:bCs/>
                <w:color w:val="auto"/>
                <w:szCs w:val="21"/>
                <w:highlight w:val="none"/>
                <w:u w:val="none" w:color="auto"/>
                <w:lang w:eastAsia="zh-CN"/>
              </w:rPr>
              <w:t>，</w:t>
            </w:r>
            <w:r>
              <w:rPr>
                <w:rFonts w:hint="eastAsia" w:ascii="Times New Roman" w:hAnsi="Times New Roman" w:eastAsia="宋体" w:cs="Times New Roman"/>
                <w:bCs/>
                <w:color w:val="auto"/>
                <w:szCs w:val="21"/>
                <w:highlight w:val="none"/>
                <w:u w:val="none" w:color="auto"/>
                <w:lang w:val="en-US" w:eastAsia="zh-CN"/>
              </w:rPr>
              <w:t>60人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val="en-US" w:eastAsia="zh-CN"/>
              </w:rPr>
              <w:t>E</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eastAsia="zh-CN"/>
              </w:rPr>
              <w:t>戴家坡</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113.133798900</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29.303860033</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村庄</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村民，</w:t>
            </w:r>
          </w:p>
          <w:p>
            <w:pPr>
              <w:pageBreakBefore w:val="0"/>
              <w:kinsoku/>
              <w:wordWrap/>
              <w:overflowPunct w:val="0"/>
              <w:topLinePunct/>
              <w:autoSpaceDE w:val="0"/>
              <w:autoSpaceDN w:val="0"/>
              <w:bidi w:val="0"/>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rPr>
              <w:t>约</w:t>
            </w:r>
            <w:r>
              <w:rPr>
                <w:rFonts w:hint="eastAsia" w:ascii="Times New Roman" w:hAnsi="Times New Roman" w:eastAsia="宋体" w:cs="Times New Roman"/>
                <w:bCs/>
                <w:color w:val="auto"/>
                <w:szCs w:val="21"/>
                <w:highlight w:val="none"/>
                <w:u w:val="none" w:color="auto"/>
                <w:lang w:val="en-US" w:eastAsia="zh-CN"/>
              </w:rPr>
              <w:t>20</w:t>
            </w:r>
            <w:r>
              <w:rPr>
                <w:rFonts w:hint="default" w:ascii="Times New Roman" w:hAnsi="Times New Roman" w:eastAsia="宋体" w:cs="Times New Roman"/>
                <w:bCs/>
                <w:color w:val="auto"/>
                <w:szCs w:val="21"/>
                <w:highlight w:val="none"/>
                <w:u w:val="none" w:color="auto"/>
              </w:rPr>
              <w:t>户</w:t>
            </w:r>
            <w:r>
              <w:rPr>
                <w:rFonts w:hint="eastAsia" w:ascii="Times New Roman" w:hAnsi="Times New Roman" w:eastAsia="宋体" w:cs="Times New Roman"/>
                <w:bCs/>
                <w:color w:val="auto"/>
                <w:szCs w:val="21"/>
                <w:highlight w:val="none"/>
                <w:u w:val="none" w:color="auto"/>
                <w:lang w:eastAsia="zh-CN"/>
              </w:rPr>
              <w:t>，</w:t>
            </w:r>
            <w:r>
              <w:rPr>
                <w:rFonts w:hint="eastAsia" w:ascii="Times New Roman" w:hAnsi="Times New Roman" w:eastAsia="宋体" w:cs="Times New Roman"/>
                <w:bCs/>
                <w:color w:val="auto"/>
                <w:szCs w:val="21"/>
                <w:highlight w:val="none"/>
                <w:u w:val="none" w:color="auto"/>
                <w:lang w:val="en-US" w:eastAsia="zh-CN"/>
              </w:rPr>
              <w:t>60人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SE</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卢家村</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113.141908473</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29.310440103</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村庄</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村民，约</w:t>
            </w:r>
            <w:r>
              <w:rPr>
                <w:rFonts w:hint="eastAsia" w:ascii="Times New Roman" w:hAnsi="Times New Roman" w:eastAsia="宋体" w:cs="Times New Roman"/>
                <w:bCs/>
                <w:color w:val="auto"/>
                <w:szCs w:val="21"/>
                <w:highlight w:val="none"/>
                <w:u w:val="none" w:color="auto"/>
                <w:lang w:val="en-US" w:eastAsia="zh-CN"/>
              </w:rPr>
              <w:t>15</w:t>
            </w:r>
            <w:r>
              <w:rPr>
                <w:rFonts w:hint="default" w:ascii="Times New Roman" w:hAnsi="Times New Roman" w:eastAsia="宋体" w:cs="Times New Roman"/>
                <w:bCs/>
                <w:color w:val="auto"/>
                <w:szCs w:val="21"/>
                <w:highlight w:val="none"/>
                <w:u w:val="none" w:color="auto"/>
              </w:rPr>
              <w:t>户</w:t>
            </w:r>
            <w:r>
              <w:rPr>
                <w:rFonts w:hint="eastAsia" w:ascii="Times New Roman" w:hAnsi="Times New Roman" w:eastAsia="宋体" w:cs="Times New Roman"/>
                <w:bCs/>
                <w:color w:val="auto"/>
                <w:szCs w:val="21"/>
                <w:highlight w:val="none"/>
                <w:u w:val="none" w:color="auto"/>
                <w:lang w:eastAsia="zh-CN"/>
              </w:rPr>
              <w:t>，</w:t>
            </w:r>
            <w:r>
              <w:rPr>
                <w:rFonts w:hint="eastAsia" w:ascii="Times New Roman" w:hAnsi="Times New Roman" w:eastAsia="宋体" w:cs="Times New Roman"/>
                <w:bCs/>
                <w:color w:val="auto"/>
                <w:szCs w:val="21"/>
                <w:highlight w:val="none"/>
                <w:u w:val="none" w:color="auto"/>
                <w:lang w:val="en-US" w:eastAsia="zh-CN"/>
              </w:rPr>
              <w:t>45人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E</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老屋场</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113.132477965</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lang w:val="en-US" w:eastAsia="zh-CN"/>
              </w:rPr>
              <w:t>29.320449968</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村庄</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村民，约</w:t>
            </w:r>
            <w:r>
              <w:rPr>
                <w:rFonts w:hint="eastAsia" w:ascii="Times New Roman" w:hAnsi="Times New Roman" w:eastAsia="宋体" w:cs="Times New Roman"/>
                <w:bCs/>
                <w:color w:val="auto"/>
                <w:szCs w:val="21"/>
                <w:highlight w:val="none"/>
                <w:u w:val="none" w:color="auto"/>
                <w:lang w:val="en-US" w:eastAsia="zh-CN"/>
              </w:rPr>
              <w:t>50</w:t>
            </w:r>
            <w:r>
              <w:rPr>
                <w:rFonts w:hint="default" w:ascii="Times New Roman" w:hAnsi="Times New Roman" w:eastAsia="宋体" w:cs="Times New Roman"/>
                <w:bCs/>
                <w:color w:val="auto"/>
                <w:szCs w:val="21"/>
                <w:highlight w:val="none"/>
                <w:u w:val="none" w:color="auto"/>
              </w:rPr>
              <w:t>户</w:t>
            </w:r>
            <w:r>
              <w:rPr>
                <w:rFonts w:hint="eastAsia" w:ascii="Times New Roman" w:hAnsi="Times New Roman" w:eastAsia="宋体" w:cs="Times New Roman"/>
                <w:bCs/>
                <w:color w:val="auto"/>
                <w:szCs w:val="21"/>
                <w:highlight w:val="none"/>
                <w:u w:val="none" w:color="auto"/>
                <w:lang w:eastAsia="zh-CN"/>
              </w:rPr>
              <w:t>，</w:t>
            </w:r>
            <w:r>
              <w:rPr>
                <w:rFonts w:hint="eastAsia" w:ascii="Times New Roman" w:hAnsi="Times New Roman" w:eastAsia="宋体" w:cs="Times New Roman"/>
                <w:bCs/>
                <w:color w:val="auto"/>
                <w:szCs w:val="21"/>
                <w:highlight w:val="none"/>
                <w:u w:val="none" w:color="auto"/>
                <w:lang w:val="en-US" w:eastAsia="zh-CN"/>
              </w:rPr>
              <w:t>150人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E</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eastAsia="zh-CN"/>
              </w:rPr>
              <w:t>道仁矶中学</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113.141540266</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29.320859782</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eastAsia="zh-CN"/>
              </w:rPr>
              <w:t>学校</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师生</w:t>
            </w: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约400人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N</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eastAsia="zh-CN"/>
              </w:rPr>
              <w:t>道仁矶社区</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113.134855911</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29.322182647</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eastAsia="zh-CN"/>
              </w:rPr>
              <w:t>社区</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居民约1000人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N</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val="en-US" w:eastAsia="zh-CN"/>
              </w:rPr>
              <w:t>2130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eastAsia="zh-CN"/>
              </w:rPr>
              <w:t>白螺镇居民</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113.120343791</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29.322798296</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eastAsia="zh-CN"/>
              </w:rPr>
              <w:t>社区</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居民约150人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N</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2130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69"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eastAsia="zh-CN"/>
              </w:rPr>
              <w:t>红墩村</w:t>
            </w:r>
          </w:p>
        </w:tc>
        <w:tc>
          <w:tcPr>
            <w:tcW w:w="917"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113.113802344</w:t>
            </w:r>
          </w:p>
        </w:tc>
        <w:tc>
          <w:tcPr>
            <w:tcW w:w="885"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29.321465774</w:t>
            </w:r>
          </w:p>
        </w:tc>
        <w:tc>
          <w:tcPr>
            <w:tcW w:w="508"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eastAsia="zh-CN"/>
              </w:rPr>
              <w:t>社区</w:t>
            </w:r>
          </w:p>
        </w:tc>
        <w:tc>
          <w:tcPr>
            <w:tcW w:w="611"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eastAsia="宋体" w:cs="Times New Roman"/>
                <w:bCs/>
                <w:color w:val="auto"/>
                <w:szCs w:val="21"/>
                <w:highlight w:val="none"/>
                <w:u w:val="none" w:color="auto"/>
              </w:rPr>
              <w:t>村民，约</w:t>
            </w:r>
            <w:r>
              <w:rPr>
                <w:rFonts w:hint="eastAsia" w:ascii="Times New Roman" w:hAnsi="Times New Roman" w:eastAsia="宋体" w:cs="Times New Roman"/>
                <w:bCs/>
                <w:color w:val="auto"/>
                <w:szCs w:val="21"/>
                <w:highlight w:val="none"/>
                <w:u w:val="none" w:color="auto"/>
                <w:lang w:val="en-US" w:eastAsia="zh-CN"/>
              </w:rPr>
              <w:t>15</w:t>
            </w:r>
            <w:r>
              <w:rPr>
                <w:rFonts w:hint="default" w:ascii="Times New Roman" w:hAnsi="Times New Roman" w:eastAsia="宋体" w:cs="Times New Roman"/>
                <w:bCs/>
                <w:color w:val="auto"/>
                <w:szCs w:val="21"/>
                <w:highlight w:val="none"/>
                <w:u w:val="none" w:color="auto"/>
              </w:rPr>
              <w:t>户</w:t>
            </w:r>
            <w:r>
              <w:rPr>
                <w:rFonts w:hint="eastAsia" w:ascii="Times New Roman" w:hAnsi="Times New Roman" w:eastAsia="宋体" w:cs="Times New Roman"/>
                <w:bCs/>
                <w:color w:val="auto"/>
                <w:szCs w:val="21"/>
                <w:highlight w:val="none"/>
                <w:u w:val="none" w:color="auto"/>
                <w:lang w:eastAsia="zh-CN"/>
              </w:rPr>
              <w:t>，</w:t>
            </w:r>
            <w:r>
              <w:rPr>
                <w:rFonts w:hint="eastAsia" w:ascii="Times New Roman" w:hAnsi="Times New Roman" w:eastAsia="宋体" w:cs="Times New Roman"/>
                <w:bCs/>
                <w:color w:val="auto"/>
                <w:szCs w:val="21"/>
                <w:highlight w:val="none"/>
                <w:u w:val="none" w:color="auto"/>
                <w:lang w:val="en-US" w:eastAsia="zh-CN"/>
              </w:rPr>
              <w:t>45人</w:t>
            </w:r>
          </w:p>
        </w:tc>
        <w:tc>
          <w:tcPr>
            <w:tcW w:w="510"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二类区</w:t>
            </w:r>
          </w:p>
        </w:tc>
        <w:tc>
          <w:tcPr>
            <w:tcW w:w="406" w:type="pct"/>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eastAsia"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N</w:t>
            </w:r>
          </w:p>
        </w:tc>
        <w:tc>
          <w:tcPr>
            <w:tcW w:w="49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2800</w:t>
            </w:r>
          </w:p>
        </w:tc>
      </w:tr>
    </w:tbl>
    <w:p>
      <w:pPr>
        <w:pStyle w:val="3"/>
        <w:pageBreakBefore w:val="0"/>
        <w:kinsoku/>
        <w:wordWrap/>
        <w:overflowPunct w:val="0"/>
        <w:topLinePunct/>
        <w:autoSpaceDE w:val="0"/>
        <w:autoSpaceDN w:val="0"/>
        <w:bidi w:val="0"/>
        <w:spacing w:before="120" w:beforeLines="50" w:after="0" w:line="360" w:lineRule="auto"/>
        <w:ind w:left="0" w:leftChars="0" w:firstLine="0" w:firstLineChars="0"/>
        <w:jc w:val="center"/>
        <w:rPr>
          <w:rFonts w:hint="default" w:ascii="Times New Roman" w:hAnsi="Times New Roman" w:eastAsia="宋体" w:cs="Times New Roman"/>
          <w:b/>
          <w:color w:val="auto"/>
          <w:szCs w:val="21"/>
          <w:highlight w:val="none"/>
          <w:u w:val="none" w:color="auto"/>
        </w:rPr>
      </w:pPr>
      <w:r>
        <w:rPr>
          <w:rFonts w:hint="default" w:ascii="Times New Roman" w:hAnsi="Times New Roman" w:eastAsia="宋体" w:cs="Times New Roman"/>
          <w:b/>
          <w:color w:val="auto"/>
          <w:sz w:val="24"/>
          <w:highlight w:val="none"/>
          <w:u w:val="none" w:color="auto"/>
        </w:rPr>
        <w:t>表2.4-2环境保护目标表（水环境、声环境、土壤、生态）</w:t>
      </w:r>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646"/>
        <w:gridCol w:w="926"/>
        <w:gridCol w:w="1310"/>
        <w:gridCol w:w="1826"/>
        <w:gridCol w:w="2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项目</w:t>
            </w:r>
          </w:p>
        </w:tc>
        <w:tc>
          <w:tcPr>
            <w:tcW w:w="96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环境保护目标</w:t>
            </w:r>
          </w:p>
        </w:tc>
        <w:tc>
          <w:tcPr>
            <w:tcW w:w="543"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方位</w:t>
            </w:r>
          </w:p>
        </w:tc>
        <w:tc>
          <w:tcPr>
            <w:tcW w:w="76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与厂界最近距离</w:t>
            </w:r>
          </w:p>
        </w:tc>
        <w:tc>
          <w:tcPr>
            <w:tcW w:w="107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规模、功能</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vMerge w:val="restar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水</w:t>
            </w: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环</w:t>
            </w: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境</w:t>
            </w:r>
          </w:p>
        </w:tc>
        <w:tc>
          <w:tcPr>
            <w:tcW w:w="96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长江云溪江段</w:t>
            </w:r>
          </w:p>
        </w:tc>
        <w:tc>
          <w:tcPr>
            <w:tcW w:w="543"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val="en-US" w:eastAsia="zh-CN"/>
              </w:rPr>
              <w:t>W</w:t>
            </w:r>
          </w:p>
        </w:tc>
        <w:tc>
          <w:tcPr>
            <w:tcW w:w="76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lang w:val="en-US" w:eastAsia="zh-CN"/>
              </w:rPr>
            </w:pPr>
            <w:r>
              <w:rPr>
                <w:rFonts w:hint="eastAsia" w:ascii="Times New Roman" w:hAnsi="Times New Roman" w:eastAsia="宋体" w:cs="Times New Roman"/>
                <w:bCs/>
                <w:color w:val="auto"/>
                <w:szCs w:val="21"/>
                <w:highlight w:val="none"/>
                <w:u w:val="none" w:color="auto"/>
                <w:lang w:val="en-US" w:eastAsia="zh-CN"/>
              </w:rPr>
              <w:t>200</w:t>
            </w:r>
            <w:r>
              <w:rPr>
                <w:rFonts w:hint="default" w:ascii="Times New Roman" w:hAnsi="Times New Roman" w:eastAsia="宋体" w:cs="Times New Roman"/>
                <w:bCs/>
                <w:color w:val="auto"/>
                <w:szCs w:val="21"/>
                <w:highlight w:val="none"/>
                <w:u w:val="none" w:color="auto"/>
                <w:lang w:val="en-US" w:eastAsia="zh-CN"/>
              </w:rPr>
              <w:t>m</w:t>
            </w:r>
          </w:p>
        </w:tc>
        <w:tc>
          <w:tcPr>
            <w:tcW w:w="107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大河，渔业用水区</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GB3838-2002中</w:t>
            </w: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p>
        </w:tc>
        <w:tc>
          <w:tcPr>
            <w:tcW w:w="96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松杨湖</w:t>
            </w:r>
          </w:p>
        </w:tc>
        <w:tc>
          <w:tcPr>
            <w:tcW w:w="543" w:type="pc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eastAsia="宋体" w:cs="Times New Roman"/>
                <w:bCs/>
                <w:color w:val="auto"/>
                <w:szCs w:val="21"/>
                <w:highlight w:val="none"/>
                <w:u w:val="none" w:color="auto"/>
                <w:lang w:val="en-US" w:eastAsia="zh-CN"/>
              </w:rPr>
              <w:t>S</w:t>
            </w:r>
          </w:p>
        </w:tc>
        <w:tc>
          <w:tcPr>
            <w:tcW w:w="76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eastAsia" w:ascii="Times New Roman" w:hAnsi="Times New Roman" w:eastAsia="宋体" w:cs="Times New Roman"/>
                <w:bCs/>
                <w:color w:val="auto"/>
                <w:szCs w:val="21"/>
                <w:highlight w:val="none"/>
                <w:u w:val="none" w:color="auto"/>
                <w:lang w:val="en-US" w:eastAsia="zh-CN"/>
              </w:rPr>
              <w:t>700</w:t>
            </w:r>
            <w:r>
              <w:rPr>
                <w:rFonts w:hint="default" w:ascii="Times New Roman" w:hAnsi="Times New Roman" w:eastAsia="宋体" w:cs="Times New Roman"/>
                <w:bCs/>
                <w:color w:val="auto"/>
                <w:szCs w:val="21"/>
                <w:highlight w:val="none"/>
                <w:u w:val="none" w:color="auto"/>
                <w:lang w:val="en-US" w:eastAsia="zh-CN"/>
              </w:rPr>
              <w:t>m</w:t>
            </w:r>
          </w:p>
        </w:tc>
        <w:tc>
          <w:tcPr>
            <w:tcW w:w="107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小湖，景观用水区</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GB3838-2002中</w:t>
            </w: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Ⅳ类标准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p>
        </w:tc>
        <w:tc>
          <w:tcPr>
            <w:tcW w:w="965"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区域地下水</w:t>
            </w:r>
          </w:p>
        </w:tc>
        <w:tc>
          <w:tcPr>
            <w:tcW w:w="543"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w:t>
            </w:r>
          </w:p>
        </w:tc>
        <w:tc>
          <w:tcPr>
            <w:tcW w:w="76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w:t>
            </w:r>
          </w:p>
        </w:tc>
        <w:tc>
          <w:tcPr>
            <w:tcW w:w="1070"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无饮用水功能</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GB/T14848-2017中Ⅲ类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tcBorders>
              <w:tl2br w:val="nil"/>
              <w:tr2bl w:val="nil"/>
            </w:tcBorders>
            <w:vAlign w:val="center"/>
          </w:tcPr>
          <w:p>
            <w:pPr>
              <w:pageBreakBefore w:val="0"/>
              <w:widowControl/>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color w:val="auto"/>
                <w:kern w:val="0"/>
                <w:szCs w:val="21"/>
                <w:highlight w:val="none"/>
                <w:u w:val="none" w:color="auto"/>
                <w:lang w:bidi="ar"/>
              </w:rPr>
              <w:t>声环境</w:t>
            </w:r>
          </w:p>
        </w:tc>
        <w:tc>
          <w:tcPr>
            <w:tcW w:w="3347" w:type="pct"/>
            <w:gridSpan w:val="4"/>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项目所在区域</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《声环境质量标准》</w:t>
            </w: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中3类声环境功能区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p>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土壤</w:t>
            </w:r>
          </w:p>
        </w:tc>
        <w:tc>
          <w:tcPr>
            <w:tcW w:w="3347" w:type="pct"/>
            <w:gridSpan w:val="4"/>
            <w:tcBorders>
              <w:tl2br w:val="nil"/>
              <w:tr2bl w:val="nil"/>
            </w:tcBorders>
            <w:noWrap/>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项目所在区域</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《土壤环境质量建设用地土壤污染风险管控标准（试行）》（GB36600-2018）中的风险筛选值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生态</w:t>
            </w:r>
          </w:p>
        </w:tc>
        <w:tc>
          <w:tcPr>
            <w:tcW w:w="3347" w:type="pct"/>
            <w:gridSpan w:val="4"/>
            <w:tcBorders>
              <w:tl2br w:val="nil"/>
              <w:tr2bl w:val="nil"/>
            </w:tcBorders>
            <w:noWrap/>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工业园内现有厂区内，无需要特殊保护物种</w:t>
            </w:r>
          </w:p>
        </w:tc>
        <w:tc>
          <w:tcPr>
            <w:tcW w:w="1248" w:type="pc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不对生态造成影响</w:t>
            </w:r>
          </w:p>
        </w:tc>
      </w:tr>
    </w:tbl>
    <w:p>
      <w:pPr>
        <w:pStyle w:val="3"/>
        <w:pageBreakBefore w:val="0"/>
        <w:kinsoku/>
        <w:wordWrap/>
        <w:overflowPunct w:val="0"/>
        <w:topLinePunct/>
        <w:autoSpaceDE w:val="0"/>
        <w:autoSpaceDN w:val="0"/>
        <w:bidi w:val="0"/>
        <w:ind w:left="0" w:leftChars="0" w:firstLine="0" w:firstLineChars="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mc:AlternateContent>
          <mc:Choice Requires="wps">
            <w:drawing>
              <wp:anchor distT="0" distB="0" distL="114300" distR="114300" simplePos="0" relativeHeight="251662336" behindDoc="0" locked="0" layoutInCell="1" allowOverlap="1">
                <wp:simplePos x="0" y="0"/>
                <wp:positionH relativeFrom="column">
                  <wp:posOffset>1608455</wp:posOffset>
                </wp:positionH>
                <wp:positionV relativeFrom="paragraph">
                  <wp:posOffset>3146425</wp:posOffset>
                </wp:positionV>
                <wp:extent cx="462915" cy="2730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62915" cy="273050"/>
                        </a:xfrm>
                        <a:prstGeom prst="rect">
                          <a:avLst/>
                        </a:prstGeom>
                        <a:noFill/>
                        <a:ln>
                          <a:noFill/>
                        </a:ln>
                      </wps:spPr>
                      <wps:txbx>
                        <w:txbxContent>
                          <w:p>
                            <w:pPr>
                              <w:rPr>
                                <w:rFonts w:eastAsia="宋体"/>
                                <w:b/>
                                <w:bCs/>
                                <w:color w:val="FFFF00"/>
                              </w:rPr>
                            </w:pPr>
                          </w:p>
                        </w:txbxContent>
                      </wps:txbx>
                      <wps:bodyPr upright="1"/>
                    </wps:wsp>
                  </a:graphicData>
                </a:graphic>
              </wp:anchor>
            </w:drawing>
          </mc:Choice>
          <mc:Fallback>
            <w:pict>
              <v:shape id="_x0000_s1026" o:spid="_x0000_s1026" o:spt="202" type="#_x0000_t202" style="position:absolute;left:0pt;margin-left:126.65pt;margin-top:247.75pt;height:21.5pt;width:36.45pt;z-index:251662336;mso-width-relative:page;mso-height-relative:page;" filled="f" stroked="f" coordsize="21600,21600" o:gfxdata="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jPrNfY&#10;AAAACwEAAA8AAAAAAAAAAQAgAAAAIgAAAGRycy9kb3ducmV2LnhtbFBLAQIUABQAAAAIAIdO4kBJ&#10;6zVxrgEAAE8DAAAOAAAAAAAAAAEAIAAAACcBAABkcnMvZTJvRG9jLnhtbFBLBQYAAAAABgAGAFkB&#10;AABHBQAAAAA=&#10;">
                <v:fill on="f" focussize="0,0"/>
                <v:stroke on="f"/>
                <v:imagedata o:title=""/>
                <o:lock v:ext="edit" aspectratio="f"/>
                <v:textbox>
                  <w:txbxContent>
                    <w:p>
                      <w:pPr>
                        <w:rPr>
                          <w:rFonts w:eastAsia="宋体"/>
                          <w:b/>
                          <w:bCs/>
                          <w:color w:val="FFFF00"/>
                        </w:rPr>
                      </w:pPr>
                    </w:p>
                  </w:txbxContent>
                </v:textbox>
              </v:shape>
            </w:pict>
          </mc:Fallback>
        </mc:AlternateContent>
      </w:r>
      <w:r>
        <w:rPr>
          <w:rFonts w:hint="default" w:ascii="Times New Roman" w:hAnsi="Times New Roman" w:eastAsia="宋体" w:cs="Times New Roman"/>
          <w:color w:val="auto"/>
          <w:highlight w:val="none"/>
          <w:u w:val="none" w:color="auto"/>
        </w:rPr>
        <mc:AlternateContent>
          <mc:Choice Requires="wps">
            <w:drawing>
              <wp:anchor distT="0" distB="0" distL="114300" distR="114300" simplePos="0" relativeHeight="251661312" behindDoc="0" locked="0" layoutInCell="1" allowOverlap="1">
                <wp:simplePos x="0" y="0"/>
                <wp:positionH relativeFrom="column">
                  <wp:posOffset>2792095</wp:posOffset>
                </wp:positionH>
                <wp:positionV relativeFrom="paragraph">
                  <wp:posOffset>2900680</wp:posOffset>
                </wp:positionV>
                <wp:extent cx="462915" cy="2730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62915" cy="273050"/>
                        </a:xfrm>
                        <a:prstGeom prst="rect">
                          <a:avLst/>
                        </a:prstGeom>
                        <a:noFill/>
                        <a:ln>
                          <a:noFill/>
                        </a:ln>
                      </wps:spPr>
                      <wps:txbx>
                        <w:txbxContent>
                          <w:p>
                            <w:pPr>
                              <w:rPr>
                                <w:rFonts w:eastAsia="宋体"/>
                                <w:b/>
                                <w:bCs/>
                                <w:color w:val="FFFF00"/>
                              </w:rPr>
                            </w:pPr>
                          </w:p>
                        </w:txbxContent>
                      </wps:txbx>
                      <wps:bodyPr upright="1"/>
                    </wps:wsp>
                  </a:graphicData>
                </a:graphic>
              </wp:anchor>
            </w:drawing>
          </mc:Choice>
          <mc:Fallback>
            <w:pict>
              <v:shape id="_x0000_s1026" o:spid="_x0000_s1026" o:spt="202" type="#_x0000_t202" style="position:absolute;left:0pt;margin-left:219.85pt;margin-top:228.4pt;height:21.5pt;width:36.45pt;z-index:251661312;mso-width-relative:page;mso-height-relative:page;" filled="f" stroked="f" coordsize="21600,21600" o:gfxdata="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98z0&#10;2AAAAAsBAAAPAAAAAAAAAAEAIAAAACIAAABkcnMvZG93bnJldi54bWxQSwECFAAUAAAACACHTuJA&#10;HGjTWa8BAABPAwAADgAAAAAAAAABACAAAAAnAQAAZHJzL2Uyb0RvYy54bWxQSwUGAAAAAAYABgBZ&#10;AQAASAUAAAAA&#10;">
                <v:fill on="f" focussize="0,0"/>
                <v:stroke on="f"/>
                <v:imagedata o:title=""/>
                <o:lock v:ext="edit" aspectratio="f"/>
                <v:textbox>
                  <w:txbxContent>
                    <w:p>
                      <w:pPr>
                        <w:rPr>
                          <w:rFonts w:eastAsia="宋体"/>
                          <w:b/>
                          <w:bCs/>
                          <w:color w:val="FFFF00"/>
                        </w:rPr>
                      </w:pPr>
                    </w:p>
                  </w:txbxContent>
                </v:textbox>
              </v:shape>
            </w:pict>
          </mc:Fallback>
        </mc:AlternateContent>
      </w:r>
    </w:p>
    <w:p>
      <w:pPr>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sectPr>
          <w:headerReference r:id="rId6" w:type="default"/>
          <w:footerReference r:id="rId7" w:type="default"/>
          <w:pgSz w:w="11906" w:h="16838"/>
          <w:pgMar w:top="1440" w:right="1797" w:bottom="1440" w:left="1797" w:header="720" w:footer="720" w:gutter="0"/>
          <w:pgBorders>
            <w:top w:val="none" w:sz="0" w:space="0"/>
            <w:left w:val="none" w:sz="0" w:space="0"/>
            <w:bottom w:val="none" w:sz="0" w:space="0"/>
            <w:right w:val="none" w:sz="0" w:space="0"/>
          </w:pgBorders>
          <w:pgNumType w:fmt="decimal"/>
          <w:cols w:space="720" w:num="1"/>
          <w:docGrid w:linePitch="312" w:charSpace="0"/>
        </w:sectPr>
      </w:pP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69" w:name="_Toc24505"/>
      <w:bookmarkStart w:id="70" w:name="_Toc8229"/>
      <w:r>
        <w:rPr>
          <w:rFonts w:hint="default" w:ascii="Times New Roman" w:hAnsi="Times New Roman" w:eastAsia="宋体" w:cs="Times New Roman"/>
          <w:color w:val="auto"/>
          <w:highlight w:val="none"/>
          <w:u w:val="none" w:color="auto"/>
        </w:rPr>
        <w:t>第3章建设项目工程分析</w:t>
      </w:r>
      <w:bookmarkEnd w:id="6"/>
      <w:bookmarkEnd w:id="69"/>
      <w:bookmarkEnd w:id="70"/>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71" w:name="_Toc22341"/>
      <w:bookmarkStart w:id="72" w:name="_Toc31968"/>
      <w:bookmarkStart w:id="73" w:name="_Toc11849"/>
      <w:r>
        <w:rPr>
          <w:rFonts w:hint="default" w:ascii="Times New Roman" w:hAnsi="Times New Roman" w:eastAsia="宋体" w:cs="Times New Roman"/>
          <w:color w:val="auto"/>
          <w:highlight w:val="none"/>
          <w:u w:val="none" w:color="auto"/>
        </w:rPr>
        <w:t>3.1建设项目工程概况</w:t>
      </w:r>
      <w:bookmarkEnd w:id="71"/>
      <w:bookmarkEnd w:id="72"/>
      <w:bookmarkEnd w:id="73"/>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74" w:name="_Toc20897"/>
      <w:bookmarkStart w:id="75" w:name="_Toc2400"/>
      <w:bookmarkStart w:id="76" w:name="_Toc26892"/>
      <w:r>
        <w:rPr>
          <w:rFonts w:hint="default" w:ascii="Times New Roman" w:hAnsi="Times New Roman" w:eastAsia="宋体" w:cs="Times New Roman"/>
          <w:color w:val="auto"/>
          <w:highlight w:val="none"/>
          <w:u w:val="none" w:color="auto"/>
        </w:rPr>
        <w:t>3.1.1项目基本情况</w:t>
      </w:r>
      <w:bookmarkEnd w:id="74"/>
      <w:bookmarkEnd w:id="75"/>
      <w:bookmarkEnd w:id="76"/>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Style w:val="65"/>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（1）项目名称：</w:t>
      </w:r>
      <w:r>
        <w:rPr>
          <w:rFonts w:hint="default" w:ascii="Times New Roman" w:hAnsi="Times New Roman" w:eastAsia="宋体" w:cs="Times New Roman"/>
          <w:color w:val="auto"/>
          <w:sz w:val="24"/>
          <w:szCs w:val="24"/>
          <w:u w:val="none" w:color="auto"/>
          <w:lang w:val="en-US" w:eastAsia="zh-CN"/>
        </w:rPr>
        <w:t>高性能变形镁合金产业链产业化项目</w:t>
      </w:r>
      <w:r>
        <w:rPr>
          <w:rStyle w:val="65"/>
          <w:rFonts w:hint="default" w:ascii="Times New Roman" w:hAnsi="Times New Roman" w:eastAsia="宋体" w:cs="Times New Roman"/>
          <w:color w:val="auto"/>
          <w:highlight w:val="none"/>
          <w:u w:val="none" w:color="auto"/>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（2）建设单位：</w:t>
      </w:r>
      <w:r>
        <w:rPr>
          <w:rFonts w:hint="default" w:ascii="Times New Roman" w:hAnsi="Times New Roman" w:eastAsia="宋体" w:cs="Times New Roman"/>
          <w:color w:val="auto"/>
          <w:kern w:val="2"/>
          <w:sz w:val="24"/>
          <w:szCs w:val="24"/>
          <w:u w:val="none" w:color="auto"/>
          <w:lang w:val="en-US" w:eastAsia="zh-CN" w:bidi="ar-SA"/>
        </w:rPr>
        <w:t>湖南</w:t>
      </w:r>
      <w:r>
        <w:rPr>
          <w:rFonts w:hint="default" w:ascii="Times New Roman" w:hAnsi="Times New Roman" w:eastAsia="宋体" w:cs="Times New Roman"/>
          <w:color w:val="auto"/>
          <w:highlight w:val="none"/>
          <w:u w:val="none" w:color="auto"/>
        </w:rPr>
        <w:t>镁宇科技有限公司；</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（3）建设性质：新建；</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（4）建设地点：岳阳临港高新技术产业开发区创新创业基地内，东至兴城路，西至道陆路，北至兴松路，南至兴岭路。（厂址中心坐标为：东经：113°15'31.27"，北纬：29°30'21.28"），具体地理位置详见附图1。</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（5）行业类别：C-</w:t>
      </w:r>
      <w:r>
        <w:rPr>
          <w:rFonts w:hint="default" w:ascii="Times New Roman" w:hAnsi="Times New Roman" w:eastAsia="宋体" w:cs="Times New Roman"/>
          <w:color w:val="auto"/>
          <w:highlight w:val="none"/>
          <w:u w:val="none" w:color="auto"/>
          <w:lang w:val="en-US" w:eastAsia="zh-CN"/>
        </w:rPr>
        <w:t>3240</w:t>
      </w:r>
      <w:r>
        <w:rPr>
          <w:rFonts w:hint="default" w:ascii="Times New Roman" w:hAnsi="Times New Roman" w:eastAsia="宋体" w:cs="Times New Roman"/>
          <w:color w:val="auto"/>
          <w:highlight w:val="none"/>
          <w:u w:val="none" w:color="auto"/>
        </w:rPr>
        <w:t>有色金属合金制造；</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2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（6）项目投资：</w:t>
      </w:r>
      <w:r>
        <w:rPr>
          <w:rFonts w:hint="default" w:ascii="Times New Roman" w:hAnsi="Times New Roman" w:eastAsia="宋体" w:cs="Times New Roman"/>
          <w:color w:val="auto"/>
          <w:spacing w:val="4"/>
          <w:sz w:val="24"/>
          <w:szCs w:val="24"/>
          <w:u w:val="none" w:color="auto"/>
        </w:rPr>
        <w:t>本项目总投资约</w:t>
      </w:r>
      <w:r>
        <w:rPr>
          <w:rFonts w:hint="default" w:ascii="Times New Roman" w:hAnsi="Times New Roman" w:eastAsia="宋体" w:cs="Times New Roman"/>
          <w:color w:val="auto"/>
          <w:sz w:val="24"/>
          <w:szCs w:val="24"/>
          <w:highlight w:val="none"/>
          <w:u w:val="none" w:color="auto"/>
          <w:lang w:val="en-US" w:eastAsia="zh-CN"/>
        </w:rPr>
        <w:t>122677</w:t>
      </w:r>
      <w:r>
        <w:rPr>
          <w:rFonts w:hint="default" w:ascii="Times New Roman" w:hAnsi="Times New Roman" w:eastAsia="宋体" w:cs="Times New Roman"/>
          <w:color w:val="auto"/>
          <w:sz w:val="24"/>
          <w:szCs w:val="24"/>
          <w:highlight w:val="none"/>
          <w:u w:val="none" w:color="auto"/>
        </w:rPr>
        <w:t>万元</w:t>
      </w:r>
      <w:r>
        <w:rPr>
          <w:rFonts w:hint="default" w:ascii="Times New Roman" w:hAnsi="Times New Roman" w:eastAsia="宋体" w:cs="Times New Roman"/>
          <w:color w:val="auto"/>
          <w:spacing w:val="4"/>
          <w:sz w:val="24"/>
          <w:szCs w:val="24"/>
          <w:u w:val="none" w:color="auto"/>
        </w:rPr>
        <w:t>，环保投资</w:t>
      </w:r>
      <w:r>
        <w:rPr>
          <w:rFonts w:hint="eastAsia" w:ascii="Times New Roman" w:hAnsi="Times New Roman" w:eastAsia="宋体" w:cs="Times New Roman"/>
          <w:color w:val="auto"/>
          <w:spacing w:val="4"/>
          <w:sz w:val="24"/>
          <w:szCs w:val="24"/>
          <w:u w:val="none" w:color="auto"/>
          <w:lang w:val="en-US" w:eastAsia="zh-CN"/>
        </w:rPr>
        <w:t>1122</w:t>
      </w:r>
      <w:r>
        <w:rPr>
          <w:rFonts w:hint="default" w:ascii="Times New Roman" w:hAnsi="Times New Roman" w:eastAsia="宋体" w:cs="Times New Roman"/>
          <w:color w:val="auto"/>
          <w:spacing w:val="4"/>
          <w:sz w:val="24"/>
          <w:szCs w:val="24"/>
          <w:u w:val="none" w:color="auto"/>
        </w:rPr>
        <w:t>万元，占项目总投资的比例</w:t>
      </w:r>
      <w:r>
        <w:rPr>
          <w:rFonts w:hint="default" w:ascii="Times New Roman" w:hAnsi="Times New Roman" w:eastAsia="宋体" w:cs="Times New Roman"/>
          <w:color w:val="auto"/>
          <w:spacing w:val="-3"/>
          <w:sz w:val="24"/>
          <w:szCs w:val="24"/>
          <w:u w:val="none" w:color="auto"/>
        </w:rPr>
        <w:t>为</w:t>
      </w:r>
      <w:r>
        <w:rPr>
          <w:rFonts w:hint="eastAsia" w:ascii="Times New Roman" w:hAnsi="Times New Roman" w:eastAsia="宋体" w:cs="Times New Roman"/>
          <w:color w:val="auto"/>
          <w:spacing w:val="-3"/>
          <w:sz w:val="24"/>
          <w:szCs w:val="24"/>
          <w:u w:val="none" w:color="auto"/>
          <w:lang w:val="en-US" w:eastAsia="zh-CN"/>
        </w:rPr>
        <w:t>0.91</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highlight w:val="none"/>
          <w:u w:val="none" w:color="auto"/>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（7）职工人数：</w:t>
      </w:r>
      <w:r>
        <w:rPr>
          <w:rFonts w:hint="default" w:ascii="Times New Roman" w:hAnsi="Times New Roman" w:eastAsia="宋体" w:cs="Times New Roman"/>
          <w:bCs/>
          <w:color w:val="auto"/>
          <w:sz w:val="24"/>
          <w:szCs w:val="24"/>
          <w:u w:val="none" w:color="auto"/>
        </w:rPr>
        <w:t>项目劳动定员400人，其中生产人员360人、非生产人员40人。</w:t>
      </w:r>
      <w:r>
        <w:rPr>
          <w:rFonts w:hint="default" w:ascii="Times New Roman" w:hAnsi="Times New Roman" w:eastAsia="宋体" w:cs="Times New Roman"/>
          <w:color w:val="auto"/>
          <w:highlight w:val="none"/>
          <w:u w:val="none" w:color="auto"/>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（8）工作制度：</w:t>
      </w:r>
      <w:r>
        <w:rPr>
          <w:rFonts w:hint="default" w:ascii="Times New Roman" w:hAnsi="Times New Roman" w:eastAsia="宋体" w:cs="Times New Roman"/>
          <w:bCs/>
          <w:color w:val="auto"/>
          <w:sz w:val="24"/>
          <w:u w:val="none" w:color="auto"/>
        </w:rPr>
        <w:t>生产车间主要设备年工作日为</w:t>
      </w:r>
      <w:r>
        <w:rPr>
          <w:rFonts w:hint="eastAsia" w:ascii="Times New Roman" w:hAnsi="Times New Roman" w:eastAsia="宋体" w:cs="Times New Roman"/>
          <w:bCs/>
          <w:color w:val="auto"/>
          <w:sz w:val="24"/>
          <w:u w:val="none" w:color="auto"/>
          <w:lang w:val="en-US" w:eastAsia="zh-CN"/>
        </w:rPr>
        <w:t>300</w:t>
      </w:r>
      <w:r>
        <w:rPr>
          <w:rFonts w:hint="default" w:ascii="Times New Roman" w:hAnsi="Times New Roman" w:eastAsia="宋体" w:cs="Times New Roman"/>
          <w:bCs/>
          <w:color w:val="auto"/>
          <w:sz w:val="24"/>
          <w:u w:val="none" w:color="auto"/>
        </w:rPr>
        <w:t>d，日工作班次为3班</w:t>
      </w:r>
      <w:r>
        <w:rPr>
          <w:rFonts w:hint="default" w:ascii="Times New Roman" w:hAnsi="Times New Roman" w:eastAsia="宋体" w:cs="Times New Roman"/>
          <w:bCs/>
          <w:color w:val="auto"/>
          <w:sz w:val="24"/>
          <w:u w:val="none" w:color="auto"/>
          <w:lang w:val="en-US" w:eastAsia="zh-CN"/>
        </w:rPr>
        <w:t>8小时制</w:t>
      </w:r>
      <w:r>
        <w:rPr>
          <w:rFonts w:hint="default" w:ascii="Times New Roman" w:hAnsi="Times New Roman" w:eastAsia="宋体" w:cs="Times New Roman"/>
          <w:color w:val="auto"/>
          <w:highlight w:val="none"/>
          <w:u w:val="none" w:color="auto"/>
        </w:rPr>
        <w:t>；</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77" w:name="_Toc19824"/>
      <w:bookmarkStart w:id="78" w:name="_Toc634"/>
      <w:bookmarkStart w:id="79" w:name="_Toc27842"/>
      <w:r>
        <w:rPr>
          <w:rFonts w:hint="default" w:ascii="Times New Roman" w:hAnsi="Times New Roman" w:eastAsia="宋体" w:cs="Times New Roman"/>
          <w:color w:val="auto"/>
          <w:highlight w:val="none"/>
          <w:u w:val="none" w:color="auto"/>
        </w:rPr>
        <w:t>3.1.2项目建设内容</w:t>
      </w:r>
      <w:bookmarkEnd w:id="77"/>
      <w:bookmarkEnd w:id="78"/>
      <w:bookmarkEnd w:id="79"/>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本项目位于岳阳临港高新技术产业开发区创新创业基地内，东至兴城路，西至道陆路，北至兴松路，南至兴岭路。用地面积130844.41m</w:t>
      </w:r>
      <w:r>
        <w:rPr>
          <w:rFonts w:hint="default" w:ascii="Times New Roman" w:hAnsi="Times New Roman" w:eastAsia="宋体" w:cs="Times New Roman"/>
          <w:color w:val="auto"/>
          <w:u w:val="none" w:color="auto"/>
          <w:vertAlign w:val="superscript"/>
          <w:lang w:val="en-US" w:eastAsia="zh-CN"/>
        </w:rPr>
        <w:t>2</w:t>
      </w:r>
      <w:r>
        <w:rPr>
          <w:rFonts w:hint="default" w:ascii="Times New Roman" w:hAnsi="Times New Roman" w:eastAsia="宋体" w:cs="Times New Roman"/>
          <w:color w:val="auto"/>
          <w:u w:val="none" w:color="auto"/>
          <w:lang w:val="en-US" w:eastAsia="zh-CN"/>
        </w:rPr>
        <w:t>，总建筑面积</w:t>
      </w:r>
      <w:r>
        <w:rPr>
          <w:rFonts w:hint="eastAsia" w:eastAsia="宋体" w:cs="Times New Roman"/>
          <w:color w:val="auto"/>
          <w:u w:val="none" w:color="auto"/>
          <w:lang w:val="en-US" w:eastAsia="zh-CN"/>
        </w:rPr>
        <w:t>84742.73</w:t>
      </w:r>
      <w:r>
        <w:rPr>
          <w:rFonts w:hint="default" w:ascii="Times New Roman" w:hAnsi="Times New Roman" w:eastAsia="宋体" w:cs="Times New Roman"/>
          <w:color w:val="auto"/>
          <w:u w:val="none" w:color="auto"/>
          <w:lang w:val="en-US" w:eastAsia="zh-CN"/>
        </w:rPr>
        <w:t>m</w:t>
      </w:r>
      <w:r>
        <w:rPr>
          <w:rFonts w:hint="default" w:ascii="Times New Roman" w:hAnsi="Times New Roman" w:eastAsia="宋体" w:cs="Times New Roman"/>
          <w:color w:val="auto"/>
          <w:u w:val="none" w:color="auto"/>
          <w:vertAlign w:val="superscript"/>
          <w:lang w:val="en-US" w:eastAsia="zh-CN"/>
        </w:rPr>
        <w:t>2</w:t>
      </w:r>
      <w:r>
        <w:rPr>
          <w:rFonts w:hint="default" w:ascii="Times New Roman" w:hAnsi="Times New Roman" w:eastAsia="宋体" w:cs="Times New Roman"/>
          <w:color w:val="auto"/>
          <w:u w:val="none" w:color="auto"/>
          <w:lang w:val="en-US" w:eastAsia="zh-CN"/>
        </w:rPr>
        <w:t>，</w:t>
      </w:r>
      <w:r>
        <w:rPr>
          <w:rFonts w:hint="eastAsia" w:eastAsia="宋体" w:cs="Times New Roman"/>
          <w:color w:val="auto"/>
          <w:u w:val="none" w:color="auto"/>
          <w:lang w:val="en-US" w:eastAsia="zh-CN"/>
        </w:rPr>
        <w:t>计容建筑面积144114.74</w:t>
      </w:r>
      <w:r>
        <w:rPr>
          <w:rFonts w:hint="default" w:ascii="Times New Roman" w:hAnsi="Times New Roman" w:eastAsia="宋体" w:cs="Times New Roman"/>
          <w:color w:val="auto"/>
          <w:u w:val="none" w:color="auto"/>
          <w:lang w:val="en-US" w:eastAsia="zh-CN"/>
        </w:rPr>
        <w:t>m</w:t>
      </w:r>
      <w:r>
        <w:rPr>
          <w:rFonts w:hint="default" w:ascii="Times New Roman" w:hAnsi="Times New Roman" w:eastAsia="宋体" w:cs="Times New Roman"/>
          <w:color w:val="auto"/>
          <w:u w:val="none" w:color="auto"/>
          <w:vertAlign w:val="superscript"/>
          <w:lang w:val="en-US" w:eastAsia="zh-CN"/>
        </w:rPr>
        <w:t>2</w:t>
      </w:r>
      <w:r>
        <w:rPr>
          <w:rFonts w:hint="default" w:ascii="Times New Roman" w:hAnsi="Times New Roman" w:eastAsia="宋体" w:cs="Times New Roman"/>
          <w:color w:val="auto"/>
          <w:u w:val="none" w:color="auto"/>
          <w:lang w:val="en-US" w:eastAsia="zh-CN"/>
        </w:rPr>
        <w:t>，主要建设内容包括:建设挤压车间、板材车间、熔铸车间、锻造车间、表面处理车间、机加工和热处理车间、综合楼、宿舍食堂等</w:t>
      </w:r>
      <w:r>
        <w:rPr>
          <w:rFonts w:hint="default" w:ascii="Times New Roman" w:hAnsi="Times New Roman" w:eastAsia="宋体" w:cs="Times New Roman"/>
          <w:color w:val="auto"/>
          <w:u w:val="none" w:color="auto"/>
        </w:rPr>
        <w:t>，本项目建设内容情况具体见下表。</w:t>
      </w:r>
    </w:p>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表3.1-1项目建设内容情况一览表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03"/>
        <w:gridCol w:w="1104"/>
        <w:gridCol w:w="1524"/>
        <w:gridCol w:w="3944"/>
        <w:gridCol w:w="8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Align w:val="center"/>
          </w:tcPr>
          <w:p>
            <w:pPr>
              <w:pStyle w:val="413"/>
              <w:pageBreakBefore w:val="0"/>
              <w:kinsoku/>
              <w:wordWrap/>
              <w:overflowPunct w:val="0"/>
              <w:topLinePunct/>
              <w:autoSpaceDE w:val="0"/>
              <w:autoSpaceDN w:val="0"/>
              <w:bidi w:val="0"/>
              <w:jc w:val="center"/>
              <w:rPr>
                <w:rFonts w:hint="default" w:ascii="Times New Roman" w:hAnsi="Times New Roman" w:eastAsia="宋体" w:cs="Times New Roman"/>
                <w:b w:val="0"/>
                <w:color w:val="auto"/>
                <w:sz w:val="21"/>
                <w:szCs w:val="21"/>
                <w:u w:val="none" w:color="auto"/>
              </w:rPr>
            </w:pPr>
            <w:r>
              <w:rPr>
                <w:rFonts w:hint="default" w:ascii="Times New Roman" w:hAnsi="Times New Roman" w:eastAsia="宋体" w:cs="Times New Roman"/>
                <w:b w:val="0"/>
                <w:color w:val="auto"/>
                <w:sz w:val="21"/>
                <w:szCs w:val="21"/>
                <w:u w:val="none" w:color="auto"/>
              </w:rPr>
              <w:t>工程类别</w:t>
            </w:r>
          </w:p>
        </w:tc>
        <w:tc>
          <w:tcPr>
            <w:tcW w:w="655" w:type="pct"/>
            <w:vAlign w:val="center"/>
          </w:tcPr>
          <w:p>
            <w:pPr>
              <w:pStyle w:val="413"/>
              <w:pageBreakBefore w:val="0"/>
              <w:kinsoku/>
              <w:wordWrap/>
              <w:overflowPunct w:val="0"/>
              <w:topLinePunct/>
              <w:autoSpaceDE w:val="0"/>
              <w:autoSpaceDN w:val="0"/>
              <w:bidi w:val="0"/>
              <w:jc w:val="center"/>
              <w:rPr>
                <w:rFonts w:hint="default" w:ascii="Times New Roman" w:hAnsi="Times New Roman" w:eastAsia="宋体" w:cs="Times New Roman"/>
                <w:b w:val="0"/>
                <w:color w:val="auto"/>
                <w:sz w:val="21"/>
                <w:szCs w:val="21"/>
                <w:u w:val="none" w:color="auto"/>
                <w:lang w:eastAsia="zh-CN"/>
              </w:rPr>
            </w:pPr>
            <w:r>
              <w:rPr>
                <w:rFonts w:hint="default" w:ascii="Times New Roman" w:hAnsi="Times New Roman" w:eastAsia="宋体" w:cs="Times New Roman"/>
                <w:b w:val="0"/>
                <w:color w:val="auto"/>
                <w:sz w:val="21"/>
                <w:szCs w:val="21"/>
                <w:u w:val="none" w:color="auto"/>
              </w:rPr>
              <w:t>工程</w:t>
            </w:r>
            <w:r>
              <w:rPr>
                <w:rFonts w:hint="default" w:ascii="Times New Roman" w:hAnsi="Times New Roman" w:eastAsia="宋体" w:cs="Times New Roman"/>
                <w:b w:val="0"/>
                <w:color w:val="auto"/>
                <w:sz w:val="21"/>
                <w:szCs w:val="21"/>
                <w:u w:val="none" w:color="auto"/>
                <w:lang w:eastAsia="zh-CN"/>
              </w:rPr>
              <w:t>名称</w:t>
            </w:r>
          </w:p>
        </w:tc>
        <w:tc>
          <w:tcPr>
            <w:tcW w:w="904" w:type="pct"/>
            <w:vAlign w:val="center"/>
          </w:tcPr>
          <w:p>
            <w:pPr>
              <w:pStyle w:val="413"/>
              <w:pageBreakBefore w:val="0"/>
              <w:kinsoku/>
              <w:wordWrap/>
              <w:overflowPunct w:val="0"/>
              <w:topLinePunct/>
              <w:autoSpaceDE w:val="0"/>
              <w:autoSpaceDN w:val="0"/>
              <w:bidi w:val="0"/>
              <w:jc w:val="center"/>
              <w:rPr>
                <w:rFonts w:hint="default" w:ascii="Times New Roman" w:hAnsi="Times New Roman" w:eastAsia="宋体" w:cs="Times New Roman"/>
                <w:b w:val="0"/>
                <w:color w:val="auto"/>
                <w:sz w:val="21"/>
                <w:szCs w:val="21"/>
                <w:u w:val="none" w:color="auto"/>
              </w:rPr>
            </w:pPr>
            <w:r>
              <w:rPr>
                <w:rFonts w:hint="default" w:ascii="Times New Roman" w:hAnsi="Times New Roman" w:eastAsia="宋体" w:cs="Times New Roman"/>
                <w:b w:val="0"/>
                <w:color w:val="auto"/>
                <w:sz w:val="21"/>
                <w:szCs w:val="21"/>
                <w:u w:val="none" w:color="auto"/>
                <w:lang w:eastAsia="zh-CN"/>
              </w:rPr>
              <w:t>工程</w:t>
            </w:r>
            <w:r>
              <w:rPr>
                <w:rFonts w:hint="default" w:ascii="Times New Roman" w:hAnsi="Times New Roman" w:eastAsia="宋体" w:cs="Times New Roman"/>
                <w:b w:val="0"/>
                <w:color w:val="auto"/>
                <w:sz w:val="21"/>
                <w:szCs w:val="21"/>
                <w:u w:val="none" w:color="auto"/>
              </w:rPr>
              <w:t>内容</w:t>
            </w:r>
          </w:p>
        </w:tc>
        <w:tc>
          <w:tcPr>
            <w:tcW w:w="2340" w:type="pct"/>
            <w:vAlign w:val="center"/>
          </w:tcPr>
          <w:p>
            <w:pPr>
              <w:pStyle w:val="413"/>
              <w:pageBreakBefore w:val="0"/>
              <w:kinsoku/>
              <w:wordWrap/>
              <w:overflowPunct w:val="0"/>
              <w:topLinePunct/>
              <w:autoSpaceDE w:val="0"/>
              <w:autoSpaceDN w:val="0"/>
              <w:bidi w:val="0"/>
              <w:jc w:val="center"/>
              <w:rPr>
                <w:rFonts w:hint="default" w:ascii="Times New Roman" w:hAnsi="Times New Roman" w:eastAsia="宋体" w:cs="Times New Roman"/>
                <w:b w:val="0"/>
                <w:color w:val="auto"/>
                <w:sz w:val="21"/>
                <w:szCs w:val="21"/>
                <w:u w:val="none" w:color="auto"/>
                <w:lang w:eastAsia="zh-CN"/>
              </w:rPr>
            </w:pPr>
            <w:r>
              <w:rPr>
                <w:rFonts w:hint="default" w:ascii="Times New Roman" w:hAnsi="Times New Roman" w:eastAsia="宋体" w:cs="Times New Roman"/>
                <w:b w:val="0"/>
                <w:color w:val="auto"/>
                <w:sz w:val="21"/>
                <w:szCs w:val="21"/>
                <w:u w:val="none" w:color="auto"/>
                <w:lang w:eastAsia="zh-CN"/>
              </w:rPr>
              <w:t>功能</w:t>
            </w:r>
          </w:p>
        </w:tc>
        <w:tc>
          <w:tcPr>
            <w:tcW w:w="503" w:type="pct"/>
            <w:vAlign w:val="center"/>
          </w:tcPr>
          <w:p>
            <w:pPr>
              <w:pStyle w:val="413"/>
              <w:pageBreakBefore w:val="0"/>
              <w:kinsoku/>
              <w:wordWrap/>
              <w:overflowPunct w:val="0"/>
              <w:topLinePunct/>
              <w:autoSpaceDE w:val="0"/>
              <w:autoSpaceDN w:val="0"/>
              <w:bidi w:val="0"/>
              <w:jc w:val="center"/>
              <w:rPr>
                <w:rFonts w:hint="default" w:ascii="Times New Roman" w:hAnsi="Times New Roman" w:eastAsia="宋体" w:cs="Times New Roman"/>
                <w:b w:val="0"/>
                <w:color w:val="auto"/>
                <w:sz w:val="21"/>
                <w:szCs w:val="21"/>
                <w:u w:val="none" w:color="auto"/>
                <w:lang w:val="en-US" w:eastAsia="zh-CN"/>
              </w:rPr>
            </w:pPr>
            <w:r>
              <w:rPr>
                <w:rFonts w:hint="default" w:ascii="Times New Roman" w:hAnsi="Times New Roman" w:eastAsia="宋体" w:cs="Times New Roman"/>
                <w:b w:val="0"/>
                <w:color w:val="auto"/>
                <w:sz w:val="21"/>
                <w:szCs w:val="21"/>
                <w:u w:val="none" w:color="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restar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主体工程</w:t>
            </w: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挤压车间</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1F，建筑面积24</w:t>
            </w:r>
            <w:r>
              <w:rPr>
                <w:rFonts w:hint="eastAsia" w:ascii="Times New Roman" w:hAnsi="Times New Roman" w:eastAsia="宋体" w:cs="Times New Roman"/>
                <w:color w:val="auto"/>
                <w:sz w:val="21"/>
                <w:szCs w:val="21"/>
                <w:u w:val="none" w:color="auto"/>
                <w:lang w:val="en-US" w:eastAsia="zh-CN"/>
              </w:rPr>
              <w:t>5029.7</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H=18.35m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挤压车间总长256m</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宽99m。1个12m辅跨，内设模具库，10kV配电站、低压配电室，消防泵站，净循环水泵站；1个21m跨（受地形影响局部为12m宽），主要配置8MN挤压生产线及张力矫直机、管棒材矫直机等精整矫直设备；2个33m跨，其中1跨配置55MN挤压生产线及6m立式淬火炉，另一个33m跨配置100MN挤压机生产线。</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南厂区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锻造车间</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1F，建筑面积163</w:t>
            </w:r>
            <w:r>
              <w:rPr>
                <w:rFonts w:hint="eastAsia" w:ascii="Times New Roman" w:hAnsi="Times New Roman" w:eastAsia="宋体" w:cs="Times New Roman"/>
                <w:color w:val="auto"/>
                <w:sz w:val="21"/>
                <w:szCs w:val="21"/>
                <w:u w:val="none" w:color="auto"/>
                <w:lang w:val="en-US" w:eastAsia="zh-CN"/>
              </w:rPr>
              <w:t>60.04</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H=23</w:t>
            </w:r>
            <w:r>
              <w:rPr>
                <w:rFonts w:hint="eastAsia"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lang w:val="en-US" w:eastAsia="zh-CN"/>
              </w:rPr>
              <w:t>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锻造车间总长264m，总宽60m。1个9m辅跨，内设10kV配电站、低压配电室，锻压机泵站；1个30m跨，为锻造主跨，主要配置31.5MN锻压生产线、60MN锻压生产线、150MN锻压生产线和3.5m轧环机等；1个21m跨，为热处理主跨，主要配置淬火炉、时效炉等热处理设备</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南厂区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熔铸车间</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1F</w:t>
            </w:r>
            <w:r>
              <w:rPr>
                <w:rFonts w:hint="default" w:ascii="Times New Roman" w:hAnsi="Times New Roman" w:eastAsia="宋体" w:cs="Times New Roman"/>
                <w:color w:val="auto"/>
                <w:sz w:val="21"/>
                <w:szCs w:val="21"/>
                <w:u w:val="none" w:color="auto"/>
                <w:lang w:eastAsia="zh-CN"/>
              </w:rPr>
              <w:t>（局部</w:t>
            </w:r>
            <w:r>
              <w:rPr>
                <w:rFonts w:hint="default" w:ascii="Times New Roman" w:hAnsi="Times New Roman" w:eastAsia="宋体" w:cs="Times New Roman"/>
                <w:color w:val="auto"/>
                <w:sz w:val="21"/>
                <w:szCs w:val="21"/>
                <w:u w:val="none" w:color="auto"/>
                <w:lang w:val="en-US" w:eastAsia="zh-CN"/>
              </w:rPr>
              <w:t>2F</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占地面积</w:t>
            </w:r>
            <w:r>
              <w:rPr>
                <w:rFonts w:hint="default" w:ascii="Times New Roman" w:hAnsi="Times New Roman" w:eastAsia="宋体" w:cs="Times New Roman"/>
                <w:color w:val="auto"/>
                <w:sz w:val="21"/>
                <w:szCs w:val="21"/>
                <w:u w:val="none" w:color="auto"/>
              </w:rPr>
              <w:t>628</w:t>
            </w:r>
            <w:r>
              <w:rPr>
                <w:rFonts w:hint="eastAsia" w:ascii="Times New Roman" w:hAnsi="Times New Roman" w:eastAsia="宋体" w:cs="Times New Roman"/>
                <w:color w:val="auto"/>
                <w:sz w:val="21"/>
                <w:szCs w:val="21"/>
                <w:u w:val="none" w:color="auto"/>
                <w:lang w:val="en-US" w:eastAsia="zh-CN"/>
              </w:rPr>
              <w:t>6.78</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，建筑面积</w:t>
            </w:r>
            <w:r>
              <w:rPr>
                <w:rFonts w:hint="eastAsia" w:ascii="Times New Roman" w:hAnsi="Times New Roman" w:eastAsia="宋体" w:cs="Times New Roman"/>
                <w:color w:val="auto"/>
                <w:sz w:val="21"/>
                <w:szCs w:val="21"/>
                <w:u w:val="none" w:color="auto"/>
                <w:lang w:val="en-US" w:eastAsia="zh-CN"/>
              </w:rPr>
              <w:t>7065.68</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H=16.2m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熔铸车间主厂房由宽度为30m的单跨厂房组成，长度为171m。主厂房在长度方向分为四个生产分区，依次分为原料存放区、</w:t>
            </w:r>
            <w:r>
              <w:rPr>
                <w:rFonts w:hint="default" w:ascii="Times New Roman" w:hAnsi="Times New Roman" w:eastAsia="宋体" w:cs="Times New Roman"/>
                <w:color w:val="auto"/>
                <w:sz w:val="21"/>
                <w:szCs w:val="21"/>
                <w:u w:val="none" w:color="auto"/>
                <w:lang w:eastAsia="zh-CN"/>
              </w:rPr>
              <w:t>一</w:t>
            </w:r>
            <w:r>
              <w:rPr>
                <w:rFonts w:hint="default" w:ascii="Times New Roman" w:hAnsi="Times New Roman" w:eastAsia="宋体" w:cs="Times New Roman"/>
                <w:color w:val="auto"/>
                <w:sz w:val="21"/>
                <w:szCs w:val="21"/>
                <w:u w:val="none" w:color="auto"/>
              </w:rPr>
              <w:t>期熔铸区、预留熔铸区和铸锭热处理区。原料存放区长度为30m</w:t>
            </w:r>
            <w:r>
              <w:rPr>
                <w:rFonts w:hint="eastAsia"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主要用于外购原料、厂区返回废料的存放及配料</w:t>
            </w:r>
            <w:r>
              <w:rPr>
                <w:rFonts w:hint="eastAsia"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一期熔铸区长度为30m，设置镁合金熔铸机组1套;预留熔铸区长度为48m，设置预留镁合金熔铸机组2套</w:t>
            </w:r>
            <w:r>
              <w:rPr>
                <w:rFonts w:hint="eastAsia"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铸锭热处理区长度为57m，设置去应力退火炉1台(另预留2台)、铸锭均热炉1台(另预留2台)以及铸锭存放。</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北厂区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板材车间及表面处理车间</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1F，建筑面积1</w:t>
            </w:r>
            <w:r>
              <w:rPr>
                <w:rFonts w:hint="eastAsia" w:ascii="Times New Roman" w:hAnsi="Times New Roman" w:eastAsia="宋体" w:cs="Times New Roman"/>
                <w:color w:val="auto"/>
                <w:sz w:val="21"/>
                <w:szCs w:val="21"/>
                <w:u w:val="none" w:color="auto"/>
                <w:lang w:val="en-US" w:eastAsia="zh-CN"/>
              </w:rPr>
              <w:t>3484.51</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w:t>
            </w:r>
            <w:r>
              <w:rPr>
                <w:rFonts w:hint="eastAsia" w:ascii="Times New Roman" w:hAnsi="Times New Roman" w:eastAsia="宋体" w:cs="Times New Roman"/>
                <w:color w:val="auto"/>
                <w:sz w:val="21"/>
                <w:szCs w:val="21"/>
                <w:u w:val="none" w:color="auto"/>
                <w:lang w:val="en-US" w:eastAsia="zh-CN"/>
              </w:rPr>
              <w:t>16.6</w:t>
            </w:r>
            <w:r>
              <w:rPr>
                <w:rFonts w:hint="default" w:ascii="Times New Roman" w:hAnsi="Times New Roman" w:eastAsia="宋体" w:cs="Times New Roman"/>
                <w:color w:val="auto"/>
                <w:sz w:val="21"/>
                <w:szCs w:val="21"/>
                <w:u w:val="none" w:color="auto"/>
                <w:lang w:val="en-US" w:eastAsia="zh-CN"/>
              </w:rPr>
              <w:t>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板材车间的分为来料区、轧制区、精整剪切区、成品区、预留发展区、轧辊磨削</w:t>
            </w:r>
          </w:p>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区、辅助设施区（辅跨）等7个区域。</w:t>
            </w:r>
          </w:p>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车间共有1个主跨和1个辅助跨，主跨宽度为33m，辅跨宽度为12m，车间总长度171m，车间布置较为紧凑。表面处理车间总长171m，总宽33m，单跨，与板材车间合建；跨内配置微弧氧化生产线1条，喷涂生生产线1条，等离子喷涂生产线1条，并在车间内设废水处理装置1套</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北厂区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机加工车间及成品车间</w:t>
            </w:r>
          </w:p>
        </w:tc>
        <w:tc>
          <w:tcPr>
            <w:tcW w:w="904" w:type="pct"/>
            <w:vAlign w:val="center"/>
          </w:tcPr>
          <w:p>
            <w:pPr>
              <w:keepNext w:val="0"/>
              <w:keepLines w:val="0"/>
              <w:pageBreakBefore w:val="0"/>
              <w:widowControl/>
              <w:suppressLineNumbers w:val="0"/>
              <w:kinsoku/>
              <w:wordWrap/>
              <w:overflowPunct w:val="0"/>
              <w:topLinePunct/>
              <w:autoSpaceDE w:val="0"/>
              <w:autoSpaceDN w:val="0"/>
              <w:bidi w:val="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1F</w:t>
            </w:r>
            <w:r>
              <w:rPr>
                <w:rFonts w:hint="eastAsia" w:ascii="Times New Roman" w:hAnsi="Times New Roman" w:eastAsia="宋体" w:cs="Times New Roman"/>
                <w:color w:val="auto"/>
                <w:kern w:val="2"/>
                <w:sz w:val="21"/>
                <w:szCs w:val="21"/>
                <w:u w:val="none" w:color="auto"/>
                <w:lang w:val="en-US" w:eastAsia="zh-CN" w:bidi="ar-SA"/>
              </w:rPr>
              <w:t>，</w:t>
            </w:r>
            <w:r>
              <w:rPr>
                <w:rFonts w:hint="default" w:ascii="Times New Roman" w:hAnsi="Times New Roman" w:eastAsia="宋体" w:cs="Times New Roman"/>
                <w:color w:val="auto"/>
                <w:kern w:val="2"/>
                <w:sz w:val="21"/>
                <w:szCs w:val="21"/>
                <w:u w:val="none" w:color="auto"/>
                <w:lang w:val="en-US" w:eastAsia="zh-CN" w:bidi="ar-SA"/>
              </w:rPr>
              <w:t>建筑面积</w:t>
            </w:r>
            <w:r>
              <w:rPr>
                <w:rFonts w:hint="eastAsia" w:ascii="Times New Roman" w:hAnsi="Times New Roman" w:eastAsia="宋体" w:cs="Times New Roman"/>
                <w:color w:val="auto"/>
                <w:kern w:val="2"/>
                <w:sz w:val="21"/>
                <w:szCs w:val="21"/>
                <w:u w:val="none" w:color="auto"/>
                <w:lang w:val="en-US" w:eastAsia="zh-CN" w:bidi="ar-SA"/>
              </w:rPr>
              <w:t>7410.40</w:t>
            </w:r>
          </w:p>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m</w:t>
            </w:r>
            <w:r>
              <w:rPr>
                <w:rFonts w:hint="default" w:ascii="Times New Roman" w:hAnsi="Times New Roman" w:eastAsia="宋体" w:cs="Times New Roman"/>
                <w:color w:val="auto"/>
                <w:kern w:val="2"/>
                <w:sz w:val="21"/>
                <w:szCs w:val="21"/>
                <w:u w:val="none" w:color="auto"/>
                <w:vertAlign w:val="superscript"/>
                <w:lang w:val="en-US" w:eastAsia="zh-CN" w:bidi="ar-SA"/>
              </w:rPr>
              <w:t>2</w:t>
            </w:r>
            <w:r>
              <w:rPr>
                <w:rFonts w:hint="default" w:ascii="Times New Roman" w:hAnsi="Times New Roman" w:eastAsia="宋体" w:cs="Times New Roman"/>
                <w:color w:val="auto"/>
                <w:kern w:val="2"/>
                <w:sz w:val="21"/>
                <w:szCs w:val="21"/>
                <w:u w:val="none" w:color="auto"/>
                <w:lang w:val="en-US" w:eastAsia="zh-CN" w:bidi="ar-SA"/>
              </w:rPr>
              <w:t>，H=</w:t>
            </w:r>
            <w:r>
              <w:rPr>
                <w:rFonts w:hint="eastAsia" w:ascii="Times New Roman" w:hAnsi="Times New Roman" w:eastAsia="宋体" w:cs="Times New Roman"/>
                <w:color w:val="auto"/>
                <w:kern w:val="2"/>
                <w:sz w:val="21"/>
                <w:szCs w:val="21"/>
                <w:u w:val="none" w:color="auto"/>
                <w:lang w:val="en-US" w:eastAsia="zh-CN" w:bidi="ar-SA"/>
              </w:rPr>
              <w:t>16.6</w:t>
            </w:r>
            <w:r>
              <w:rPr>
                <w:rFonts w:hint="default" w:ascii="Times New Roman" w:hAnsi="Times New Roman" w:eastAsia="宋体" w:cs="Times New Roman"/>
                <w:color w:val="auto"/>
                <w:kern w:val="2"/>
                <w:sz w:val="21"/>
                <w:szCs w:val="21"/>
                <w:u w:val="none" w:color="auto"/>
                <w:lang w:val="en-US" w:eastAsia="zh-CN" w:bidi="ar-SA"/>
              </w:rPr>
              <w:t>m</w:t>
            </w:r>
          </w:p>
        </w:tc>
        <w:tc>
          <w:tcPr>
            <w:tcW w:w="2340" w:type="pct"/>
            <w:vAlign w:val="center"/>
          </w:tcPr>
          <w:p>
            <w:pPr>
              <w:keepNext w:val="0"/>
              <w:keepLines w:val="0"/>
              <w:pageBreakBefore w:val="0"/>
              <w:widowControl/>
              <w:suppressLineNumbers w:val="0"/>
              <w:kinsoku/>
              <w:wordWrap/>
              <w:overflowPunct w:val="0"/>
              <w:topLinePunct/>
              <w:autoSpaceDE w:val="0"/>
              <w:autoSpaceDN w:val="0"/>
              <w:bidi w:val="0"/>
              <w:jc w:val="left"/>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
              </w:rPr>
              <w:t>机加工车间总长162m，总宽24m，</w:t>
            </w:r>
            <w:r>
              <w:rPr>
                <w:rFonts w:hint="eastAsia" w:ascii="Times New Roman" w:hAnsi="Times New Roman" w:eastAsia="宋体" w:cs="Times New Roman"/>
                <w:color w:val="auto"/>
                <w:kern w:val="0"/>
                <w:sz w:val="21"/>
                <w:szCs w:val="21"/>
                <w:u w:val="none" w:color="auto"/>
                <w:lang w:val="en-US" w:eastAsia="zh-CN" w:bidi="ar"/>
              </w:rPr>
              <w:t>1</w:t>
            </w:r>
            <w:r>
              <w:rPr>
                <w:rFonts w:hint="default" w:ascii="Times New Roman" w:hAnsi="Times New Roman" w:eastAsia="宋体" w:cs="Times New Roman"/>
                <w:color w:val="auto"/>
                <w:kern w:val="0"/>
                <w:sz w:val="21"/>
                <w:szCs w:val="21"/>
                <w:u w:val="none" w:color="auto"/>
                <w:lang w:val="en-US" w:eastAsia="zh-CN" w:bidi="ar"/>
              </w:rPr>
              <w:t>层框架结构，与成品库合建；配置立式铣床、车床、锯床加工设备。</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储运工程</w:t>
            </w: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成品车间</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位于机加工车间北部</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产品堆放</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北厂区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restar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辅助工程</w:t>
            </w: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综合楼</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F，建筑面积</w:t>
            </w:r>
            <w:r>
              <w:rPr>
                <w:rFonts w:hint="eastAsia" w:ascii="Times New Roman" w:hAnsi="Times New Roman" w:eastAsia="宋体" w:cs="Times New Roman"/>
                <w:color w:val="auto"/>
                <w:sz w:val="21"/>
                <w:szCs w:val="21"/>
                <w:u w:val="none" w:color="auto"/>
                <w:lang w:val="en-US" w:eastAsia="zh-CN"/>
              </w:rPr>
              <w:t>7272.71</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H=21.9m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员工办公</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食堂</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rPr>
              <w:t>F，建筑面积</w:t>
            </w:r>
            <w:r>
              <w:rPr>
                <w:rFonts w:hint="eastAsia" w:ascii="Times New Roman" w:hAnsi="Times New Roman" w:eastAsia="宋体" w:cs="Times New Roman"/>
                <w:color w:val="auto"/>
                <w:sz w:val="21"/>
                <w:szCs w:val="21"/>
                <w:u w:val="none" w:color="auto"/>
                <w:lang w:val="en-US" w:eastAsia="zh-CN"/>
              </w:rPr>
              <w:t>1840.09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H=19.8m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员工就餐</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倒班宿舍</w:t>
            </w:r>
          </w:p>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eastAsia="zh-CN"/>
              </w:rPr>
            </w:pP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6</w:t>
            </w:r>
            <w:r>
              <w:rPr>
                <w:rFonts w:hint="default" w:ascii="Times New Roman" w:hAnsi="Times New Roman" w:eastAsia="宋体" w:cs="Times New Roman"/>
                <w:color w:val="auto"/>
                <w:sz w:val="21"/>
                <w:szCs w:val="21"/>
                <w:u w:val="none" w:color="auto"/>
              </w:rPr>
              <w:t>F，建筑面积</w:t>
            </w:r>
            <w:r>
              <w:rPr>
                <w:rFonts w:hint="eastAsia" w:ascii="Times New Roman" w:hAnsi="Times New Roman" w:eastAsia="宋体" w:cs="Times New Roman"/>
                <w:color w:val="auto"/>
                <w:sz w:val="21"/>
                <w:szCs w:val="21"/>
                <w:u w:val="none" w:color="auto"/>
                <w:lang w:val="en-US" w:eastAsia="zh-CN"/>
              </w:rPr>
              <w:t>6461.45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H=21.9m</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员工休息</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restar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公用工程</w:t>
            </w: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供电</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市政电网供给</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供水</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自来水管网供给</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供气</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市政管网供给</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503"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restar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环保工程</w:t>
            </w:r>
          </w:p>
        </w:tc>
        <w:tc>
          <w:tcPr>
            <w:tcW w:w="655" w:type="pct"/>
            <w:vMerge w:val="restar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w:t>
            </w:r>
            <w:r>
              <w:rPr>
                <w:rFonts w:hint="eastAsia" w:ascii="Times New Roman" w:hAnsi="Times New Roman" w:eastAsia="宋体" w:cs="Times New Roman"/>
                <w:color w:val="auto"/>
                <w:sz w:val="21"/>
                <w:szCs w:val="21"/>
                <w:u w:val="none" w:color="auto"/>
                <w:lang w:val="en-US" w:eastAsia="zh-CN"/>
              </w:rPr>
              <w:t>气</w:t>
            </w:r>
            <w:r>
              <w:rPr>
                <w:rFonts w:hint="default" w:ascii="Times New Roman" w:hAnsi="Times New Roman" w:eastAsia="宋体" w:cs="Times New Roman"/>
                <w:color w:val="auto"/>
                <w:sz w:val="21"/>
                <w:szCs w:val="21"/>
                <w:u w:val="none" w:color="auto"/>
              </w:rPr>
              <w:t>处理设施</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熔炼和铸造废气处理设施</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lang w:eastAsia="zh-CN"/>
              </w:rPr>
              <w:t>布袋除尘器+碱液喷淋塔</w:t>
            </w:r>
            <w:r>
              <w:rPr>
                <w:rFonts w:hint="eastAsia" w:ascii="Times New Roman" w:hAnsi="Times New Roman" w:eastAsia="宋体" w:cs="Times New Roman"/>
                <w:color w:val="auto"/>
                <w:spacing w:val="11"/>
                <w:sz w:val="21"/>
                <w:szCs w:val="21"/>
                <w:u w:val="none" w:color="auto"/>
                <w:lang w:val="en-US" w:eastAsia="zh-CN"/>
              </w:rPr>
              <w:t>+20m排气筒</w:t>
            </w:r>
            <w:r>
              <w:rPr>
                <w:rFonts w:hint="eastAsia"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DA001</w:t>
            </w:r>
            <w:r>
              <w:rPr>
                <w:rFonts w:hint="eastAsia" w:ascii="Times New Roman" w:hAnsi="Times New Roman" w:cs="Times New Roman"/>
                <w:color w:val="auto"/>
                <w:kern w:val="2"/>
                <w:sz w:val="21"/>
                <w:szCs w:val="21"/>
                <w:lang w:eastAsia="zh-CN"/>
              </w:rPr>
              <w:t>）</w:t>
            </w:r>
          </w:p>
        </w:tc>
        <w:tc>
          <w:tcPr>
            <w:tcW w:w="503" w:type="pct"/>
            <w:vAlign w:val="center"/>
          </w:tcPr>
          <w:p>
            <w:pPr>
              <w:pStyle w:val="91"/>
              <w:pageBreakBefore w:val="0"/>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加热炉</w:t>
            </w:r>
            <w:r>
              <w:rPr>
                <w:rFonts w:hint="default" w:ascii="Times New Roman" w:hAnsi="Times New Roman" w:cs="Times New Roman"/>
                <w:color w:val="auto"/>
                <w:kern w:val="2"/>
                <w:sz w:val="21"/>
                <w:szCs w:val="21"/>
                <w:lang w:eastAsia="zh-CN"/>
              </w:rPr>
              <w:t>天然气燃烧废气</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低氮燃烧器</w:t>
            </w:r>
            <w:r>
              <w:rPr>
                <w:rFonts w:hint="eastAsia" w:ascii="Times New Roman" w:hAnsi="Times New Roman" w:cs="Times New Roman"/>
                <w:color w:val="auto"/>
                <w:kern w:val="2"/>
                <w:sz w:val="21"/>
                <w:szCs w:val="21"/>
                <w:lang w:val="en-US" w:eastAsia="zh-CN"/>
              </w:rPr>
              <w:t>+25m排气筒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val="en-US" w:eastAsia="zh-CN"/>
              </w:rPr>
              <w:t>镁板轧机废气</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活性炭吸附</w:t>
            </w:r>
            <w:r>
              <w:rPr>
                <w:rFonts w:hint="eastAsia" w:ascii="Times New Roman" w:hAnsi="Times New Roman" w:cs="Times New Roman"/>
                <w:color w:val="auto"/>
                <w:kern w:val="2"/>
                <w:sz w:val="21"/>
                <w:szCs w:val="21"/>
                <w:lang w:val="en-US" w:eastAsia="zh-CN"/>
              </w:rPr>
              <w:t>+20m排气筒</w:t>
            </w:r>
            <w:r>
              <w:rPr>
                <w:rFonts w:hint="default" w:ascii="Times New Roman" w:hAnsi="Times New Roman" w:cs="Times New Roman"/>
                <w:color w:val="auto"/>
                <w:kern w:val="2"/>
                <w:sz w:val="21"/>
                <w:szCs w:val="21"/>
              </w:rPr>
              <w:t>（DA0</w:t>
            </w:r>
            <w:r>
              <w:rPr>
                <w:rFonts w:hint="eastAsia" w:ascii="Times New Roman" w:hAnsi="Times New Roman" w:cs="Times New Roman"/>
                <w:color w:val="auto"/>
                <w:kern w:val="2"/>
                <w:sz w:val="21"/>
                <w:szCs w:val="21"/>
                <w:lang w:val="en-US" w:eastAsia="zh-CN"/>
              </w:rPr>
              <w:t>03</w:t>
            </w:r>
            <w:r>
              <w:rPr>
                <w:rFonts w:hint="default" w:ascii="Times New Roman" w:hAnsi="Times New Roman" w:cs="Times New Roman"/>
                <w:color w:val="auto"/>
                <w:kern w:val="2"/>
                <w:sz w:val="21"/>
                <w:szCs w:val="21"/>
              </w:rPr>
              <w:t>）</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eastAsia="zh-CN"/>
              </w:rPr>
              <w:t>等离子喷涂</w:t>
            </w:r>
            <w:r>
              <w:rPr>
                <w:rFonts w:hint="eastAsia" w:ascii="Times New Roman" w:hAnsi="Times New Roman" w:cs="Times New Roman"/>
                <w:color w:val="auto"/>
                <w:kern w:val="2"/>
                <w:sz w:val="21"/>
                <w:szCs w:val="21"/>
                <w:lang w:eastAsia="zh-CN"/>
              </w:rPr>
              <w:t>废气</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布袋除尘器</w:t>
            </w:r>
            <w:r>
              <w:rPr>
                <w:rFonts w:hint="eastAsia" w:ascii="Times New Roman" w:hAnsi="Times New Roman" w:cs="Times New Roman"/>
                <w:color w:val="auto"/>
                <w:kern w:val="2"/>
                <w:sz w:val="21"/>
                <w:szCs w:val="21"/>
                <w:lang w:val="en-US" w:eastAsia="zh-CN"/>
              </w:rPr>
              <w:t>+20m排气筒</w:t>
            </w:r>
            <w:r>
              <w:rPr>
                <w:rFonts w:hint="default" w:ascii="Times New Roman" w:hAnsi="Times New Roman" w:cs="Times New Roman"/>
                <w:color w:val="auto"/>
                <w:kern w:val="2"/>
                <w:sz w:val="21"/>
                <w:szCs w:val="21"/>
              </w:rPr>
              <w:t>（DA0</w:t>
            </w:r>
            <w:r>
              <w:rPr>
                <w:rFonts w:hint="eastAsia" w:ascii="Times New Roman" w:hAnsi="Times New Roman" w:cs="Times New Roman"/>
                <w:color w:val="auto"/>
                <w:kern w:val="2"/>
                <w:sz w:val="21"/>
                <w:szCs w:val="21"/>
                <w:lang w:val="en-US" w:eastAsia="zh-CN"/>
              </w:rPr>
              <w:t>03</w:t>
            </w:r>
            <w:r>
              <w:rPr>
                <w:rFonts w:hint="default" w:ascii="Times New Roman" w:hAnsi="Times New Roman" w:cs="Times New Roman"/>
                <w:color w:val="auto"/>
                <w:kern w:val="2"/>
                <w:sz w:val="21"/>
                <w:szCs w:val="21"/>
              </w:rPr>
              <w:t>）</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喷漆和烘干废气</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水帘+干式过滤</w:t>
            </w:r>
            <w:r>
              <w:rPr>
                <w:rFonts w:hint="eastAsia" w:ascii="Times New Roman" w:hAnsi="Times New Roman" w:eastAsia="宋体" w:cs="Times New Roman"/>
                <w:color w:val="auto"/>
                <w:sz w:val="21"/>
                <w:szCs w:val="21"/>
                <w:u w:val="none" w:color="auto"/>
                <w:lang w:val="en-US" w:eastAsia="zh-CN"/>
              </w:rPr>
              <w:t>+活性炭吸附+20m排气筒</w:t>
            </w:r>
            <w:r>
              <w:rPr>
                <w:rFonts w:hint="default" w:ascii="Times New Roman" w:hAnsi="Times New Roman" w:cs="Times New Roman"/>
                <w:color w:val="auto"/>
                <w:kern w:val="2"/>
                <w:sz w:val="21"/>
                <w:szCs w:val="21"/>
              </w:rPr>
              <w:t>（DA</w:t>
            </w:r>
            <w:r>
              <w:rPr>
                <w:rFonts w:hint="eastAsia" w:ascii="Times New Roman" w:hAnsi="Times New Roman" w:cs="Times New Roman"/>
                <w:color w:val="auto"/>
                <w:kern w:val="2"/>
                <w:sz w:val="21"/>
                <w:szCs w:val="21"/>
                <w:lang w:val="en-US" w:eastAsia="zh-CN"/>
              </w:rPr>
              <w:t>003</w:t>
            </w:r>
            <w:r>
              <w:rPr>
                <w:rFonts w:hint="default" w:ascii="Times New Roman" w:hAnsi="Times New Roman" w:cs="Times New Roman"/>
                <w:color w:val="auto"/>
                <w:kern w:val="2"/>
                <w:sz w:val="21"/>
                <w:szCs w:val="21"/>
              </w:rPr>
              <w:t>）</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904" w:type="pct"/>
            <w:vAlign w:val="center"/>
          </w:tcPr>
          <w:p>
            <w:pPr>
              <w:pStyle w:val="91"/>
              <w:pageBreakBefore w:val="0"/>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食堂油烟废气</w:t>
            </w:r>
          </w:p>
        </w:tc>
        <w:tc>
          <w:tcPr>
            <w:tcW w:w="2340" w:type="pct"/>
            <w:vAlign w:val="center"/>
          </w:tcPr>
          <w:p>
            <w:pPr>
              <w:pStyle w:val="91"/>
              <w:pageBreakBefore w:val="0"/>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油烟净化器</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风险防范措施</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生活污水</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隔油池</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w:t>
            </w:r>
            <w:r>
              <w:rPr>
                <w:rFonts w:hint="eastAsia" w:ascii="Times New Roman" w:hAnsi="Times New Roman" w:eastAsia="宋体" w:cs="Times New Roman"/>
                <w:color w:val="auto"/>
                <w:sz w:val="21"/>
                <w:szCs w:val="21"/>
                <w:u w:val="none" w:color="auto"/>
                <w:lang w:eastAsia="zh-CN"/>
              </w:rPr>
              <w:t>水</w:t>
            </w:r>
            <w:r>
              <w:rPr>
                <w:rFonts w:hint="default" w:ascii="Times New Roman" w:hAnsi="Times New Roman" w:eastAsia="宋体" w:cs="Times New Roman"/>
                <w:color w:val="auto"/>
                <w:sz w:val="21"/>
                <w:szCs w:val="21"/>
                <w:u w:val="none" w:color="auto"/>
              </w:rPr>
              <w:t>处理设施</w:t>
            </w:r>
          </w:p>
        </w:tc>
        <w:tc>
          <w:tcPr>
            <w:tcW w:w="904" w:type="pct"/>
            <w:vAlign w:val="center"/>
          </w:tcPr>
          <w:p>
            <w:pPr>
              <w:pStyle w:val="91"/>
              <w:pageBreakBefore w:val="0"/>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直接冷却水排污水</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隔油</w:t>
            </w:r>
            <w:r>
              <w:rPr>
                <w:rFonts w:hint="eastAsia" w:ascii="Times New Roman" w:hAnsi="Times New Roman" w:eastAsia="宋体" w:cs="Times New Roman"/>
                <w:color w:val="auto"/>
                <w:sz w:val="21"/>
                <w:szCs w:val="21"/>
                <w:u w:val="none" w:color="auto"/>
                <w:lang w:val="en-US" w:eastAsia="zh-CN"/>
              </w:rPr>
              <w:t>沉淀池</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w:t>
            </w:r>
          </w:p>
        </w:tc>
        <w:tc>
          <w:tcPr>
            <w:tcW w:w="904"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隔声、减震垫、绿化降噪等</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隔声、减震垫、绿化降噪等</w:t>
            </w:r>
          </w:p>
        </w:tc>
        <w:tc>
          <w:tcPr>
            <w:tcW w:w="503"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95" w:type="pct"/>
            <w:vMerge w:val="continue"/>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55"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固废处理</w:t>
            </w:r>
          </w:p>
        </w:tc>
        <w:tc>
          <w:tcPr>
            <w:tcW w:w="904" w:type="pct"/>
            <w:vAlign w:val="center"/>
          </w:tcPr>
          <w:p>
            <w:pPr>
              <w:pStyle w:val="91"/>
              <w:pageBreakBefore w:val="0"/>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固体废物</w:t>
            </w:r>
          </w:p>
        </w:tc>
        <w:tc>
          <w:tcPr>
            <w:tcW w:w="2340" w:type="pct"/>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生活垃圾：统一交环卫部门处理一般工业固体废物：厂房内建设一般工业固体废物暂存间危险废物：厂区建设一个危险废物暂存间</w:t>
            </w:r>
          </w:p>
        </w:tc>
        <w:tc>
          <w:tcPr>
            <w:tcW w:w="503" w:type="pct"/>
            <w:vAlign w:val="center"/>
          </w:tcPr>
          <w:p>
            <w:pPr>
              <w:pStyle w:val="91"/>
              <w:pageBreakBefore w:val="0"/>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新建</w:t>
            </w:r>
          </w:p>
        </w:tc>
      </w:tr>
    </w:tbl>
    <w:p>
      <w:pPr>
        <w:pStyle w:val="60"/>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p>
    <w:p>
      <w:pPr>
        <w:pStyle w:val="7"/>
        <w:pageBreakBefore w:val="0"/>
        <w:kinsoku/>
        <w:wordWrap/>
        <w:overflowPunct w:val="0"/>
        <w:topLinePunct/>
        <w:autoSpaceDE w:val="0"/>
        <w:autoSpaceDN w:val="0"/>
        <w:bidi w:val="0"/>
        <w:outlineLvl w:val="9"/>
        <w:rPr>
          <w:rFonts w:hint="default" w:ascii="Times New Roman" w:hAnsi="Times New Roman" w:eastAsia="宋体" w:cs="Times New Roman"/>
          <w:color w:val="auto"/>
          <w:highlight w:val="none"/>
          <w:u w:val="none" w:color="auto"/>
        </w:rPr>
        <w:sectPr>
          <w:pgSz w:w="11906" w:h="16838"/>
          <w:pgMar w:top="1440" w:right="1797" w:bottom="1440" w:left="1797" w:header="720" w:footer="720" w:gutter="0"/>
          <w:pgBorders>
            <w:top w:val="none" w:sz="0" w:space="0"/>
            <w:left w:val="none" w:sz="0" w:space="0"/>
            <w:bottom w:val="none" w:sz="0" w:space="0"/>
            <w:right w:val="none" w:sz="0" w:space="0"/>
          </w:pgBorders>
          <w:pgNumType w:fmt="decimal"/>
          <w:cols w:space="720" w:num="1"/>
          <w:docGrid w:linePitch="312" w:charSpace="0"/>
        </w:sectPr>
      </w:pPr>
      <w:bookmarkStart w:id="80" w:name="_Toc2800"/>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81" w:name="_Toc12205"/>
      <w:bookmarkStart w:id="82" w:name="_Toc26445"/>
      <w:r>
        <w:rPr>
          <w:rFonts w:hint="default" w:ascii="Times New Roman" w:hAnsi="Times New Roman" w:eastAsia="宋体" w:cs="Times New Roman"/>
          <w:color w:val="auto"/>
          <w:highlight w:val="none"/>
          <w:u w:val="none" w:color="auto"/>
        </w:rPr>
        <w:t>3.1.3产品方案</w:t>
      </w:r>
      <w:bookmarkEnd w:id="81"/>
      <w:bookmarkEnd w:id="82"/>
    </w:p>
    <w:p>
      <w:pPr>
        <w:pStyle w:val="58"/>
        <w:pageBreakBefore w:val="0"/>
        <w:kinsoku/>
        <w:wordWrap/>
        <w:overflowPunct w:val="0"/>
        <w:topLinePunct/>
        <w:autoSpaceDE w:val="0"/>
        <w:autoSpaceDN w:val="0"/>
        <w:bidi w:val="0"/>
        <w:ind w:firstLine="787" w:firstLineChars="328"/>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本项目主要产品方案见下表。</w:t>
      </w:r>
    </w:p>
    <w:bookmarkEnd w:id="80"/>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表3.1-</w:t>
      </w: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主要产品方案</w:t>
      </w:r>
    </w:p>
    <w:tbl>
      <w:tblPr>
        <w:tblStyle w:val="40"/>
        <w:tblW w:w="8505" w:type="dxa"/>
        <w:tblInd w:w="10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993"/>
        <w:gridCol w:w="1551"/>
        <w:gridCol w:w="2126"/>
        <w:gridCol w:w="993"/>
        <w:gridCol w:w="12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序号</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产品名称</w:t>
            </w:r>
          </w:p>
        </w:tc>
        <w:tc>
          <w:tcPr>
            <w:tcW w:w="1551"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合金牌号及</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产品状态</w:t>
            </w:r>
          </w:p>
        </w:tc>
        <w:tc>
          <w:tcPr>
            <w:tcW w:w="2126"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规格范围</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（mm）</w:t>
            </w: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年产量</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（t）</w:t>
            </w:r>
          </w:p>
        </w:tc>
        <w:tc>
          <w:tcPr>
            <w:tcW w:w="1275"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技术</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镁及镁合金锻件</w:t>
            </w:r>
          </w:p>
        </w:tc>
        <w:tc>
          <w:tcPr>
            <w:tcW w:w="1551" w:type="dxa"/>
            <w:vMerge w:val="restart"/>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AQ80M，T5</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VW93M，T5</w:t>
            </w:r>
          </w:p>
        </w:tc>
        <w:tc>
          <w:tcPr>
            <w:tcW w:w="2126" w:type="dxa"/>
            <w:vMerge w:val="restart"/>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投影面积：1~100cm</w:t>
            </w:r>
            <w:r>
              <w:rPr>
                <w:rFonts w:hint="default" w:ascii="Times New Roman" w:hAnsi="Times New Roman" w:eastAsia="宋体" w:cs="Times New Roman"/>
                <w:color w:val="auto"/>
                <w:kern w:val="0"/>
                <w:sz w:val="21"/>
                <w:szCs w:val="21"/>
                <w:u w:val="none" w:color="auto"/>
                <w:vertAlign w:val="superscript"/>
              </w:rPr>
              <w:t>2</w:t>
            </w:r>
            <w:r>
              <w:rPr>
                <w:rFonts w:hint="default" w:ascii="Times New Roman" w:hAnsi="Times New Roman" w:eastAsia="宋体" w:cs="Times New Roman"/>
                <w:color w:val="auto"/>
                <w:kern w:val="0"/>
                <w:sz w:val="21"/>
                <w:szCs w:val="21"/>
                <w:u w:val="none" w:color="auto"/>
              </w:rPr>
              <w:t>；</w:t>
            </w:r>
          </w:p>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锻件重量：0.5~500kg；</w:t>
            </w:r>
          </w:p>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锻件尺寸：50~1500×</w:t>
            </w:r>
          </w:p>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50~1500×</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10~500mm</w:t>
            </w: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3500</w:t>
            </w:r>
          </w:p>
        </w:tc>
        <w:tc>
          <w:tcPr>
            <w:tcW w:w="1275" w:type="dxa"/>
            <w:vMerge w:val="restart"/>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eastAsia"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rPr>
              <w:t>GB/T37596-2019</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或客户要求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1.1</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军工用镁合金锻件</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1000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1.2</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航空航天用镁合金锻件</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1.3</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轨道交通用镁合金锻件</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500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1.4</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其他高性能镁合金锻件</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1900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镁及镁合金挤压材</w:t>
            </w:r>
          </w:p>
        </w:tc>
        <w:tc>
          <w:tcPr>
            <w:tcW w:w="1551" w:type="dxa"/>
            <w:vMerge w:val="restart"/>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AQ80M，T5</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VW93M，T5</w:t>
            </w:r>
          </w:p>
          <w:p>
            <w:pPr>
              <w:pageBreakBefore w:val="0"/>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AZ31B，T5</w:t>
            </w:r>
          </w:p>
        </w:tc>
        <w:tc>
          <w:tcPr>
            <w:tcW w:w="2126" w:type="dxa"/>
            <w:vMerge w:val="restart"/>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superscript"/>
              </w:rPr>
            </w:pPr>
            <w:r>
              <w:rPr>
                <w:rFonts w:hint="default" w:ascii="Times New Roman" w:hAnsi="Times New Roman" w:eastAsia="宋体" w:cs="Times New Roman"/>
                <w:color w:val="auto"/>
                <w:kern w:val="0"/>
                <w:sz w:val="21"/>
                <w:szCs w:val="21"/>
                <w:u w:val="none" w:color="auto"/>
              </w:rPr>
              <w:t>1cm</w:t>
            </w:r>
            <w:r>
              <w:rPr>
                <w:rFonts w:hint="default" w:ascii="Times New Roman" w:hAnsi="Times New Roman" w:eastAsia="宋体" w:cs="Times New Roman"/>
                <w:color w:val="auto"/>
                <w:kern w:val="0"/>
                <w:sz w:val="21"/>
                <w:szCs w:val="21"/>
                <w:u w:val="none" w:color="auto"/>
                <w:vertAlign w:val="superscript"/>
              </w:rPr>
              <w:t>2</w:t>
            </w:r>
            <w:r>
              <w:rPr>
                <w:rFonts w:hint="default" w:ascii="Times New Roman" w:hAnsi="Times New Roman" w:eastAsia="宋体" w:cs="Times New Roman"/>
                <w:color w:val="auto"/>
                <w:kern w:val="0"/>
                <w:sz w:val="21"/>
                <w:szCs w:val="21"/>
                <w:u w:val="none" w:color="auto"/>
              </w:rPr>
              <w:t>~100cm</w:t>
            </w:r>
            <w:r>
              <w:rPr>
                <w:rFonts w:hint="default" w:ascii="Times New Roman" w:hAnsi="Times New Roman" w:eastAsia="宋体" w:cs="Times New Roman"/>
                <w:color w:val="auto"/>
                <w:kern w:val="0"/>
                <w:sz w:val="21"/>
                <w:szCs w:val="21"/>
                <w:u w:val="none" w:color="auto"/>
                <w:vertAlign w:val="superscript"/>
              </w:rPr>
              <w:t>2</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×28000mm</w:t>
            </w: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6000</w:t>
            </w:r>
          </w:p>
        </w:tc>
        <w:tc>
          <w:tcPr>
            <w:tcW w:w="1275" w:type="dxa"/>
            <w:vMerge w:val="restart"/>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GB/T5156</w:t>
            </w:r>
          </w:p>
          <w:p>
            <w:pPr>
              <w:pageBreakBefore w:val="0"/>
              <w:widowControl/>
              <w:kinsoku/>
              <w:wordWrap/>
              <w:overflowPunct w:val="0"/>
              <w:topLinePunct/>
              <w:autoSpaceDE w:val="0"/>
              <w:autoSpaceDN w:val="0"/>
              <w:bidi w:val="0"/>
              <w:spacing w:line="240" w:lineRule="auto"/>
              <w:jc w:val="center"/>
              <w:rPr>
                <w:rFonts w:hint="eastAsia"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rPr>
              <w:t>-2022</w:t>
            </w:r>
          </w:p>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或客户要求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2.1</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轨道交通用镁合金型材</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4700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2.2</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航空航天用镁合金型材</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1100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2.3</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军工用精密镁合金型材</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150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2.4</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军工用精密镁合金管材</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50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3</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镁及镁合金板材</w:t>
            </w:r>
          </w:p>
        </w:tc>
        <w:tc>
          <w:tcPr>
            <w:tcW w:w="1551" w:type="dxa"/>
            <w:vMerge w:val="restart"/>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r>
              <w:rPr>
                <w:rFonts w:hint="default" w:ascii="Times New Roman" w:hAnsi="Times New Roman" w:eastAsia="宋体" w:cs="Times New Roman"/>
                <w:color w:val="auto"/>
                <w:spacing w:val="-10"/>
                <w:kern w:val="0"/>
                <w:sz w:val="21"/>
                <w:szCs w:val="21"/>
                <w:u w:val="none" w:color="auto"/>
              </w:rPr>
              <w:t>AZ40M、AZ41M、AZ31B、AQ80M、VW64M、VW93M（O、H、T）</w:t>
            </w:r>
          </w:p>
        </w:tc>
        <w:tc>
          <w:tcPr>
            <w:tcW w:w="2126" w:type="dxa"/>
            <w:vMerge w:val="restart"/>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1.5~20×200~</w:t>
            </w:r>
          </w:p>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600×600~3000</w:t>
            </w: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500</w:t>
            </w:r>
          </w:p>
        </w:tc>
        <w:tc>
          <w:tcPr>
            <w:tcW w:w="1275" w:type="dxa"/>
            <w:vMerge w:val="restart"/>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GB/T5154-2017、ASTMB90/B90M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3.1</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高强耐热薄板</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50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3.2</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机械装备用板</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150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3.3</w:t>
            </w: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电子产品用板</w:t>
            </w:r>
          </w:p>
        </w:tc>
        <w:tc>
          <w:tcPr>
            <w:tcW w:w="1551"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spacing w:val="-10"/>
                <w:kern w:val="0"/>
                <w:sz w:val="21"/>
                <w:szCs w:val="21"/>
                <w:u w:val="none" w:color="auto"/>
              </w:rPr>
            </w:pPr>
          </w:p>
        </w:tc>
        <w:tc>
          <w:tcPr>
            <w:tcW w:w="2126" w:type="dxa"/>
            <w:vMerge w:val="continue"/>
            <w:tcBorders>
              <w:tl2br w:val="nil"/>
              <w:tr2bl w:val="nil"/>
            </w:tcBorders>
            <w:noWrap w:val="0"/>
            <w:vAlign w:val="center"/>
          </w:tcPr>
          <w:p>
            <w:pPr>
              <w:pageBreakBefore w:val="0"/>
              <w:widowControl/>
              <w:kinsoku/>
              <w:wordWrap/>
              <w:overflowPunct w:val="0"/>
              <w:topLinePunct/>
              <w:autoSpaceDE w:val="0"/>
              <w:autoSpaceDN w:val="0"/>
              <w:bidi w:val="0"/>
              <w:snapToGrid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pacing w:val="-10"/>
                <w:kern w:val="0"/>
                <w:sz w:val="21"/>
                <w:szCs w:val="21"/>
                <w:u w:val="none" w:color="auto"/>
              </w:rPr>
              <w:t>300</w:t>
            </w:r>
          </w:p>
        </w:tc>
        <w:tc>
          <w:tcPr>
            <w:tcW w:w="1275" w:type="dxa"/>
            <w:vMerge w:val="continue"/>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1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合计</w:t>
            </w:r>
          </w:p>
        </w:tc>
        <w:tc>
          <w:tcPr>
            <w:tcW w:w="1551"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pacing w:val="-20"/>
                <w:kern w:val="0"/>
                <w:sz w:val="21"/>
                <w:szCs w:val="21"/>
                <w:u w:val="none" w:color="auto"/>
              </w:rPr>
            </w:pPr>
          </w:p>
        </w:tc>
        <w:tc>
          <w:tcPr>
            <w:tcW w:w="2126"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c>
          <w:tcPr>
            <w:tcW w:w="993"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10000</w:t>
            </w:r>
          </w:p>
        </w:tc>
        <w:tc>
          <w:tcPr>
            <w:tcW w:w="1275" w:type="dxa"/>
            <w:tcBorders>
              <w:tl2br w:val="nil"/>
              <w:tr2bl w:val="nil"/>
            </w:tcBorders>
            <w:noWrap w:val="0"/>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rPr>
            </w:pPr>
          </w:p>
        </w:tc>
      </w:tr>
    </w:tbl>
    <w:p>
      <w:pPr>
        <w:pStyle w:val="60"/>
        <w:pageBreakBefore w:val="0"/>
        <w:kinsoku/>
        <w:wordWrap/>
        <w:overflowPunct w:val="0"/>
        <w:topLinePunct/>
        <w:autoSpaceDE w:val="0"/>
        <w:autoSpaceDN w:val="0"/>
        <w:bidi w:val="0"/>
        <w:rPr>
          <w:rFonts w:hint="default" w:ascii="Times New Roman" w:hAnsi="Times New Roman" w:eastAsia="宋体" w:cs="Times New Roman"/>
          <w:color w:val="auto"/>
          <w:u w:val="none" w:color="auto"/>
          <w:lang w:eastAsia="zh-CN"/>
        </w:rPr>
      </w:pP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83" w:name="_Toc1184"/>
      <w:bookmarkStart w:id="84" w:name="_Toc12909"/>
      <w:bookmarkStart w:id="85" w:name="_Toc30500"/>
      <w:r>
        <w:rPr>
          <w:rFonts w:hint="default" w:ascii="Times New Roman" w:hAnsi="Times New Roman" w:eastAsia="宋体" w:cs="Times New Roman"/>
          <w:color w:val="auto"/>
          <w:highlight w:val="none"/>
          <w:u w:val="none" w:color="auto"/>
        </w:rPr>
        <w:t>3.1.4原辅材料</w:t>
      </w:r>
      <w:bookmarkEnd w:id="83"/>
      <w:bookmarkEnd w:id="84"/>
      <w:bookmarkEnd w:id="85"/>
    </w:p>
    <w:p>
      <w:pPr>
        <w:pStyle w:val="58"/>
        <w:pageBreakBefore w:val="0"/>
        <w:kinsoku/>
        <w:wordWrap/>
        <w:overflowPunct w:val="0"/>
        <w:topLinePunct/>
        <w:autoSpaceDE w:val="0"/>
        <w:autoSpaceDN w:val="0"/>
        <w:bidi w:val="0"/>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本项目原辅材料消耗情况见下表。</w:t>
      </w:r>
    </w:p>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表3.1-</w:t>
      </w:r>
      <w:r>
        <w:rPr>
          <w:rFonts w:hint="eastAsia"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本项目主要原辅材料用量一览表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2120"/>
        <w:gridCol w:w="1306"/>
        <w:gridCol w:w="734"/>
        <w:gridCol w:w="31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车间</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原辅材料</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用量</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熔铸车间</w:t>
            </w: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原生镁锭</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5365</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Mg≥99.95%、Si≤0.0099%、Fe≤0.0099%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重熔用铝锭</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54</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A00#铝锭，Fe≤0.015%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锌锭</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3</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0#锌锭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Ag</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50</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RE</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5</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稀土为Gd、Y、Nd、Er、Ce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MgMn5</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16</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MgGd30</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eastAsia" w:ascii="Times New Roman" w:hAnsi="Times New Roman" w:cs="Times New Roman"/>
                <w:color w:val="auto"/>
                <w:sz w:val="21"/>
                <w:szCs w:val="21"/>
                <w:lang w:val="en-US" w:eastAsia="zh-CN"/>
              </w:rPr>
              <w:t>2223</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99.99%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MgY30</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 w:val="21"/>
                <w:szCs w:val="21"/>
              </w:rPr>
              <w:t>671</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MgZr30</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 w:val="21"/>
                <w:szCs w:val="21"/>
              </w:rPr>
              <w:t>134</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MgEr30</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3</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MgCa30</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5</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default" w:ascii="Times New Roman" w:hAnsi="Times New Roman" w:cs="Times New Roman"/>
                <w:color w:val="auto"/>
                <w:sz w:val="21"/>
                <w:szCs w:val="21"/>
              </w:rPr>
              <w:t>外购圆锭</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 w:val="21"/>
                <w:szCs w:val="21"/>
              </w:rPr>
              <w:t>3375</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Cs w:val="21"/>
                <w:u w:val="none" w:color="auto"/>
              </w:rPr>
            </w:pPr>
            <w:r>
              <w:rPr>
                <w:rFonts w:hint="eastAsia" w:ascii="Times New Roman" w:hAnsi="Times New Roman" w:cs="Times New Roman"/>
                <w:color w:val="auto"/>
                <w:sz w:val="21"/>
                <w:szCs w:val="21"/>
                <w:lang w:val="en-US" w:eastAsia="zh-CN"/>
              </w:rPr>
              <w:t>2#溶剂</w:t>
            </w:r>
          </w:p>
        </w:tc>
        <w:tc>
          <w:tcPr>
            <w:tcW w:w="1306" w:type="dxa"/>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Cs w:val="21"/>
                <w:u w:val="none" w:color="auto"/>
              </w:rPr>
            </w:pPr>
            <w:r>
              <w:rPr>
                <w:rFonts w:hint="eastAsia" w:ascii="Times New Roman" w:hAnsi="Times New Roman" w:cs="Times New Roman"/>
                <w:color w:val="auto"/>
                <w:sz w:val="21"/>
                <w:szCs w:val="21"/>
                <w:lang w:val="en-US" w:eastAsia="zh-CN"/>
              </w:rPr>
              <w:t>120</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vertAlign w:val="baseline"/>
                <w:lang w:val="en-US" w:eastAsia="zh-CN"/>
              </w:rPr>
              <w:t>46%</w:t>
            </w:r>
            <w:r>
              <w:rPr>
                <w:rFonts w:hint="default" w:ascii="Times New Roman" w:hAnsi="Times New Roman" w:eastAsia="宋体" w:cs="Times New Roman"/>
                <w:color w:val="auto"/>
                <w:szCs w:val="21"/>
                <w:u w:val="none" w:color="auto"/>
              </w:rPr>
              <w:t>MgCl</w:t>
            </w:r>
            <w:r>
              <w:rPr>
                <w:rFonts w:hint="default" w:ascii="Times New Roman" w:hAnsi="Times New Roman" w:eastAsia="宋体" w:cs="Times New Roman"/>
                <w:color w:val="auto"/>
                <w:szCs w:val="21"/>
                <w:u w:val="none" w:color="auto"/>
                <w:vertAlign w:val="subscript"/>
              </w:rPr>
              <w:t>2</w:t>
            </w:r>
            <w:r>
              <w:rPr>
                <w:rFonts w:hint="default" w:ascii="Times New Roman" w:hAnsi="Times New Roman" w:eastAsia="宋体" w:cs="Times New Roman"/>
                <w:color w:val="auto"/>
                <w:szCs w:val="21"/>
                <w:u w:val="none" w:color="auto"/>
              </w:rPr>
              <w:t>、</w:t>
            </w:r>
            <w:r>
              <w:rPr>
                <w:rFonts w:hint="eastAsia" w:ascii="Times New Roman" w:hAnsi="Times New Roman" w:eastAsia="宋体" w:cs="Times New Roman"/>
                <w:color w:val="auto"/>
                <w:szCs w:val="21"/>
                <w:u w:val="none" w:color="auto"/>
                <w:lang w:val="en-US" w:eastAsia="zh-CN"/>
              </w:rPr>
              <w:t>40%</w:t>
            </w:r>
            <w:r>
              <w:rPr>
                <w:rFonts w:hint="default" w:ascii="Times New Roman" w:hAnsi="Times New Roman" w:eastAsia="宋体" w:cs="Times New Roman"/>
                <w:color w:val="auto"/>
                <w:szCs w:val="21"/>
                <w:u w:val="none" w:color="auto"/>
              </w:rPr>
              <w:t>KCl、</w:t>
            </w:r>
            <w:r>
              <w:rPr>
                <w:rFonts w:hint="eastAsia" w:ascii="Times New Roman" w:hAnsi="Times New Roman" w:eastAsia="宋体" w:cs="Times New Roman"/>
                <w:color w:val="auto"/>
                <w:szCs w:val="21"/>
                <w:u w:val="none" w:color="auto"/>
                <w:lang w:val="en-US" w:eastAsia="zh-CN"/>
              </w:rPr>
              <w:t>8%</w:t>
            </w:r>
            <w:r>
              <w:rPr>
                <w:rFonts w:hint="default" w:ascii="Times New Roman" w:hAnsi="Times New Roman" w:eastAsia="宋体" w:cs="Times New Roman"/>
                <w:color w:val="auto"/>
                <w:szCs w:val="21"/>
                <w:u w:val="none" w:color="auto"/>
              </w:rPr>
              <w:t>BaCl</w:t>
            </w:r>
            <w:r>
              <w:rPr>
                <w:rFonts w:hint="default" w:ascii="Times New Roman" w:hAnsi="Times New Roman" w:eastAsia="宋体" w:cs="Times New Roman"/>
                <w:color w:val="auto"/>
                <w:szCs w:val="21"/>
                <w:u w:val="none" w:color="auto"/>
                <w:vertAlign w:val="subscript"/>
              </w:rPr>
              <w:t>2</w:t>
            </w:r>
            <w:r>
              <w:rPr>
                <w:rFonts w:hint="default" w:ascii="Times New Roman" w:hAnsi="Times New Roman" w:eastAsia="宋体" w:cs="Times New Roman"/>
                <w:color w:val="auto"/>
                <w:szCs w:val="21"/>
                <w:u w:val="none" w:color="auto"/>
              </w:rPr>
              <w:t>、</w:t>
            </w:r>
            <w:r>
              <w:rPr>
                <w:rFonts w:hint="eastAsia" w:ascii="Times New Roman" w:hAnsi="Times New Roman" w:eastAsia="宋体" w:cs="Times New Roman"/>
                <w:color w:val="auto"/>
                <w:szCs w:val="21"/>
                <w:u w:val="none" w:color="auto"/>
                <w:lang w:val="en-US" w:eastAsia="zh-CN"/>
              </w:rPr>
              <w:t>8%</w:t>
            </w:r>
            <w:r>
              <w:rPr>
                <w:rFonts w:hint="default" w:ascii="Times New Roman" w:hAnsi="Times New Roman" w:eastAsia="宋体" w:cs="Times New Roman"/>
                <w:color w:val="auto"/>
                <w:szCs w:val="21"/>
                <w:u w:val="none" w:color="auto"/>
              </w:rPr>
              <w:t>CaCl</w:t>
            </w:r>
            <w:r>
              <w:rPr>
                <w:rFonts w:hint="default" w:ascii="Times New Roman" w:hAnsi="Times New Roman" w:eastAsia="宋体" w:cs="Times New Roman"/>
                <w:color w:val="auto"/>
                <w:szCs w:val="21"/>
                <w:u w:val="none" w:color="auto"/>
                <w:vertAlign w:val="subscript"/>
              </w:rPr>
              <w:t>2</w:t>
            </w:r>
            <w:r>
              <w:rPr>
                <w:rFonts w:hint="default" w:ascii="Times New Roman" w:hAnsi="Times New Roman" w:eastAsia="宋体" w:cs="Times New Roman"/>
                <w:color w:val="auto"/>
                <w:szCs w:val="21"/>
                <w:u w:val="none" w:color="auto"/>
              </w:rPr>
              <w:t>、MgO、H</w:t>
            </w:r>
            <w:r>
              <w:rPr>
                <w:rFonts w:hint="default" w:ascii="Times New Roman" w:hAnsi="Times New Roman" w:eastAsia="宋体" w:cs="Times New Roman"/>
                <w:color w:val="auto"/>
                <w:szCs w:val="21"/>
                <w:u w:val="none" w:color="auto"/>
                <w:vertAlign w:val="subscript"/>
              </w:rPr>
              <w:t>2</w:t>
            </w:r>
            <w:r>
              <w:rPr>
                <w:rFonts w:hint="default" w:ascii="Times New Roman" w:hAnsi="Times New Roman" w:eastAsia="宋体" w:cs="Times New Roman"/>
                <w:color w:val="auto"/>
                <w:szCs w:val="21"/>
                <w:u w:val="none" w:color="auto"/>
              </w:rPr>
              <w:t>O和水不溶物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锻造车间</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水基石墨</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1</w:t>
            </w:r>
            <w:r>
              <w:rPr>
                <w:rFonts w:hint="default" w:ascii="Times New Roman" w:hAnsi="Times New Roman" w:eastAsia="宋体" w:cs="Times New Roman"/>
                <w:color w:val="auto"/>
                <w:szCs w:val="21"/>
                <w:u w:val="none" w:color="auto"/>
                <w:lang w:val="en-US" w:eastAsia="zh-CN"/>
              </w:rPr>
              <w:t>.</w:t>
            </w:r>
            <w:r>
              <w:rPr>
                <w:rFonts w:hint="default" w:ascii="Times New Roman" w:hAnsi="Times New Roman" w:eastAsia="宋体" w:cs="Times New Roman"/>
                <w:color w:val="auto"/>
                <w:szCs w:val="21"/>
                <w:u w:val="none" w:color="auto"/>
              </w:rPr>
              <w:t>2</w:t>
            </w:r>
            <w:r>
              <w:rPr>
                <w:rFonts w:hint="default" w:ascii="Times New Roman" w:hAnsi="Times New Roman" w:eastAsia="宋体" w:cs="Times New Roman"/>
                <w:color w:val="auto"/>
                <w:szCs w:val="21"/>
                <w:u w:val="none" w:color="auto"/>
                <w:lang w:eastAsia="zh-CN"/>
              </w:rPr>
              <w:t>吨</w:t>
            </w:r>
            <w:r>
              <w:rPr>
                <w:rFonts w:hint="default" w:ascii="Times New Roman" w:hAnsi="Times New Roman" w:eastAsia="宋体" w:cs="Times New Roman"/>
                <w:color w:val="auto"/>
                <w:szCs w:val="21"/>
                <w:u w:val="none" w:color="auto"/>
              </w:rPr>
              <w:t>/年</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用于脱模剂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lang w:eastAsia="zh-CN"/>
              </w:rPr>
              <w:t>板材</w:t>
            </w:r>
            <w:r>
              <w:rPr>
                <w:rFonts w:hint="default" w:ascii="Times New Roman" w:hAnsi="Times New Roman" w:eastAsia="宋体" w:cs="Times New Roman"/>
                <w:color w:val="auto"/>
                <w:szCs w:val="21"/>
                <w:u w:val="none" w:color="auto"/>
              </w:rPr>
              <w:t>车间</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润滑剂</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1</w:t>
            </w:r>
            <w:r>
              <w:rPr>
                <w:rFonts w:hint="default" w:ascii="Times New Roman" w:hAnsi="Times New Roman" w:eastAsia="宋体" w:cs="Times New Roman"/>
                <w:color w:val="auto"/>
                <w:szCs w:val="21"/>
                <w:u w:val="none" w:color="auto"/>
                <w:lang w:eastAsia="zh-CN"/>
              </w:rPr>
              <w:t>吨</w:t>
            </w:r>
            <w:r>
              <w:rPr>
                <w:rFonts w:hint="default" w:ascii="Times New Roman" w:hAnsi="Times New Roman" w:eastAsia="宋体" w:cs="Times New Roman"/>
                <w:color w:val="auto"/>
                <w:szCs w:val="21"/>
                <w:u w:val="none" w:color="auto"/>
              </w:rPr>
              <w:t>/年</w:t>
            </w:r>
          </w:p>
        </w:tc>
        <w:tc>
          <w:tcPr>
            <w:tcW w:w="3842" w:type="dxa"/>
            <w:gridSpan w:val="2"/>
            <w:tcBorders>
              <w:tl2br w:val="nil"/>
              <w:tr2bl w:val="nil"/>
            </w:tcBorders>
            <w:vAlign w:val="center"/>
          </w:tcPr>
          <w:p>
            <w:pPr>
              <w:pageBreakBefore w:val="0"/>
              <w:kinsoku/>
              <w:wordWrap/>
              <w:overflowPunct w:val="0"/>
              <w:topLinePunct/>
              <w:autoSpaceDE w:val="0"/>
              <w:autoSpaceDN w:val="0"/>
              <w:bidi w:val="0"/>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20~30%的聚乙二醇水溶液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表面处理车间</w:t>
            </w:r>
          </w:p>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（微弧氧化）</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硅酸钠，氢氧化钾，氟化钾</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2</w:t>
            </w:r>
            <w:r>
              <w:rPr>
                <w:rFonts w:hint="eastAsia" w:ascii="Times New Roman" w:hAnsi="Times New Roman" w:eastAsia="宋体" w:cs="Times New Roman"/>
                <w:color w:val="auto"/>
                <w:szCs w:val="21"/>
                <w:u w:val="none" w:color="auto"/>
                <w:lang w:val="en-US" w:eastAsia="zh-CN"/>
              </w:rPr>
              <w:t>4</w:t>
            </w:r>
            <w:r>
              <w:rPr>
                <w:rFonts w:hint="default" w:ascii="Times New Roman" w:hAnsi="Times New Roman" w:eastAsia="宋体" w:cs="Times New Roman"/>
                <w:color w:val="auto"/>
                <w:szCs w:val="21"/>
                <w:u w:val="none" w:color="auto"/>
              </w:rPr>
              <w:t>吨/年</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微弧氧化电解液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表面处理车间</w:t>
            </w:r>
          </w:p>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（等离子喷涂）</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碳化钨粉</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20吨/年</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74" w:type="dxa"/>
            <w:vMerge w:val="restar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表面处理车间</w:t>
            </w:r>
          </w:p>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（喷漆）</w:t>
            </w:r>
          </w:p>
        </w:tc>
        <w:tc>
          <w:tcPr>
            <w:tcW w:w="2120" w:type="dxa"/>
            <w:vMerge w:val="restart"/>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水性漆</w:t>
            </w:r>
          </w:p>
        </w:tc>
        <w:tc>
          <w:tcPr>
            <w:tcW w:w="1306" w:type="dxa"/>
            <w:vMerge w:val="restar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lang w:val="en-US" w:eastAsia="zh-CN"/>
              </w:rPr>
              <w:t>4.9</w:t>
            </w:r>
            <w:r>
              <w:rPr>
                <w:rFonts w:hint="default" w:ascii="Times New Roman" w:hAnsi="Times New Roman" w:eastAsia="宋体" w:cs="Times New Roman"/>
                <w:color w:val="auto"/>
                <w:szCs w:val="21"/>
                <w:u w:val="none" w:color="auto"/>
              </w:rPr>
              <w:t>吨/年</w:t>
            </w:r>
          </w:p>
        </w:tc>
        <w:tc>
          <w:tcPr>
            <w:tcW w:w="734" w:type="dxa"/>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固体份</w:t>
            </w:r>
          </w:p>
        </w:tc>
        <w:tc>
          <w:tcPr>
            <w:tcW w:w="3108" w:type="dxa"/>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聚丙烯酸20%、聚酰胺20%、铝粉8%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color w:val="auto"/>
              </w:rPr>
            </w:pPr>
          </w:p>
        </w:tc>
        <w:tc>
          <w:tcPr>
            <w:tcW w:w="2120" w:type="dxa"/>
            <w:vMerge w:val="continue"/>
            <w:tcBorders>
              <w:tl2br w:val="nil"/>
              <w:tr2bl w:val="nil"/>
            </w:tcBorders>
            <w:vAlign w:val="center"/>
          </w:tcPr>
          <w:p>
            <w:pPr>
              <w:pageBreakBefore w:val="0"/>
              <w:kinsoku/>
              <w:wordWrap/>
              <w:overflowPunct w:val="0"/>
              <w:topLinePunct/>
              <w:autoSpaceDE w:val="0"/>
              <w:autoSpaceDN w:val="0"/>
              <w:bidi w:val="0"/>
              <w:jc w:val="center"/>
              <w:rPr>
                <w:color w:val="auto"/>
              </w:rPr>
            </w:pPr>
          </w:p>
        </w:tc>
        <w:tc>
          <w:tcPr>
            <w:tcW w:w="1306" w:type="dxa"/>
            <w:vMerge w:val="continue"/>
            <w:tcBorders>
              <w:tl2br w:val="nil"/>
              <w:tr2bl w:val="nil"/>
            </w:tcBorders>
            <w:vAlign w:val="center"/>
          </w:tcPr>
          <w:p>
            <w:pPr>
              <w:pageBreakBefore w:val="0"/>
              <w:kinsoku/>
              <w:wordWrap/>
              <w:overflowPunct w:val="0"/>
              <w:topLinePunct/>
              <w:autoSpaceDE w:val="0"/>
              <w:autoSpaceDN w:val="0"/>
              <w:bidi w:val="0"/>
              <w:jc w:val="center"/>
              <w:rPr>
                <w:color w:val="auto"/>
              </w:rPr>
            </w:pPr>
          </w:p>
        </w:tc>
        <w:tc>
          <w:tcPr>
            <w:tcW w:w="734" w:type="dxa"/>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挥发份</w:t>
            </w:r>
          </w:p>
        </w:tc>
        <w:tc>
          <w:tcPr>
            <w:tcW w:w="3108"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1-甲氧基-2-丙醇10%、甲醇5%、2-甲氨基乙醇5%、异丁醇2%、甲醛与三聚氰胺和甲醇的反应物4%、a-[3-[1,3,3,3-四甲基-1-(三甲基硅基氧代)二硅氧烷]-丙基</w:t>
            </w:r>
            <w:r>
              <w:rPr>
                <w:rFonts w:hint="eastAsia" w:ascii="Times New Roman" w:hAnsi="Times New Roman" w:eastAsia="宋体" w:cs="Times New Roman"/>
                <w:color w:val="auto"/>
                <w:szCs w:val="21"/>
                <w:u w:val="none" w:color="auto"/>
                <w:lang w:val="en-US" w:eastAsia="zh-CN"/>
              </w:rPr>
              <w:t>-</w:t>
            </w:r>
            <w:r>
              <w:rPr>
                <w:rFonts w:hint="default" w:ascii="Times New Roman" w:hAnsi="Times New Roman" w:eastAsia="宋体" w:cs="Times New Roman"/>
                <w:color w:val="auto"/>
                <w:szCs w:val="21"/>
                <w:u w:val="none" w:color="auto"/>
              </w:rPr>
              <w:t>w</w:t>
            </w:r>
            <w:r>
              <w:rPr>
                <w:rFonts w:hint="eastAsia" w:ascii="Times New Roman" w:hAnsi="Times New Roman" w:eastAsia="宋体" w:cs="Times New Roman"/>
                <w:color w:val="auto"/>
                <w:szCs w:val="21"/>
                <w:u w:val="none" w:color="auto"/>
                <w:lang w:val="en-US" w:eastAsia="zh-CN"/>
              </w:rPr>
              <w:t>-</w:t>
            </w:r>
            <w:r>
              <w:rPr>
                <w:rFonts w:hint="default" w:ascii="Times New Roman" w:hAnsi="Times New Roman" w:eastAsia="宋体" w:cs="Times New Roman"/>
                <w:color w:val="auto"/>
                <w:szCs w:val="21"/>
                <w:u w:val="none" w:color="auto"/>
              </w:rPr>
              <w:t>羟基聚氧乙烯)1%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1306"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734" w:type="dxa"/>
            <w:tcBorders>
              <w:tl2br w:val="nil"/>
              <w:tr2bl w:val="nil"/>
            </w:tcBorders>
            <w:vAlign w:val="center"/>
          </w:tcPr>
          <w:p>
            <w:pPr>
              <w:pageBreakBefore w:val="0"/>
              <w:kinsoku/>
              <w:wordWrap/>
              <w:overflowPunct w:val="0"/>
              <w:topLinePunct/>
              <w:autoSpaceDE w:val="0"/>
              <w:autoSpaceDN w:val="0"/>
              <w:bidi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水</w:t>
            </w:r>
          </w:p>
        </w:tc>
        <w:tc>
          <w:tcPr>
            <w:tcW w:w="3108"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实验室</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柠檬酸钠水溶液（柠檬酸占5%）</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rPr>
              <w:t>6L</w:t>
            </w:r>
            <w:r>
              <w:rPr>
                <w:rFonts w:hint="default" w:ascii="Times New Roman" w:hAnsi="Times New Roman" w:eastAsia="宋体" w:cs="Times New Roman"/>
                <w:color w:val="auto"/>
                <w:szCs w:val="21"/>
                <w:u w:val="none" w:color="auto"/>
                <w:lang w:val="en-US" w:eastAsia="zh-CN"/>
              </w:rPr>
              <w:t>/a</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金相腐蚀剂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醋酸水溶液（醋酸占4%）</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6L</w:t>
            </w:r>
            <w:r>
              <w:rPr>
                <w:rFonts w:hint="default" w:ascii="Times New Roman" w:hAnsi="Times New Roman" w:eastAsia="宋体" w:cs="Times New Roman"/>
                <w:color w:val="auto"/>
                <w:szCs w:val="21"/>
                <w:u w:val="none" w:color="auto"/>
                <w:lang w:val="en-US" w:eastAsia="zh-CN"/>
              </w:rPr>
              <w:t>/a</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金相腐蚀剂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燃气锅炉</w:t>
            </w:r>
          </w:p>
        </w:tc>
        <w:tc>
          <w:tcPr>
            <w:tcW w:w="212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天然气</w:t>
            </w:r>
          </w:p>
        </w:tc>
        <w:tc>
          <w:tcPr>
            <w:tcW w:w="1306"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77.76万立方米/年</w:t>
            </w:r>
          </w:p>
        </w:tc>
        <w:tc>
          <w:tcPr>
            <w:tcW w:w="3842"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lang w:eastAsia="zh-CN"/>
              </w:rPr>
              <w:t>供热</w:t>
            </w:r>
          </w:p>
        </w:tc>
      </w:tr>
    </w:tbl>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3、原辅材料理化性质</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合金元素：主要用来调节合金铝锭中必要的组分，不需添加毒性较大的重金属元素，主要添加的合金元素有：Al、Zn、Mg、Mn等，主要为固态单质或化合物的形态。</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精炼剂：主要成分为MgCl</w:t>
      </w:r>
      <w:r>
        <w:rPr>
          <w:rFonts w:hint="default" w:ascii="Times New Roman" w:hAnsi="Times New Roman" w:eastAsia="宋体" w:cs="Times New Roman"/>
          <w:color w:val="auto"/>
          <w:sz w:val="24"/>
          <w:szCs w:val="24"/>
          <w:u w:val="none" w:color="auto"/>
          <w:vertAlign w:val="subscript"/>
          <w:lang w:val="en-US" w:eastAsia="zh-CN"/>
        </w:rPr>
        <w:t>2</w:t>
      </w:r>
      <w:r>
        <w:rPr>
          <w:rFonts w:hint="default" w:ascii="Times New Roman" w:hAnsi="Times New Roman" w:eastAsia="宋体" w:cs="Times New Roman"/>
          <w:color w:val="auto"/>
          <w:sz w:val="24"/>
          <w:szCs w:val="24"/>
          <w:u w:val="none" w:color="auto"/>
          <w:lang w:val="en-US" w:eastAsia="zh-CN"/>
        </w:rPr>
        <w:t>、KCl、BaCl</w:t>
      </w:r>
      <w:r>
        <w:rPr>
          <w:rFonts w:hint="default" w:ascii="Times New Roman" w:hAnsi="Times New Roman" w:eastAsia="宋体" w:cs="Times New Roman"/>
          <w:color w:val="auto"/>
          <w:sz w:val="24"/>
          <w:szCs w:val="24"/>
          <w:u w:val="none" w:color="auto"/>
          <w:vertAlign w:val="subscript"/>
          <w:lang w:val="en-US" w:eastAsia="zh-CN"/>
        </w:rPr>
        <w:t>2</w:t>
      </w:r>
      <w:r>
        <w:rPr>
          <w:rFonts w:hint="default" w:ascii="Times New Roman" w:hAnsi="Times New Roman" w:eastAsia="宋体" w:cs="Times New Roman"/>
          <w:color w:val="auto"/>
          <w:sz w:val="24"/>
          <w:szCs w:val="24"/>
          <w:u w:val="none" w:color="auto"/>
          <w:lang w:val="en-US" w:eastAsia="zh-CN"/>
        </w:rPr>
        <w:t>、NaCl+CaCl</w:t>
      </w:r>
      <w:r>
        <w:rPr>
          <w:rFonts w:hint="default" w:ascii="Times New Roman" w:hAnsi="Times New Roman" w:eastAsia="宋体" w:cs="Times New Roman"/>
          <w:color w:val="auto"/>
          <w:sz w:val="24"/>
          <w:szCs w:val="24"/>
          <w:u w:val="none" w:color="auto"/>
          <w:vertAlign w:val="subscript"/>
          <w:lang w:val="en-US" w:eastAsia="zh-CN"/>
        </w:rPr>
        <w:t>2</w:t>
      </w:r>
      <w:r>
        <w:rPr>
          <w:rFonts w:hint="default" w:ascii="Times New Roman" w:hAnsi="Times New Roman" w:eastAsia="宋体" w:cs="Times New Roman"/>
          <w:color w:val="auto"/>
          <w:sz w:val="24"/>
          <w:szCs w:val="24"/>
          <w:u w:val="none" w:color="auto"/>
          <w:lang w:val="en-US" w:eastAsia="zh-CN"/>
        </w:rPr>
        <w:t>、MgO、H</w:t>
      </w:r>
      <w:r>
        <w:rPr>
          <w:rFonts w:hint="default" w:ascii="Times New Roman" w:hAnsi="Times New Roman" w:eastAsia="宋体" w:cs="Times New Roman"/>
          <w:color w:val="auto"/>
          <w:sz w:val="24"/>
          <w:szCs w:val="24"/>
          <w:u w:val="none" w:color="auto"/>
          <w:vertAlign w:val="subscript"/>
          <w:lang w:val="en-US" w:eastAsia="zh-CN"/>
        </w:rPr>
        <w:t>2</w:t>
      </w:r>
      <w:r>
        <w:rPr>
          <w:rFonts w:hint="default" w:ascii="Times New Roman" w:hAnsi="Times New Roman" w:eastAsia="宋体" w:cs="Times New Roman"/>
          <w:color w:val="auto"/>
          <w:sz w:val="24"/>
          <w:szCs w:val="24"/>
          <w:u w:val="none" w:color="auto"/>
          <w:lang w:val="en-US" w:eastAsia="zh-CN"/>
        </w:rPr>
        <w:t>O和水不溶物，氯盐占比大于80%。</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水基石墨：高分散性纯石墨悬浮于水的乳液。用作热模锻压润滑及冷却绝热脱模，用作耐高温耐腐蚀润滑剂基料，也用于精密铸件型砂及石墨阳极和触媒载体。</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Cs w:val="21"/>
          <w:u w:val="none" w:color="auto"/>
        </w:rPr>
        <w:t>醋酸</w:t>
      </w:r>
      <w:r>
        <w:rPr>
          <w:rFonts w:hint="default" w:ascii="Times New Roman" w:hAnsi="Times New Roman" w:eastAsia="宋体" w:cs="Times New Roman"/>
          <w:color w:val="auto"/>
          <w:szCs w:val="21"/>
          <w:u w:val="none" w:color="auto"/>
          <w:lang w:eastAsia="zh-CN"/>
        </w:rPr>
        <w:t>：</w:t>
      </w:r>
      <w:r>
        <w:rPr>
          <w:rFonts w:hint="default" w:ascii="Times New Roman" w:hAnsi="Times New Roman" w:eastAsia="宋体" w:cs="Times New Roman"/>
          <w:color w:val="auto"/>
          <w:sz w:val="24"/>
          <w:szCs w:val="24"/>
          <w:u w:val="none" w:color="auto"/>
          <w:lang w:val="en-US" w:eastAsia="zh-CN"/>
        </w:rPr>
        <w:t>无色透明液体，低温下凝固为冰状晶体。有刺激性气味。能与水、乙醇、乙醚和四氯化碳等有机溶剂相混溶，不溶于二硫化碳。易燃，具腐蚀性、强刺激性，可致人体灼伤。易燃，其蒸气与空气可形成爆炸性混合物，遇明火、高热能引起燃烧爆炸。</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矿物油：无色半透明油状白天无(或近乎无)荧光性液体。冷却时无臭无味，加热时有较弱的石油气味。不溶于水和乙醇，溶于挥发性油，混溶于大多数非挥发性油</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十二醇：淡黄色油状液体或固体，有刺激性气味。不溶于水，溶于乙醇和乙醚。</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Cs w:val="21"/>
          <w:u w:val="none" w:color="auto"/>
          <w:lang w:eastAsia="zh-CN"/>
        </w:rPr>
      </w:pPr>
      <w:r>
        <w:rPr>
          <w:rFonts w:hint="default" w:ascii="Times New Roman" w:hAnsi="Times New Roman" w:eastAsia="宋体" w:cs="Times New Roman"/>
          <w:color w:val="auto"/>
          <w:szCs w:val="21"/>
          <w:u w:val="none" w:color="auto"/>
        </w:rPr>
        <w:t>NaOH</w:t>
      </w:r>
      <w:r>
        <w:rPr>
          <w:rFonts w:hint="default" w:ascii="Times New Roman" w:hAnsi="Times New Roman" w:eastAsia="宋体" w:cs="Times New Roman"/>
          <w:color w:val="auto"/>
          <w:szCs w:val="21"/>
          <w:u w:val="none" w:color="auto"/>
          <w:lang w:eastAsia="zh-CN"/>
        </w:rPr>
        <w:t>：纯品是无色透明的晶体，熔点318.4℃、沸点1390℃、相对密度2.130、溶解性易溶于水，同时强烈放热。并溶于乙醇和甘油；不溶于丙酮、乙醚。露放在空气中，最后会完全溶解成溶液。</w:t>
      </w:r>
    </w:p>
    <w:p>
      <w:pPr>
        <w:pStyle w:val="64"/>
        <w:keepNext w:val="0"/>
        <w:keepLines w:val="0"/>
        <w:pageBreakBefore w:val="0"/>
        <w:widowControl w:val="0"/>
        <w:kinsoku/>
        <w:wordWrap/>
        <w:overflowPunct w:val="0"/>
        <w:topLinePunct/>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天然气：天然气是存在于地下岩石储集层中以烃为主体的</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"https://baike.so.com/doc/5893907-6106794.html"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混合气体</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的统称，</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"https://baike.so.com/doc/2447932-2587757.html"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比重</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约0.65，比空气轻，具有无色、无味、无毒之特性。天然气主要成分</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"https://baike.so.com/doc/1378366-1457098.html"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烷烃</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，其中甲烷占绝大多数，另有少量的</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"https://baike.so.com/doc/719999-762284.html"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乙烷</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"https://baike.so.com/doc/489999-7117624.html"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丙烷</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和</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"https://baike.so.com/doc/5441661-5680001.html"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丁烷</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，此外一般有</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"https://baike.so.com/doc/876621-926630.html"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硫化氢</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、二氧化碳、氮和水气和少量一氧化碳及微量的稀有气体，如</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"https://baike.so.com/doc/1730036-1829074.html"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氦</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和</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"https://baike.so.com/doc/4233864-4435758.html"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氩</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等。天然气在送到最终用户之前，为助于泄漏检测，还要用硫醇、四氢噻吩等来给天然气添加气味。天然气不溶于</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"https://baike.so.com/doc/5342961-7116906.html"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水</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，密度为0.7174kg/Nm</w:t>
      </w:r>
      <w:r>
        <w:rPr>
          <w:rFonts w:hint="default"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lang w:val="en-US" w:eastAsia="zh-CN"/>
        </w:rPr>
        <w:t>，相对密度(水)约为0.45(液化)，燃点(℃)为650，</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"https://baike.so.com/doc/625906-662542.html"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爆炸极限</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(V%)为5~15。其用来生产合成塑料、合成橡胶、合成纤维及生产</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"https://baike.so.com/doc/2572053-2716133.html"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医药</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"https://baike.so.com/doc/1313431-1388593.html"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炸药</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、染料等产品。用天然气作燃料，由于其</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"https://baike.so.com/doc/5846430-6059267.html"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热值</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高、无颗粒物、无炭渣，操作使用方便，已广泛地进入人们的生活领域。此外，天然气还用于切割</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"https://baike.so.com/doc/5654491-5867139.html"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金属</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，用于农产品的烘烤和</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HYPERLINK "https://baike.so.com/doc/2375095-2511317.html"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工业窑炉</w:t>
      </w:r>
      <w:r>
        <w:rPr>
          <w:rFonts w:hint="default" w:ascii="Times New Roman" w:hAnsi="Times New Roman" w:eastAsia="宋体" w:cs="Times New Roman"/>
          <w:color w:val="auto"/>
          <w:sz w:val="24"/>
          <w:szCs w:val="24"/>
          <w:u w:val="none" w:color="auto"/>
          <w:lang w:val="en-US" w:eastAsia="zh-CN"/>
        </w:rPr>
        <w:fldChar w:fldCharType="end"/>
      </w:r>
      <w:r>
        <w:rPr>
          <w:rFonts w:hint="default" w:ascii="Times New Roman" w:hAnsi="Times New Roman" w:eastAsia="宋体" w:cs="Times New Roman"/>
          <w:color w:val="auto"/>
          <w:sz w:val="24"/>
          <w:szCs w:val="24"/>
          <w:u w:val="none" w:color="auto"/>
          <w:lang w:val="en-US" w:eastAsia="zh-CN"/>
        </w:rPr>
        <w:t>的焙烧等。</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86" w:name="_Toc22080"/>
      <w:bookmarkStart w:id="87" w:name="_Toc21682"/>
      <w:bookmarkStart w:id="88" w:name="_Toc28275"/>
      <w:r>
        <w:rPr>
          <w:rFonts w:hint="default" w:ascii="Times New Roman" w:hAnsi="Times New Roman" w:eastAsia="宋体" w:cs="Times New Roman"/>
          <w:color w:val="auto"/>
          <w:highlight w:val="none"/>
          <w:u w:val="none" w:color="auto"/>
        </w:rPr>
        <w:t>3.1.5主要生产设备</w:t>
      </w:r>
      <w:bookmarkEnd w:id="86"/>
      <w:bookmarkEnd w:id="87"/>
      <w:bookmarkEnd w:id="88"/>
    </w:p>
    <w:p>
      <w:pPr>
        <w:pStyle w:val="58"/>
        <w:pageBreakBefore w:val="0"/>
        <w:kinsoku/>
        <w:wordWrap/>
        <w:overflowPunct w:val="0"/>
        <w:topLinePunct/>
        <w:autoSpaceDE w:val="0"/>
        <w:autoSpaceDN w:val="0"/>
        <w:bidi w:val="0"/>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本项目主要生产设备如下。</w:t>
      </w:r>
    </w:p>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89" w:name="_Toc9715"/>
      <w:r>
        <w:rPr>
          <w:rFonts w:hint="default" w:ascii="Times New Roman" w:hAnsi="Times New Roman" w:eastAsia="宋体" w:cs="Times New Roman"/>
          <w:color w:val="auto"/>
          <w:highlight w:val="none"/>
          <w:u w:val="none" w:color="auto"/>
        </w:rPr>
        <w:t>表3.1-</w:t>
      </w:r>
      <w:r>
        <w:rPr>
          <w:rFonts w:hint="eastAsia" w:cs="Times New Roman"/>
          <w:color w:val="auto"/>
          <w:highlight w:val="none"/>
          <w:u w:val="none" w:color="auto"/>
          <w:lang w:val="en-US" w:eastAsia="zh-CN"/>
        </w:rPr>
        <w:t>4</w:t>
      </w:r>
      <w:r>
        <w:rPr>
          <w:rFonts w:hint="default" w:ascii="Times New Roman" w:hAnsi="Times New Roman" w:eastAsia="宋体" w:cs="Times New Roman"/>
          <w:color w:val="auto"/>
          <w:highlight w:val="none"/>
          <w:u w:val="none" w:color="auto"/>
        </w:rPr>
        <w:t>主要生产设备一览表</w:t>
      </w:r>
    </w:p>
    <w:tbl>
      <w:tblPr>
        <w:tblStyle w:val="40"/>
        <w:tblW w:w="50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257"/>
        <w:gridCol w:w="4528"/>
        <w:gridCol w:w="559"/>
        <w:gridCol w:w="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w:t>
            </w:r>
          </w:p>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号</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设备名称</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型号及主要技术参数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单</w:t>
            </w:r>
          </w:p>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位</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数</w:t>
            </w:r>
          </w:p>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熔铸车间</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镁合</w:t>
            </w:r>
            <w:r>
              <w:rPr>
                <w:rFonts w:hint="default" w:ascii="Times New Roman" w:hAnsi="Times New Roman" w:eastAsia="宋体" w:cs="Times New Roman"/>
                <w:color w:val="auto"/>
                <w:spacing w:val="-12"/>
                <w:sz w:val="21"/>
                <w:szCs w:val="21"/>
                <w:u w:val="none" w:color="auto"/>
                <w:lang w:eastAsia="zh-CN"/>
              </w:rPr>
              <w:t>金</w:t>
            </w:r>
            <w:r>
              <w:rPr>
                <w:rFonts w:hint="default" w:ascii="Times New Roman" w:hAnsi="Times New Roman" w:eastAsia="宋体" w:cs="Times New Roman"/>
                <w:color w:val="auto"/>
                <w:spacing w:val="-12"/>
                <w:sz w:val="21"/>
                <w:szCs w:val="21"/>
                <w:u w:val="none" w:color="auto"/>
              </w:rPr>
              <w:t>熔铸机组</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包括：1t电阻熔化炉、2t电阻熔化炉、4t电阻熔保炉和液压立式半连续铸造机各1台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套</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2</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去应力退火炉</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加热方式：电阻加热</w:t>
            </w:r>
          </w:p>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炉膛容量：~5t</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3</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铸锭均热炉</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加热方式：电阻加热</w:t>
            </w:r>
          </w:p>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炉膛容量：~15t</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铸锭锯切机</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锯切规格：φ220~620mm×Max6500mm</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5</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数控铸锭车床</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车皮规格：φ220~620mm×500～</w:t>
            </w:r>
            <w:r>
              <w:rPr>
                <w:rFonts w:hint="default"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rPr>
              <w:t>000mm</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6</w:t>
            </w: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pacing w:val="-12"/>
                <w:sz w:val="21"/>
                <w:szCs w:val="21"/>
                <w:u w:val="none" w:color="auto"/>
              </w:rPr>
              <w:t>铸锭探伤仪</w:t>
            </w:r>
          </w:p>
        </w:tc>
        <w:tc>
          <w:tcPr>
            <w:tcW w:w="2626"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浸没式</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台</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p>
        </w:tc>
        <w:tc>
          <w:tcPr>
            <w:tcW w:w="1309"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pacing w:val="-12"/>
                <w:sz w:val="21"/>
                <w:szCs w:val="21"/>
                <w:u w:val="none" w:color="auto"/>
              </w:rPr>
            </w:pPr>
          </w:p>
        </w:tc>
        <w:tc>
          <w:tcPr>
            <w:tcW w:w="2626" w:type="pct"/>
            <w:tcBorders>
              <w:tl2br w:val="nil"/>
              <w:tr2bl w:val="nil"/>
            </w:tcBorders>
            <w:noWrap w:val="0"/>
            <w:vAlign w:val="center"/>
          </w:tcPr>
          <w:p>
            <w:pPr>
              <w:pStyle w:val="60"/>
              <w:pageBreakBefore w:val="0"/>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锻造车间</w:t>
            </w: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p>
        </w:tc>
        <w:tc>
          <w:tcPr>
            <w:tcW w:w="324" w:type="pct"/>
            <w:tcBorders>
              <w:tl2br w:val="nil"/>
              <w:tr2bl w:val="nil"/>
            </w:tcBorders>
            <w:noWrap w:val="0"/>
            <w:vAlign w:val="center"/>
          </w:tcPr>
          <w:p>
            <w:pPr>
              <w:pStyle w:val="2"/>
              <w:pageBreakBefore w:val="0"/>
              <w:kinsoku/>
              <w:wordWrap/>
              <w:overflowPunct w:val="0"/>
              <w:topLinePunct/>
              <w:autoSpaceDE w:val="0"/>
              <w:autoSpaceDN w:val="0"/>
              <w:bidi w:val="0"/>
              <w:spacing w:line="240" w:lineRule="auto"/>
              <w:ind w:firstLine="0"/>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序号</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设备名称</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型号及主要技术性能</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单位</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下料带锯</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最大锯切直径：600mm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60MN</w:t>
            </w:r>
            <w:r>
              <w:rPr>
                <w:rStyle w:val="312"/>
                <w:rFonts w:hint="default" w:ascii="Times New Roman" w:hAnsi="Times New Roman" w:eastAsia="宋体" w:cs="Times New Roman"/>
                <w:b w:val="0"/>
                <w:bCs w:val="0"/>
                <w:color w:val="auto"/>
                <w:sz w:val="21"/>
                <w:szCs w:val="21"/>
                <w:u w:val="none" w:color="auto"/>
                <w:vertAlign w:val="baseline"/>
              </w:rPr>
              <w:t>锻压生产线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60MN</w:t>
            </w:r>
            <w:r>
              <w:rPr>
                <w:rStyle w:val="316"/>
                <w:rFonts w:hint="default" w:ascii="Times New Roman" w:hAnsi="Times New Roman" w:eastAsia="宋体" w:cs="Times New Roman"/>
                <w:color w:val="auto"/>
                <w:sz w:val="21"/>
                <w:szCs w:val="21"/>
                <w:u w:val="none" w:color="auto"/>
                <w:vertAlign w:val="baseline"/>
              </w:rPr>
              <w:t>锻压机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额定锻造力：</w:t>
            </w:r>
            <w:r>
              <w:rPr>
                <w:rStyle w:val="95"/>
                <w:rFonts w:hint="default" w:ascii="Times New Roman" w:hAnsi="Times New Roman" w:eastAsia="宋体" w:cs="Times New Roman"/>
                <w:color w:val="auto"/>
                <w:sz w:val="21"/>
                <w:szCs w:val="21"/>
                <w:u w:val="none" w:color="auto"/>
                <w:vertAlign w:val="baseline"/>
              </w:rPr>
              <w:t>50MN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装取料机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最大夹持重量</w:t>
            </w:r>
            <w:r>
              <w:rPr>
                <w:rStyle w:val="95"/>
                <w:rFonts w:hint="default" w:ascii="Times New Roman" w:hAnsi="Times New Roman" w:eastAsia="宋体" w:cs="Times New Roman"/>
                <w:color w:val="auto"/>
                <w:sz w:val="21"/>
                <w:szCs w:val="21"/>
                <w:u w:val="none" w:color="auto"/>
                <w:vertAlign w:val="baseline"/>
              </w:rPr>
              <w:t>1t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操作机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3t/6t·m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坯料加热炉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150MN</w:t>
            </w:r>
            <w:r>
              <w:rPr>
                <w:rStyle w:val="312"/>
                <w:rFonts w:hint="default" w:ascii="Times New Roman" w:hAnsi="Times New Roman" w:eastAsia="宋体" w:cs="Times New Roman"/>
                <w:b w:val="0"/>
                <w:bCs w:val="0"/>
                <w:color w:val="auto"/>
                <w:sz w:val="21"/>
                <w:szCs w:val="21"/>
                <w:u w:val="none" w:color="auto"/>
                <w:vertAlign w:val="baseline"/>
              </w:rPr>
              <w:t>等温模锻生产线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150MN</w:t>
            </w:r>
            <w:r>
              <w:rPr>
                <w:rStyle w:val="316"/>
                <w:rFonts w:hint="default" w:ascii="Times New Roman" w:hAnsi="Times New Roman" w:eastAsia="宋体" w:cs="Times New Roman"/>
                <w:color w:val="auto"/>
                <w:sz w:val="21"/>
                <w:szCs w:val="21"/>
                <w:u w:val="none" w:color="auto"/>
                <w:vertAlign w:val="baseline"/>
              </w:rPr>
              <w:t>等温模锻压机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额定锻造力：</w:t>
            </w:r>
            <w:r>
              <w:rPr>
                <w:rStyle w:val="95"/>
                <w:rFonts w:hint="default" w:ascii="Times New Roman" w:hAnsi="Times New Roman" w:eastAsia="宋体" w:cs="Times New Roman"/>
                <w:color w:val="auto"/>
                <w:sz w:val="21"/>
                <w:szCs w:val="21"/>
                <w:u w:val="none" w:color="auto"/>
                <w:vertAlign w:val="baseline"/>
              </w:rPr>
              <w:t>150MN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装取料机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最大夹持重量</w:t>
            </w:r>
            <w:r>
              <w:rPr>
                <w:rStyle w:val="95"/>
                <w:rFonts w:hint="default" w:ascii="Times New Roman" w:hAnsi="Times New Roman" w:eastAsia="宋体" w:cs="Times New Roman"/>
                <w:color w:val="auto"/>
                <w:sz w:val="21"/>
                <w:szCs w:val="21"/>
                <w:u w:val="none" w:color="auto"/>
                <w:vertAlign w:val="baseline"/>
              </w:rPr>
              <w:t>1t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模具预热炉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3.5</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坯料加热炉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31.5MN</w:t>
            </w:r>
            <w:r>
              <w:rPr>
                <w:rStyle w:val="312"/>
                <w:rFonts w:hint="default" w:ascii="Times New Roman" w:hAnsi="Times New Roman" w:eastAsia="宋体" w:cs="Times New Roman"/>
                <w:b w:val="0"/>
                <w:bCs w:val="0"/>
                <w:color w:val="auto"/>
                <w:sz w:val="21"/>
                <w:szCs w:val="21"/>
                <w:u w:val="none" w:color="auto"/>
                <w:vertAlign w:val="baseline"/>
              </w:rPr>
              <w:t>锻造生产线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31.5MN</w:t>
            </w:r>
            <w:r>
              <w:rPr>
                <w:rStyle w:val="316"/>
                <w:rFonts w:hint="default" w:ascii="Times New Roman" w:hAnsi="Times New Roman" w:eastAsia="宋体" w:cs="Times New Roman"/>
                <w:color w:val="auto"/>
                <w:sz w:val="21"/>
                <w:szCs w:val="21"/>
                <w:u w:val="none" w:color="auto"/>
                <w:vertAlign w:val="baseline"/>
              </w:rPr>
              <w:t>锻压机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额定锻造力：</w:t>
            </w:r>
            <w:r>
              <w:rPr>
                <w:rStyle w:val="95"/>
                <w:rFonts w:hint="default" w:ascii="Times New Roman" w:hAnsi="Times New Roman" w:eastAsia="宋体" w:cs="Times New Roman"/>
                <w:color w:val="auto"/>
                <w:sz w:val="21"/>
                <w:szCs w:val="21"/>
                <w:u w:val="none" w:color="auto"/>
                <w:vertAlign w:val="baseline"/>
              </w:rPr>
              <w:t>31.5MN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操作机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3t/6t·m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坯料加热炉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5</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轧环生产线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5.1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3.5m</w:t>
            </w:r>
            <w:r>
              <w:rPr>
                <w:rStyle w:val="316"/>
                <w:rFonts w:hint="default" w:ascii="Times New Roman" w:hAnsi="Times New Roman" w:eastAsia="宋体" w:cs="Times New Roman"/>
                <w:color w:val="auto"/>
                <w:sz w:val="21"/>
                <w:szCs w:val="21"/>
                <w:u w:val="none" w:color="auto"/>
                <w:vertAlign w:val="baseline"/>
              </w:rPr>
              <w:t>轧环机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最大环件直径：</w:t>
            </w:r>
            <w:r>
              <w:rPr>
                <w:rStyle w:val="95"/>
                <w:rFonts w:hint="default" w:ascii="Times New Roman" w:hAnsi="Times New Roman" w:eastAsia="宋体" w:cs="Times New Roman"/>
                <w:color w:val="auto"/>
                <w:sz w:val="21"/>
                <w:szCs w:val="21"/>
                <w:u w:val="none" w:color="auto"/>
                <w:vertAlign w:val="baseline"/>
              </w:rPr>
              <w:t>φ5000mm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5.2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3m</w:t>
            </w:r>
            <w:r>
              <w:rPr>
                <w:rStyle w:val="316"/>
                <w:rFonts w:hint="default" w:ascii="Times New Roman" w:hAnsi="Times New Roman" w:eastAsia="宋体" w:cs="Times New Roman"/>
                <w:color w:val="auto"/>
                <w:sz w:val="21"/>
                <w:szCs w:val="21"/>
                <w:u w:val="none" w:color="auto"/>
                <w:vertAlign w:val="baseline"/>
              </w:rPr>
              <w:t>涨型机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最大环件直径：</w:t>
            </w:r>
            <w:r>
              <w:rPr>
                <w:rStyle w:val="95"/>
                <w:rFonts w:hint="default" w:ascii="Times New Roman" w:hAnsi="Times New Roman" w:eastAsia="宋体" w:cs="Times New Roman"/>
                <w:color w:val="auto"/>
                <w:sz w:val="21"/>
                <w:szCs w:val="21"/>
                <w:u w:val="none" w:color="auto"/>
                <w:vertAlign w:val="baseline"/>
              </w:rPr>
              <w:t>φ5000mm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5.3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坯料加热炉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5.4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环件热处理炉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6</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淬火炉(大)</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最大工作温度：6</w:t>
            </w:r>
            <w:r>
              <w:rPr>
                <w:rStyle w:val="95"/>
                <w:rFonts w:hint="default" w:ascii="Times New Roman" w:hAnsi="Times New Roman" w:eastAsia="宋体" w:cs="Times New Roman"/>
                <w:color w:val="auto"/>
                <w:sz w:val="21"/>
                <w:szCs w:val="21"/>
                <w:u w:val="none" w:color="auto"/>
                <w:vertAlign w:val="baseline"/>
              </w:rPr>
              <w:t>00℃</w:t>
            </w:r>
            <w:r>
              <w:rPr>
                <w:rStyle w:val="316"/>
                <w:rFonts w:hint="default" w:ascii="Times New Roman" w:hAnsi="Times New Roman" w:eastAsia="宋体" w:cs="Times New Roman"/>
                <w:color w:val="auto"/>
                <w:sz w:val="21"/>
                <w:szCs w:val="21"/>
                <w:u w:val="none" w:color="auto"/>
                <w:vertAlign w:val="baseline"/>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7</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淬火炉(小)</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最大工作温度：6</w:t>
            </w:r>
            <w:r>
              <w:rPr>
                <w:rStyle w:val="95"/>
                <w:rFonts w:hint="default" w:ascii="Times New Roman" w:hAnsi="Times New Roman" w:eastAsia="宋体" w:cs="Times New Roman"/>
                <w:color w:val="auto"/>
                <w:sz w:val="21"/>
                <w:szCs w:val="21"/>
                <w:u w:val="none" w:color="auto"/>
                <w:vertAlign w:val="baseline"/>
              </w:rPr>
              <w:t>00℃</w:t>
            </w:r>
            <w:r>
              <w:rPr>
                <w:rStyle w:val="316"/>
                <w:rFonts w:hint="default" w:ascii="Times New Roman" w:hAnsi="Times New Roman" w:eastAsia="宋体" w:cs="Times New Roman"/>
                <w:color w:val="auto"/>
                <w:sz w:val="21"/>
                <w:szCs w:val="21"/>
                <w:u w:val="none" w:color="auto"/>
                <w:vertAlign w:val="baseline"/>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8</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时效炉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最大工作温度：6</w:t>
            </w:r>
            <w:r>
              <w:rPr>
                <w:rStyle w:val="95"/>
                <w:rFonts w:hint="default" w:ascii="Times New Roman" w:hAnsi="Times New Roman" w:eastAsia="宋体" w:cs="Times New Roman"/>
                <w:color w:val="auto"/>
                <w:sz w:val="21"/>
                <w:szCs w:val="21"/>
                <w:u w:val="none" w:color="auto"/>
                <w:vertAlign w:val="baseline"/>
              </w:rPr>
              <w:t>00℃</w:t>
            </w:r>
            <w:r>
              <w:rPr>
                <w:rStyle w:val="316"/>
                <w:rFonts w:hint="default" w:ascii="Times New Roman" w:hAnsi="Times New Roman" w:eastAsia="宋体" w:cs="Times New Roman"/>
                <w:color w:val="auto"/>
                <w:sz w:val="21"/>
                <w:szCs w:val="21"/>
                <w:u w:val="none" w:color="auto"/>
                <w:vertAlign w:val="baseline"/>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9</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深冷炉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最低温度：</w:t>
            </w:r>
            <w:r>
              <w:rPr>
                <w:rStyle w:val="95"/>
                <w:rFonts w:hint="default" w:ascii="Times New Roman" w:hAnsi="Times New Roman" w:eastAsia="宋体" w:cs="Times New Roman"/>
                <w:color w:val="auto"/>
                <w:sz w:val="21"/>
                <w:szCs w:val="21"/>
                <w:u w:val="none" w:color="auto"/>
                <w:vertAlign w:val="baseline"/>
              </w:rPr>
              <w:t>-190℃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10</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3.5m</w:t>
            </w:r>
            <w:r>
              <w:rPr>
                <w:rStyle w:val="352"/>
                <w:rFonts w:hint="default" w:ascii="Times New Roman" w:hAnsi="Times New Roman" w:eastAsia="宋体" w:cs="Times New Roman"/>
                <w:color w:val="auto"/>
                <w:sz w:val="21"/>
                <w:szCs w:val="21"/>
                <w:u w:val="none" w:color="auto"/>
                <w:vertAlign w:val="baseline"/>
              </w:rPr>
              <w:t>立车</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2.5m</w:t>
            </w:r>
            <w:r>
              <w:rPr>
                <w:rStyle w:val="352"/>
                <w:rFonts w:hint="default" w:ascii="Times New Roman" w:hAnsi="Times New Roman" w:eastAsia="宋体" w:cs="Times New Roman"/>
                <w:color w:val="auto"/>
                <w:sz w:val="21"/>
                <w:szCs w:val="21"/>
                <w:u w:val="none" w:color="auto"/>
                <w:vertAlign w:val="baseline"/>
              </w:rPr>
              <w:t>立车</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挤压车间</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序号</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设备名称</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型号及主要技术性能</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单位</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100MN</w:t>
            </w:r>
            <w:r>
              <w:rPr>
                <w:rStyle w:val="312"/>
                <w:rFonts w:hint="default" w:ascii="Times New Roman" w:hAnsi="Times New Roman" w:eastAsia="宋体" w:cs="Times New Roman"/>
                <w:b w:val="0"/>
                <w:bCs w:val="0"/>
                <w:color w:val="auto"/>
                <w:sz w:val="21"/>
                <w:szCs w:val="21"/>
                <w:u w:val="none" w:color="auto"/>
                <w:vertAlign w:val="baseline"/>
              </w:rPr>
              <w:t>挤压生产线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100MN</w:t>
            </w:r>
            <w:r>
              <w:rPr>
                <w:rStyle w:val="316"/>
                <w:rFonts w:hint="default" w:ascii="Times New Roman" w:hAnsi="Times New Roman" w:eastAsia="宋体" w:cs="Times New Roman"/>
                <w:color w:val="auto"/>
                <w:sz w:val="21"/>
                <w:szCs w:val="21"/>
                <w:u w:val="none" w:color="auto"/>
                <w:vertAlign w:val="baseline"/>
              </w:rPr>
              <w:t>双动正向挤压机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额定挤压力：</w:t>
            </w:r>
            <w:r>
              <w:rPr>
                <w:rStyle w:val="95"/>
                <w:rFonts w:hint="default" w:ascii="Times New Roman" w:hAnsi="Times New Roman" w:eastAsia="宋体" w:cs="Times New Roman"/>
                <w:color w:val="auto"/>
                <w:sz w:val="21"/>
                <w:szCs w:val="21"/>
                <w:u w:val="none" w:color="auto"/>
                <w:vertAlign w:val="baseline"/>
              </w:rPr>
              <w:t>100MN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铸锭感应加热炉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r>
              <w:rPr>
                <w:rStyle w:val="316"/>
                <w:rFonts w:hint="default" w:ascii="Times New Roman" w:hAnsi="Times New Roman" w:eastAsia="宋体" w:cs="Times New Roman"/>
                <w:color w:val="auto"/>
                <w:sz w:val="21"/>
                <w:szCs w:val="21"/>
                <w:u w:val="none" w:color="auto"/>
                <w:vertAlign w:val="baseline"/>
              </w:rPr>
              <w:t>；温度梯度：</w:t>
            </w:r>
            <w:r>
              <w:rPr>
                <w:rStyle w:val="95"/>
                <w:rFonts w:hint="default" w:ascii="Times New Roman" w:hAnsi="Times New Roman" w:eastAsia="宋体" w:cs="Times New Roman"/>
                <w:color w:val="auto"/>
                <w:sz w:val="21"/>
                <w:szCs w:val="21"/>
                <w:u w:val="none" w:color="auto"/>
                <w:vertAlign w:val="baseline"/>
              </w:rPr>
              <w:t>40~70℃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挤压机辅机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316"/>
                <w:rFonts w:hint="eastAsia" w:ascii="Times New Roman" w:hAnsi="Times New Roman" w:eastAsia="宋体" w:cs="Times New Roman"/>
                <w:color w:val="auto"/>
                <w:sz w:val="21"/>
                <w:szCs w:val="21"/>
                <w:u w:val="none" w:color="auto"/>
                <w:vertAlign w:val="baseline"/>
                <w:lang w:eastAsia="zh-CN"/>
              </w:rPr>
            </w:pPr>
            <w:r>
              <w:rPr>
                <w:rStyle w:val="316"/>
                <w:rFonts w:hint="default" w:ascii="Times New Roman" w:hAnsi="Times New Roman" w:eastAsia="宋体" w:cs="Times New Roman"/>
                <w:color w:val="auto"/>
                <w:sz w:val="21"/>
                <w:szCs w:val="21"/>
                <w:u w:val="none" w:color="auto"/>
                <w:vertAlign w:val="baseline"/>
              </w:rPr>
              <w:t>有效长度：</w:t>
            </w:r>
            <w:r>
              <w:rPr>
                <w:rStyle w:val="95"/>
                <w:rFonts w:hint="default" w:ascii="Times New Roman" w:hAnsi="Times New Roman" w:eastAsia="宋体" w:cs="Times New Roman"/>
                <w:color w:val="auto"/>
                <w:sz w:val="21"/>
                <w:szCs w:val="21"/>
                <w:u w:val="none" w:color="auto"/>
                <w:vertAlign w:val="baseline"/>
              </w:rPr>
              <w:t>50m</w:t>
            </w:r>
            <w:r>
              <w:rPr>
                <w:rStyle w:val="316"/>
                <w:rFonts w:hint="default" w:ascii="Times New Roman" w:hAnsi="Times New Roman" w:eastAsia="宋体" w:cs="Times New Roman"/>
                <w:color w:val="auto"/>
                <w:sz w:val="21"/>
                <w:szCs w:val="21"/>
                <w:u w:val="none" w:color="auto"/>
                <w:vertAlign w:val="baseline"/>
              </w:rPr>
              <w:t>；</w:t>
            </w:r>
          </w:p>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定尺长度：</w:t>
            </w:r>
            <w:r>
              <w:rPr>
                <w:rStyle w:val="95"/>
                <w:rFonts w:hint="default" w:ascii="Times New Roman" w:hAnsi="Times New Roman" w:eastAsia="宋体" w:cs="Times New Roman"/>
                <w:color w:val="auto"/>
                <w:sz w:val="21"/>
                <w:szCs w:val="21"/>
                <w:u w:val="none" w:color="auto"/>
                <w:vertAlign w:val="baseline"/>
              </w:rPr>
              <w:t>max.28m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模具</w:t>
            </w:r>
            <w:r>
              <w:rPr>
                <w:rStyle w:val="95"/>
                <w:rFonts w:hint="default" w:ascii="Times New Roman" w:hAnsi="Times New Roman" w:eastAsia="宋体" w:cs="Times New Roman"/>
                <w:color w:val="auto"/>
                <w:sz w:val="21"/>
                <w:szCs w:val="21"/>
                <w:u w:val="none" w:color="auto"/>
                <w:vertAlign w:val="baseline"/>
              </w:rPr>
              <w:t>/</w:t>
            </w:r>
            <w:r>
              <w:rPr>
                <w:rStyle w:val="316"/>
                <w:rFonts w:hint="default" w:ascii="Times New Roman" w:hAnsi="Times New Roman" w:eastAsia="宋体" w:cs="Times New Roman"/>
                <w:color w:val="auto"/>
                <w:sz w:val="21"/>
                <w:szCs w:val="21"/>
                <w:u w:val="none" w:color="auto"/>
                <w:vertAlign w:val="baseline"/>
              </w:rPr>
              <w:t>针加热炉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1.5</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型材矫正机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型材最大宽度：</w:t>
            </w:r>
            <w:r>
              <w:rPr>
                <w:rStyle w:val="95"/>
                <w:rFonts w:hint="default" w:ascii="Times New Roman" w:hAnsi="Times New Roman" w:eastAsia="宋体" w:cs="Times New Roman"/>
                <w:color w:val="auto"/>
                <w:sz w:val="21"/>
                <w:szCs w:val="21"/>
                <w:u w:val="none" w:color="auto"/>
                <w:vertAlign w:val="baseline"/>
              </w:rPr>
              <w:t>500mm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1.6</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30m</w:t>
            </w:r>
            <w:r>
              <w:rPr>
                <w:rStyle w:val="316"/>
                <w:rFonts w:hint="default" w:ascii="Times New Roman" w:hAnsi="Times New Roman" w:eastAsia="宋体" w:cs="Times New Roman"/>
                <w:color w:val="auto"/>
                <w:sz w:val="21"/>
                <w:szCs w:val="21"/>
                <w:u w:val="none" w:color="auto"/>
                <w:vertAlign w:val="baseline"/>
              </w:rPr>
              <w:t>时效炉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250℃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6"/>
                <w:rFonts w:hint="default" w:ascii="Times New Roman" w:hAnsi="Times New Roman" w:eastAsia="宋体" w:cs="Times New Roman"/>
                <w:color w:val="auto"/>
                <w:sz w:val="21"/>
                <w:szCs w:val="21"/>
                <w:u w:val="none" w:color="auto"/>
                <w:vertAlign w:val="baseline"/>
              </w:rPr>
              <w:t>55MN</w:t>
            </w:r>
            <w:r>
              <w:rPr>
                <w:rStyle w:val="312"/>
                <w:rFonts w:hint="default" w:ascii="Times New Roman" w:hAnsi="Times New Roman" w:eastAsia="宋体" w:cs="Times New Roman"/>
                <w:b w:val="0"/>
                <w:bCs w:val="0"/>
                <w:color w:val="auto"/>
                <w:sz w:val="21"/>
                <w:szCs w:val="21"/>
                <w:u w:val="none" w:color="auto"/>
                <w:vertAlign w:val="baseline"/>
              </w:rPr>
              <w:t>挤压生产线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95"/>
                <w:rFonts w:hint="default" w:ascii="Times New Roman" w:hAnsi="Times New Roman" w:eastAsia="宋体" w:cs="Times New Roman"/>
                <w:color w:val="auto"/>
                <w:sz w:val="21"/>
                <w:szCs w:val="21"/>
                <w:u w:val="none" w:color="auto"/>
                <w:vertAlign w:val="baseline"/>
              </w:rPr>
              <w:t>55MN</w:t>
            </w:r>
            <w:r>
              <w:rPr>
                <w:rStyle w:val="316"/>
                <w:rFonts w:hint="default" w:ascii="Times New Roman" w:hAnsi="Times New Roman" w:eastAsia="宋体" w:cs="Times New Roman"/>
                <w:color w:val="auto"/>
                <w:sz w:val="21"/>
                <w:szCs w:val="21"/>
                <w:u w:val="none" w:color="auto"/>
                <w:vertAlign w:val="baseline"/>
              </w:rPr>
              <w:t>双动正向挤压机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额定挤压力：</w:t>
            </w:r>
            <w:r>
              <w:rPr>
                <w:rStyle w:val="95"/>
                <w:rFonts w:hint="default" w:ascii="Times New Roman" w:hAnsi="Times New Roman" w:eastAsia="宋体" w:cs="Times New Roman"/>
                <w:color w:val="auto"/>
                <w:sz w:val="21"/>
                <w:szCs w:val="21"/>
                <w:u w:val="none" w:color="auto"/>
                <w:vertAlign w:val="baseline"/>
              </w:rPr>
              <w:t>55MN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铸锭感应加热炉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r>
              <w:rPr>
                <w:rStyle w:val="316"/>
                <w:rFonts w:hint="default" w:ascii="Times New Roman" w:hAnsi="Times New Roman" w:eastAsia="宋体" w:cs="Times New Roman"/>
                <w:color w:val="auto"/>
                <w:sz w:val="21"/>
                <w:szCs w:val="21"/>
                <w:u w:val="none" w:color="auto"/>
                <w:vertAlign w:val="baseline"/>
              </w:rPr>
              <w:t>；温度梯度：</w:t>
            </w:r>
            <w:r>
              <w:rPr>
                <w:rStyle w:val="95"/>
                <w:rFonts w:hint="default" w:ascii="Times New Roman" w:hAnsi="Times New Roman" w:eastAsia="宋体" w:cs="Times New Roman"/>
                <w:color w:val="auto"/>
                <w:sz w:val="21"/>
                <w:szCs w:val="21"/>
                <w:u w:val="none" w:color="auto"/>
                <w:vertAlign w:val="baseline"/>
              </w:rPr>
              <w:t>40~70℃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挤压机辅机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316"/>
                <w:rFonts w:hint="eastAsia" w:ascii="Times New Roman" w:hAnsi="Times New Roman" w:eastAsia="宋体" w:cs="Times New Roman"/>
                <w:color w:val="auto"/>
                <w:sz w:val="21"/>
                <w:szCs w:val="21"/>
                <w:u w:val="none" w:color="auto"/>
                <w:vertAlign w:val="baseline"/>
                <w:lang w:eastAsia="zh-CN"/>
              </w:rPr>
            </w:pPr>
            <w:r>
              <w:rPr>
                <w:rStyle w:val="316"/>
                <w:rFonts w:hint="default" w:ascii="Times New Roman" w:hAnsi="Times New Roman" w:eastAsia="宋体" w:cs="Times New Roman"/>
                <w:color w:val="auto"/>
                <w:sz w:val="21"/>
                <w:szCs w:val="21"/>
                <w:u w:val="none" w:color="auto"/>
                <w:vertAlign w:val="baseline"/>
              </w:rPr>
              <w:t>有效长度：</w:t>
            </w:r>
            <w:r>
              <w:rPr>
                <w:rStyle w:val="95"/>
                <w:rFonts w:hint="default" w:ascii="Times New Roman" w:hAnsi="Times New Roman" w:eastAsia="宋体" w:cs="Times New Roman"/>
                <w:color w:val="auto"/>
                <w:sz w:val="21"/>
                <w:szCs w:val="21"/>
                <w:u w:val="none" w:color="auto"/>
                <w:vertAlign w:val="baseline"/>
              </w:rPr>
              <w:t>50m</w:t>
            </w:r>
            <w:r>
              <w:rPr>
                <w:rStyle w:val="316"/>
                <w:rFonts w:hint="default" w:ascii="Times New Roman" w:hAnsi="Times New Roman" w:eastAsia="宋体" w:cs="Times New Roman"/>
                <w:color w:val="auto"/>
                <w:sz w:val="21"/>
                <w:szCs w:val="21"/>
                <w:u w:val="none" w:color="auto"/>
                <w:vertAlign w:val="baseline"/>
              </w:rPr>
              <w:t>；</w:t>
            </w:r>
          </w:p>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定尺长度：</w:t>
            </w:r>
            <w:r>
              <w:rPr>
                <w:rStyle w:val="95"/>
                <w:rFonts w:hint="default" w:ascii="Times New Roman" w:hAnsi="Times New Roman" w:eastAsia="宋体" w:cs="Times New Roman"/>
                <w:color w:val="auto"/>
                <w:sz w:val="21"/>
                <w:szCs w:val="21"/>
                <w:u w:val="none" w:color="auto"/>
                <w:vertAlign w:val="baseline"/>
              </w:rPr>
              <w:t>max.28m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模具</w:t>
            </w:r>
            <w:r>
              <w:rPr>
                <w:rStyle w:val="95"/>
                <w:rFonts w:hint="default" w:ascii="Times New Roman" w:hAnsi="Times New Roman" w:eastAsia="宋体" w:cs="Times New Roman"/>
                <w:color w:val="auto"/>
                <w:sz w:val="21"/>
                <w:szCs w:val="21"/>
                <w:u w:val="none" w:color="auto"/>
                <w:vertAlign w:val="baseline"/>
              </w:rPr>
              <w:t>/</w:t>
            </w:r>
            <w:r>
              <w:rPr>
                <w:rStyle w:val="316"/>
                <w:rFonts w:hint="default" w:ascii="Times New Roman" w:hAnsi="Times New Roman" w:eastAsia="宋体" w:cs="Times New Roman"/>
                <w:color w:val="auto"/>
                <w:sz w:val="21"/>
                <w:szCs w:val="21"/>
                <w:u w:val="none" w:color="auto"/>
                <w:vertAlign w:val="baseline"/>
              </w:rPr>
              <w:t>针加热炉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2.5</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rPr>
              <w:t>型材矫正机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lang w:val="en-US" w:eastAsia="zh-CN" w:bidi="ar-SA"/>
              </w:rPr>
            </w:pPr>
            <w:r>
              <w:rPr>
                <w:rStyle w:val="316"/>
                <w:rFonts w:hint="default" w:ascii="Times New Roman" w:hAnsi="Times New Roman" w:eastAsia="宋体" w:cs="Times New Roman"/>
                <w:color w:val="auto"/>
                <w:sz w:val="21"/>
                <w:szCs w:val="21"/>
                <w:u w:val="none" w:color="auto"/>
                <w:vertAlign w:val="baseline"/>
              </w:rPr>
              <w:t>型材最大宽度：</w:t>
            </w:r>
            <w:r>
              <w:rPr>
                <w:rStyle w:val="95"/>
                <w:rFonts w:hint="default" w:ascii="Times New Roman" w:hAnsi="Times New Roman" w:eastAsia="宋体" w:cs="Times New Roman"/>
                <w:color w:val="auto"/>
                <w:sz w:val="21"/>
                <w:szCs w:val="21"/>
                <w:u w:val="none" w:color="auto"/>
                <w:vertAlign w:val="baseline"/>
                <w:lang w:val="en-US" w:eastAsia="zh-CN"/>
              </w:rPr>
              <w:t>3</w:t>
            </w:r>
            <w:r>
              <w:rPr>
                <w:rStyle w:val="95"/>
                <w:rFonts w:hint="default" w:ascii="Times New Roman" w:hAnsi="Times New Roman" w:eastAsia="宋体" w:cs="Times New Roman"/>
                <w:color w:val="auto"/>
                <w:sz w:val="21"/>
                <w:szCs w:val="21"/>
                <w:u w:val="none" w:color="auto"/>
                <w:vertAlign w:val="baseline"/>
              </w:rPr>
              <w:t>00mm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2.6</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lang w:val="en-US" w:eastAsia="zh-CN" w:bidi="ar-SA"/>
              </w:rPr>
            </w:pPr>
            <w:r>
              <w:rPr>
                <w:rStyle w:val="95"/>
                <w:rFonts w:hint="default" w:ascii="Times New Roman" w:hAnsi="Times New Roman" w:eastAsia="宋体" w:cs="Times New Roman"/>
                <w:color w:val="auto"/>
                <w:sz w:val="21"/>
                <w:szCs w:val="21"/>
                <w:u w:val="none" w:color="auto"/>
                <w:vertAlign w:val="baseline"/>
              </w:rPr>
              <w:t>30m</w:t>
            </w:r>
            <w:r>
              <w:rPr>
                <w:rStyle w:val="316"/>
                <w:rFonts w:hint="default" w:ascii="Times New Roman" w:hAnsi="Times New Roman" w:eastAsia="宋体" w:cs="Times New Roman"/>
                <w:color w:val="auto"/>
                <w:sz w:val="21"/>
                <w:szCs w:val="21"/>
                <w:u w:val="none" w:color="auto"/>
                <w:vertAlign w:val="baseline"/>
              </w:rPr>
              <w:t>时效炉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lang w:val="en-US" w:eastAsia="zh-CN" w:bidi="ar-SA"/>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250℃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8</w:t>
            </w:r>
            <w:r>
              <w:rPr>
                <w:rFonts w:hint="default" w:ascii="Times New Roman" w:hAnsi="Times New Roman" w:eastAsia="宋体" w:cs="Times New Roman"/>
                <w:color w:val="auto"/>
                <w:sz w:val="21"/>
                <w:szCs w:val="21"/>
                <w:u w:val="none" w:color="auto"/>
                <w:vertAlign w:val="baseline"/>
              </w:rPr>
              <w:t>MN精密挤压生产线</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3</w:t>
            </w:r>
            <w:r>
              <w:rPr>
                <w:rFonts w:hint="default" w:ascii="Times New Roman" w:hAnsi="Times New Roman" w:eastAsia="宋体" w:cs="Times New Roman"/>
                <w:color w:val="auto"/>
                <w:sz w:val="21"/>
                <w:szCs w:val="21"/>
                <w:u w:val="none" w:color="auto"/>
                <w:vertAlign w:val="baseline"/>
              </w:rPr>
              <w:t>.1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8</w:t>
            </w:r>
            <w:r>
              <w:rPr>
                <w:rFonts w:hint="default" w:ascii="Times New Roman" w:hAnsi="Times New Roman" w:eastAsia="宋体" w:cs="Times New Roman"/>
                <w:color w:val="auto"/>
                <w:sz w:val="21"/>
                <w:szCs w:val="21"/>
                <w:u w:val="none" w:color="auto"/>
                <w:vertAlign w:val="baseline"/>
              </w:rPr>
              <w:t>MN双动反向挤压机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额定挤压力：</w:t>
            </w:r>
            <w:r>
              <w:rPr>
                <w:rStyle w:val="95"/>
                <w:rFonts w:hint="default" w:ascii="Times New Roman" w:hAnsi="Times New Roman" w:eastAsia="宋体" w:cs="Times New Roman"/>
                <w:color w:val="auto"/>
                <w:sz w:val="21"/>
                <w:szCs w:val="21"/>
                <w:u w:val="none" w:color="auto"/>
                <w:vertAlign w:val="baseline"/>
                <w:lang w:val="en-US" w:eastAsia="zh-CN"/>
              </w:rPr>
              <w:t>8</w:t>
            </w:r>
            <w:r>
              <w:rPr>
                <w:rStyle w:val="95"/>
                <w:rFonts w:hint="default" w:ascii="Times New Roman" w:hAnsi="Times New Roman" w:eastAsia="宋体" w:cs="Times New Roman"/>
                <w:color w:val="auto"/>
                <w:sz w:val="21"/>
                <w:szCs w:val="21"/>
                <w:u w:val="none" w:color="auto"/>
                <w:vertAlign w:val="baseline"/>
              </w:rPr>
              <w:t>MN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3</w:t>
            </w:r>
            <w:r>
              <w:rPr>
                <w:rFonts w:hint="default" w:ascii="Times New Roman" w:hAnsi="Times New Roman" w:eastAsia="宋体" w:cs="Times New Roman"/>
                <w:color w:val="auto"/>
                <w:sz w:val="21"/>
                <w:szCs w:val="21"/>
                <w:u w:val="none" w:color="auto"/>
                <w:vertAlign w:val="baseline"/>
              </w:rPr>
              <w:t>.2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铸锭感应加热炉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r>
              <w:rPr>
                <w:rStyle w:val="316"/>
                <w:rFonts w:hint="default" w:ascii="Times New Roman" w:hAnsi="Times New Roman" w:eastAsia="宋体" w:cs="Times New Roman"/>
                <w:color w:val="auto"/>
                <w:sz w:val="21"/>
                <w:szCs w:val="21"/>
                <w:u w:val="none" w:color="auto"/>
                <w:vertAlign w:val="baseline"/>
              </w:rPr>
              <w:t>；温度梯度：</w:t>
            </w:r>
            <w:r>
              <w:rPr>
                <w:rStyle w:val="95"/>
                <w:rFonts w:hint="default" w:ascii="Times New Roman" w:hAnsi="Times New Roman" w:eastAsia="宋体" w:cs="Times New Roman"/>
                <w:color w:val="auto"/>
                <w:sz w:val="21"/>
                <w:szCs w:val="21"/>
                <w:u w:val="none" w:color="auto"/>
                <w:vertAlign w:val="baseline"/>
              </w:rPr>
              <w:t>40~70℃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3</w:t>
            </w:r>
            <w:r>
              <w:rPr>
                <w:rFonts w:hint="default" w:ascii="Times New Roman" w:hAnsi="Times New Roman" w:eastAsia="宋体" w:cs="Times New Roman"/>
                <w:color w:val="auto"/>
                <w:sz w:val="21"/>
                <w:szCs w:val="21"/>
                <w:u w:val="none" w:color="auto"/>
                <w:vertAlign w:val="baseline"/>
              </w:rPr>
              <w:t>.3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挤压机辅机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316"/>
                <w:rFonts w:hint="eastAsia" w:ascii="Times New Roman" w:hAnsi="Times New Roman" w:eastAsia="宋体" w:cs="Times New Roman"/>
                <w:color w:val="auto"/>
                <w:sz w:val="21"/>
                <w:szCs w:val="21"/>
                <w:u w:val="none" w:color="auto"/>
                <w:vertAlign w:val="baseline"/>
                <w:lang w:eastAsia="zh-CN"/>
              </w:rPr>
            </w:pPr>
            <w:r>
              <w:rPr>
                <w:rStyle w:val="316"/>
                <w:rFonts w:hint="default" w:ascii="Times New Roman" w:hAnsi="Times New Roman" w:eastAsia="宋体" w:cs="Times New Roman"/>
                <w:color w:val="auto"/>
                <w:sz w:val="21"/>
                <w:szCs w:val="21"/>
                <w:u w:val="none" w:color="auto"/>
                <w:vertAlign w:val="baseline"/>
              </w:rPr>
              <w:t>有效长度：</w:t>
            </w:r>
            <w:r>
              <w:rPr>
                <w:rStyle w:val="95"/>
                <w:rFonts w:hint="default" w:ascii="Times New Roman" w:hAnsi="Times New Roman" w:eastAsia="宋体" w:cs="Times New Roman"/>
                <w:color w:val="auto"/>
                <w:sz w:val="21"/>
                <w:szCs w:val="21"/>
                <w:u w:val="none" w:color="auto"/>
                <w:vertAlign w:val="baseline"/>
              </w:rPr>
              <w:t>26m</w:t>
            </w:r>
            <w:r>
              <w:rPr>
                <w:rStyle w:val="316"/>
                <w:rFonts w:hint="default" w:ascii="Times New Roman" w:hAnsi="Times New Roman" w:eastAsia="宋体" w:cs="Times New Roman"/>
                <w:color w:val="auto"/>
                <w:sz w:val="21"/>
                <w:szCs w:val="21"/>
                <w:u w:val="none" w:color="auto"/>
                <w:vertAlign w:val="baseline"/>
              </w:rPr>
              <w:t>；</w:t>
            </w:r>
          </w:p>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定尺长度：</w:t>
            </w:r>
            <w:r>
              <w:rPr>
                <w:rStyle w:val="95"/>
                <w:rFonts w:hint="default" w:ascii="Times New Roman" w:hAnsi="Times New Roman" w:eastAsia="宋体" w:cs="Times New Roman"/>
                <w:color w:val="auto"/>
                <w:sz w:val="21"/>
                <w:szCs w:val="21"/>
                <w:u w:val="none" w:color="auto"/>
                <w:vertAlign w:val="baseline"/>
              </w:rPr>
              <w:t>max.7m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模具/针加热炉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500℃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精整、热处理设备</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rPr>
              <w:t>.1</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φ20~80管棒材辊式矫直机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rPr>
              <w:t>.2</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精密锯床</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锯切精度：±</w:t>
            </w:r>
            <w:r>
              <w:rPr>
                <w:rStyle w:val="95"/>
                <w:rFonts w:hint="default" w:ascii="Times New Roman" w:hAnsi="Times New Roman" w:eastAsia="宋体" w:cs="Times New Roman"/>
                <w:color w:val="auto"/>
                <w:sz w:val="21"/>
                <w:szCs w:val="21"/>
                <w:u w:val="none" w:color="auto"/>
                <w:vertAlign w:val="baseline"/>
              </w:rPr>
              <w:t>0.2mm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rPr>
              <w:t>.3</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3t立式淬火炉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最大工作温度：6</w:t>
            </w:r>
            <w:r>
              <w:rPr>
                <w:rStyle w:val="95"/>
                <w:rFonts w:hint="default" w:ascii="Times New Roman" w:hAnsi="Times New Roman" w:eastAsia="宋体" w:cs="Times New Roman"/>
                <w:color w:val="auto"/>
                <w:sz w:val="21"/>
                <w:szCs w:val="21"/>
                <w:u w:val="none" w:color="auto"/>
                <w:vertAlign w:val="baseline"/>
              </w:rPr>
              <w:t>00℃</w:t>
            </w:r>
            <w:r>
              <w:rPr>
                <w:rStyle w:val="316"/>
                <w:rFonts w:hint="default" w:ascii="Times New Roman" w:hAnsi="Times New Roman" w:eastAsia="宋体" w:cs="Times New Roman"/>
                <w:color w:val="auto"/>
                <w:sz w:val="21"/>
                <w:szCs w:val="21"/>
                <w:u w:val="none" w:color="auto"/>
                <w:vertAlign w:val="baseline"/>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rPr>
              <w:t>.4</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5"/>
                <w:rFonts w:hint="default" w:ascii="Times New Roman" w:hAnsi="Times New Roman" w:eastAsia="宋体" w:cs="Times New Roman"/>
                <w:color w:val="auto"/>
                <w:sz w:val="21"/>
                <w:szCs w:val="21"/>
                <w:u w:val="none" w:color="auto"/>
                <w:vertAlign w:val="baseline"/>
              </w:rPr>
              <w:t>10m</w:t>
            </w:r>
            <w:r>
              <w:rPr>
                <w:rStyle w:val="314"/>
                <w:rFonts w:hint="default" w:ascii="Times New Roman" w:hAnsi="Times New Roman" w:eastAsia="宋体" w:cs="Times New Roman"/>
                <w:color w:val="auto"/>
                <w:sz w:val="21"/>
                <w:szCs w:val="21"/>
                <w:u w:val="none" w:color="auto"/>
                <w:vertAlign w:val="baseline"/>
              </w:rPr>
              <w:t>时效炉</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Style w:val="316"/>
                <w:rFonts w:hint="default" w:ascii="Times New Roman" w:hAnsi="Times New Roman" w:eastAsia="宋体" w:cs="Times New Roman"/>
                <w:color w:val="auto"/>
                <w:sz w:val="21"/>
                <w:szCs w:val="21"/>
                <w:u w:val="none" w:color="auto"/>
                <w:vertAlign w:val="baseline"/>
              </w:rPr>
              <w:t>最大工作温度：</w:t>
            </w:r>
            <w:r>
              <w:rPr>
                <w:rStyle w:val="95"/>
                <w:rFonts w:hint="default" w:ascii="Times New Roman" w:hAnsi="Times New Roman" w:eastAsia="宋体" w:cs="Times New Roman"/>
                <w:color w:val="auto"/>
                <w:sz w:val="21"/>
                <w:szCs w:val="21"/>
                <w:u w:val="none" w:color="auto"/>
                <w:vertAlign w:val="baseline"/>
              </w:rPr>
              <w:t>250℃</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rPr>
              <w:t>.5</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超声波探伤设备</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rPr>
              <w:t>.6</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Style w:val="95"/>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涡流探伤设备</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sz w:val="21"/>
                <w:szCs w:val="21"/>
                <w:u w:val="none" w:color="auto"/>
                <w:vertAlign w:val="baseline"/>
              </w:rPr>
            </w:pPr>
          </w:p>
        </w:tc>
        <w:tc>
          <w:tcPr>
            <w:tcW w:w="2626" w:type="pct"/>
            <w:tcBorders>
              <w:tl2br w:val="nil"/>
              <w:tr2bl w:val="nil"/>
            </w:tcBorders>
            <w:noWrap w:val="0"/>
            <w:tcMar>
              <w:left w:w="28" w:type="dxa"/>
              <w:right w:w="28" w:type="dxa"/>
            </w:tcMar>
            <w:vAlign w:val="center"/>
          </w:tcPr>
          <w:p>
            <w:pPr>
              <w:pageBreakBefore w:val="0"/>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lang w:eastAsia="zh-CN"/>
              </w:rPr>
              <w:t>机加工车间</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序号</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设备名称</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型号及主要技术性能</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单位</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1</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立式铣床</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2</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数控水切割机</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3</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CNC加工中心</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4</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线切割.</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5</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柔性关节臂</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6</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超声波探伤设备</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7</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卧式车床</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8</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取样带锯</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ind w:left="105" w:leftChars="50"/>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lang w:val="en-US" w:eastAsia="zh-CN"/>
              </w:rPr>
              <w:t>/</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2626" w:type="pct"/>
            <w:tcBorders>
              <w:tl2br w:val="nil"/>
              <w:tr2bl w:val="nil"/>
            </w:tcBorders>
            <w:noWrap w:val="0"/>
            <w:tcMar>
              <w:left w:w="28" w:type="dxa"/>
              <w:right w:w="28" w:type="dxa"/>
            </w:tcMar>
            <w:vAlign w:val="center"/>
          </w:tcPr>
          <w:p>
            <w:pPr>
              <w:pageBreakBefore w:val="0"/>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lang w:eastAsia="zh-CN"/>
              </w:rPr>
              <w:t>表面处理车间</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序号</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设备名称</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型号及主要技术性能</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单位</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1</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微弧氧化生产线</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最大工件：2m</w:t>
            </w:r>
            <w:r>
              <w:rPr>
                <w:rFonts w:hint="default" w:ascii="Times New Roman" w:hAnsi="Times New Roman" w:eastAsia="宋体" w:cs="Times New Roman"/>
                <w:i w:val="0"/>
                <w:iCs w:val="0"/>
                <w:color w:val="auto"/>
                <w:kern w:val="0"/>
                <w:sz w:val="21"/>
                <w:szCs w:val="21"/>
                <w:u w:val="none" w:color="auto"/>
                <w:vertAlign w:val="superscript"/>
                <w:lang w:val="en-US" w:eastAsia="zh-CN" w:bidi="ar"/>
              </w:rPr>
              <w:t>2</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2</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喷涂生产线</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最大工件：1m</w:t>
            </w:r>
            <w:r>
              <w:rPr>
                <w:rFonts w:hint="default" w:ascii="Times New Roman" w:hAnsi="Times New Roman" w:eastAsia="宋体" w:cs="Times New Roman"/>
                <w:i w:val="0"/>
                <w:iCs w:val="0"/>
                <w:color w:val="auto"/>
                <w:kern w:val="0"/>
                <w:sz w:val="21"/>
                <w:szCs w:val="21"/>
                <w:u w:val="none" w:color="auto"/>
                <w:vertAlign w:val="superscript"/>
                <w:lang w:val="en-US" w:eastAsia="zh-CN" w:bidi="ar"/>
              </w:rPr>
              <w:t>2</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3</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等离子喷涂生产线</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最大工件：1m</w:t>
            </w:r>
            <w:r>
              <w:rPr>
                <w:rFonts w:hint="default" w:ascii="Times New Roman" w:hAnsi="Times New Roman" w:eastAsia="宋体" w:cs="Times New Roman"/>
                <w:i w:val="0"/>
                <w:iCs w:val="0"/>
                <w:color w:val="auto"/>
                <w:kern w:val="0"/>
                <w:sz w:val="21"/>
                <w:szCs w:val="21"/>
                <w:u w:val="none" w:color="auto"/>
                <w:vertAlign w:val="superscript"/>
                <w:lang w:val="en-US" w:eastAsia="zh-CN" w:bidi="ar"/>
              </w:rPr>
              <w:t>2</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条</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板材车间</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序号</w:t>
            </w:r>
          </w:p>
        </w:tc>
        <w:tc>
          <w:tcPr>
            <w:tcW w:w="1309"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设备名称</w:t>
            </w:r>
          </w:p>
        </w:tc>
        <w:tc>
          <w:tcPr>
            <w:tcW w:w="2626"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型号及主要技术性能</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单位</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kern w:val="0"/>
                <w:sz w:val="21"/>
                <w:szCs w:val="21"/>
                <w:u w:val="none" w:color="auto"/>
                <w:vertAlign w:val="baseli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1</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坯料加热炉</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加热最高温度500C</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2</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四辊板材热温轧机</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Vmax=90m/min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3</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在线补热炉</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加热最高温度450°C</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4</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热处理炉</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加热最高温度400°C</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5</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精整机.</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Vmax=.30m/min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6</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锯床</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锯切成品规格1.5~15x200-600x1000-4000mm</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7</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矫直机</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Vmax=.30m/min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8</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Style w:val="96"/>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板材砂磨机</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i w:val="0"/>
                <w:iCs w:val="0"/>
                <w:color w:val="auto"/>
                <w:kern w:val="0"/>
                <w:sz w:val="21"/>
                <w:szCs w:val="21"/>
                <w:u w:val="none" w:color="auto"/>
                <w:lang w:val="en-US" w:eastAsia="zh-CN" w:bidi="ar"/>
              </w:rPr>
              <w:t>Vmax=10m/min</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kern w:val="0"/>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9</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剪切机</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剪切成品规格</w:t>
            </w:r>
          </w:p>
          <w:p>
            <w:pPr>
              <w:keepNext w:val="0"/>
              <w:keepLines w:val="0"/>
              <w:pageBreakBefore w:val="0"/>
              <w:widowControl/>
              <w:suppressLineNumbers w:val="0"/>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1.5~6×200~600×500~3000mm</w:t>
            </w:r>
          </w:p>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10</w:t>
            </w:r>
          </w:p>
        </w:tc>
        <w:tc>
          <w:tcPr>
            <w:tcW w:w="1309"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轧辊磨床</w:t>
            </w:r>
          </w:p>
        </w:tc>
        <w:tc>
          <w:tcPr>
            <w:tcW w:w="2626" w:type="pct"/>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MK84100</w:t>
            </w:r>
          </w:p>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台</w:t>
            </w:r>
          </w:p>
        </w:tc>
        <w:tc>
          <w:tcPr>
            <w:tcW w:w="324" w:type="pct"/>
            <w:tcBorders>
              <w:tl2br w:val="nil"/>
              <w:tr2bl w:val="nil"/>
            </w:tcBorders>
            <w:noWrap w:val="0"/>
            <w:tcMar>
              <w:left w:w="28" w:type="dxa"/>
              <w:right w:w="28" w:type="dxa"/>
            </w:tcMar>
            <w:vAlign w:val="center"/>
          </w:tcPr>
          <w:p>
            <w:pPr>
              <w:pageBreakBefore w:val="0"/>
              <w:widowControl/>
              <w:kinsoku/>
              <w:wordWrap/>
              <w:overflowPunct w:val="0"/>
              <w:topLinePunct/>
              <w:autoSpaceDE w:val="0"/>
              <w:autoSpaceDN w:val="0"/>
              <w:bidi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w:t>
            </w:r>
          </w:p>
        </w:tc>
      </w:tr>
    </w:tbl>
    <w:p>
      <w:pPr>
        <w:pageBreakBefore w:val="0"/>
        <w:kinsoku/>
        <w:wordWrap/>
        <w:overflowPunct w:val="0"/>
        <w:topLinePunct/>
        <w:autoSpaceDE w:val="0"/>
        <w:autoSpaceDN w:val="0"/>
        <w:bidi w:val="0"/>
        <w:rPr>
          <w:rFonts w:hint="default" w:ascii="Times New Roman" w:hAnsi="Times New Roman" w:eastAsia="宋体" w:cs="Times New Roman"/>
          <w:color w:val="auto"/>
          <w:u w:val="none" w:color="auto"/>
          <w:lang w:eastAsia="zh-CN"/>
        </w:rPr>
      </w:pP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90" w:name="_Toc2570"/>
      <w:bookmarkStart w:id="91" w:name="_Toc27519"/>
      <w:r>
        <w:rPr>
          <w:rFonts w:hint="default" w:ascii="Times New Roman" w:hAnsi="Times New Roman" w:eastAsia="宋体" w:cs="Times New Roman"/>
          <w:color w:val="auto"/>
          <w:highlight w:val="none"/>
          <w:u w:val="none" w:color="auto"/>
        </w:rPr>
        <w:t>3.1.6公用工程</w:t>
      </w:r>
      <w:bookmarkEnd w:id="89"/>
      <w:bookmarkEnd w:id="90"/>
      <w:bookmarkEnd w:id="91"/>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1、给水</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给水系统分为生产生活给水系统、消防给水系统、净循环水系统、浊循环水系统</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1</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生产生活给水系统</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生产给水主要供车间设备和循环水系统补充用水</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生活用水主要供办公楼、宿舍、食堂、车间生活间的盟洗和食堂的烹饪用水。该系统由市政给水管网直接供给。厂区给水管网沿道路呈环状布置，干管管径为DN200。</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2</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消防给水系统</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消防给水系统主要供厂区各建筑物室内外消火栓用水。该系统采用临时高压给水系统，由消防水泵站、高位消防水箱及室内外管网等构成。其中，消防水泵站内设消防水池(储存3h消防水量，有效容积648m2)1座，消防水泵2台(1用1备)。火灾初期室内消防用水由高位水箱(位于综合楼楼顶，储存消防水量18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供给。各建筑物按规范要求设室内消火栓和灭火器。室外消火栓管网沿车间外部道路呈环状布置，干管管径为DN250，上设室外地上式消火栓，消火栓间距不超过120m,并设阀门分成若干独立管段，每个管段控制的消火栓不超过5个。</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3</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净循环水系统:根据厂区平面布置情况，净循环水系统分为1#净循环水系统和2#净循环水系统，分述如下:</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净循环冷却用水。该系统设置2套独立的冷水供水泵组，每个供水泵组设计供水能力均为1200m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/h</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供水压力0.50MPa。该系统由冷水池、水处理设施及供回水管网等构成。冷水池有效容积为850m</w:t>
      </w:r>
      <w:r>
        <w:rPr>
          <w:rFonts w:hint="eastAsia"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rPr>
        <w:t>。每个供水泵组设冷水泵3台(2用1备)，自清洗过滤器2台，玻璃钢冷却塔2台，共2组。主要共用水处理设施如下:纤维球过滤器1台软化水装置1套等。净循环水给水干管管径均为DN500,共2根;回水采用压力回水，干管管径均为DN500，共2根。2#净循环水系统:2#净循环水系统主要供熔铸车间、表面处理车间、板材车间和空压站内设备的净循环冷却用水。该系统设计供水能力667m/h,供水压力0.50MPa。该系统由冷水池、热水池、水处理设施及供回水管网等构成。冷水池有效容积为350m',热水池有效容积为350m</w:t>
      </w:r>
      <w:r>
        <w:rPr>
          <w:rFonts w:hint="eastAsia"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rPr>
        <w:t>。主要水处理设施如下:冷水泵4台(3用1备)、热水泵4台(3用1备)、自清洗过滤器2台、玻璃钢冷却塔2台、纤维球过滤器1台、软化水装置1套等。净循环水给水干管管径为DN400;回水采用压力回水，干管管径为DN400。</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4</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浊循环系统</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浊循环水系统主要供熔铸车间内3台镁合金立式半连续熔铸机组的浊循环冷却用水(其中预留2台)。每台铸造机设置独立的冷水供水泵组，每个供水泵组设计供水能力均为50m</w:t>
      </w:r>
      <w:r>
        <w:rPr>
          <w:rFonts w:hint="eastAsia"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rPr>
        <w:t>/h</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供水压力0.50MPa。该系统由隔油沉淀热水池、冷水池、水处理设施及供回水管网等构成。隔油沉淀池热水池有效容积为250m</w:t>
      </w:r>
      <w:r>
        <w:rPr>
          <w:rFonts w:hint="eastAsia" w:ascii="Times New Roman" w:hAnsi="Times New Roman" w:eastAsia="宋体" w:cs="Times New Roman"/>
          <w:color w:val="auto"/>
          <w:highlight w:val="none"/>
          <w:u w:val="none" w:color="auto"/>
          <w:vertAlign w:val="superscript"/>
          <w:lang w:val="en-US" w:eastAsia="zh-CN"/>
        </w:rPr>
        <w:t>3</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rPr>
        <w:t>冷水池有效容积为125m</w:t>
      </w:r>
      <w:r>
        <w:rPr>
          <w:rFonts w:hint="eastAsia"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rPr>
        <w:t>。每个供水泵组设冷水泵2台</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1用1备</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自清洗过滤器1台，共3组</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其中预留2组</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主要共用水处理设施如下:热水泵4台(1用1备2预留)、旁冷水泵2台(1用1备)、气浮水泵2台(1用1备)、旁滤水泵2台(1用1备)、玻璃钢冷却塔4台(其中旁冷冷却塔1台)、核桃壳过滤器1台、气浮装置1套、软化水装置1套等。浊循环给水干管管径均为DN150，共3根。浊循环回水采用压力回水，干管管径均为DN150</w:t>
      </w:r>
      <w:r>
        <w:rPr>
          <w:rFonts w:hint="eastAsia"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共3根。</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（5）事故水系统：根据厂区平面布置情况，事故水系统分为1#事故水系统和2#事故水系统，分述如下:</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1#事故水系统:该系统主要供熔铸车间铸造机内设备的事故状态下冷却用水，设事故水箱1座(有效容积20m</w:t>
      </w:r>
      <w:r>
        <w:rPr>
          <w:rFonts w:hint="eastAsia"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rPr>
        <w:t>，高15m)，干管管径DN150。</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2#事故水系统:该系统主要供挤压车间感应炉内设备的事故状态下冷却用水，设事故水箱1座(有效容积10m</w:t>
      </w:r>
      <w:r>
        <w:rPr>
          <w:rFonts w:hint="eastAsia"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rPr>
        <w:t>，高20m)，干管管径DN100。</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2、排水</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本项目排水采用雨污分流、污污分流。生产废</w:t>
      </w:r>
      <w:r>
        <w:rPr>
          <w:rFonts w:hint="eastAsia" w:ascii="Times New Roman" w:hAnsi="Times New Roman" w:eastAsia="宋体" w:cs="Times New Roman"/>
          <w:color w:val="auto"/>
          <w:highlight w:val="none"/>
          <w:u w:val="none" w:color="auto"/>
          <w:lang w:eastAsia="zh-CN"/>
        </w:rPr>
        <w:t>水（直接冷却含油污水）和生活污水分别经过预处理后通过管道排放至市政污水管网，最终进入城陵矶临港产业新区污水处理厂进行深度处理。部分净循环水（间接冷却水）排入雨水管网。</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、供电</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bookmarkStart w:id="92" w:name="_Toc10036"/>
      <w:r>
        <w:rPr>
          <w:rFonts w:hint="default" w:ascii="Times New Roman" w:hAnsi="Times New Roman" w:eastAsia="宋体" w:cs="Times New Roman"/>
          <w:color w:val="auto"/>
          <w:highlight w:val="none"/>
          <w:u w:val="none" w:color="auto"/>
          <w:lang w:val="en-US" w:eastAsia="zh-CN"/>
        </w:rPr>
        <w:t>项目所需的电源引自园区内110kV变电站。为保证生产，满足用电设备对供电可靠性和电能质量的要求，本项目共拟建10kV配电站3座，分别设在挤压一车间、镁板材车间及锻造车间的车间辅跨。10kV配电站均采用两回路工作电源供电，10kV配电系统采用单母线分段接线</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4、供气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本规划供气部分包括压缩空气、二氧化碳气、氮气、氩气及天然气供应。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1</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压缩空气供应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压缩空气主要用户为锻造车间、热处理车间、机加工车间、表面处理车间、挤压车间、熔铸车间和板材车间。其中铸造车间压缩空气最大消耗量为13.8m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/min；热处理车间压缩空气最大消耗量为4.2m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/min；机加工车间压缩空气最大消耗量为4.26m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/min；表面处理车间压缩空气最大消耗量为12m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/min；挤压车间压缩空气最大消耗量为13.56m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/min；熔铸车间压缩空气最大消耗量为3m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/min（除尘2m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/min）；板材车间压缩空气最大消耗量为52.5m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/min；压缩空气质量：含油量≤0.1mg/m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，含尘粒径≤0.1μm，压力露点≤-20℃，压力0.4-0.6MPa。</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根据设备生产用气负荷，考虑各设备压缩空气同时使用情况、管道漏损、磨损增耗及压缩空气干燥装置自耗气等因素，南厂区压缩空气计算消耗量为43Nm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/min，北厂区压缩空气计算消耗量为63.2Nm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为满足各车间设备生产用气，在南厂区挤压车间偏跨内新建1#压缩空气站，根据压缩空气计算消耗量、用气压力及质量要求，压缩空气站内设2台22Nm3/min（P=0.80MPa）喷油螺杆式空气压缩机及配套的微热再生干燥装置，同时运行。在北厂区板材车间偏跨内新建2#压缩空气站，根据压缩空气计算消耗量、用气压力及质量要求，压缩空气站内设3台30N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/min（P=0.80MPa）喷油螺杆式空气压缩机及配套的微热再生干燥装置，2用1备。</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2</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氮气供应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氮气主要用户为熔铸车间各设备。</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为满足设备用气要求，在熔铸车间偏跨内新建液氮气化站，站内设1台15m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低温液氮储罐，选用200m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/h空温式汽化器2台及配套的减压装置，1用1备，液氮外购，氮气出口压力为0.2MPa，氮气纯度为99.99%。</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3</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氩气供应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氩气主要用户为熔铸车间各设备。</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为满足设备用气要求，在熔铸车间偏跨内新建液氩气化站，站内设1台15m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低温液氩储罐，选用200m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/h空温式汽化器2台及配套的减压装置，1用1备，液氩外购，氩气出口压力为0.2MPa，氮气纯度为99.99%。</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4</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二氧化碳气供应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二氧化碳气主要用户为熔铸车间各设备。</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为满足设备用气要求，在熔铸车间偏跨内新建液态二氧化碳气化站，站内设1台15m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低温液态储罐，选用200m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/h空温式汽化器2台及配套的减压装置，1用1备，液态二氧化碳外购，二氧化碳气出口压力为0.2MPa，纯度为99.99%。</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5</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天然气供应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天然气主要用户为锻造车间。锻造车间天然气最大消耗量为600m</w:t>
      </w:r>
      <w:r>
        <w:rPr>
          <w:rFonts w:hint="default" w:ascii="Times New Roman" w:hAnsi="Times New Roman" w:eastAsia="宋体" w:cs="Times New Roman"/>
          <w:color w:val="auto"/>
          <w:highlight w:val="none"/>
          <w:u w:val="none" w:color="auto"/>
          <w:vertAlign w:val="superscript"/>
          <w:lang w:val="en-US" w:eastAsia="zh-CN"/>
        </w:rPr>
        <w:t>3</w:t>
      </w:r>
      <w:r>
        <w:rPr>
          <w:rFonts w:hint="default" w:ascii="Times New Roman" w:hAnsi="Times New Roman" w:eastAsia="宋体" w:cs="Times New Roman"/>
          <w:color w:val="auto"/>
          <w:highlight w:val="none"/>
          <w:u w:val="none" w:color="auto"/>
          <w:lang w:val="en-US" w:eastAsia="zh-CN"/>
        </w:rPr>
        <w:t>/h，用气压力为0.1MPa</w:t>
      </w:r>
      <w:r>
        <w:rPr>
          <w:rFonts w:hint="eastAsia" w:ascii="Times New Roman" w:hAnsi="Times New Roman" w:eastAsia="宋体" w:cs="Times New Roman"/>
          <w:color w:val="auto"/>
          <w:highlight w:val="none"/>
          <w:u w:val="none" w:color="auto"/>
          <w:lang w:val="en-US" w:eastAsia="zh-CN"/>
        </w:rPr>
        <w:t>，园区供气管网提供</w:t>
      </w:r>
      <w:r>
        <w:rPr>
          <w:rFonts w:hint="default" w:ascii="Times New Roman" w:hAnsi="Times New Roman" w:eastAsia="宋体" w:cs="Times New Roman"/>
          <w:color w:val="auto"/>
          <w:highlight w:val="none"/>
          <w:u w:val="none" w:color="auto"/>
          <w:lang w:val="en-US" w:eastAsia="zh-CN"/>
        </w:rPr>
        <w:t>。</w:t>
      </w:r>
    </w:p>
    <w:p>
      <w:pPr>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p>
    <w:bookmarkEnd w:id="92"/>
    <w:p>
      <w:pPr>
        <w:pStyle w:val="7"/>
        <w:pageBreakBefore w:val="0"/>
        <w:kinsoku/>
        <w:wordWrap/>
        <w:overflowPunct w:val="0"/>
        <w:topLinePunct/>
        <w:autoSpaceDE w:val="0"/>
        <w:autoSpaceDN w:val="0"/>
        <w:bidi w:val="0"/>
        <w:rPr>
          <w:rStyle w:val="54"/>
          <w:rFonts w:hint="default" w:ascii="Times New Roman" w:hAnsi="Times New Roman" w:eastAsia="宋体" w:cs="Times New Roman"/>
          <w:b/>
          <w:color w:val="auto"/>
          <w:highlight w:val="none"/>
          <w:u w:val="none" w:color="auto"/>
        </w:rPr>
      </w:pPr>
      <w:bookmarkStart w:id="93" w:name="_Toc1501"/>
      <w:bookmarkStart w:id="94" w:name="_Toc10038"/>
      <w:bookmarkStart w:id="95" w:name="_Toc27664"/>
      <w:bookmarkStart w:id="96" w:name="_Toc41310101"/>
      <w:r>
        <w:rPr>
          <w:rStyle w:val="54"/>
          <w:rFonts w:hint="default" w:ascii="Times New Roman" w:hAnsi="Times New Roman" w:eastAsia="宋体" w:cs="Times New Roman"/>
          <w:b/>
          <w:color w:val="auto"/>
          <w:highlight w:val="none"/>
          <w:u w:val="none" w:color="auto"/>
        </w:rPr>
        <w:t>3.1.</w:t>
      </w:r>
      <w:r>
        <w:rPr>
          <w:rStyle w:val="54"/>
          <w:rFonts w:hint="eastAsia" w:ascii="Times New Roman" w:hAnsi="Times New Roman" w:eastAsia="宋体" w:cs="Times New Roman"/>
          <w:b/>
          <w:color w:val="auto"/>
          <w:highlight w:val="none"/>
          <w:u w:val="none" w:color="auto"/>
          <w:lang w:val="en-US" w:eastAsia="zh-CN"/>
        </w:rPr>
        <w:t>7</w:t>
      </w:r>
      <w:r>
        <w:rPr>
          <w:rStyle w:val="54"/>
          <w:rFonts w:hint="default" w:ascii="Times New Roman" w:hAnsi="Times New Roman" w:eastAsia="宋体" w:cs="Times New Roman"/>
          <w:b/>
          <w:color w:val="auto"/>
          <w:highlight w:val="none"/>
          <w:u w:val="none" w:color="auto"/>
        </w:rPr>
        <w:t>厂区平面布置</w:t>
      </w:r>
      <w:bookmarkEnd w:id="93"/>
      <w:bookmarkEnd w:id="94"/>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本项目拟建场地分为南、北两个厂区。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lang w:eastAsia="zh-CN"/>
        </w:rPr>
        <w:t>（</w:t>
      </w:r>
      <w:r>
        <w:rPr>
          <w:rFonts w:hint="default" w:ascii="Times New Roman" w:hAnsi="Times New Roman" w:eastAsia="宋体" w:cs="Times New Roman"/>
          <w:color w:val="auto"/>
          <w:spacing w:val="7"/>
          <w:sz w:val="24"/>
          <w:szCs w:val="24"/>
          <w:u w:val="none" w:color="auto"/>
          <w:lang w:val="en-US" w:eastAsia="zh-CN"/>
        </w:rPr>
        <w:t>1</w:t>
      </w:r>
      <w:r>
        <w:rPr>
          <w:rFonts w:hint="default" w:ascii="Times New Roman" w:hAnsi="Times New Roman" w:eastAsia="宋体" w:cs="Times New Roman"/>
          <w:color w:val="auto"/>
          <w:spacing w:val="7"/>
          <w:sz w:val="24"/>
          <w:szCs w:val="24"/>
          <w:u w:val="none" w:color="auto"/>
          <w:lang w:eastAsia="zh-CN"/>
        </w:rPr>
        <w:t>）</w:t>
      </w:r>
      <w:r>
        <w:rPr>
          <w:rFonts w:hint="default" w:ascii="Times New Roman" w:hAnsi="Times New Roman" w:eastAsia="宋体" w:cs="Times New Roman"/>
          <w:color w:val="auto"/>
          <w:spacing w:val="7"/>
          <w:sz w:val="24"/>
          <w:szCs w:val="24"/>
          <w:u w:val="none" w:color="auto"/>
        </w:rPr>
        <w:t>南厂区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场地外形及生产工艺流程，按照建构筑物的生产性质和功能，将拟建厂区分为生产区、公辅区、厂前区三个区域。将三者相对分离，且适当集中，不仅管理方便，同时使整个厂区功能分区更为明确，形成一个统一便于管理的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lang w:eastAsia="zh-CN"/>
        </w:rPr>
        <w:t>南厂区</w:t>
      </w:r>
      <w:r>
        <w:rPr>
          <w:rFonts w:hint="default" w:ascii="Times New Roman" w:hAnsi="Times New Roman" w:eastAsia="宋体" w:cs="Times New Roman"/>
          <w:color w:val="auto"/>
          <w:spacing w:val="7"/>
          <w:sz w:val="24"/>
          <w:szCs w:val="24"/>
          <w:u w:val="none" w:color="auto"/>
        </w:rPr>
        <w:t>生产区主要包括挤压车间、锻造车间，由西向东布置在厂区南部:10kV配电站、净循环水泵站、消防泵站、压缩空气站等根据需要布置在车间偏跨。这样布置，工艺流程顺畅，货物运输便利，管线敷设短捷。车间四周设置环行道路，以满足消防和运输的要求。</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公辅区主要包括天燃气调压站、雨水调蓄池，分两块布置，其中天然气调压站布置在挤压车间西北面，雨水调蓄池布置在厂区东北角。这样布置，不仅充分的利用了厂区的边角地，又利于厂内外进出管线的衔接。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厂前区主要包括综合楼、食堂、倒班宿舍，由东向西布置在厂区北部。这样布置，方便人员出入，利于管理。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厂区设置三个出入口。位于东北部的出入口，靠近厂前区，作为企业对外联系交通的主要出入口，主要用于人流出入使用:位于南部的出入口，靠近生产区，作为企业对外联系交通的次要出入口，主要用于原料运进和成品运出使用:位于北部的出入口，主要用于南、北两个厂区货流、人流联系使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(2)北厂区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根据场地外形及生产工艺流程，按照建构筑物的生产性质和功能，将拟建厂区分为生产区、公辅区两个区域。</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生产区主要包括熔铸车间、板材车间及表面处理车间、机加工车间及成品车间，由东向西布置在厂区东部;10kV配电站、净循环水泵站、浊循环水泵站、压缩空气站、废水处理站等根据需要布置在车间或偏跨内。这样布置，工艺流程顺畅，管线敷设短捷。车间四周设置环行道路，以满足消防和运输的要求。</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公辅区主要包括危废及固废库、雨水调蓄池(3个)，分两块布置，其中危废及固废库、3#和2#雨水调蓄池依次布置在厂区西部，1#雨水调蓄池布置在厂区东南角。这样布置，充分的利用了厂区的边角区域，利于厂区内、外管线的衔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pacing w:val="7"/>
          <w:sz w:val="24"/>
          <w:szCs w:val="24"/>
          <w:u w:val="none" w:color="auto"/>
        </w:rPr>
        <w:t>本厂区在南部设置两个出入口。位于东南部的出入口，作为企业对外联系交通的主要出入口，主要用于人流出入使用</w:t>
      </w:r>
      <w:r>
        <w:rPr>
          <w:rFonts w:hint="default" w:ascii="Times New Roman" w:hAnsi="Times New Roman" w:eastAsia="宋体" w:cs="Times New Roman"/>
          <w:color w:val="auto"/>
          <w:spacing w:val="7"/>
          <w:sz w:val="24"/>
          <w:szCs w:val="24"/>
          <w:u w:val="none" w:color="auto"/>
          <w:lang w:eastAsia="zh-CN"/>
        </w:rPr>
        <w:t>，</w:t>
      </w:r>
      <w:r>
        <w:rPr>
          <w:rFonts w:hint="default" w:ascii="Times New Roman" w:hAnsi="Times New Roman" w:eastAsia="宋体" w:cs="Times New Roman"/>
          <w:color w:val="auto"/>
          <w:spacing w:val="7"/>
          <w:sz w:val="24"/>
          <w:szCs w:val="24"/>
          <w:u w:val="none" w:color="auto"/>
        </w:rPr>
        <w:t>位于西南部的出入口，作为企业对外联系交通的次要出入口，主要用于原料运进和成品运出使用。</w:t>
      </w:r>
      <w:r>
        <w:rPr>
          <w:rFonts w:hint="default" w:ascii="Times New Roman" w:hAnsi="Times New Roman" w:eastAsia="宋体" w:cs="Times New Roman"/>
          <w:color w:val="auto"/>
          <w:sz w:val="24"/>
          <w:szCs w:val="24"/>
          <w:highlight w:val="none"/>
          <w:u w:val="none" w:color="auto"/>
          <w:lang w:val="en-US" w:eastAsia="zh-CN"/>
        </w:rPr>
        <w:t>项目厂区总平面布置详见附图。</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97" w:name="_Toc15000"/>
      <w:bookmarkStart w:id="98" w:name="_Toc18667"/>
      <w:r>
        <w:rPr>
          <w:rFonts w:hint="default" w:ascii="Times New Roman" w:hAnsi="Times New Roman" w:eastAsia="宋体" w:cs="Times New Roman"/>
          <w:color w:val="auto"/>
          <w:highlight w:val="none"/>
          <w:u w:val="none" w:color="auto"/>
        </w:rPr>
        <w:t>3.1.</w:t>
      </w:r>
      <w:r>
        <w:rPr>
          <w:rFonts w:hint="eastAsia" w:ascii="Times New Roman" w:hAnsi="Times New Roman" w:eastAsia="宋体" w:cs="Times New Roman"/>
          <w:color w:val="auto"/>
          <w:highlight w:val="none"/>
          <w:u w:val="none" w:color="auto"/>
          <w:lang w:val="en-US" w:eastAsia="zh-CN"/>
        </w:rPr>
        <w:t>8</w:t>
      </w:r>
      <w:r>
        <w:rPr>
          <w:rFonts w:hint="default" w:ascii="Times New Roman" w:hAnsi="Times New Roman" w:eastAsia="宋体" w:cs="Times New Roman"/>
          <w:color w:val="auto"/>
          <w:highlight w:val="none"/>
          <w:u w:val="none" w:color="auto"/>
        </w:rPr>
        <w:t>劳动定员及工作制度</w:t>
      </w:r>
      <w:bookmarkEnd w:id="97"/>
      <w:bookmarkEnd w:id="98"/>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项目劳动定员400人，其中生产人员360人、非生产人员40人。生产车间主要设备年工作日为</w:t>
      </w:r>
      <w:r>
        <w:rPr>
          <w:rFonts w:hint="eastAsia" w:ascii="Times New Roman" w:hAnsi="Times New Roman" w:eastAsia="宋体" w:cs="Times New Roman"/>
          <w:color w:val="auto"/>
          <w:highlight w:val="none"/>
          <w:u w:val="none" w:color="auto"/>
          <w:lang w:val="en-US" w:eastAsia="zh-CN"/>
        </w:rPr>
        <w:t>300</w:t>
      </w:r>
      <w:r>
        <w:rPr>
          <w:rFonts w:hint="default" w:ascii="Times New Roman" w:hAnsi="Times New Roman" w:eastAsia="宋体" w:cs="Times New Roman"/>
          <w:color w:val="auto"/>
          <w:highlight w:val="none"/>
          <w:u w:val="none" w:color="auto"/>
          <w:lang w:val="en-US" w:eastAsia="zh-CN"/>
        </w:rPr>
        <w:t>d，日工作班次为3班(负荷较低的设备实行单班或两班工作制)。设计中考虑了替休人员，采用轮班换休的方式轮休。</w:t>
      </w:r>
    </w:p>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szCs w:val="30"/>
          <w:highlight w:val="none"/>
          <w:u w:val="none" w:color="auto"/>
        </w:rPr>
      </w:pPr>
      <w:bookmarkStart w:id="99" w:name="_Toc23791"/>
      <w:bookmarkStart w:id="100" w:name="_Toc4289"/>
      <w:r>
        <w:rPr>
          <w:rFonts w:hint="default" w:ascii="Times New Roman" w:hAnsi="Times New Roman" w:eastAsia="宋体" w:cs="Times New Roman"/>
          <w:color w:val="auto"/>
          <w:szCs w:val="30"/>
          <w:highlight w:val="none"/>
          <w:u w:val="none" w:color="auto"/>
        </w:rPr>
        <w:t>3.1.</w:t>
      </w:r>
      <w:r>
        <w:rPr>
          <w:rFonts w:hint="eastAsia" w:ascii="Times New Roman" w:hAnsi="Times New Roman" w:eastAsia="宋体" w:cs="Times New Roman"/>
          <w:color w:val="auto"/>
          <w:szCs w:val="30"/>
          <w:highlight w:val="none"/>
          <w:u w:val="none" w:color="auto"/>
          <w:lang w:val="en-US" w:eastAsia="zh-CN"/>
        </w:rPr>
        <w:t>9</w:t>
      </w:r>
      <w:r>
        <w:rPr>
          <w:rFonts w:hint="default" w:ascii="Times New Roman" w:hAnsi="Times New Roman" w:eastAsia="宋体" w:cs="Times New Roman"/>
          <w:color w:val="auto"/>
          <w:szCs w:val="30"/>
          <w:highlight w:val="none"/>
          <w:u w:val="none" w:color="auto"/>
        </w:rPr>
        <w:t>项目周边环境</w:t>
      </w:r>
      <w:bookmarkEnd w:id="99"/>
      <w:bookmarkEnd w:id="100"/>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岳阳城投临港创新创业基地位于城陵矶临港产业新区北部道仁矶镇，北靠枫桥湖、南接环松路、西临沿堤路、依长江，东接长江大道，距离随岳高速道仁矶互通口仅800m。区位交通条件十分优越。</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拟建场地位于岳阳城投临港创新创业基地的西部中间位置，被市政道路临港三路分为南、北两块厂区。场地西连道陆路，北为兴松路，东接兴城路，南是兴岭路，岳阳城投临港创新创业基地目前正在进行土地平整，无投产工业企业。</w:t>
      </w:r>
    </w:p>
    <w:bookmarkEnd w:id="95"/>
    <w:bookmarkEnd w:id="96"/>
    <w:p>
      <w:pPr>
        <w:pStyle w:val="6"/>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rPr>
      </w:pPr>
      <w:bookmarkStart w:id="101" w:name="_Toc17187"/>
      <w:bookmarkStart w:id="102" w:name="_Toc3694"/>
      <w:bookmarkStart w:id="103" w:name="_Toc41310102"/>
      <w:bookmarkStart w:id="104" w:name="_Toc9982"/>
      <w:r>
        <w:rPr>
          <w:rFonts w:hint="default" w:ascii="Times New Roman" w:hAnsi="Times New Roman" w:eastAsia="宋体" w:cs="Times New Roman"/>
          <w:color w:val="auto"/>
          <w:highlight w:val="none"/>
          <w:u w:val="none" w:color="auto"/>
        </w:rPr>
        <w:t>3.2施工期工程分析及污染源分析</w:t>
      </w:r>
      <w:bookmarkEnd w:id="101"/>
      <w:bookmarkEnd w:id="102"/>
    </w:p>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rPr>
      </w:pPr>
      <w:bookmarkStart w:id="105" w:name="_Toc13964"/>
      <w:bookmarkStart w:id="106" w:name="_Toc26237"/>
      <w:bookmarkStart w:id="107" w:name="_Toc6040"/>
      <w:r>
        <w:rPr>
          <w:rFonts w:hint="default" w:ascii="Times New Roman" w:hAnsi="Times New Roman" w:eastAsia="宋体" w:cs="Times New Roman"/>
          <w:color w:val="auto"/>
          <w:highlight w:val="none"/>
          <w:u w:val="none" w:color="auto"/>
        </w:rPr>
        <w:t>3.2.1施工内容和施工工艺</w:t>
      </w:r>
      <w:bookmarkEnd w:id="105"/>
      <w:bookmarkEnd w:id="106"/>
      <w:bookmarkEnd w:id="107"/>
    </w:p>
    <w:p>
      <w:pPr>
        <w:pStyle w:val="58"/>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本项目为空地，目前场地已基本平整，施工期主要为场地硬化及主体结构施工，项目施工期主要工艺流程及污染节点见下图：</w:t>
      </w:r>
    </w:p>
    <w:p>
      <w:pPr>
        <w:pStyle w:val="59"/>
        <w:pageBreakBefore w:val="0"/>
        <w:kinsoku/>
        <w:wordWrap/>
        <w:overflowPunct w:val="0"/>
        <w:topLinePunct/>
        <w:autoSpaceDE w:val="0"/>
        <w:autoSpaceDN w:val="0"/>
        <w:bidi w:val="0"/>
        <w:spacing w:line="360" w:lineRule="auto"/>
        <w:ind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drawing>
          <wp:inline distT="0" distB="0" distL="114300" distR="114300">
            <wp:extent cx="5269865" cy="1936115"/>
            <wp:effectExtent l="0" t="0" r="6985" b="6985"/>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pic:cNvPicPr>
                  </pic:nvPicPr>
                  <pic:blipFill>
                    <a:blip r:embed="rId38"/>
                    <a:stretch>
                      <a:fillRect/>
                    </a:stretch>
                  </pic:blipFill>
                  <pic:spPr>
                    <a:xfrm>
                      <a:off x="0" y="0"/>
                      <a:ext cx="5269865" cy="1936115"/>
                    </a:xfrm>
                    <a:prstGeom prst="rect">
                      <a:avLst/>
                    </a:prstGeom>
                    <a:noFill/>
                    <a:ln>
                      <a:noFill/>
                    </a:ln>
                  </pic:spPr>
                </pic:pic>
              </a:graphicData>
            </a:graphic>
          </wp:inline>
        </w:drawing>
      </w:r>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color w:val="auto"/>
          <w:sz w:val="24"/>
          <w:szCs w:val="22"/>
          <w:highlight w:val="none"/>
          <w:u w:val="none" w:color="auto"/>
        </w:rPr>
      </w:pPr>
      <w:r>
        <w:rPr>
          <w:rFonts w:hint="default" w:ascii="Times New Roman" w:hAnsi="Times New Roman" w:eastAsia="宋体" w:cs="Times New Roman"/>
          <w:b/>
          <w:color w:val="auto"/>
          <w:sz w:val="24"/>
          <w:szCs w:val="22"/>
          <w:highlight w:val="none"/>
          <w:u w:val="none" w:color="auto"/>
        </w:rPr>
        <w:t>图3.2-1施工工艺流程及污染节点图</w:t>
      </w:r>
    </w:p>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rPr>
      </w:pPr>
      <w:bookmarkStart w:id="108" w:name="_Toc29465"/>
      <w:bookmarkStart w:id="109" w:name="_Toc14618"/>
      <w:bookmarkStart w:id="110" w:name="_Toc30940"/>
      <w:r>
        <w:rPr>
          <w:rFonts w:hint="default" w:ascii="Times New Roman" w:hAnsi="Times New Roman" w:eastAsia="宋体" w:cs="Times New Roman"/>
          <w:color w:val="auto"/>
          <w:highlight w:val="none"/>
          <w:u w:val="none" w:color="auto"/>
        </w:rPr>
        <w:t>3.2.2施工期污染源分析</w:t>
      </w:r>
      <w:bookmarkEnd w:id="108"/>
      <w:bookmarkEnd w:id="109"/>
      <w:bookmarkEnd w:id="110"/>
    </w:p>
    <w:p>
      <w:pPr>
        <w:pStyle w:val="58"/>
        <w:pageBreakBefore w:val="0"/>
        <w:kinsoku/>
        <w:wordWrap/>
        <w:overflowPunct w:val="0"/>
        <w:topLinePunct/>
        <w:autoSpaceDE w:val="0"/>
        <w:autoSpaceDN w:val="0"/>
        <w:bidi w:val="0"/>
        <w:spacing w:line="360" w:lineRule="auto"/>
        <w:ind w:firstLine="482"/>
        <w:rPr>
          <w:rFonts w:hint="default" w:ascii="Times New Roman" w:hAnsi="Times New Roman" w:eastAsia="宋体" w:cs="Times New Roman"/>
          <w:b/>
          <w:bCs/>
          <w:color w:val="auto"/>
          <w:highlight w:val="none"/>
          <w:u w:val="none" w:color="auto"/>
        </w:rPr>
      </w:pPr>
      <w:bookmarkStart w:id="111" w:name="_Toc29668"/>
      <w:r>
        <w:rPr>
          <w:rFonts w:hint="default" w:ascii="Times New Roman" w:hAnsi="Times New Roman" w:eastAsia="宋体" w:cs="Times New Roman"/>
          <w:b/>
          <w:bCs/>
          <w:color w:val="auto"/>
          <w:highlight w:val="none"/>
          <w:u w:val="none" w:color="auto"/>
        </w:rPr>
        <w:t>（1）施工期大气污染源分析</w:t>
      </w:r>
      <w:bookmarkEnd w:id="111"/>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施工期大气污染物主要来源于施工扬尘，其次有施工车辆、挖土机等燃油燃烧时排放的NO</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、CO、THC等污染物以及装修期间有机溶剂废气等，但最为突出的是施工扬尘。</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①施工扬尘</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间，扬尘主要由以下因素产生：施工场地主要产生于建筑拆除、基坑开挖、结构施工、装修、施工车辆的路面行驶扬起的灰土、渣土车装卸时的扬尘等。按起尘的原因可分为风力起尘和动力起尘，其中风力起尘主要是由于露天堆放的建材（如黄沙、水泥等）及裸露的施工区表层浮尘，因天气干燥及大风，产尘扬尘；而动力起尘主要是在建材的装卸、搅拌过程中，由于外力而产生的尘粒再悬浮而造成，其中施工及装卸车辆造成的扬尘最为严重。据有关文献资料介绍，车辆行驶产生的扬尘占总扬尘的60%上。</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扬尘的另一个主要原因是露天堆场和裸露场地的风力扬尘。由于施工的需要，一些建材需露天堆放；一些施工点表层土壤需人工开挖、堆放，在气候干燥又有风的情况下会产生扬尘。这类扬尘的主要特点是与风速等气象条件有关，也与尘粒本身的沉降速度有关，主要影响范围在扬尘点下风向近距离范围内。</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②施工机械、运输车辆排放的废气</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在工程施工期间，使用液体燃料的施工机械及运输车辆的发动机排放的尾气中含有NO</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、CO、THC等污染物。</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③装修期间有机溶剂废气</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有机溶剂废气指装修施工阶段使用的黏合剂、涂料、油漆等材料中所含的有机溶剂挥发产生的有机废气。装修期间有机溶剂废气不仅与使用的黏合剂、涂料、油漆等材料的种类有关，且与黏合剂、涂料、油漆中有机溶剂的种类、含量有关，油漆废气的排放属无组织排放。因此，该部分废气的排放对周围环境的影响也较难预测。施工期主要大气污染物种类及其源强列于下表。</w:t>
      </w:r>
    </w:p>
    <w:p>
      <w:pPr>
        <w:pageBreakBefore w:val="0"/>
        <w:kinsoku/>
        <w:wordWrap/>
        <w:overflowPunct w:val="0"/>
        <w:topLinePunct/>
        <w:autoSpaceDE w:val="0"/>
        <w:autoSpaceDN w:val="0"/>
        <w:bidi w:val="0"/>
        <w:spacing w:line="360" w:lineRule="auto"/>
        <w:jc w:val="center"/>
        <w:rPr>
          <w:rFonts w:hint="default" w:ascii="Times New Roman" w:hAnsi="Times New Roman" w:eastAsia="宋体" w:cs="Times New Roman"/>
          <w:b/>
          <w:color w:val="auto"/>
          <w:sz w:val="24"/>
          <w:szCs w:val="22"/>
          <w:highlight w:val="none"/>
          <w:u w:val="none" w:color="auto"/>
        </w:rPr>
      </w:pPr>
      <w:r>
        <w:rPr>
          <w:rFonts w:hint="default" w:ascii="Times New Roman" w:hAnsi="Times New Roman" w:eastAsia="宋体" w:cs="Times New Roman"/>
          <w:b/>
          <w:color w:val="auto"/>
          <w:sz w:val="24"/>
          <w:szCs w:val="22"/>
          <w:highlight w:val="none"/>
          <w:u w:val="none" w:color="auto"/>
        </w:rPr>
        <w:t>表3.2-1施工期大气污染源的污染物种类及其源强一览表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212"/>
        <w:gridCol w:w="1706"/>
        <w:gridCol w:w="1706"/>
        <w:gridCol w:w="1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序号</w:t>
            </w:r>
          </w:p>
        </w:tc>
        <w:tc>
          <w:tcPr>
            <w:tcW w:w="12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污染源</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排放因子</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排放量</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主要产生阶段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1</w:t>
            </w:r>
          </w:p>
        </w:tc>
        <w:tc>
          <w:tcPr>
            <w:tcW w:w="12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场内扬尘</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粉尘</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少量</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基础工程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2</w:t>
            </w:r>
          </w:p>
        </w:tc>
        <w:tc>
          <w:tcPr>
            <w:tcW w:w="12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道路扬尘</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粉尘</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少量</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基础工程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3</w:t>
            </w:r>
          </w:p>
        </w:tc>
        <w:tc>
          <w:tcPr>
            <w:tcW w:w="12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施工机械废气</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CO、THC、NOx</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少量</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基础工程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4</w:t>
            </w:r>
          </w:p>
        </w:tc>
        <w:tc>
          <w:tcPr>
            <w:tcW w:w="12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装修有机溶剂废气</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二甲苯、甲苯</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少量</w:t>
            </w:r>
          </w:p>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无组织排放</w:t>
            </w:r>
          </w:p>
        </w:tc>
        <w:tc>
          <w:tcPr>
            <w:tcW w:w="100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装修工程</w:t>
            </w:r>
          </w:p>
        </w:tc>
      </w:tr>
    </w:tbl>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rPr>
      </w:pPr>
      <w:bookmarkStart w:id="112" w:name="_Toc28383"/>
      <w:r>
        <w:rPr>
          <w:rFonts w:hint="default" w:ascii="Times New Roman" w:hAnsi="Times New Roman" w:eastAsia="宋体" w:cs="Times New Roman"/>
          <w:b/>
          <w:bCs/>
          <w:color w:val="auto"/>
          <w:highlight w:val="none"/>
          <w:u w:val="none" w:color="auto"/>
        </w:rPr>
        <w:t>（2）施工期水污染源分析</w:t>
      </w:r>
      <w:bookmarkEnd w:id="112"/>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施工期废水主要是来自暴雨下的地表径流、施工废水及施工人员的生活污水。施工废水包括吹沙、开挖和钻孔产生的泥浆水、机械设备运转的冷却水和洗涤水；生活污水包括施工人员的盥洗水等。</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雨水地表径流：暴雨地表径流冲刷浮土、建筑砂石、垃圾、弃土等，不但会夹带大量泥沙，而且会携带水泥、油类、化学品等各种污染物。</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废水：施工废水主要来自进出施工场地的运输车辆、施工机械和工具冲洗水、结构阶段混凝土养护排水、桩基施工产生的泥浆废水，以及雨水冲刷施工场地内裸露表土产生的含泥沙废水。施工废水主要污染因子为SS和石油类。</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时产生的泥浆水及冲孔钻孔桩产生的泥浆未经处理不得随意排放，不得污染现场及周围环境；在临时堆场、施工泥浆产生点应设置临时沉砂池，含泥沙雨水、泥浆水经沉砂池沉淀处理后，回用于施工或洒水降尘，不外排。项目施工场地设置进出车辆冲洗平台，并在平台周边设置截流沟，将冲洗废水导入沉淀池或沉砂井，施工废水经简易隔油沉淀处理后，回用于施工或洒水降尘，不外排。</w:t>
      </w:r>
    </w:p>
    <w:p>
      <w:pPr>
        <w:pStyle w:val="58"/>
        <w:keepNext w:val="0"/>
        <w:keepLines w:val="0"/>
        <w:pageBreakBefore w:val="0"/>
        <w:widowControl w:val="0"/>
        <w:kinsoku/>
        <w:wordWrap/>
        <w:overflowPunct w:val="0"/>
        <w:topLinePunct/>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施工人员生活污水：本项目预计高峰期施工人数为50人，用水量按0.05m</w:t>
      </w:r>
      <w:r>
        <w:rPr>
          <w:rFonts w:hint="default" w:ascii="Times New Roman" w:hAnsi="Times New Roman" w:eastAsia="宋体" w:cs="Times New Roman"/>
          <w:color w:val="auto"/>
          <w:highlight w:val="none"/>
          <w:u w:val="none" w:color="auto"/>
          <w:vertAlign w:val="superscript"/>
        </w:rPr>
        <w:t>3</w:t>
      </w:r>
      <w:r>
        <w:rPr>
          <w:rFonts w:hint="default" w:ascii="Times New Roman" w:hAnsi="Times New Roman" w:eastAsia="宋体" w:cs="Times New Roman"/>
          <w:color w:val="auto"/>
          <w:highlight w:val="none"/>
          <w:u w:val="none" w:color="auto"/>
        </w:rPr>
        <w:t>/d·人计，则施工期生活用水量为2.5m</w:t>
      </w:r>
      <w:r>
        <w:rPr>
          <w:rFonts w:hint="default" w:ascii="Times New Roman" w:hAnsi="Times New Roman" w:eastAsia="宋体" w:cs="Times New Roman"/>
          <w:color w:val="auto"/>
          <w:highlight w:val="none"/>
          <w:u w:val="none" w:color="auto"/>
          <w:vertAlign w:val="superscript"/>
        </w:rPr>
        <w:t>3</w:t>
      </w:r>
      <w:r>
        <w:rPr>
          <w:rFonts w:hint="default" w:ascii="Times New Roman" w:hAnsi="Times New Roman" w:eastAsia="宋体" w:cs="Times New Roman"/>
          <w:color w:val="auto"/>
          <w:highlight w:val="none"/>
          <w:u w:val="none" w:color="auto"/>
        </w:rPr>
        <w:t>/d。生活污水量按用水量80%计，则施工期生活污水量为2m</w:t>
      </w:r>
      <w:r>
        <w:rPr>
          <w:rFonts w:hint="default" w:ascii="Times New Roman" w:hAnsi="Times New Roman" w:eastAsia="宋体" w:cs="Times New Roman"/>
          <w:color w:val="auto"/>
          <w:highlight w:val="none"/>
          <w:u w:val="none" w:color="auto"/>
          <w:vertAlign w:val="superscript"/>
        </w:rPr>
        <w:t>3</w:t>
      </w:r>
      <w:r>
        <w:rPr>
          <w:rFonts w:hint="default" w:ascii="Times New Roman" w:hAnsi="Times New Roman" w:eastAsia="宋体" w:cs="Times New Roman"/>
          <w:color w:val="auto"/>
          <w:highlight w:val="none"/>
          <w:u w:val="none" w:color="auto"/>
        </w:rPr>
        <w:t>/d。该类污水为典型的生活污水，经隔油池和化粪池处理达标后排入污水管网进入</w:t>
      </w:r>
      <w:r>
        <w:rPr>
          <w:rFonts w:hint="default" w:ascii="Times New Roman" w:hAnsi="Times New Roman" w:eastAsia="宋体" w:cs="Times New Roman"/>
          <w:color w:val="auto"/>
          <w:u w:val="none" w:color="auto"/>
        </w:rPr>
        <w:t>城陵矶临港产业新区污水处理厂</w:t>
      </w:r>
      <w:r>
        <w:rPr>
          <w:rFonts w:hint="default" w:ascii="Times New Roman" w:hAnsi="Times New Roman" w:eastAsia="宋体" w:cs="Times New Roman"/>
          <w:color w:val="auto"/>
          <w:highlight w:val="none"/>
          <w:u w:val="none" w:color="auto"/>
        </w:rPr>
        <w:t>。其主要的污染物产生量见下表。</w:t>
      </w:r>
    </w:p>
    <w:p>
      <w:pPr>
        <w:pStyle w:val="62"/>
        <w:keepNext w:val="0"/>
        <w:keepLines w:val="0"/>
        <w:pageBreakBefore w:val="0"/>
        <w:widowControl w:val="0"/>
        <w:kinsoku/>
        <w:wordWrap/>
        <w:overflowPunct w:val="0"/>
        <w:topLinePunct/>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表3.</w:t>
      </w: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-2施工期生活污水污染物产生情况</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35"/>
        <w:gridCol w:w="1197"/>
        <w:gridCol w:w="1197"/>
        <w:gridCol w:w="1198"/>
        <w:gridCol w:w="1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指标</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COD</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BOD</w:t>
            </w:r>
            <w:r>
              <w:rPr>
                <w:rFonts w:hint="default" w:ascii="Times New Roman" w:hAnsi="Times New Roman" w:eastAsia="宋体" w:cs="Times New Roman"/>
                <w:color w:val="auto"/>
                <w:szCs w:val="20"/>
                <w:highlight w:val="none"/>
                <w:u w:val="none" w:color="auto"/>
                <w:vertAlign w:val="subscript"/>
              </w:rPr>
              <w:t>5</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SS</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浓度（mg/L）</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300</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150</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200</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产生量（kg/d）</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0.6</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0.3</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0.4</w:t>
            </w:r>
          </w:p>
        </w:tc>
        <w:tc>
          <w:tcPr>
            <w:tcW w:w="702"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0.05</w:t>
            </w:r>
          </w:p>
        </w:tc>
      </w:tr>
    </w:tbl>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rPr>
      </w:pPr>
      <w:bookmarkStart w:id="113" w:name="_Toc25538"/>
      <w:r>
        <w:rPr>
          <w:rFonts w:hint="default" w:ascii="Times New Roman" w:hAnsi="Times New Roman" w:eastAsia="宋体" w:cs="Times New Roman"/>
          <w:b/>
          <w:bCs/>
          <w:color w:val="auto"/>
          <w:highlight w:val="none"/>
          <w:u w:val="none" w:color="auto"/>
        </w:rPr>
        <w:t>（3）施工期噪声分析</w:t>
      </w:r>
      <w:bookmarkEnd w:id="113"/>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筑施工场界环境噪声排放标准》（GB12523-2011），将施工过程分为四个阶段：土石方阶段、基础施工阶段、结构施工阶段和装修阶段。这四个阶段以基础施工阶段所占施工时间较长，采用的施工机械较多，噪声污染较为严重。</w:t>
      </w:r>
    </w:p>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表3.2-3施工期机械各设备的噪声源强</w:t>
      </w:r>
    </w:p>
    <w:tbl>
      <w:tblPr>
        <w:tblStyle w:val="4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1741"/>
        <w:gridCol w:w="2661"/>
        <w:gridCol w:w="2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工程阶段</w:t>
            </w: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名称</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单台设备噪声级dB(A)</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离声源的距离(m)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restar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土方工程</w:t>
            </w: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挖掘机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90</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推土机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压路机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90</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运输车辆</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restar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基础工程</w:t>
            </w: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静压打桩机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80</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平地机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86</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空压机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95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restar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结构工程</w:t>
            </w: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电焊机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运输车辆</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restar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装修工程</w:t>
            </w: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电锯</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95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电钻</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90</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1" w:type="pct"/>
            <w:vMerge w:val="continue"/>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p>
        </w:tc>
        <w:tc>
          <w:tcPr>
            <w:tcW w:w="1021"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电焊机</w:t>
            </w:r>
          </w:p>
        </w:tc>
        <w:tc>
          <w:tcPr>
            <w:tcW w:w="1560"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85</w:t>
            </w:r>
          </w:p>
        </w:tc>
        <w:tc>
          <w:tcPr>
            <w:tcW w:w="1397" w:type="pct"/>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color w:val="auto"/>
                <w:szCs w:val="20"/>
                <w:highlight w:val="none"/>
                <w:u w:val="none" w:color="auto"/>
              </w:rPr>
            </w:pPr>
            <w:r>
              <w:rPr>
                <w:rFonts w:hint="default" w:ascii="Times New Roman" w:hAnsi="Times New Roman" w:eastAsia="宋体" w:cs="Times New Roman"/>
                <w:color w:val="auto"/>
                <w:szCs w:val="20"/>
                <w:highlight w:val="none"/>
                <w:u w:val="none" w:color="auto"/>
              </w:rPr>
              <w:t>5m</w:t>
            </w:r>
          </w:p>
        </w:tc>
      </w:tr>
    </w:tbl>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rPr>
      </w:pPr>
      <w:bookmarkStart w:id="114" w:name="_Toc31182"/>
      <w:r>
        <w:rPr>
          <w:rFonts w:hint="default" w:ascii="Times New Roman" w:hAnsi="Times New Roman" w:eastAsia="宋体" w:cs="Times New Roman"/>
          <w:b/>
          <w:bCs/>
          <w:color w:val="auto"/>
          <w:highlight w:val="none"/>
          <w:u w:val="none" w:color="auto"/>
        </w:rPr>
        <w:t>（4）施工固废分析</w:t>
      </w:r>
      <w:bookmarkEnd w:id="114"/>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施工期间产生的主要固体废物是施工人员产生的生活垃圾、建筑垃圾及废弃土石方。</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①废弃土石方</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项目不设地下室，故开挖的土方量较小，开挖的表土暂存作为后期绿化之用，其余挖方基本用于道路建设、低洼处填平等，在项目范围内可就地达到土石方平衡，不存在弃土方问题。</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②建筑垃圾</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建筑垃圾产生量按《环境影响评价工程师职业资格登记培训教材-社会区域》（2006年8月）中提出的经验数据55kg/m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计算，本项目总建筑面积为</w:t>
      </w:r>
      <w:r>
        <w:rPr>
          <w:rFonts w:hint="default" w:ascii="Times New Roman" w:hAnsi="Times New Roman" w:eastAsia="宋体" w:cs="Times New Roman"/>
          <w:color w:val="auto"/>
          <w:u w:val="none" w:color="auto"/>
          <w:lang w:val="en-US" w:eastAsia="zh-CN"/>
        </w:rPr>
        <w:t>145000m</w:t>
      </w:r>
      <w:r>
        <w:rPr>
          <w:rFonts w:hint="default" w:ascii="Times New Roman" w:hAnsi="Times New Roman" w:eastAsia="宋体" w:cs="Times New Roman"/>
          <w:color w:val="auto"/>
          <w:u w:val="none" w:color="auto"/>
          <w:vertAlign w:val="superscript"/>
          <w:lang w:val="en-US" w:eastAsia="zh-CN"/>
        </w:rPr>
        <w:t>2</w:t>
      </w:r>
      <w:r>
        <w:rPr>
          <w:rFonts w:hint="default" w:ascii="Times New Roman" w:hAnsi="Times New Roman" w:eastAsia="宋体" w:cs="Times New Roman"/>
          <w:color w:val="auto"/>
          <w:highlight w:val="none"/>
          <w:u w:val="none" w:color="auto"/>
        </w:rPr>
        <w:t>，则产生建筑垃圾约</w:t>
      </w:r>
      <w:r>
        <w:rPr>
          <w:rFonts w:hint="default" w:ascii="Times New Roman" w:hAnsi="Times New Roman" w:eastAsia="宋体" w:cs="Times New Roman"/>
          <w:color w:val="auto"/>
          <w:highlight w:val="none"/>
          <w:u w:val="none" w:color="auto"/>
          <w:lang w:val="en-US" w:eastAsia="zh-CN"/>
        </w:rPr>
        <w:t>7975</w:t>
      </w:r>
      <w:r>
        <w:rPr>
          <w:rFonts w:hint="default" w:ascii="Times New Roman" w:hAnsi="Times New Roman" w:eastAsia="宋体" w:cs="Times New Roman"/>
          <w:color w:val="auto"/>
          <w:highlight w:val="none"/>
          <w:u w:val="none" w:color="auto"/>
        </w:rPr>
        <w:t>吨，本项目产生的建筑垃圾的主要成分：废弃的沙石、水泥、木屑、碎木块、弃砖、水泥袋、废纤维、碎玻璃、废金属、废瓷砖等。</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③施工人员生活垃圾</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人员每天产生的生活垃圾数量因在场人员数量变化而异，进场施工人数按约50人计，根据相似项目类比情况，固体废物排放计算系数取0.5kg/d，则施工人员的生活垃圾产生量为25kg/d。施工生活垃圾经收集后由环卫部门处理。</w:t>
      </w:r>
    </w:p>
    <w:p>
      <w:pPr>
        <w:pStyle w:val="6"/>
        <w:pageBreakBefore w:val="0"/>
        <w:kinsoku/>
        <w:wordWrap/>
        <w:overflowPunct w:val="0"/>
        <w:topLinePunct/>
        <w:autoSpaceDE w:val="0"/>
        <w:autoSpaceDN w:val="0"/>
        <w:bidi w:val="0"/>
        <w:adjustRightInd/>
        <w:snapToGrid/>
        <w:spacing w:before="0" w:after="0" w:line="360" w:lineRule="auto"/>
        <w:textAlignment w:val="auto"/>
        <w:rPr>
          <w:rFonts w:hint="default" w:ascii="Times New Roman" w:hAnsi="Times New Roman" w:eastAsia="宋体" w:cs="Times New Roman"/>
          <w:color w:val="auto"/>
          <w:highlight w:val="none"/>
          <w:u w:val="none" w:color="auto"/>
        </w:rPr>
      </w:pPr>
      <w:bookmarkStart w:id="115" w:name="_Toc5335"/>
      <w:bookmarkStart w:id="116" w:name="_Toc3995"/>
      <w:r>
        <w:rPr>
          <w:rFonts w:hint="default" w:ascii="Times New Roman" w:hAnsi="Times New Roman" w:eastAsia="宋体" w:cs="Times New Roman"/>
          <w:color w:val="auto"/>
          <w:highlight w:val="none"/>
          <w:u w:val="none" w:color="auto"/>
        </w:rPr>
        <w:t>3.3营运期项目工艺流程及产污环节分析</w:t>
      </w:r>
      <w:bookmarkEnd w:id="103"/>
      <w:bookmarkEnd w:id="104"/>
      <w:bookmarkEnd w:id="115"/>
      <w:bookmarkEnd w:id="116"/>
    </w:p>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lang w:val="en-US" w:eastAsia="zh-CN"/>
        </w:rPr>
      </w:pPr>
      <w:bookmarkStart w:id="117" w:name="_Toc11907"/>
      <w:bookmarkStart w:id="118" w:name="_Toc10536"/>
      <w:bookmarkStart w:id="119" w:name="_Toc17662"/>
      <w:r>
        <w:rPr>
          <w:rFonts w:hint="default" w:ascii="Times New Roman" w:hAnsi="Times New Roman" w:eastAsia="宋体" w:cs="Times New Roman"/>
          <w:color w:val="auto"/>
          <w:highlight w:val="none"/>
          <w:u w:val="none" w:color="auto"/>
        </w:rPr>
        <w:t>3.3.1</w:t>
      </w:r>
      <w:bookmarkEnd w:id="117"/>
      <w:bookmarkEnd w:id="118"/>
      <w:r>
        <w:rPr>
          <w:rFonts w:hint="default" w:ascii="Times New Roman" w:hAnsi="Times New Roman" w:eastAsia="宋体" w:cs="Times New Roman"/>
          <w:color w:val="auto"/>
          <w:highlight w:val="none"/>
          <w:u w:val="none" w:color="auto"/>
        </w:rPr>
        <w:t>变形镁合金圆铸锭</w:t>
      </w:r>
      <w:r>
        <w:rPr>
          <w:rFonts w:hint="default" w:ascii="Times New Roman" w:hAnsi="Times New Roman" w:eastAsia="宋体" w:cs="Times New Roman"/>
          <w:color w:val="auto"/>
          <w:highlight w:val="none"/>
          <w:u w:val="none" w:color="auto"/>
          <w:lang w:val="en-US" w:eastAsia="zh-CN"/>
        </w:rPr>
        <w:t>生产工艺流程</w:t>
      </w:r>
      <w:bookmarkEnd w:id="119"/>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熔铸车间生产任务是向锻造车间提供质量和规格符合要求的变形镁合金圆锭。</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根据熔铸车间的生产任务和拟选择的生产技术及装备，并参照同类企业的实际生产经验，经估算，确定熔铸车间变形镁合金圆锭的综合成品率约为70.5%。</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经计算，熔铸车间年投料量约为</w:t>
      </w:r>
      <w:r>
        <w:rPr>
          <w:rFonts w:hint="eastAsia" w:ascii="Times New Roman" w:hAnsi="Times New Roman" w:eastAsia="宋体" w:cs="Times New Roman"/>
          <w:color w:val="auto"/>
          <w:highlight w:val="none"/>
          <w:u w:val="none" w:color="auto"/>
          <w:lang w:val="en-US" w:eastAsia="zh-CN"/>
        </w:rPr>
        <w:t>15295</w:t>
      </w:r>
      <w:r>
        <w:rPr>
          <w:rFonts w:hint="default" w:ascii="Times New Roman" w:hAnsi="Times New Roman" w:eastAsia="宋体" w:cs="Times New Roman"/>
          <w:color w:val="auto"/>
          <w:highlight w:val="none"/>
          <w:u w:val="none" w:color="auto"/>
          <w:lang w:val="en-US" w:eastAsia="zh-CN"/>
        </w:rPr>
        <w:t>t，其中，板材车间、挤压车间、锻造车间和本车间返回的同牌号一、二级废料约</w:t>
      </w:r>
      <w:r>
        <w:rPr>
          <w:rFonts w:hint="eastAsia" w:ascii="Times New Roman" w:hAnsi="Times New Roman" w:eastAsia="宋体" w:cs="Times New Roman"/>
          <w:color w:val="auto"/>
          <w:highlight w:val="none"/>
          <w:u w:val="none" w:color="auto"/>
          <w:lang w:val="en-US" w:eastAsia="zh-CN"/>
        </w:rPr>
        <w:t>6615</w:t>
      </w:r>
      <w:r>
        <w:rPr>
          <w:rFonts w:hint="default" w:ascii="Times New Roman" w:hAnsi="Times New Roman" w:eastAsia="宋体" w:cs="Times New Roman"/>
          <w:color w:val="auto"/>
          <w:highlight w:val="none"/>
          <w:u w:val="none" w:color="auto"/>
          <w:lang w:val="en-US" w:eastAsia="zh-CN"/>
        </w:rPr>
        <w:t>，外购原材料约</w:t>
      </w:r>
      <w:r>
        <w:rPr>
          <w:rFonts w:hint="eastAsia" w:ascii="Times New Roman" w:hAnsi="Times New Roman" w:eastAsia="宋体" w:cs="Times New Roman"/>
          <w:color w:val="auto"/>
          <w:highlight w:val="none"/>
          <w:u w:val="none" w:color="auto"/>
          <w:lang w:val="en-US" w:eastAsia="zh-CN"/>
        </w:rPr>
        <w:t>8680</w:t>
      </w:r>
      <w:r>
        <w:rPr>
          <w:rFonts w:hint="default" w:ascii="Times New Roman" w:hAnsi="Times New Roman" w:eastAsia="宋体" w:cs="Times New Roman"/>
          <w:color w:val="auto"/>
          <w:highlight w:val="none"/>
          <w:u w:val="none" w:color="auto"/>
          <w:lang w:val="en-US" w:eastAsia="zh-CN"/>
        </w:rPr>
        <w:t>t。</w:t>
      </w:r>
    </w:p>
    <w:p>
      <w:pPr>
        <w:keepNext/>
        <w:keepLines/>
        <w:pageBreakBefore w:val="0"/>
        <w:widowControl w:val="0"/>
        <w:kinsoku/>
        <w:wordWrap/>
        <w:overflowPunct w:val="0"/>
        <w:topLinePunct/>
        <w:autoSpaceDE w:val="0"/>
        <w:autoSpaceDN w:val="0"/>
        <w:bidi w:val="0"/>
        <w:adjustRightInd/>
        <w:snapToGrid/>
        <w:jc w:val="center"/>
        <w:textAlignment w:val="auto"/>
        <w:outlineLvl w:val="9"/>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object>
          <v:shape id="_x0000_i1025" o:spt="75" type="#_x0000_t75" style="height:526.8pt;width:304.2pt;" o:ole="t" filled="f" o:preferrelative="t" stroked="f" coordsize="21600,21600">
            <v:path/>
            <v:fill on="f" focussize="0,0"/>
            <v:stroke on="f"/>
            <v:imagedata r:id="rId40" o:title=""/>
            <o:lock v:ext="edit" aspectratio="f"/>
            <w10:wrap type="none"/>
            <w10:anchorlock/>
          </v:shape>
          <o:OLEObject Type="Embed" ProgID="Visio.Drawing.11" ShapeID="_x0000_i1025" DrawAspect="Content" ObjectID="_1468075725" r:id="rId39">
            <o:LockedField>false</o:LockedField>
          </o:OLEObject>
        </w:object>
      </w:r>
    </w:p>
    <w:p>
      <w:pPr>
        <w:pageBreakBefore w:val="0"/>
        <w:kinsoku/>
        <w:wordWrap/>
        <w:overflowPunct w:val="0"/>
        <w:topLinePunct/>
        <w:autoSpaceDE w:val="0"/>
        <w:autoSpaceDN w:val="0"/>
        <w:bidi w:val="0"/>
        <w:jc w:val="center"/>
        <w:outlineLvl w:val="9"/>
        <w:rPr>
          <w:rFonts w:hint="default" w:ascii="Times New Roman" w:hAnsi="Times New Roman" w:eastAsia="宋体" w:cs="Times New Roman"/>
          <w:color w:val="auto"/>
          <w:u w:val="none" w:color="auto"/>
          <w:lang w:val="en-US"/>
        </w:rPr>
      </w:pPr>
    </w:p>
    <w:p>
      <w:pPr>
        <w:pStyle w:val="58"/>
        <w:pageBreakBefore w:val="0"/>
        <w:kinsoku/>
        <w:wordWrap/>
        <w:overflowPunct w:val="0"/>
        <w:topLinePunct/>
        <w:autoSpaceDE w:val="0"/>
        <w:autoSpaceDN w:val="0"/>
        <w:bidi w:val="0"/>
        <w:ind w:firstLine="0" w:firstLineChars="0"/>
        <w:jc w:val="center"/>
        <w:rPr>
          <w:rStyle w:val="63"/>
          <w:rFonts w:hint="default" w:ascii="Times New Roman" w:hAnsi="Times New Roman" w:eastAsia="宋体" w:cs="Times New Roman"/>
          <w:color w:val="auto"/>
          <w:highlight w:val="none"/>
          <w:u w:val="none" w:color="auto"/>
        </w:rPr>
      </w:pPr>
      <w:r>
        <w:rPr>
          <w:rStyle w:val="63"/>
          <w:rFonts w:hint="default" w:ascii="Times New Roman" w:hAnsi="Times New Roman" w:eastAsia="宋体" w:cs="Times New Roman"/>
          <w:color w:val="auto"/>
          <w:highlight w:val="none"/>
          <w:u w:val="none" w:color="auto"/>
        </w:rPr>
        <w:t>图3.3-1</w:t>
      </w:r>
      <w:r>
        <w:rPr>
          <w:rStyle w:val="63"/>
          <w:rFonts w:hint="default" w:ascii="Times New Roman" w:hAnsi="Times New Roman" w:eastAsia="宋体" w:cs="Times New Roman"/>
          <w:color w:val="auto"/>
          <w:highlight w:val="none"/>
          <w:u w:val="none" w:color="auto"/>
          <w:lang w:eastAsia="zh-CN"/>
        </w:rPr>
        <w:t>变形镁合金圆铸锭</w:t>
      </w:r>
      <w:r>
        <w:rPr>
          <w:rStyle w:val="63"/>
          <w:rFonts w:hint="default" w:ascii="Times New Roman" w:hAnsi="Times New Roman" w:eastAsia="宋体" w:cs="Times New Roman"/>
          <w:color w:val="auto"/>
          <w:highlight w:val="none"/>
          <w:u w:val="none" w:color="auto"/>
        </w:rPr>
        <w:t>生产线工艺流程及产污节点图</w:t>
      </w:r>
    </w:p>
    <w:p>
      <w:pPr>
        <w:pageBreakBefore w:val="0"/>
        <w:kinsoku/>
        <w:wordWrap/>
        <w:overflowPunct w:val="0"/>
        <w:topLinePunct/>
        <w:autoSpaceDE w:val="0"/>
        <w:autoSpaceDN w:val="0"/>
        <w:bidi w:val="0"/>
        <w:rPr>
          <w:rStyle w:val="63"/>
          <w:rFonts w:hint="default" w:ascii="Times New Roman" w:hAnsi="Times New Roman" w:eastAsia="宋体" w:cs="Times New Roman"/>
          <w:color w:val="auto"/>
          <w:highlight w:val="none"/>
          <w:u w:val="none" w:color="auto"/>
        </w:rPr>
      </w:pP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（1）生产工艺流程简述</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外购原材料和返回的一、二级废料按工艺规程配料后，经预热炉预热，然后将原生镁锭、返回废料、成分占比大且不易烧损的外购合金料一起加入电阻熔化炉内熔化</w:t>
      </w:r>
      <w:r>
        <w:rPr>
          <w:rFonts w:hint="eastAsia" w:ascii="Times New Roman" w:hAnsi="Times New Roman" w:eastAsia="宋体" w:cs="Times New Roman"/>
          <w:color w:val="auto"/>
          <w:highlight w:val="none"/>
          <w:u w:val="none" w:color="auto"/>
          <w:lang w:val="en-US" w:eastAsia="zh-CN"/>
        </w:rPr>
        <w:t>（熔化温度为600-700℃）</w:t>
      </w:r>
      <w:r>
        <w:rPr>
          <w:rFonts w:hint="default" w:ascii="Times New Roman" w:hAnsi="Times New Roman" w:eastAsia="宋体" w:cs="Times New Roman"/>
          <w:color w:val="auto"/>
          <w:highlight w:val="none"/>
          <w:u w:val="none" w:color="auto"/>
          <w:lang w:val="en-US" w:eastAsia="zh-CN"/>
        </w:rPr>
        <w:t>，待原料完全熔化后，对镁液进行一次精炼</w:t>
      </w:r>
      <w:r>
        <w:rPr>
          <w:rFonts w:hint="eastAsia" w:ascii="Times New Roman" w:hAnsi="Times New Roman" w:eastAsia="宋体" w:cs="Times New Roman"/>
          <w:color w:val="auto"/>
          <w:highlight w:val="none"/>
          <w:u w:val="none" w:color="auto"/>
          <w:lang w:val="en-US" w:eastAsia="zh-CN"/>
        </w:rPr>
        <w:t>（精炼温度为750℃）</w:t>
      </w:r>
      <w:r>
        <w:rPr>
          <w:rFonts w:hint="default" w:ascii="Times New Roman" w:hAnsi="Times New Roman" w:eastAsia="宋体" w:cs="Times New Roman"/>
          <w:color w:val="auto"/>
          <w:highlight w:val="none"/>
          <w:u w:val="none" w:color="auto"/>
          <w:lang w:val="en-US" w:eastAsia="zh-CN"/>
        </w:rPr>
        <w:t>、扒渣，然后向炉膛内加入中间合金锭、贵金属及易烧损合金料进行合金化，合金化后镁液进行二次精炼</w:t>
      </w:r>
      <w:r>
        <w:rPr>
          <w:rFonts w:hint="eastAsia" w:ascii="Times New Roman" w:hAnsi="Times New Roman" w:eastAsia="宋体" w:cs="Times New Roman"/>
          <w:color w:val="auto"/>
          <w:highlight w:val="none"/>
          <w:u w:val="none" w:color="auto"/>
          <w:lang w:val="en-US" w:eastAsia="zh-CN"/>
        </w:rPr>
        <w:t>（精炼温度为750℃）</w:t>
      </w:r>
      <w:r>
        <w:rPr>
          <w:rFonts w:hint="default" w:ascii="Times New Roman" w:hAnsi="Times New Roman" w:eastAsia="宋体" w:cs="Times New Roman"/>
          <w:color w:val="auto"/>
          <w:highlight w:val="none"/>
          <w:u w:val="none" w:color="auto"/>
          <w:lang w:val="en-US" w:eastAsia="zh-CN"/>
        </w:rPr>
        <w:t>、扒渣，然后取样分析并调整成分合格后，通过转流管转入4t熔保炉内保温静置（若直接采用4t熔保炉进行熔化的镁液，合金化后直接在炉内进行保温静置），并熔体进行晶粒细化处理，最后调整镁液温度至铸造温度，然后通过立式半连续铸造机将镁液铸造成锭，较大规格铸锭（≥φ300mm）在铸造期间采用电磁感应装置对结晶器内熔体进行外场电磁干预，铸锭达到设定长度后，用起重机将镁锭吊出铸井，然后加入均热炉内进行均匀化处理，铸造应力较大的铸锭，需要先加入去应力退火炉内进行低温去应力退火，再转入均热炉内进行均匀化退火，退火后铸锭经锯切机切除头尾并定尺中断成所需铸锭长度后，再由数控车床车去质量较差的表面，最后经探伤等检查合格后，存放在铸锭存放区。其中，镁液从熔化炉内直至浇注到结晶器内的整个过程中，均由保护气体严密保护。</w:t>
      </w: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（2）主要污染工序</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熔铸车间主要污染源为：熔化和铸造废气、精炼渣、废料、机械加工噪声。</w:t>
      </w:r>
    </w:p>
    <w:p>
      <w:pPr>
        <w:pStyle w:val="58"/>
        <w:pageBreakBefore w:val="0"/>
        <w:kinsoku/>
        <w:wordWrap/>
        <w:overflowPunct w:val="0"/>
        <w:topLinePunct/>
        <w:autoSpaceDE w:val="0"/>
        <w:autoSpaceDN w:val="0"/>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表3.3-1镁合金铸锭生产污染工序</w:t>
      </w:r>
    </w:p>
    <w:tbl>
      <w:tblPr>
        <w:tblStyle w:val="40"/>
        <w:tblW w:w="50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916"/>
        <w:gridCol w:w="1075"/>
        <w:gridCol w:w="996"/>
        <w:gridCol w:w="2997"/>
        <w:gridCol w:w="2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污染源工序</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SA"/>
              </w:rPr>
              <w:t>镁合金铸锭</w:t>
            </w:r>
          </w:p>
        </w:tc>
        <w:tc>
          <w:tcPr>
            <w:tcW w:w="639" w:type="pct"/>
            <w:vMerge w:val="restar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spacing w:after="6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en-US" w:bidi="en-US"/>
              </w:rPr>
              <w:t>G</w:t>
            </w:r>
            <w:r>
              <w:rPr>
                <w:rFonts w:hint="eastAsia" w:ascii="Times New Roman" w:hAnsi="Times New Roman" w:eastAsia="宋体" w:cs="Times New Roman"/>
                <w:color w:val="auto"/>
                <w:sz w:val="21"/>
                <w:szCs w:val="21"/>
                <w:highlight w:val="none"/>
                <w:lang w:val="en-US" w:eastAsia="zh-CN" w:bidi="en-US"/>
              </w:rPr>
              <w:t>1</w:t>
            </w:r>
            <w:r>
              <w:rPr>
                <w:rFonts w:hint="default" w:ascii="Times New Roman" w:hAnsi="Times New Roman" w:eastAsia="宋体" w:cs="Times New Roman"/>
                <w:color w:val="auto"/>
                <w:sz w:val="21"/>
                <w:szCs w:val="21"/>
                <w:highlight w:val="none"/>
                <w:lang w:val="en-US" w:eastAsia="en-US" w:bidi="en-US"/>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熔炼废气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颗粒物、氯化氢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en-US" w:bidi="en-US"/>
              </w:rPr>
              <w:t>G</w:t>
            </w:r>
            <w:r>
              <w:rPr>
                <w:rFonts w:hint="eastAsia" w:ascii="Times New Roman" w:hAnsi="Times New Roman" w:eastAsia="宋体" w:cs="Times New Roman"/>
                <w:color w:val="auto"/>
                <w:sz w:val="21"/>
                <w:szCs w:val="21"/>
                <w:highlight w:val="none"/>
                <w:lang w:val="en-US" w:eastAsia="zh-CN" w:bidi="en-US"/>
              </w:rPr>
              <w:t>1</w:t>
            </w:r>
            <w:r>
              <w:rPr>
                <w:rFonts w:hint="default" w:ascii="Times New Roman" w:hAnsi="Times New Roman" w:eastAsia="宋体" w:cs="Times New Roman"/>
                <w:color w:val="auto"/>
                <w:sz w:val="21"/>
                <w:szCs w:val="21"/>
                <w:highlight w:val="none"/>
                <w:lang w:val="en-US" w:eastAsia="en-US" w:bidi="en-US"/>
              </w:rPr>
              <w:t>-</w:t>
            </w:r>
            <w:r>
              <w:rPr>
                <w:rFonts w:hint="default" w:ascii="Times New Roman" w:hAnsi="Times New Roman" w:eastAsia="宋体" w:cs="Times New Roman"/>
                <w:color w:val="auto"/>
                <w:sz w:val="21"/>
                <w:szCs w:val="21"/>
                <w:highlight w:val="none"/>
                <w:lang w:val="en-US" w:eastAsia="zh-CN" w:bidi="en-US"/>
              </w:rPr>
              <w:t>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浇筑废气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N1-1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en-US"/>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bidi="en-US"/>
              </w:rPr>
              <w:t>S</w:t>
            </w:r>
            <w:r>
              <w:rPr>
                <w:rFonts w:hint="eastAsia" w:ascii="Times New Roman" w:hAnsi="Times New Roman" w:eastAsia="宋体" w:cs="Times New Roman"/>
                <w:color w:val="auto"/>
                <w:sz w:val="21"/>
                <w:szCs w:val="21"/>
                <w:highlight w:val="none"/>
                <w:lang w:val="en-US" w:eastAsia="zh-CN" w:bidi="en-US"/>
              </w:rPr>
              <w:t>1</w:t>
            </w:r>
            <w:r>
              <w:rPr>
                <w:rFonts w:hint="default" w:ascii="Times New Roman" w:hAnsi="Times New Roman" w:eastAsia="宋体" w:cs="Times New Roman"/>
                <w:color w:val="auto"/>
                <w:sz w:val="21"/>
                <w:szCs w:val="21"/>
                <w:highlight w:val="none"/>
                <w:lang w:val="en-US" w:eastAsia="en-US" w:bidi="en-US"/>
              </w:rPr>
              <w:t>-</w:t>
            </w:r>
            <w:r>
              <w:rPr>
                <w:rFonts w:hint="default" w:ascii="Times New Roman" w:hAnsi="Times New Roman" w:eastAsia="宋体" w:cs="Times New Roman"/>
                <w:color w:val="auto"/>
                <w:sz w:val="21"/>
                <w:szCs w:val="21"/>
                <w:highlight w:val="none"/>
                <w:lang w:val="en-US" w:eastAsia="zh-CN" w:bidi="en-US"/>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精炼扒渣</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金属渣</w:t>
            </w:r>
          </w:p>
        </w:tc>
      </w:tr>
    </w:tbl>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outlineLvl w:val="2"/>
        <w:rPr>
          <w:rFonts w:hint="default" w:ascii="Times New Roman" w:hAnsi="Times New Roman" w:eastAsia="宋体" w:cs="Times New Roman"/>
          <w:b/>
          <w:bCs/>
          <w:color w:val="auto"/>
          <w:highlight w:val="none"/>
          <w:u w:val="none" w:color="auto"/>
          <w:lang w:val="en-US" w:eastAsia="zh-CN"/>
        </w:rPr>
      </w:pPr>
      <w:bookmarkStart w:id="120" w:name="_Toc20048"/>
      <w:bookmarkStart w:id="121" w:name="_Toc20953"/>
      <w:bookmarkStart w:id="122" w:name="_Toc15981"/>
      <w:r>
        <w:rPr>
          <w:rFonts w:hint="default" w:ascii="Times New Roman" w:hAnsi="Times New Roman" w:eastAsia="宋体" w:cs="Times New Roman"/>
          <w:b/>
          <w:bCs/>
          <w:color w:val="auto"/>
          <w:highlight w:val="none"/>
          <w:u w:val="none" w:color="auto"/>
          <w:lang w:val="en-US" w:eastAsia="zh-CN"/>
        </w:rPr>
        <w:t>3.3.2镁合金锻件工艺流程</w:t>
      </w:r>
      <w:bookmarkEnd w:id="120"/>
      <w:bookmarkEnd w:id="121"/>
      <w:bookmarkEnd w:id="122"/>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锻造车间设计年产镁合金锻件3500t，所需原料由本项目熔铸车间提供，参照同类企业的实际生产经验，经估算，锻造车间综合成品率约为</w:t>
      </w:r>
      <w:r>
        <w:rPr>
          <w:rFonts w:hint="eastAsia" w:ascii="Times New Roman" w:hAnsi="Times New Roman" w:eastAsia="宋体" w:cs="Times New Roman"/>
          <w:color w:val="auto"/>
          <w:highlight w:val="none"/>
          <w:u w:val="none" w:color="auto"/>
          <w:lang w:val="en-US" w:eastAsia="zh-CN"/>
        </w:rPr>
        <w:t>80</w:t>
      </w:r>
      <w:r>
        <w:rPr>
          <w:rFonts w:hint="default" w:ascii="Times New Roman" w:hAnsi="Times New Roman" w:eastAsia="宋体" w:cs="Times New Roman"/>
          <w:color w:val="auto"/>
          <w:highlight w:val="none"/>
          <w:u w:val="none" w:color="auto"/>
          <w:lang w:val="en-US" w:eastAsia="zh-CN"/>
        </w:rPr>
        <w:t>%。所产生的废料部分返回熔铸车间，锻造车间采用自由锻、模锻、轧环等工艺技术，所需设备均采用国产成熟可靠设备。</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根据本项目产品以及客户需求，对于小批量的锻件采用自由锻生产，大批量锻件采用模锻生产，环件采用轧环工艺生产。</w:t>
      </w:r>
    </w:p>
    <w:p>
      <w:pPr>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object>
          <v:shape id="_x0000_i1026" o:spt="75" type="#_x0000_t75" style="height:395.35pt;width:415.2pt;" o:ole="t" filled="f" o:preferrelative="t" stroked="f" coordsize="21600,21600">
            <v:path/>
            <v:fill on="f" focussize="0,0"/>
            <v:stroke on="f"/>
            <v:imagedata r:id="rId42" o:title=""/>
            <o:lock v:ext="edit" aspectratio="f"/>
            <w10:wrap type="none"/>
            <w10:anchorlock/>
          </v:shape>
          <o:OLEObject Type="Embed" ProgID="Visio.Drawing.11" ShapeID="_x0000_i1026" DrawAspect="Content" ObjectID="_1468075726" r:id="rId41">
            <o:LockedField>false</o:LockedField>
          </o:OLEObject>
        </w:object>
      </w:r>
    </w:p>
    <w:p>
      <w:pPr>
        <w:pageBreakBefore w:val="0"/>
        <w:kinsoku/>
        <w:wordWrap/>
        <w:overflowPunct w:val="0"/>
        <w:topLinePunct/>
        <w:autoSpaceDE w:val="0"/>
        <w:autoSpaceDN w:val="0"/>
        <w:bidi w:val="0"/>
        <w:jc w:val="center"/>
        <w:outlineLvl w:val="9"/>
        <w:rPr>
          <w:rFonts w:hint="default" w:ascii="Times New Roman" w:hAnsi="Times New Roman" w:eastAsia="宋体" w:cs="Times New Roman"/>
          <w:color w:val="auto"/>
          <w:u w:val="none" w:color="auto"/>
        </w:rPr>
      </w:pPr>
    </w:p>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图3.3-</w:t>
      </w: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镁合金锻件工艺流程及产物分析图</w:t>
      </w:r>
    </w:p>
    <w:p>
      <w:pPr>
        <w:keepNext w:val="0"/>
        <w:keepLines w:val="0"/>
        <w:pageBreakBefore w:val="0"/>
        <w:widowControl/>
        <w:suppressLineNumbers w:val="0"/>
        <w:kinsoku/>
        <w:wordWrap/>
        <w:overflowPunct w:val="0"/>
        <w:topLinePunct/>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kern w:val="0"/>
          <w:sz w:val="24"/>
          <w:szCs w:val="24"/>
          <w:u w:val="none" w:color="auto"/>
          <w:lang w:val="en-US" w:eastAsia="zh-CN" w:bidi="ar"/>
        </w:rPr>
        <w:t>（1）</w:t>
      </w:r>
      <w:r>
        <w:rPr>
          <w:rFonts w:hint="default" w:ascii="Times New Roman" w:hAnsi="Times New Roman" w:eastAsia="宋体" w:cs="Times New Roman"/>
          <w:color w:val="auto"/>
          <w:kern w:val="0"/>
          <w:sz w:val="24"/>
          <w:szCs w:val="24"/>
          <w:u w:val="none" w:color="auto"/>
          <w:lang w:val="en-US" w:eastAsia="zh-CN" w:bidi="ar"/>
        </w:rPr>
        <w:t>锻件车间生产工艺过程为：</w:t>
      </w:r>
    </w:p>
    <w:p>
      <w:pPr>
        <w:keepNext w:val="0"/>
        <w:keepLines w:val="0"/>
        <w:pageBreakBefore w:val="0"/>
        <w:widowControl/>
        <w:suppressLineNumbers w:val="0"/>
        <w:kinsoku/>
        <w:wordWrap/>
        <w:overflowPunct w:val="0"/>
        <w:topLinePunct/>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自由锻件：将熔铸车间提供的锭坯根据需要锯切下料后，在带有强制循环空气和自动调节温度的电阻炉内加热至锻造温度，然后在自由锻机上锻造开坯，若表面局部有缺陷的，需进行修伤。根据产品需要可能需要多火次锻造。终锻后的锻坯经修伤后根据产品需要进行热处理，随后进行机加工。机加工后的产品经检验合格后直接包装得到成品自由锻件。</w:t>
      </w:r>
    </w:p>
    <w:p>
      <w:pPr>
        <w:keepNext w:val="0"/>
        <w:keepLines w:val="0"/>
        <w:pageBreakBefore w:val="0"/>
        <w:widowControl/>
        <w:suppressLineNumbers w:val="0"/>
        <w:kinsoku/>
        <w:wordWrap/>
        <w:overflowPunct w:val="0"/>
        <w:topLinePunct/>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模锻件：将自由锻后的坯料根据需要锯切下料后重新加热至锻造温度后在模锻机上进行模锻。模锻后紧急进行冷却，再切边、修伤，随后根据需要进行固溶和时效等热处理。热处理后机加工。机加工后的产品经检验合格后直接包装得到成品模锻件。</w:t>
      </w:r>
    </w:p>
    <w:p>
      <w:pPr>
        <w:keepNext w:val="0"/>
        <w:keepLines w:val="0"/>
        <w:pageBreakBefore w:val="0"/>
        <w:widowControl/>
        <w:suppressLineNumbers w:val="0"/>
        <w:kinsoku/>
        <w:wordWrap/>
        <w:overflowPunct w:val="0"/>
        <w:topLinePunct/>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环件：经过自由锻开坯的镦粗坯料经修伤后车芯孔，随后重新加热至轧制温度后在轧环机上进行轧制，经胀形、整平、热处理、机加工等工序后进行检验，合格产品直接包装得到成品环件。</w:t>
      </w: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（2）主要污染工序</w:t>
      </w:r>
    </w:p>
    <w:p>
      <w:pPr>
        <w:pStyle w:val="2"/>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锻件车间主要污染源为：模具加热炉天然气燃烧废气。机械加工噪声、边角料、不合格产品等</w:t>
      </w:r>
    </w:p>
    <w:p>
      <w:pPr>
        <w:pStyle w:val="58"/>
        <w:pageBreakBefore w:val="0"/>
        <w:kinsoku/>
        <w:wordWrap/>
        <w:overflowPunct w:val="0"/>
        <w:topLinePunct/>
        <w:autoSpaceDE w:val="0"/>
        <w:autoSpaceDN w:val="0"/>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表3.3-2镁合金锻件生产污染工序</w:t>
      </w:r>
    </w:p>
    <w:tbl>
      <w:tblPr>
        <w:tblStyle w:val="40"/>
        <w:tblW w:w="50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917"/>
        <w:gridCol w:w="1075"/>
        <w:gridCol w:w="998"/>
        <w:gridCol w:w="3001"/>
        <w:gridCol w:w="2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w:t>
            </w:r>
          </w:p>
        </w:tc>
        <w:tc>
          <w:tcPr>
            <w:tcW w:w="638"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污染源工序</w:t>
            </w:r>
          </w:p>
        </w:tc>
        <w:tc>
          <w:tcPr>
            <w:tcW w:w="1443"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镁合金锻件</w:t>
            </w:r>
          </w:p>
        </w:tc>
        <w:tc>
          <w:tcPr>
            <w:tcW w:w="638"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G2-1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加热炉燃烧废气</w:t>
            </w:r>
          </w:p>
        </w:tc>
        <w:tc>
          <w:tcPr>
            <w:tcW w:w="1443"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color w:val="auto"/>
                <w:sz w:val="21"/>
                <w:szCs w:val="21"/>
              </w:rPr>
            </w:pPr>
          </w:p>
        </w:tc>
        <w:tc>
          <w:tcPr>
            <w:tcW w:w="638"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N2-1、N2-2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机械加工</w:t>
            </w:r>
          </w:p>
        </w:tc>
        <w:tc>
          <w:tcPr>
            <w:tcW w:w="1443"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rFonts w:hint="eastAsia" w:ascii="Times New Roman" w:hAnsi="Times New Roman" w:eastAsia="宋体" w:cs="Times New Roman"/>
                <w:color w:val="auto"/>
                <w:sz w:val="21"/>
                <w:szCs w:val="21"/>
                <w:highlight w:val="none"/>
                <w:lang w:eastAsia="zh-CN"/>
              </w:rPr>
            </w:pPr>
          </w:p>
        </w:tc>
        <w:tc>
          <w:tcPr>
            <w:tcW w:w="638"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S</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en-US"/>
              </w:rPr>
              <w:t>-</w:t>
            </w:r>
            <w:r>
              <w:rPr>
                <w:rFonts w:hint="default" w:ascii="Times New Roman" w:hAnsi="Times New Roman" w:eastAsia="宋体" w:cs="Times New Roman"/>
                <w:color w:val="auto"/>
                <w:sz w:val="21"/>
                <w:szCs w:val="21"/>
                <w:highlight w:val="none"/>
                <w:lang w:val="en-US" w:eastAsia="zh-CN"/>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边角料</w:t>
            </w:r>
          </w:p>
        </w:tc>
        <w:tc>
          <w:tcPr>
            <w:tcW w:w="1443"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color w:val="auto"/>
                <w:sz w:val="21"/>
                <w:szCs w:val="21"/>
              </w:rPr>
            </w:pPr>
          </w:p>
        </w:tc>
        <w:tc>
          <w:tcPr>
            <w:tcW w:w="638"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color w:val="auto"/>
                <w:sz w:val="21"/>
                <w:szCs w:val="21"/>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S2-2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不合格产品</w:t>
            </w:r>
          </w:p>
        </w:tc>
        <w:tc>
          <w:tcPr>
            <w:tcW w:w="1443"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镁铝金属</w:t>
            </w:r>
          </w:p>
        </w:tc>
      </w:tr>
    </w:tbl>
    <w:p>
      <w:pPr>
        <w:pStyle w:val="7"/>
        <w:pageBreakBefore w:val="0"/>
        <w:kinsoku/>
        <w:wordWrap/>
        <w:overflowPunct w:val="0"/>
        <w:topLinePunct/>
        <w:autoSpaceDE w:val="0"/>
        <w:autoSpaceDN w:val="0"/>
        <w:bidi w:val="0"/>
        <w:outlineLvl w:val="2"/>
        <w:rPr>
          <w:rFonts w:hint="default" w:ascii="Times New Roman" w:hAnsi="Times New Roman" w:eastAsia="宋体" w:cs="Times New Roman"/>
          <w:color w:val="auto"/>
          <w:highlight w:val="none"/>
          <w:u w:val="none" w:color="auto"/>
        </w:rPr>
      </w:pPr>
      <w:bookmarkStart w:id="123" w:name="_Toc11065"/>
      <w:bookmarkStart w:id="124" w:name="_Toc31066"/>
      <w:bookmarkStart w:id="125" w:name="_Toc16515"/>
      <w:r>
        <w:rPr>
          <w:rFonts w:hint="default"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.3.3镁合金挤压材生产工艺</w:t>
      </w:r>
      <w:bookmarkEnd w:id="123"/>
      <w:bookmarkEnd w:id="124"/>
      <w:bookmarkEnd w:id="125"/>
    </w:p>
    <w:p>
      <w:pPr>
        <w:keepNext w:val="0"/>
        <w:keepLines w:val="0"/>
        <w:pageBreakBefore w:val="0"/>
        <w:widowControl/>
        <w:suppressLineNumbers w:val="0"/>
        <w:kinsoku/>
        <w:wordWrap/>
        <w:overflowPunct w:val="0"/>
        <w:topLinePunct/>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挤压车间设计年产镁合金挤压材6000t</w:t>
      </w:r>
      <w:r>
        <w:rPr>
          <w:rFonts w:hint="eastAsia" w:ascii="Times New Roman" w:hAnsi="Times New Roman" w:eastAsia="宋体" w:cs="Times New Roman"/>
          <w:color w:val="auto"/>
          <w:kern w:val="0"/>
          <w:sz w:val="24"/>
          <w:szCs w:val="24"/>
          <w:u w:val="none" w:color="auto"/>
          <w:lang w:val="en-US" w:eastAsia="zh-CN" w:bidi="ar"/>
        </w:rPr>
        <w:t>及</w:t>
      </w:r>
      <w:r>
        <w:rPr>
          <w:rFonts w:hint="default" w:ascii="Times New Roman" w:hAnsi="Times New Roman" w:eastAsia="宋体" w:cs="Times New Roman"/>
          <w:color w:val="auto"/>
          <w:kern w:val="0"/>
          <w:sz w:val="24"/>
          <w:szCs w:val="24"/>
          <w:u w:val="none" w:color="auto"/>
          <w:lang w:val="en-US" w:eastAsia="zh-CN" w:bidi="ar"/>
        </w:rPr>
        <w:t>供给板材车间644.47t挤压板坯。车间所需原料</w:t>
      </w:r>
      <w:r>
        <w:rPr>
          <w:rFonts w:hint="eastAsia" w:ascii="Times New Roman" w:hAnsi="Times New Roman" w:eastAsia="宋体" w:cs="Times New Roman"/>
          <w:color w:val="auto"/>
          <w:kern w:val="0"/>
          <w:sz w:val="24"/>
          <w:szCs w:val="24"/>
          <w:u w:val="none" w:color="auto"/>
          <w:lang w:val="en-US" w:eastAsia="zh-CN" w:bidi="ar"/>
        </w:rPr>
        <w:t>部分由熔铸车间提供6420t/a，剩余原料外购3375t/a，所产生的一二级废料返回熔铸车间</w:t>
      </w:r>
      <w:r>
        <w:rPr>
          <w:rFonts w:hint="default" w:ascii="Times New Roman" w:hAnsi="Times New Roman" w:eastAsia="宋体" w:cs="Times New Roman"/>
          <w:color w:val="auto"/>
          <w:kern w:val="0"/>
          <w:sz w:val="24"/>
          <w:szCs w:val="24"/>
          <w:u w:val="none" w:color="auto"/>
          <w:lang w:val="en-US" w:eastAsia="zh-CN" w:bidi="ar"/>
        </w:rPr>
        <w:t>。</w:t>
      </w:r>
    </w:p>
    <w:p>
      <w:pPr>
        <w:pageBreakBefore w:val="0"/>
        <w:kinsoku/>
        <w:wordWrap/>
        <w:overflowPunct w:val="0"/>
        <w:topLinePunct/>
        <w:autoSpaceDE w:val="0"/>
        <w:autoSpaceDN w:val="0"/>
        <w:bidi w:val="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object>
          <v:shape id="_x0000_i1027" o:spt="75" type="#_x0000_t75" style="height:435.6pt;width:239.4pt;" o:ole="t" filled="f" o:preferrelative="t" stroked="f" coordsize="21600,21600">
            <v:path/>
            <v:fill on="f" focussize="0,0"/>
            <v:stroke on="f"/>
            <v:imagedata r:id="rId44" o:title=""/>
            <o:lock v:ext="edit" aspectratio="f"/>
            <w10:wrap type="none"/>
            <w10:anchorlock/>
          </v:shape>
          <o:OLEObject Type="Embed" ProgID="Visio.Drawing.11" ShapeID="_x0000_i1027" DrawAspect="Content" ObjectID="_1468075727" r:id="rId43">
            <o:LockedField>false</o:LockedField>
          </o:OLEObject>
        </w:object>
      </w:r>
    </w:p>
    <w:p>
      <w:pPr>
        <w:pageBreakBefore w:val="0"/>
        <w:kinsoku/>
        <w:wordWrap/>
        <w:overflowPunct w:val="0"/>
        <w:topLinePunct/>
        <w:autoSpaceDE w:val="0"/>
        <w:autoSpaceDN w:val="0"/>
        <w:bidi w:val="0"/>
        <w:adjustRightInd w:val="0"/>
        <w:snapToGrid w:val="0"/>
        <w:spacing w:line="360" w:lineRule="auto"/>
        <w:jc w:val="center"/>
        <w:rPr>
          <w:rFonts w:hint="default" w:ascii="Times New Roman" w:hAnsi="Times New Roman" w:eastAsia="宋体" w:cs="Times New Roman"/>
          <w:b/>
          <w:color w:val="auto"/>
          <w:sz w:val="24"/>
          <w:highlight w:val="none"/>
          <w:u w:val="none" w:color="auto"/>
        </w:rPr>
      </w:pPr>
      <w:r>
        <w:rPr>
          <w:rFonts w:hint="default" w:ascii="Times New Roman" w:hAnsi="Times New Roman" w:eastAsia="宋体" w:cs="Times New Roman"/>
          <w:b/>
          <w:color w:val="auto"/>
          <w:sz w:val="24"/>
          <w:highlight w:val="none"/>
          <w:u w:val="none" w:color="auto"/>
        </w:rPr>
        <w:t>图3.3</w:t>
      </w:r>
      <w:r>
        <w:rPr>
          <w:rFonts w:hint="eastAsia" w:ascii="Times New Roman" w:hAnsi="Times New Roman" w:eastAsia="宋体" w:cs="Times New Roman"/>
          <w:b/>
          <w:color w:val="auto"/>
          <w:sz w:val="24"/>
          <w:highlight w:val="none"/>
          <w:u w:val="none" w:color="auto"/>
          <w:lang w:val="en-US" w:eastAsia="zh-CN"/>
        </w:rPr>
        <w:t>-3</w:t>
      </w:r>
      <w:r>
        <w:rPr>
          <w:rFonts w:hint="default" w:ascii="Times New Roman" w:hAnsi="Times New Roman" w:eastAsia="宋体" w:cs="Times New Roman"/>
          <w:b/>
          <w:color w:val="auto"/>
          <w:sz w:val="24"/>
          <w:highlight w:val="none"/>
          <w:u w:val="none" w:color="auto"/>
        </w:rPr>
        <w:t>-镁合金挤压材生产工艺流程及产污节点图</w:t>
      </w:r>
    </w:p>
    <w:p>
      <w:pPr>
        <w:pageBreakBefore w:val="0"/>
        <w:kinsoku/>
        <w:wordWrap/>
        <w:overflowPunct w:val="0"/>
        <w:topLinePunct/>
        <w:autoSpaceDE w:val="0"/>
        <w:autoSpaceDN w:val="0"/>
        <w:bidi w:val="0"/>
        <w:adjustRightInd w:val="0"/>
        <w:snapToGrid w:val="0"/>
        <w:spacing w:line="360" w:lineRule="auto"/>
        <w:ind w:firstLine="482" w:firstLineChars="200"/>
        <w:rPr>
          <w:rFonts w:hint="default" w:ascii="Times New Roman" w:hAnsi="Times New Roman" w:eastAsia="宋体" w:cs="Times New Roman"/>
          <w:b/>
          <w:color w:val="auto"/>
          <w:sz w:val="24"/>
          <w:highlight w:val="none"/>
          <w:u w:val="none" w:color="auto"/>
        </w:rPr>
        <w:sectPr>
          <w:headerReference r:id="rId8" w:type="default"/>
          <w:footerReference r:id="rId9" w:type="default"/>
          <w:pgSz w:w="11906" w:h="16838"/>
          <w:pgMar w:top="1440" w:right="1797" w:bottom="1440" w:left="1797" w:header="720" w:footer="720" w:gutter="0"/>
          <w:pgBorders>
            <w:top w:val="none" w:sz="0" w:space="0"/>
            <w:left w:val="none" w:sz="0" w:space="0"/>
            <w:bottom w:val="none" w:sz="0" w:space="0"/>
            <w:right w:val="none" w:sz="0" w:space="0"/>
          </w:pgBorders>
          <w:pgNumType w:fmt="decimal"/>
          <w:cols w:space="720" w:num="1"/>
          <w:docGrid w:linePitch="312" w:charSpace="0"/>
        </w:sectPr>
      </w:pPr>
    </w:p>
    <w:p>
      <w:pPr>
        <w:pStyle w:val="58"/>
        <w:pageBreakBefore w:val="0"/>
        <w:kinsoku/>
        <w:wordWrap/>
        <w:overflowPunct w:val="0"/>
        <w:topLinePunct/>
        <w:autoSpaceDE w:val="0"/>
        <w:autoSpaceDN w:val="0"/>
        <w:bidi w:val="0"/>
        <w:spacing w:line="360" w:lineRule="auto"/>
        <w:ind w:firstLine="482"/>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w:t>
      </w:r>
      <w:r>
        <w:rPr>
          <w:rFonts w:hint="default" w:ascii="Times New Roman" w:hAnsi="Times New Roman" w:eastAsia="宋体" w:cs="Times New Roman"/>
          <w:b/>
          <w:bCs/>
          <w:color w:val="auto"/>
          <w:sz w:val="24"/>
          <w:szCs w:val="24"/>
          <w:highlight w:val="none"/>
          <w:u w:val="none" w:color="auto"/>
          <w:lang w:val="en-US" w:eastAsia="zh-CN"/>
        </w:rPr>
        <w:t>1</w:t>
      </w:r>
      <w:r>
        <w:rPr>
          <w:rFonts w:hint="default" w:ascii="Times New Roman" w:hAnsi="Times New Roman" w:eastAsia="宋体" w:cs="Times New Roman"/>
          <w:b/>
          <w:bCs/>
          <w:color w:val="auto"/>
          <w:sz w:val="24"/>
          <w:szCs w:val="24"/>
          <w:highlight w:val="none"/>
          <w:u w:val="none" w:color="auto"/>
        </w:rPr>
        <w:t>）</w:t>
      </w:r>
      <w:r>
        <w:rPr>
          <w:rFonts w:hint="default" w:ascii="Times New Roman" w:hAnsi="Times New Roman" w:eastAsia="宋体" w:cs="Times New Roman"/>
          <w:b/>
          <w:bCs/>
          <w:color w:val="auto"/>
          <w:kern w:val="0"/>
          <w:sz w:val="24"/>
          <w:szCs w:val="24"/>
          <w:u w:val="none" w:color="auto"/>
          <w:lang w:val="en-US" w:eastAsia="zh-CN" w:bidi="ar"/>
        </w:rPr>
        <w:t>镁合金挤压材</w:t>
      </w:r>
      <w:r>
        <w:rPr>
          <w:rFonts w:hint="default" w:ascii="Times New Roman" w:hAnsi="Times New Roman" w:eastAsia="宋体" w:cs="Times New Roman"/>
          <w:b/>
          <w:bCs/>
          <w:color w:val="auto"/>
          <w:sz w:val="24"/>
          <w:szCs w:val="24"/>
          <w:highlight w:val="none"/>
          <w:u w:val="none" w:color="auto"/>
        </w:rPr>
        <w:t>生产工艺流程简述</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外购铸锭经扒皮镗孔后送入挤压生产线的感应加热炉进行加热，根据合金品种和挤压工艺调整铸锭加热温度，而后送入挤压机进行挤压。挤压成型的型材/管材从挤压机前梁开口挤出后在机后辅机的牵引机牵引下通过在线淬火段进入冷床，而后送入在线矫直机进行张力矫直，最后在成品锯上在线锯切定尺尺寸。切定尺后的型材/管材根据产品状态要求进行时效热或退火处理。</w:t>
      </w: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（2）主要污染工序</w:t>
      </w:r>
    </w:p>
    <w:p>
      <w:pPr>
        <w:pStyle w:val="2"/>
        <w:rPr>
          <w:rFonts w:hint="eastAsia"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b w:val="0"/>
          <w:bCs w:val="0"/>
          <w:color w:val="auto"/>
          <w:kern w:val="0"/>
          <w:sz w:val="24"/>
          <w:szCs w:val="24"/>
          <w:u w:val="none" w:color="auto"/>
          <w:lang w:val="en-US" w:eastAsia="zh-CN" w:bidi="ar"/>
        </w:rPr>
        <w:t>挤压</w:t>
      </w:r>
      <w:r>
        <w:rPr>
          <w:rFonts w:hint="eastAsia" w:ascii="Times New Roman" w:hAnsi="Times New Roman" w:eastAsia="宋体" w:cs="Times New Roman"/>
          <w:b w:val="0"/>
          <w:bCs w:val="0"/>
          <w:color w:val="auto"/>
          <w:kern w:val="0"/>
          <w:sz w:val="24"/>
          <w:szCs w:val="24"/>
          <w:u w:val="none" w:color="auto"/>
          <w:lang w:val="en-US" w:eastAsia="zh-CN" w:bidi="ar"/>
        </w:rPr>
        <w:t>车间</w:t>
      </w:r>
      <w:r>
        <w:rPr>
          <w:rFonts w:hint="eastAsia" w:ascii="Times New Roman" w:hAnsi="Times New Roman" w:eastAsia="宋体" w:cs="Times New Roman"/>
          <w:color w:val="auto"/>
          <w:kern w:val="0"/>
          <w:sz w:val="24"/>
          <w:szCs w:val="24"/>
          <w:u w:val="none" w:color="auto"/>
          <w:lang w:val="en-US" w:eastAsia="zh-CN" w:bidi="ar"/>
        </w:rPr>
        <w:t>主要污染源为：机械加工噪声、边角料、不合格产品等</w:t>
      </w:r>
    </w:p>
    <w:p>
      <w:pPr>
        <w:pStyle w:val="58"/>
        <w:pageBreakBefore w:val="0"/>
        <w:kinsoku/>
        <w:wordWrap/>
        <w:overflowPunct w:val="0"/>
        <w:topLinePunct/>
        <w:autoSpaceDE w:val="0"/>
        <w:autoSpaceDN w:val="0"/>
        <w:bidi w:val="0"/>
        <w:adjustRightInd/>
        <w:snapToGrid/>
        <w:spacing w:after="0" w:line="360" w:lineRule="auto"/>
        <w:ind w:left="0" w:leftChars="0" w:right="0" w:rightChars="0" w:firstLine="0" w:firstLineChars="0"/>
        <w:jc w:val="center"/>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表3.3-2镁合金挤压材生产污染工序</w:t>
      </w:r>
    </w:p>
    <w:tbl>
      <w:tblPr>
        <w:tblStyle w:val="40"/>
        <w:tblW w:w="50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917"/>
        <w:gridCol w:w="1077"/>
        <w:gridCol w:w="998"/>
        <w:gridCol w:w="3002"/>
        <w:gridCol w:w="2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污染源工序</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镁合金挤压材</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bidi="en-US"/>
              </w:rPr>
            </w:pPr>
            <w:r>
              <w:rPr>
                <w:rFonts w:hint="eastAsia" w:ascii="Times New Roman" w:hAnsi="Times New Roman" w:eastAsia="宋体" w:cs="Times New Roman"/>
                <w:color w:val="auto"/>
                <w:sz w:val="21"/>
                <w:szCs w:val="21"/>
                <w:highlight w:val="none"/>
                <w:lang w:val="en-US" w:eastAsia="zh-CN"/>
              </w:rPr>
              <w:t>N2-1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en-US"/>
              </w:rPr>
              <w:t>S</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en-US"/>
              </w:rPr>
              <w:t>-</w:t>
            </w:r>
            <w:r>
              <w:rPr>
                <w:rFonts w:hint="default" w:ascii="Times New Roman" w:hAnsi="Times New Roman" w:eastAsia="宋体" w:cs="Times New Roman"/>
                <w:color w:val="auto"/>
                <w:sz w:val="21"/>
                <w:szCs w:val="21"/>
                <w:highlight w:val="none"/>
                <w:lang w:val="en-US" w:eastAsia="zh-CN"/>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边角料</w:t>
            </w:r>
          </w:p>
        </w:tc>
        <w:tc>
          <w:tcPr>
            <w:tcW w:w="1442"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S3-2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不合格产品</w:t>
            </w:r>
          </w:p>
        </w:tc>
        <w:tc>
          <w:tcPr>
            <w:tcW w:w="1442"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镁铝金属</w:t>
            </w:r>
          </w:p>
        </w:tc>
      </w:tr>
    </w:tbl>
    <w:p>
      <w:pPr>
        <w:pageBreakBefore w:val="0"/>
        <w:widowControl/>
        <w:kinsoku/>
        <w:wordWrap/>
        <w:overflowPunct w:val="0"/>
        <w:topLinePunct/>
        <w:autoSpaceDE w:val="0"/>
        <w:autoSpaceDN w:val="0"/>
        <w:bidi w:val="0"/>
        <w:spacing w:line="360" w:lineRule="auto"/>
        <w:jc w:val="left"/>
        <w:outlineLvl w:val="2"/>
        <w:rPr>
          <w:rFonts w:hint="default" w:ascii="Times New Roman" w:hAnsi="Times New Roman" w:eastAsia="宋体" w:cs="Times New Roman"/>
          <w:b/>
          <w:bCs/>
          <w:color w:val="auto"/>
          <w:kern w:val="0"/>
          <w:sz w:val="24"/>
          <w:szCs w:val="24"/>
          <w:highlight w:val="none"/>
          <w:u w:val="none" w:color="auto"/>
          <w:lang w:eastAsia="zh-CN" w:bidi="ar"/>
        </w:rPr>
      </w:pPr>
      <w:bookmarkStart w:id="126" w:name="_Toc6376"/>
      <w:r>
        <w:rPr>
          <w:rFonts w:hint="default" w:ascii="Times New Roman" w:hAnsi="Times New Roman" w:eastAsia="宋体" w:cs="Times New Roman"/>
          <w:b/>
          <w:bCs/>
          <w:color w:val="auto"/>
          <w:kern w:val="0"/>
          <w:sz w:val="24"/>
          <w:szCs w:val="24"/>
          <w:highlight w:val="none"/>
          <w:u w:val="none" w:color="auto"/>
          <w:lang w:val="en-US" w:eastAsia="zh-CN" w:bidi="ar"/>
        </w:rPr>
        <w:t>3.3.4</w:t>
      </w:r>
      <w:r>
        <w:rPr>
          <w:rFonts w:hint="default" w:ascii="Times New Roman" w:hAnsi="Times New Roman" w:eastAsia="宋体" w:cs="Times New Roman"/>
          <w:b/>
          <w:bCs/>
          <w:color w:val="auto"/>
          <w:sz w:val="24"/>
          <w:szCs w:val="24"/>
          <w:highlight w:val="none"/>
          <w:u w:val="none" w:color="auto"/>
          <w:lang w:val="en-US" w:eastAsia="zh-CN"/>
        </w:rPr>
        <w:t>镁合金板材</w:t>
      </w:r>
      <w:r>
        <w:rPr>
          <w:rFonts w:hint="eastAsia" w:ascii="Times New Roman" w:hAnsi="Times New Roman" w:eastAsia="宋体" w:cs="Times New Roman"/>
          <w:b/>
          <w:bCs/>
          <w:color w:val="auto"/>
          <w:sz w:val="24"/>
          <w:szCs w:val="24"/>
          <w:highlight w:val="none"/>
          <w:u w:val="none" w:color="auto"/>
          <w:lang w:val="en-US" w:eastAsia="zh-CN"/>
        </w:rPr>
        <w:t>生产工艺</w:t>
      </w:r>
      <w:bookmarkEnd w:id="126"/>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板材车间设计规模为年产镁合金板材500t，其中高强耐热薄板50t，机械装备用板150t，电子产品用板300t。所需原料由本项目挤压车间提供。所产生的</w:t>
      </w:r>
      <w:r>
        <w:rPr>
          <w:rFonts w:hint="eastAsia" w:ascii="Times New Roman" w:hAnsi="Times New Roman" w:eastAsia="宋体" w:cs="Times New Roman"/>
          <w:color w:val="auto"/>
          <w:sz w:val="24"/>
          <w:szCs w:val="24"/>
          <w:highlight w:val="none"/>
          <w:u w:val="none" w:color="auto"/>
          <w:lang w:val="en-US" w:eastAsia="zh-CN"/>
        </w:rPr>
        <w:t>一二级</w:t>
      </w:r>
      <w:r>
        <w:rPr>
          <w:rFonts w:hint="default" w:ascii="Times New Roman" w:hAnsi="Times New Roman" w:eastAsia="宋体" w:cs="Times New Roman"/>
          <w:color w:val="auto"/>
          <w:sz w:val="24"/>
          <w:szCs w:val="24"/>
          <w:highlight w:val="none"/>
          <w:u w:val="none" w:color="auto"/>
          <w:lang w:val="en-US" w:eastAsia="zh-CN"/>
        </w:rPr>
        <w:t>废料返回熔铸车间。</w:t>
      </w:r>
    </w:p>
    <w:p>
      <w:pPr>
        <w:rPr>
          <w:rFonts w:hint="default"/>
          <w:color w:val="auto"/>
          <w:lang w:val="en-US" w:eastAsia="zh-CN"/>
        </w:rPr>
      </w:pPr>
      <w:r>
        <w:rPr>
          <w:rFonts w:hint="default"/>
          <w:color w:val="auto"/>
          <w:lang w:val="en-US" w:eastAsia="zh-CN"/>
        </w:rPr>
        <w:object>
          <v:shape id="_x0000_i1028" o:spt="75" type="#_x0000_t75" style="height:459.35pt;width:414.9pt;" o:ole="t" filled="f" o:preferrelative="t" stroked="f" coordsize="21600,21600">
            <v:path/>
            <v:fill on="f" focussize="0,0"/>
            <v:stroke on="f"/>
            <v:imagedata r:id="rId46" o:title=""/>
            <o:lock v:ext="edit" aspectratio="f"/>
            <w10:wrap type="none"/>
            <w10:anchorlock/>
          </v:shape>
          <o:OLEObject Type="Embed" ProgID="Visio.Drawing.11" ShapeID="_x0000_i1028" DrawAspect="Content" ObjectID="_1468075728" r:id="rId45">
            <o:LockedField>false</o:LockedField>
          </o:OLEObject>
        </w:object>
      </w:r>
    </w:p>
    <w:p>
      <w:pPr>
        <w:pageBreakBefore w:val="0"/>
        <w:kinsoku/>
        <w:wordWrap/>
        <w:overflowPunct w:val="0"/>
        <w:topLinePunct/>
        <w:autoSpaceDE w:val="0"/>
        <w:autoSpaceDN w:val="0"/>
        <w:bidi w:val="0"/>
        <w:outlineLvl w:val="9"/>
        <w:rPr>
          <w:rFonts w:hint="default" w:ascii="Times New Roman" w:hAnsi="Times New Roman" w:eastAsia="宋体" w:cs="Times New Roman"/>
          <w:color w:val="auto"/>
          <w:u w:val="none" w:color="auto"/>
          <w:lang w:eastAsia="zh-CN"/>
        </w:rPr>
      </w:pPr>
    </w:p>
    <w:p>
      <w:pPr>
        <w:pageBreakBefore w:val="0"/>
        <w:kinsoku/>
        <w:wordWrap/>
        <w:overflowPunct w:val="0"/>
        <w:topLinePunct/>
        <w:autoSpaceDE w:val="0"/>
        <w:autoSpaceDN w:val="0"/>
        <w:bidi w:val="0"/>
        <w:jc w:val="center"/>
        <w:rPr>
          <w:rFonts w:hint="default" w:ascii="Times New Roman" w:hAnsi="Times New Roman" w:eastAsia="宋体" w:cs="Times New Roman"/>
          <w:color w:val="auto"/>
          <w:sz w:val="24"/>
          <w:szCs w:val="24"/>
          <w:u w:val="none" w:color="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b/>
          <w:color w:val="auto"/>
          <w:sz w:val="24"/>
          <w:szCs w:val="24"/>
          <w:highlight w:val="none"/>
          <w:u w:val="none" w:color="auto"/>
        </w:rPr>
        <w:t>图3.3</w:t>
      </w:r>
      <w:r>
        <w:rPr>
          <w:rFonts w:hint="eastAsia" w:ascii="Times New Roman" w:hAnsi="Times New Roman" w:eastAsia="宋体" w:cs="Times New Roman"/>
          <w:b/>
          <w:color w:val="auto"/>
          <w:sz w:val="24"/>
          <w:szCs w:val="24"/>
          <w:highlight w:val="none"/>
          <w:u w:val="none" w:color="auto"/>
          <w:lang w:val="en-US" w:eastAsia="zh-CN"/>
        </w:rPr>
        <w:t>-4</w:t>
      </w:r>
      <w:r>
        <w:rPr>
          <w:rFonts w:hint="default" w:ascii="Times New Roman" w:hAnsi="Times New Roman" w:eastAsia="宋体" w:cs="Times New Roman"/>
          <w:b/>
          <w:color w:val="auto"/>
          <w:sz w:val="24"/>
          <w:szCs w:val="24"/>
          <w:highlight w:val="none"/>
          <w:u w:val="none" w:color="auto"/>
        </w:rPr>
        <w:t>-</w:t>
      </w:r>
      <w:r>
        <w:rPr>
          <w:rFonts w:hint="default" w:ascii="Times New Roman" w:hAnsi="Times New Roman" w:eastAsia="宋体" w:cs="Times New Roman"/>
          <w:b/>
          <w:bCs/>
          <w:color w:val="auto"/>
          <w:sz w:val="24"/>
          <w:szCs w:val="24"/>
          <w:highlight w:val="none"/>
          <w:u w:val="none" w:color="auto"/>
          <w:lang w:val="en-US" w:eastAsia="zh-CN"/>
        </w:rPr>
        <w:t>镁合金板材</w:t>
      </w:r>
      <w:r>
        <w:rPr>
          <w:rFonts w:hint="default" w:ascii="Times New Roman" w:hAnsi="Times New Roman" w:eastAsia="宋体" w:cs="Times New Roman"/>
          <w:b/>
          <w:color w:val="auto"/>
          <w:sz w:val="24"/>
          <w:szCs w:val="24"/>
          <w:highlight w:val="none"/>
          <w:u w:val="none" w:color="auto"/>
        </w:rPr>
        <w:t>生产工艺流程及产污节点图</w:t>
      </w: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（1）</w:t>
      </w:r>
      <w:r>
        <w:rPr>
          <w:rFonts w:hint="default" w:ascii="Times New Roman" w:hAnsi="Times New Roman" w:eastAsia="宋体" w:cs="Times New Roman"/>
          <w:b/>
          <w:bCs/>
          <w:color w:val="auto"/>
          <w:highlight w:val="none"/>
          <w:u w:val="none" w:color="auto"/>
          <w:lang w:val="en-US" w:eastAsia="zh-CN"/>
        </w:rPr>
        <w:t>工艺说明</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板材车间采用对挤压板坯进行下料、加热或热处理、精整、砂磨、剪切等工序生产成品中厚板；</w:t>
      </w:r>
    </w:p>
    <w:p>
      <w:pPr>
        <w:pStyle w:val="58"/>
        <w:pageBreakBefore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对挤压板坯进行加热、热轧、砂光、精轧、热处理、精整、表面处理和剪切等工序生产成品高精度轧制薄板。</w:t>
      </w: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（2）主要污染工序</w:t>
      </w:r>
    </w:p>
    <w:p>
      <w:pPr>
        <w:pStyle w:val="2"/>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b w:val="0"/>
          <w:bCs w:val="0"/>
          <w:color w:val="auto"/>
          <w:kern w:val="0"/>
          <w:sz w:val="24"/>
          <w:szCs w:val="24"/>
          <w:u w:val="none" w:color="auto"/>
          <w:lang w:val="en-US" w:eastAsia="zh-CN" w:bidi="ar"/>
        </w:rPr>
        <w:t>板材车间</w:t>
      </w:r>
      <w:r>
        <w:rPr>
          <w:rFonts w:hint="eastAsia" w:ascii="Times New Roman" w:hAnsi="Times New Roman" w:eastAsia="宋体" w:cs="Times New Roman"/>
          <w:color w:val="auto"/>
          <w:kern w:val="0"/>
          <w:sz w:val="24"/>
          <w:szCs w:val="24"/>
          <w:u w:val="none" w:color="auto"/>
          <w:lang w:val="en-US" w:eastAsia="zh-CN" w:bidi="ar"/>
        </w:rPr>
        <w:t>主要污染源为：热轧废气、机械加工噪声、边角料、不合格产品等</w:t>
      </w:r>
    </w:p>
    <w:p>
      <w:pPr>
        <w:pStyle w:val="58"/>
        <w:pageBreakBefore w:val="0"/>
        <w:kinsoku/>
        <w:wordWrap/>
        <w:overflowPunct w:val="0"/>
        <w:topLinePunct/>
        <w:autoSpaceDE w:val="0"/>
        <w:autoSpaceDN w:val="0"/>
        <w:bidi w:val="0"/>
        <w:adjustRightInd/>
        <w:snapToGrid/>
        <w:spacing w:after="0" w:line="360" w:lineRule="auto"/>
        <w:ind w:left="0" w:leftChars="0" w:right="0" w:rightChars="0" w:firstLine="0" w:firstLineChars="0"/>
        <w:jc w:val="center"/>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表3.3-2镁合金板材生产污染工序</w:t>
      </w:r>
    </w:p>
    <w:tbl>
      <w:tblPr>
        <w:tblStyle w:val="40"/>
        <w:tblW w:w="50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1062"/>
        <w:gridCol w:w="1249"/>
        <w:gridCol w:w="1157"/>
        <w:gridCol w:w="3482"/>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3"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污染源工序</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镁合金板材</w:t>
            </w:r>
          </w:p>
        </w:tc>
        <w:tc>
          <w:tcPr>
            <w:tcW w:w="639"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G4-1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热轧废气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VOCsN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N4-1、N4-2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S4-1、S4-2、S4-3</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边角料</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S4-4</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不合格产品</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镁铝金属</w:t>
            </w:r>
          </w:p>
        </w:tc>
      </w:tr>
    </w:tbl>
    <w:p>
      <w:pPr>
        <w:keepNext w:val="0"/>
        <w:keepLines w:val="0"/>
        <w:pageBreakBefore w:val="0"/>
        <w:widowControl/>
        <w:suppressLineNumbers w:val="0"/>
        <w:kinsoku/>
        <w:wordWrap/>
        <w:overflowPunct w:val="0"/>
        <w:topLinePunct/>
        <w:autoSpaceDE w:val="0"/>
        <w:autoSpaceDN w:val="0"/>
        <w:bidi w:val="0"/>
        <w:spacing w:line="360" w:lineRule="auto"/>
        <w:jc w:val="left"/>
        <w:outlineLvl w:val="2"/>
        <w:rPr>
          <w:rFonts w:hint="default" w:ascii="Times New Roman" w:hAnsi="Times New Roman" w:eastAsia="宋体" w:cs="Times New Roman"/>
          <w:color w:val="auto"/>
          <w:u w:val="none" w:color="auto"/>
        </w:rPr>
      </w:pPr>
      <w:bookmarkStart w:id="127" w:name="_Toc14126"/>
      <w:r>
        <w:rPr>
          <w:rFonts w:hint="default" w:ascii="Times New Roman" w:hAnsi="Times New Roman" w:eastAsia="宋体" w:cs="Times New Roman"/>
          <w:b/>
          <w:bCs/>
          <w:color w:val="auto"/>
          <w:kern w:val="0"/>
          <w:sz w:val="28"/>
          <w:szCs w:val="28"/>
          <w:u w:val="none" w:color="auto"/>
          <w:lang w:val="en-US" w:eastAsia="zh-CN" w:bidi="ar"/>
        </w:rPr>
        <w:t>3.3.</w:t>
      </w:r>
      <w:r>
        <w:rPr>
          <w:rFonts w:hint="eastAsia" w:ascii="Times New Roman" w:hAnsi="Times New Roman" w:eastAsia="宋体" w:cs="Times New Roman"/>
          <w:b/>
          <w:bCs/>
          <w:color w:val="auto"/>
          <w:kern w:val="0"/>
          <w:sz w:val="28"/>
          <w:szCs w:val="28"/>
          <w:u w:val="none" w:color="auto"/>
          <w:lang w:val="en-US" w:eastAsia="zh-CN" w:bidi="ar"/>
        </w:rPr>
        <w:t>5</w:t>
      </w:r>
      <w:r>
        <w:rPr>
          <w:rFonts w:hint="default" w:ascii="Times New Roman" w:hAnsi="Times New Roman" w:eastAsia="宋体" w:cs="Times New Roman"/>
          <w:b/>
          <w:bCs/>
          <w:color w:val="auto"/>
          <w:kern w:val="0"/>
          <w:sz w:val="28"/>
          <w:szCs w:val="28"/>
          <w:u w:val="none" w:color="auto"/>
          <w:lang w:val="en-US" w:eastAsia="zh-CN" w:bidi="ar"/>
        </w:rPr>
        <w:t>表面处理</w:t>
      </w:r>
      <w:r>
        <w:rPr>
          <w:rFonts w:hint="eastAsia" w:ascii="Times New Roman" w:hAnsi="Times New Roman" w:eastAsia="宋体" w:cs="Times New Roman"/>
          <w:b/>
          <w:bCs/>
          <w:color w:val="auto"/>
          <w:kern w:val="0"/>
          <w:sz w:val="28"/>
          <w:szCs w:val="28"/>
          <w:u w:val="none" w:color="auto"/>
          <w:lang w:val="en-US" w:eastAsia="zh-CN" w:bidi="ar"/>
        </w:rPr>
        <w:t>工艺</w:t>
      </w:r>
      <w:bookmarkEnd w:id="127"/>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0"/>
          <w:highlight w:val="none"/>
          <w:u w:val="none" w:color="auto"/>
          <w:lang w:val="en-US" w:eastAsia="zh-CN" w:bidi="ar-SA"/>
        </w:rPr>
      </w:pPr>
      <w:r>
        <w:rPr>
          <w:rFonts w:hint="eastAsia" w:ascii="Times New Roman" w:hAnsi="Times New Roman" w:eastAsia="宋体" w:cs="Times New Roman"/>
          <w:color w:val="auto"/>
          <w:kern w:val="2"/>
          <w:sz w:val="24"/>
          <w:szCs w:val="20"/>
          <w:highlight w:val="none"/>
          <w:u w:val="none" w:color="auto"/>
          <w:lang w:val="en-US" w:eastAsia="zh-CN" w:bidi="ar-SA"/>
        </w:rPr>
        <w:t>本车间主要是锻件/挤压件进行表面处理，以提高镁合金制品的耐腐蚀性能，根据最终产品耐腐蚀等级的需要，采用等离子喷涂或者微弧氧化表面喷漆等不同的表面处理工艺。</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u w:val="none" w:color="auto"/>
          <w:lang w:val="en-US" w:eastAsia="zh-CN" w:bidi="ar-SA"/>
        </w:rPr>
      </w:pPr>
      <w:bookmarkStart w:id="128" w:name="_Hlk535323428"/>
      <w:r>
        <w:rPr>
          <w:rFonts w:hint="eastAsia" w:ascii="Times New Roman" w:hAnsi="Times New Roman" w:eastAsia="宋体" w:cs="Times New Roman"/>
          <w:color w:val="auto"/>
          <w:kern w:val="2"/>
          <w:sz w:val="24"/>
          <w:szCs w:val="24"/>
          <w:highlight w:val="none"/>
          <w:u w:val="none" w:color="auto"/>
          <w:lang w:val="en-US" w:eastAsia="zh-CN" w:bidi="ar-SA"/>
        </w:rPr>
        <w:t>本项目</w:t>
      </w:r>
      <w:r>
        <w:rPr>
          <w:rFonts w:hint="default" w:ascii="Times New Roman" w:hAnsi="Times New Roman" w:eastAsia="宋体" w:cs="Times New Roman"/>
          <w:color w:val="auto"/>
          <w:kern w:val="2"/>
          <w:sz w:val="24"/>
          <w:szCs w:val="24"/>
          <w:highlight w:val="none"/>
          <w:u w:val="none" w:color="auto"/>
          <w:lang w:val="en-US" w:eastAsia="zh-CN" w:bidi="ar-SA"/>
        </w:rPr>
        <w:t>等离子喷涂工艺是：表面喷砂+干燥压缩空气吹砂+喷涂。等离子气体</w:t>
      </w:r>
      <w:r>
        <w:rPr>
          <w:rFonts w:hint="eastAsia" w:ascii="Times New Roman" w:hAnsi="Times New Roman" w:eastAsia="宋体" w:cs="Times New Roman"/>
          <w:color w:val="auto"/>
          <w:kern w:val="2"/>
          <w:sz w:val="24"/>
          <w:szCs w:val="24"/>
          <w:highlight w:val="none"/>
          <w:u w:val="none" w:color="auto"/>
          <w:lang w:val="en-US" w:eastAsia="zh-CN" w:bidi="ar-SA"/>
        </w:rPr>
        <w:t>选用</w:t>
      </w:r>
      <w:r>
        <w:rPr>
          <w:rFonts w:hint="default" w:ascii="Times New Roman" w:hAnsi="Times New Roman" w:eastAsia="宋体" w:cs="Times New Roman"/>
          <w:color w:val="auto"/>
          <w:kern w:val="2"/>
          <w:sz w:val="24"/>
          <w:szCs w:val="24"/>
          <w:highlight w:val="none"/>
          <w:u w:val="none" w:color="auto"/>
          <w:lang w:val="en-US" w:eastAsia="zh-CN" w:bidi="ar-SA"/>
        </w:rPr>
        <w:t>氮气，喷涂供粉用碳化钨粉。</w:t>
      </w:r>
    </w:p>
    <w:p>
      <w:pPr>
        <w:pStyle w:val="15"/>
        <w:pageBreakBefore w:val="0"/>
        <w:kinsoku/>
        <w:wordWrap/>
        <w:overflowPunct w:val="0"/>
        <w:topLinePunct/>
        <w:autoSpaceDE w:val="0"/>
        <w:autoSpaceDN w:val="0"/>
        <w:bidi w:val="0"/>
        <w:spacing w:line="360" w:lineRule="auto"/>
        <w:rPr>
          <w:rFonts w:hint="default"/>
          <w:color w:val="auto"/>
          <w:sz w:val="24"/>
          <w:szCs w:val="24"/>
          <w:u w:val="none" w:color="auto"/>
          <w:lang w:val="en-US" w:eastAsia="zh-CN"/>
        </w:rPr>
      </w:pPr>
      <w:r>
        <w:rPr>
          <w:rFonts w:hint="eastAsia"/>
          <w:color w:val="auto"/>
          <w:sz w:val="24"/>
          <w:szCs w:val="24"/>
          <w:u w:val="none" w:color="auto"/>
          <w:lang w:val="en-US" w:eastAsia="zh-CN"/>
        </w:rPr>
        <w:t>表面处理车间生产工艺流程图见下图：</w:t>
      </w:r>
    </w:p>
    <w:p>
      <w:pPr>
        <w:pStyle w:val="15"/>
        <w:pageBreakBefore w:val="0"/>
        <w:kinsoku/>
        <w:wordWrap/>
        <w:overflowPunct w:val="0"/>
        <w:topLinePunct/>
        <w:autoSpaceDE w:val="0"/>
        <w:autoSpaceDN w:val="0"/>
        <w:bidi w:val="0"/>
        <w:jc w:val="center"/>
        <w:rPr>
          <w:rFonts w:hint="eastAsia"/>
          <w:color w:val="auto"/>
          <w:u w:val="none" w:color="auto"/>
          <w:lang w:val="en-US" w:eastAsia="zh-CN"/>
        </w:rPr>
      </w:pPr>
      <w:r>
        <w:rPr>
          <w:rFonts w:hint="eastAsia"/>
          <w:color w:val="auto"/>
          <w:u w:val="none" w:color="auto"/>
          <w:lang w:val="en-US" w:eastAsia="zh-CN"/>
        </w:rPr>
        <w:object>
          <v:shape id="_x0000_i1029" o:spt="75" type="#_x0000_t75" style="height:233.3pt;width:414.8pt;" o:ole="t" filled="f" o:preferrelative="t" stroked="f" coordsize="21600,21600">
            <v:path/>
            <v:fill on="f" focussize="0,0"/>
            <v:stroke on="f"/>
            <v:imagedata r:id="rId48" o:title=""/>
            <o:lock v:ext="edit" aspectratio="f"/>
            <w10:wrap type="none"/>
            <w10:anchorlock/>
          </v:shape>
          <o:OLEObject Type="Embed" ProgID="Visio.Drawing.11" ShapeID="_x0000_i1029" DrawAspect="Content" ObjectID="_1468075729" r:id="rId47">
            <o:LockedField>false</o:LockedField>
          </o:OLEObject>
        </w:object>
      </w:r>
    </w:p>
    <w:bookmarkEnd w:id="128"/>
    <w:p>
      <w:pPr>
        <w:pageBreakBefore w:val="0"/>
        <w:kinsoku/>
        <w:wordWrap/>
        <w:overflowPunct w:val="0"/>
        <w:topLinePunct/>
        <w:autoSpaceDE w:val="0"/>
        <w:autoSpaceDN w:val="0"/>
        <w:bidi w:val="0"/>
        <w:jc w:val="center"/>
        <w:rPr>
          <w:rFonts w:hint="eastAsia" w:ascii="Times New Roman" w:hAnsi="Times New Roman" w:eastAsia="宋体" w:cs="Times New Roman"/>
          <w:b/>
          <w:color w:val="auto"/>
          <w:sz w:val="24"/>
          <w:szCs w:val="24"/>
          <w:highlight w:val="none"/>
          <w:u w:val="none" w:color="auto"/>
          <w:lang w:val="en-US" w:eastAsia="zh-CN"/>
        </w:rPr>
      </w:pPr>
      <w:r>
        <w:rPr>
          <w:rFonts w:hint="eastAsia" w:ascii="Times New Roman" w:hAnsi="Times New Roman" w:eastAsia="宋体" w:cs="Times New Roman"/>
          <w:b/>
          <w:color w:val="auto"/>
          <w:sz w:val="24"/>
          <w:szCs w:val="24"/>
          <w:highlight w:val="none"/>
          <w:u w:val="none" w:color="auto"/>
          <w:lang w:eastAsia="zh-CN"/>
        </w:rPr>
        <w:t>图</w:t>
      </w:r>
      <w:r>
        <w:rPr>
          <w:rFonts w:hint="eastAsia" w:ascii="Times New Roman" w:hAnsi="Times New Roman" w:eastAsia="宋体" w:cs="Times New Roman"/>
          <w:b/>
          <w:color w:val="auto"/>
          <w:sz w:val="24"/>
          <w:szCs w:val="24"/>
          <w:highlight w:val="none"/>
          <w:u w:val="none" w:color="auto"/>
          <w:lang w:val="en-US" w:eastAsia="zh-CN"/>
        </w:rPr>
        <w:t>3.3-5表面处理工序产污流程图</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0"/>
          <w:highlight w:val="none"/>
          <w:u w:val="none" w:color="auto"/>
          <w:lang w:val="en-US" w:eastAsia="zh-CN" w:bidi="ar-SA"/>
        </w:rPr>
      </w:pPr>
      <w:r>
        <w:rPr>
          <w:rFonts w:hint="default" w:ascii="Times New Roman" w:hAnsi="Times New Roman" w:eastAsia="宋体" w:cs="Times New Roman"/>
          <w:color w:val="auto"/>
          <w:kern w:val="2"/>
          <w:sz w:val="24"/>
          <w:szCs w:val="20"/>
          <w:highlight w:val="none"/>
          <w:u w:val="none" w:color="auto"/>
          <w:lang w:val="en-US" w:eastAsia="zh-CN" w:bidi="ar-SA"/>
        </w:rPr>
        <w:t>微弧氧化：又称轻合金等离子陶瓷化，是通过电解液与相应电参数的组合，在铝、镁、钛等金属及其合金表面依靠弧光放电产生的瞬间高温高压作用，原位生长出以基体金属氧化物为主的陶瓷膜层，以达到强化材料表面的目的。该技术是在阳极氧化的基础上发展起来的，是对阳极氧化在理论和应用上的进一步延伸和拓展，该工艺生成膜层在保持阳极氧化膜与基体结合力的基础上，提高了膜层的硬度、耐磨损和耐腐蚀性能，可用于高速运转且对耐磨和耐蚀性能要求较高的零部件。膜层具备阳极氧化膜和陶瓷喷涂膜两者的优点，在部分领域可完全替代它们，具有较广泛的应用前景。微弧氧化反应过程是在高电压电流的环境下进行的，伴有弧光、放电、放热和爆鸣声等现象，击穿放电使得内部熔融氧化物和气体向外逸出，导致膜层具有多微孔的结构，形成的微孔部分是连接外界环境与基体的通孔，使得膜层对基体的保护作用大大降低。为了最大限度消除膜层的孔洞并提高其耐腐蚀性。设置1个微弧氧化槽，添加槽液为电解液。电解液无重金属离子加入且无需更换、长期有效，电解过程电解液有效成分吸附在工件上，电解液按需添加。</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0"/>
          <w:highlight w:val="none"/>
          <w:u w:val="none" w:color="auto"/>
          <w:lang w:val="en-US" w:eastAsia="zh-CN" w:bidi="ar-SA"/>
        </w:rPr>
      </w:pPr>
      <w:r>
        <w:rPr>
          <w:rFonts w:hint="default" w:ascii="Times New Roman" w:hAnsi="Times New Roman" w:eastAsia="宋体" w:cs="Times New Roman"/>
          <w:color w:val="auto"/>
          <w:kern w:val="2"/>
          <w:sz w:val="24"/>
          <w:szCs w:val="20"/>
          <w:highlight w:val="none"/>
          <w:u w:val="none" w:color="auto"/>
          <w:lang w:val="en-US" w:eastAsia="zh-CN" w:bidi="ar-SA"/>
        </w:rPr>
        <w:t>表面喷漆</w:t>
      </w:r>
      <w:r>
        <w:rPr>
          <w:rFonts w:hint="eastAsia" w:ascii="Times New Roman" w:hAnsi="Times New Roman" w:eastAsia="宋体" w:cs="Times New Roman"/>
          <w:color w:val="auto"/>
          <w:kern w:val="2"/>
          <w:sz w:val="24"/>
          <w:szCs w:val="20"/>
          <w:highlight w:val="none"/>
          <w:u w:val="none" w:color="auto"/>
          <w:lang w:val="en-US" w:eastAsia="zh-CN" w:bidi="ar-SA"/>
        </w:rPr>
        <w:t>：主要工艺为</w:t>
      </w:r>
      <w:r>
        <w:rPr>
          <w:rFonts w:hint="default" w:ascii="Times New Roman" w:hAnsi="Times New Roman" w:eastAsia="宋体" w:cs="Times New Roman"/>
          <w:color w:val="auto"/>
          <w:kern w:val="2"/>
          <w:sz w:val="24"/>
          <w:szCs w:val="20"/>
          <w:highlight w:val="none"/>
          <w:u w:val="none" w:color="auto"/>
          <w:lang w:val="en-US" w:eastAsia="zh-CN" w:bidi="ar-SA"/>
        </w:rPr>
        <w:t>喷漆+烘烤。该工序不需要单独的表面化学处理，是配合微弧氧化使用</w:t>
      </w:r>
      <w:r>
        <w:rPr>
          <w:rFonts w:hint="eastAsia" w:ascii="Times New Roman" w:hAnsi="Times New Roman" w:eastAsia="宋体" w:cs="Times New Roman"/>
          <w:color w:val="auto"/>
          <w:kern w:val="2"/>
          <w:sz w:val="24"/>
          <w:szCs w:val="20"/>
          <w:highlight w:val="none"/>
          <w:u w:val="none" w:color="auto"/>
          <w:lang w:val="en-US" w:eastAsia="zh-CN" w:bidi="ar-SA"/>
        </w:rPr>
        <w:t>，采用水性油漆。</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0"/>
          <w:highlight w:val="none"/>
          <w:u w:val="none" w:color="auto"/>
          <w:lang w:val="en-US" w:eastAsia="zh-CN" w:bidi="ar-SA"/>
        </w:rPr>
      </w:pPr>
      <w:r>
        <w:rPr>
          <w:rFonts w:hint="default" w:ascii="Times New Roman" w:hAnsi="Times New Roman" w:eastAsia="宋体" w:cs="Times New Roman"/>
          <w:color w:val="auto"/>
          <w:kern w:val="2"/>
          <w:sz w:val="24"/>
          <w:szCs w:val="20"/>
          <w:highlight w:val="none"/>
          <w:u w:val="none" w:color="auto"/>
          <w:lang w:val="en-US" w:eastAsia="zh-CN" w:bidi="ar-SA"/>
        </w:rPr>
        <w:t>等离子喷涂</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default" w:ascii="Times New Roman" w:hAnsi="Times New Roman" w:eastAsia="宋体" w:cs="Times New Roman"/>
          <w:color w:val="auto"/>
          <w:kern w:val="2"/>
          <w:sz w:val="24"/>
          <w:szCs w:val="20"/>
          <w:highlight w:val="none"/>
          <w:u w:val="none" w:color="auto"/>
          <w:lang w:val="en-US" w:eastAsia="zh-CN" w:bidi="ar-SA"/>
        </w:rPr>
        <w:t>是以一个刚性非转移型等离子弧作为热源，以喷涂粉末材料为主的热喷涂方法。喷涂原理是通过等离子喷枪产生等离子射流。喷枪的钨电极(阴极)和喷嘴(阳极)分别接电源负极和正极，由高频振荡器引燃电弧激发，使工作气体(Ar或N2)在电弧的作用下电离成等离子体。由于热收缩效应、自磁收缩效应和机械收缩效应的联合作用，电弧被压缩，形成非转移型等离子弧。送粉流输送粉末喷涂材料进入等离子弧，并被迅速加热至熔融或半熔融状态，随等离子流高速撞击经预处理的基材表面，并在基材表面形成牢固的覆盖层一喷涂层。从而使零件被喷涂表面获得不同的硬度、耐磨、耐热、耐腐蚀、绝缘、隔热、润滑等各种特殊物理化学性能，以满足零件不同工作条件的要求。</w:t>
      </w:r>
    </w:p>
    <w:p>
      <w:pPr>
        <w:pStyle w:val="58"/>
        <w:pageBreakBefore w:val="0"/>
        <w:kinsoku/>
        <w:wordWrap/>
        <w:overflowPunct w:val="0"/>
        <w:topLinePunct/>
        <w:autoSpaceDE w:val="0"/>
        <w:autoSpaceDN w:val="0"/>
        <w:bidi w:val="0"/>
        <w:adjustRightInd/>
        <w:snapToGrid/>
        <w:spacing w:after="0" w:line="360" w:lineRule="auto"/>
        <w:ind w:firstLine="482" w:firstLineChars="200"/>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（2）主要污染工序</w:t>
      </w:r>
    </w:p>
    <w:p>
      <w:pPr>
        <w:pStyle w:val="2"/>
        <w:rPr>
          <w:rFonts w:hint="eastAsia" w:ascii="Times New Roman" w:hAnsi="Times New Roman" w:eastAsia="宋体" w:cs="Times New Roman"/>
          <w:snapToGrid/>
          <w:color w:val="auto"/>
          <w:kern w:val="2"/>
          <w:sz w:val="24"/>
          <w:szCs w:val="20"/>
          <w:highlight w:val="none"/>
          <w:u w:val="none" w:color="auto"/>
          <w:lang w:val="en-US" w:eastAsia="zh-CN" w:bidi="ar-SA"/>
        </w:rPr>
      </w:pPr>
      <w:r>
        <w:rPr>
          <w:rFonts w:hint="eastAsia" w:ascii="Times New Roman" w:hAnsi="Times New Roman" w:eastAsia="宋体" w:cs="Times New Roman"/>
          <w:snapToGrid/>
          <w:color w:val="auto"/>
          <w:kern w:val="2"/>
          <w:sz w:val="24"/>
          <w:szCs w:val="20"/>
          <w:highlight w:val="none"/>
          <w:u w:val="none" w:color="auto"/>
          <w:lang w:val="en-US" w:eastAsia="zh-CN" w:bidi="ar-SA"/>
        </w:rPr>
        <w:t>表面处理车间主要污染源为：喷漆、烘干废气、喷涂废气。</w:t>
      </w:r>
    </w:p>
    <w:p>
      <w:pPr>
        <w:pStyle w:val="58"/>
        <w:pageBreakBefore w:val="0"/>
        <w:kinsoku/>
        <w:wordWrap/>
        <w:overflowPunct w:val="0"/>
        <w:topLinePunct/>
        <w:autoSpaceDE w:val="0"/>
        <w:autoSpaceDN w:val="0"/>
        <w:bidi w:val="0"/>
        <w:adjustRightInd/>
        <w:snapToGrid/>
        <w:spacing w:after="0" w:line="360" w:lineRule="auto"/>
        <w:ind w:left="0" w:leftChars="0" w:right="0" w:rightChars="0" w:firstLine="0" w:firstLineChars="0"/>
        <w:jc w:val="center"/>
        <w:textAlignment w:val="auto"/>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表3.3-表面处理生产污染工序</w:t>
      </w:r>
    </w:p>
    <w:p>
      <w:pPr>
        <w:pStyle w:val="3"/>
        <w:rPr>
          <w:rFonts w:hint="eastAsia"/>
          <w:color w:val="auto"/>
          <w:lang w:val="en-US" w:eastAsia="zh-CN"/>
        </w:rPr>
      </w:pPr>
    </w:p>
    <w:tbl>
      <w:tblPr>
        <w:tblStyle w:val="40"/>
        <w:tblW w:w="50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1062"/>
        <w:gridCol w:w="1249"/>
        <w:gridCol w:w="1157"/>
        <w:gridCol w:w="3482"/>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3"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污染源工序</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表面处理车间</w:t>
            </w: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en-US" w:bidi="en-US"/>
              </w:rPr>
            </w:pPr>
            <w:r>
              <w:rPr>
                <w:rFonts w:hint="eastAsia" w:ascii="Times New Roman" w:hAnsi="Times New Roman" w:eastAsia="宋体" w:cs="Times New Roman"/>
                <w:color w:val="auto"/>
                <w:sz w:val="21"/>
                <w:szCs w:val="21"/>
                <w:highlight w:val="none"/>
                <w:lang w:val="en-US" w:eastAsia="zh-CN" w:bidi="en-US"/>
              </w:rPr>
              <w:t>G5-1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喷漆、烘干</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G5-2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喷涂</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3"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S5-1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喷漆</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废油漆桶</w:t>
            </w:r>
          </w:p>
        </w:tc>
      </w:tr>
    </w:tbl>
    <w:p>
      <w:pPr>
        <w:pStyle w:val="2"/>
        <w:rPr>
          <w:rFonts w:hint="default"/>
          <w:color w:val="auto"/>
          <w:lang w:val="en-US" w:eastAsia="zh-CN"/>
        </w:rPr>
      </w:pPr>
      <w:r>
        <w:rPr>
          <w:rFonts w:hint="eastAsia"/>
          <w:color w:val="auto"/>
          <w:lang w:val="en-US" w:eastAsia="zh-CN"/>
        </w:rPr>
        <w:t>其他污染工序：项目实验室主要为拉伸、硬度等测试，理化试验用到少量酸碱试剂，会产生废酸碱试剂、沾染，产生量较少10L/d，经过</w:t>
      </w:r>
    </w:p>
    <w:p>
      <w:pPr>
        <w:pStyle w:val="6"/>
        <w:pageBreakBefore w:val="0"/>
        <w:kinsoku/>
        <w:wordWrap/>
        <w:overflowPunct w:val="0"/>
        <w:topLinePunct/>
        <w:autoSpaceDE w:val="0"/>
        <w:autoSpaceDN w:val="0"/>
        <w:bidi w:val="0"/>
        <w:rPr>
          <w:rFonts w:hint="eastAsia" w:ascii="Times New Roman" w:hAnsi="Times New Roman" w:eastAsia="宋体" w:cs="Times New Roman"/>
          <w:color w:val="auto"/>
          <w:u w:val="none" w:color="auto"/>
          <w:lang w:eastAsia="zh-CN"/>
        </w:rPr>
      </w:pPr>
      <w:bookmarkStart w:id="129" w:name="_Toc3552"/>
      <w:bookmarkStart w:id="130" w:name="_Toc2237"/>
      <w:r>
        <w:rPr>
          <w:rFonts w:hint="eastAsia" w:cs="Times New Roman"/>
          <w:color w:val="auto"/>
          <w:u w:val="none" w:color="auto"/>
          <w:lang w:val="en-US" w:eastAsia="zh-CN"/>
        </w:rPr>
        <w:t>3.4</w:t>
      </w:r>
      <w:r>
        <w:rPr>
          <w:rFonts w:hint="default" w:ascii="Times New Roman" w:hAnsi="Times New Roman" w:eastAsia="宋体" w:cs="Times New Roman"/>
          <w:color w:val="auto"/>
          <w:u w:val="none" w:color="auto"/>
        </w:rPr>
        <w:t>产污环节</w:t>
      </w:r>
      <w:bookmarkEnd w:id="129"/>
      <w:r>
        <w:rPr>
          <w:rFonts w:hint="eastAsia" w:ascii="Times New Roman" w:hAnsi="Times New Roman" w:eastAsia="宋体" w:cs="Times New Roman"/>
          <w:color w:val="auto"/>
          <w:u w:val="none" w:color="auto"/>
          <w:lang w:eastAsia="zh-CN"/>
        </w:rPr>
        <w:t>：</w:t>
      </w:r>
      <w:bookmarkEnd w:id="130"/>
    </w:p>
    <w:p>
      <w:pPr>
        <w:rPr>
          <w:rFonts w:hint="eastAsia"/>
          <w:color w:val="auto"/>
          <w:sz w:val="24"/>
          <w:szCs w:val="24"/>
          <w:lang w:eastAsia="zh-CN"/>
        </w:rPr>
      </w:pPr>
      <w:r>
        <w:rPr>
          <w:rFonts w:hint="eastAsia" w:ascii="Times New Roman" w:hAnsi="Times New Roman" w:eastAsia="宋体" w:cs="Times New Roman"/>
          <w:color w:val="auto"/>
          <w:sz w:val="24"/>
          <w:szCs w:val="24"/>
          <w:u w:val="none" w:color="auto"/>
          <w:lang w:eastAsia="zh-CN"/>
        </w:rPr>
        <w:t>本项目产污环节见下表。</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3.4</w:t>
      </w:r>
      <w:r>
        <w:rPr>
          <w:rFonts w:hint="default" w:ascii="Times New Roman" w:hAnsi="Times New Roman" w:eastAsia="宋体" w:cs="Times New Roman"/>
          <w:color w:val="auto"/>
          <w:sz w:val="24"/>
          <w:szCs w:val="24"/>
          <w:u w:val="none" w:color="auto"/>
        </w:rPr>
        <w:t>-1主要产污环节一览表</w:t>
      </w:r>
    </w:p>
    <w:tbl>
      <w:tblPr>
        <w:tblStyle w:val="40"/>
        <w:tblW w:w="50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1061"/>
        <w:gridCol w:w="1246"/>
        <w:gridCol w:w="1155"/>
        <w:gridCol w:w="3474"/>
        <w:gridCol w:w="2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污染源工序</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SA"/>
              </w:rPr>
              <w:t>镁合金铸锭</w:t>
            </w:r>
          </w:p>
        </w:tc>
        <w:tc>
          <w:tcPr>
            <w:tcW w:w="639" w:type="pct"/>
            <w:vMerge w:val="restar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spacing w:after="6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en-US" w:bidi="en-US"/>
              </w:rPr>
              <w:t>G</w:t>
            </w:r>
            <w:r>
              <w:rPr>
                <w:rFonts w:hint="eastAsia" w:ascii="Times New Roman" w:hAnsi="Times New Roman" w:eastAsia="宋体" w:cs="Times New Roman"/>
                <w:color w:val="auto"/>
                <w:sz w:val="21"/>
                <w:szCs w:val="21"/>
                <w:highlight w:val="none"/>
                <w:lang w:val="en-US" w:eastAsia="zh-CN" w:bidi="en-US"/>
              </w:rPr>
              <w:t>1</w:t>
            </w:r>
            <w:r>
              <w:rPr>
                <w:rFonts w:hint="default" w:ascii="Times New Roman" w:hAnsi="Times New Roman" w:eastAsia="宋体" w:cs="Times New Roman"/>
                <w:color w:val="auto"/>
                <w:sz w:val="21"/>
                <w:szCs w:val="21"/>
                <w:highlight w:val="none"/>
                <w:lang w:val="en-US" w:eastAsia="en-US" w:bidi="en-US"/>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熔炼废气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颗粒物、氯化氢、氟化物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en-US" w:bidi="en-US"/>
              </w:rPr>
              <w:t>G</w:t>
            </w:r>
            <w:r>
              <w:rPr>
                <w:rFonts w:hint="eastAsia" w:ascii="Times New Roman" w:hAnsi="Times New Roman" w:eastAsia="宋体" w:cs="Times New Roman"/>
                <w:color w:val="auto"/>
                <w:sz w:val="21"/>
                <w:szCs w:val="21"/>
                <w:highlight w:val="none"/>
                <w:lang w:val="en-US" w:eastAsia="zh-CN" w:bidi="en-US"/>
              </w:rPr>
              <w:t>1</w:t>
            </w:r>
            <w:r>
              <w:rPr>
                <w:rFonts w:hint="default" w:ascii="Times New Roman" w:hAnsi="Times New Roman" w:eastAsia="宋体" w:cs="Times New Roman"/>
                <w:color w:val="auto"/>
                <w:sz w:val="21"/>
                <w:szCs w:val="21"/>
                <w:highlight w:val="none"/>
                <w:lang w:val="en-US" w:eastAsia="en-US" w:bidi="en-US"/>
              </w:rPr>
              <w:t>-</w:t>
            </w:r>
            <w:r>
              <w:rPr>
                <w:rFonts w:hint="default" w:ascii="Times New Roman" w:hAnsi="Times New Roman" w:eastAsia="宋体" w:cs="Times New Roman"/>
                <w:color w:val="auto"/>
                <w:sz w:val="21"/>
                <w:szCs w:val="21"/>
                <w:highlight w:val="none"/>
                <w:lang w:val="en-US" w:eastAsia="zh-CN" w:bidi="en-US"/>
              </w:rPr>
              <w:t>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浇筑废气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N1-1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en-US"/>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bidi="en-US"/>
              </w:rPr>
              <w:t>S</w:t>
            </w:r>
            <w:r>
              <w:rPr>
                <w:rFonts w:hint="eastAsia" w:ascii="Times New Roman" w:hAnsi="Times New Roman" w:eastAsia="宋体" w:cs="Times New Roman"/>
                <w:color w:val="auto"/>
                <w:sz w:val="21"/>
                <w:szCs w:val="21"/>
                <w:highlight w:val="none"/>
                <w:lang w:val="en-US" w:eastAsia="zh-CN" w:bidi="en-US"/>
              </w:rPr>
              <w:t>1</w:t>
            </w:r>
            <w:r>
              <w:rPr>
                <w:rFonts w:hint="default" w:ascii="Times New Roman" w:hAnsi="Times New Roman" w:eastAsia="宋体" w:cs="Times New Roman"/>
                <w:color w:val="auto"/>
                <w:sz w:val="21"/>
                <w:szCs w:val="21"/>
                <w:highlight w:val="none"/>
                <w:lang w:val="en-US" w:eastAsia="en-US" w:bidi="en-US"/>
              </w:rPr>
              <w:t>-</w:t>
            </w:r>
            <w:r>
              <w:rPr>
                <w:rFonts w:hint="default" w:ascii="Times New Roman" w:hAnsi="Times New Roman" w:eastAsia="宋体" w:cs="Times New Roman"/>
                <w:color w:val="auto"/>
                <w:sz w:val="21"/>
                <w:szCs w:val="21"/>
                <w:highlight w:val="none"/>
                <w:lang w:val="en-US" w:eastAsia="zh-CN" w:bidi="en-US"/>
              </w:rPr>
              <w:t>1</w:t>
            </w:r>
            <w:r>
              <w:rPr>
                <w:rFonts w:hint="eastAsia" w:ascii="Times New Roman" w:hAnsi="Times New Roman" w:eastAsia="宋体" w:cs="Times New Roman"/>
                <w:color w:val="auto"/>
                <w:sz w:val="21"/>
                <w:szCs w:val="21"/>
                <w:highlight w:val="none"/>
                <w:lang w:val="en-US" w:eastAsia="zh-CN" w:bidi="en-US"/>
              </w:rPr>
              <w:t>、S1-2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镁渣</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金属杂质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镁合金锻件</w:t>
            </w:r>
          </w:p>
        </w:tc>
        <w:tc>
          <w:tcPr>
            <w:tcW w:w="639"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G2-1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加热炉燃烧废气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color w:val="auto"/>
                <w:sz w:val="21"/>
                <w:szCs w:val="21"/>
              </w:rPr>
            </w:pP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N2-1、N2-2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rFonts w:hint="eastAsia" w:ascii="Times New Roman" w:hAnsi="Times New Roman" w:eastAsia="宋体" w:cs="Times New Roman"/>
                <w:color w:val="auto"/>
                <w:sz w:val="21"/>
                <w:szCs w:val="21"/>
                <w:highlight w:val="none"/>
                <w:lang w:eastAsia="zh-CN"/>
              </w:rPr>
            </w:pP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S</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en-US"/>
              </w:rPr>
              <w:t>-</w:t>
            </w:r>
            <w:r>
              <w:rPr>
                <w:rFonts w:hint="default" w:ascii="Times New Roman" w:hAnsi="Times New Roman" w:eastAsia="宋体" w:cs="Times New Roman"/>
                <w:color w:val="auto"/>
                <w:sz w:val="21"/>
                <w:szCs w:val="21"/>
                <w:highlight w:val="none"/>
                <w:lang w:val="en-US" w:eastAsia="zh-CN"/>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边角料</w:t>
            </w:r>
          </w:p>
        </w:tc>
        <w:tc>
          <w:tcPr>
            <w:tcW w:w="1442"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color w:val="auto"/>
                <w:sz w:val="21"/>
                <w:szCs w:val="21"/>
              </w:rPr>
            </w:pPr>
          </w:p>
        </w:tc>
        <w:tc>
          <w:tcPr>
            <w:tcW w:w="639"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both"/>
              <w:rPr>
                <w:color w:val="auto"/>
                <w:sz w:val="21"/>
                <w:szCs w:val="21"/>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S2-2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不合格产品</w:t>
            </w:r>
          </w:p>
        </w:tc>
        <w:tc>
          <w:tcPr>
            <w:tcW w:w="1442"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镁合金挤压材</w:t>
            </w: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bidi="en-US"/>
              </w:rPr>
            </w:pPr>
            <w:r>
              <w:rPr>
                <w:rFonts w:hint="eastAsia" w:ascii="Times New Roman" w:hAnsi="Times New Roman" w:eastAsia="宋体" w:cs="Times New Roman"/>
                <w:color w:val="auto"/>
                <w:sz w:val="21"/>
                <w:szCs w:val="21"/>
                <w:highlight w:val="none"/>
                <w:lang w:val="en-US" w:eastAsia="zh-CN"/>
              </w:rPr>
              <w:t>N2-1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en-US"/>
              </w:rPr>
              <w:t>S</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en-US"/>
              </w:rPr>
              <w:t>-</w:t>
            </w:r>
            <w:r>
              <w:rPr>
                <w:rFonts w:hint="default" w:ascii="Times New Roman" w:hAnsi="Times New Roman" w:eastAsia="宋体" w:cs="Times New Roman"/>
                <w:color w:val="auto"/>
                <w:sz w:val="21"/>
                <w:szCs w:val="21"/>
                <w:highlight w:val="none"/>
                <w:lang w:val="en-US" w:eastAsia="zh-CN"/>
              </w:rPr>
              <w:t>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边角料</w:t>
            </w:r>
          </w:p>
        </w:tc>
        <w:tc>
          <w:tcPr>
            <w:tcW w:w="1442"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S3-2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不合格产品</w:t>
            </w:r>
          </w:p>
        </w:tc>
        <w:tc>
          <w:tcPr>
            <w:tcW w:w="1442"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镁合金板材</w:t>
            </w:r>
          </w:p>
        </w:tc>
        <w:tc>
          <w:tcPr>
            <w:tcW w:w="639" w:type="pc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G4-1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热轧废气</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VOCsN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en-US"/>
              </w:rPr>
              <w:t>噪声</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N4-1、N4-2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机械加工</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S4-1、S4-2、S4-3</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边角料</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639" w:type="pct"/>
            <w:vMerge w:val="continue"/>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color w:val="auto"/>
                <w:sz w:val="21"/>
                <w:szCs w:val="21"/>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S4-4</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不合格产品</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镁铝金属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表面处理车间</w:t>
            </w:r>
          </w:p>
        </w:tc>
        <w:tc>
          <w:tcPr>
            <w:tcW w:w="639" w:type="pct"/>
            <w:vMerge w:val="restart"/>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废气</w:t>
            </w: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en-US" w:bidi="en-US"/>
              </w:rPr>
            </w:pPr>
            <w:r>
              <w:rPr>
                <w:rFonts w:hint="eastAsia" w:ascii="Times New Roman" w:hAnsi="Times New Roman" w:eastAsia="宋体" w:cs="Times New Roman"/>
                <w:color w:val="auto"/>
                <w:sz w:val="21"/>
                <w:szCs w:val="21"/>
                <w:highlight w:val="none"/>
                <w:lang w:val="en-US" w:eastAsia="zh-CN" w:bidi="en-US"/>
              </w:rPr>
              <w:t>G5-1</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喷漆、烘干</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44"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shd w:val="clear" w:color="auto" w:fill="auto"/>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59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G5-2</w:t>
            </w:r>
          </w:p>
        </w:tc>
        <w:tc>
          <w:tcPr>
            <w:tcW w:w="1781"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喷涂</w:t>
            </w:r>
          </w:p>
        </w:tc>
        <w:tc>
          <w:tcPr>
            <w:tcW w:w="1442" w:type="pct"/>
            <w:tcBorders>
              <w:tl2br w:val="nil"/>
              <w:tr2bl w:val="nil"/>
            </w:tcBorders>
            <w:shd w:val="clear" w:color="auto" w:fill="auto"/>
            <w:vAlign w:val="center"/>
          </w:tcPr>
          <w:p>
            <w:pPr>
              <w:pStyle w:val="100"/>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r>
    </w:tbl>
    <w:p>
      <w:pPr>
        <w:pStyle w:val="6"/>
        <w:pageBreakBefore w:val="0"/>
        <w:kinsoku/>
        <w:wordWrap/>
        <w:overflowPunct w:val="0"/>
        <w:topLinePunct/>
        <w:autoSpaceDE w:val="0"/>
        <w:autoSpaceDN w:val="0"/>
        <w:bidi w:val="0"/>
        <w:rPr>
          <w:rFonts w:hint="eastAsia" w:cs="Times New Roman"/>
          <w:color w:val="auto"/>
          <w:u w:val="none" w:color="auto"/>
          <w:lang w:val="en-US" w:eastAsia="zh-CN"/>
        </w:rPr>
      </w:pPr>
      <w:bookmarkStart w:id="131" w:name="_Toc25944"/>
      <w:r>
        <w:rPr>
          <w:rFonts w:hint="eastAsia" w:cs="Times New Roman"/>
          <w:color w:val="auto"/>
          <w:u w:val="none" w:color="auto"/>
          <w:lang w:val="en-US" w:eastAsia="zh-CN"/>
        </w:rPr>
        <w:t>3.5项目平衡分析</w:t>
      </w:r>
      <w:bookmarkEnd w:id="131"/>
    </w:p>
    <w:p>
      <w:pPr>
        <w:pStyle w:val="7"/>
        <w:bidi w:val="0"/>
        <w:rPr>
          <w:rFonts w:hint="eastAsia"/>
          <w:color w:val="auto"/>
          <w:lang w:val="en-US" w:eastAsia="zh-CN"/>
        </w:rPr>
      </w:pPr>
      <w:r>
        <w:rPr>
          <w:rFonts w:hint="eastAsia"/>
          <w:color w:val="auto"/>
          <w:lang w:val="en-US" w:eastAsia="zh-CN"/>
        </w:rPr>
        <w:t>3.5.1物料平衡分析</w:t>
      </w:r>
    </w:p>
    <w:p>
      <w:pPr>
        <w:keepNext w:val="0"/>
        <w:keepLines w:val="0"/>
        <w:pageBreakBefore w:val="0"/>
        <w:widowControl w:val="0"/>
        <w:kinsoku/>
        <w:wordWrap/>
        <w:overflowPunct w:val="0"/>
        <w:topLinePunct/>
        <w:autoSpaceDE w:val="0"/>
        <w:autoSpaceDN w:val="0"/>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b w:val="0"/>
          <w:bCs w:val="0"/>
          <w:color w:val="auto"/>
          <w:kern w:val="2"/>
          <w:sz w:val="24"/>
          <w:szCs w:val="24"/>
          <w:highlight w:val="none"/>
          <w:u w:val="none" w:color="auto"/>
          <w:lang w:val="en-US" w:eastAsia="zh-CN" w:bidi="ar-SA"/>
        </w:rPr>
      </w:pPr>
      <w:r>
        <w:rPr>
          <w:rFonts w:hint="eastAsia" w:ascii="Times New Roman" w:hAnsi="Times New Roman" w:eastAsia="宋体" w:cs="Times New Roman"/>
          <w:b w:val="0"/>
          <w:bCs w:val="0"/>
          <w:color w:val="auto"/>
          <w:kern w:val="2"/>
          <w:sz w:val="24"/>
          <w:szCs w:val="24"/>
          <w:highlight w:val="none"/>
          <w:u w:val="none" w:color="auto"/>
          <w:lang w:val="en-US" w:eastAsia="zh-CN" w:bidi="ar-SA"/>
        </w:rPr>
        <w:t>本项目各车间主要原辅料和产品平衡分析见下表。</w:t>
      </w:r>
    </w:p>
    <w:p>
      <w:pPr>
        <w:keepNext w:val="0"/>
        <w:keepLines w:val="0"/>
        <w:pageBreakBefore w:val="0"/>
        <w:widowControl w:val="0"/>
        <w:kinsoku/>
        <w:wordWrap/>
        <w:overflowPunct w:val="0"/>
        <w:topLinePunct/>
        <w:autoSpaceDE w:val="0"/>
        <w:autoSpaceDN w:val="0"/>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4"/>
          <w:szCs w:val="24"/>
          <w:highlight w:val="none"/>
          <w:u w:val="none" w:color="auto"/>
          <w:lang w:val="en-US" w:eastAsia="zh-CN" w:bidi="ar-SA"/>
        </w:rPr>
      </w:pPr>
      <w:r>
        <w:rPr>
          <w:rFonts w:hint="eastAsia" w:ascii="Times New Roman" w:hAnsi="Times New Roman" w:eastAsia="宋体" w:cs="Times New Roman"/>
          <w:b/>
          <w:bCs/>
          <w:color w:val="auto"/>
          <w:kern w:val="2"/>
          <w:sz w:val="24"/>
          <w:szCs w:val="24"/>
          <w:highlight w:val="none"/>
          <w:u w:val="none" w:color="auto"/>
          <w:lang w:val="en-US" w:eastAsia="zh-CN" w:bidi="ar-SA"/>
        </w:rPr>
        <w:t>表3.5-1车间物料平衡分析t/a</w:t>
      </w:r>
    </w:p>
    <w:tbl>
      <w:tblPr>
        <w:tblStyle w:val="41"/>
        <w:tblW w:w="49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536"/>
        <w:gridCol w:w="1333"/>
        <w:gridCol w:w="1951"/>
        <w:gridCol w:w="960"/>
        <w:gridCol w:w="2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车间</w:t>
            </w:r>
          </w:p>
        </w:tc>
        <w:tc>
          <w:tcPr>
            <w:tcW w:w="1459" w:type="pct"/>
            <w:gridSpan w:val="2"/>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投入</w:t>
            </w:r>
          </w:p>
        </w:tc>
        <w:tc>
          <w:tcPr>
            <w:tcW w:w="2964" w:type="pct"/>
            <w:gridSpan w:val="3"/>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产出及去向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color w:val="auto"/>
              </w:rPr>
            </w:pPr>
          </w:p>
        </w:tc>
        <w:tc>
          <w:tcPr>
            <w:tcW w:w="1459" w:type="pct"/>
            <w:gridSpan w:val="2"/>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color w:val="auto"/>
              </w:rPr>
            </w:pPr>
          </w:p>
        </w:tc>
        <w:tc>
          <w:tcPr>
            <w:tcW w:w="1480" w:type="pct"/>
            <w:gridSpan w:val="2"/>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产出</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auto"/>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熔铸车间</w:t>
            </w: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外购原料</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8680</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镁合金圆锭</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10795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中间产品，用于锻造车间和挤压车间做原料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各车间</w:t>
            </w:r>
            <w:r>
              <w:rPr>
                <w:rFonts w:hint="default" w:ascii="Times New Roman" w:hAnsi="Times New Roman" w:cs="Times New Roman"/>
                <w:color w:val="auto"/>
                <w:sz w:val="21"/>
                <w:szCs w:val="21"/>
                <w:vertAlign w:val="baseline"/>
                <w:lang w:val="en-US" w:eastAsia="zh-CN"/>
              </w:rPr>
              <w:t>一二级返料</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6615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一二级废料</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2900</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返回熔铸车间重熔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三废</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1600</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15295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15295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铸造车间</w:t>
            </w: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镁合金圆锭</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4375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镁合金锻件</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3500</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产品外售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一二级废料</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763</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返回熔铸车间重熔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三废</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112</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snapToGrid w:val="0"/>
                <w:color w:val="auto"/>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合计</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4375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4375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挤压车间</w:t>
            </w: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镁合金圆锭</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6420</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镁合金型材</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6000</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产品外售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外购圆锭</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3375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胚料</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644</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用于板材车间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一二级废料</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2833</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返回熔铸车间重熔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三废</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318</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9795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9795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板材车间</w:t>
            </w: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胚料</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644</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镁合金</w:t>
            </w:r>
            <w:r>
              <w:rPr>
                <w:rFonts w:hint="eastAsia" w:ascii="Times New Roman" w:hAnsi="Times New Roman" w:cs="Times New Roman"/>
                <w:color w:val="auto"/>
                <w:sz w:val="21"/>
                <w:szCs w:val="21"/>
                <w:vertAlign w:val="baseline"/>
                <w:lang w:val="en-US" w:eastAsia="zh-CN"/>
              </w:rPr>
              <w:t>板材</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500</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产品外售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一二级废料</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119</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返回熔铸车间重熔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三废</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644</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48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644</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全厂总计</w:t>
            </w: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外购原料</w:t>
            </w:r>
          </w:p>
        </w:tc>
        <w:tc>
          <w:tcPr>
            <w:tcW w:w="67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snapToGrid w:val="0"/>
                <w:color w:val="auto"/>
                <w:kern w:val="0"/>
                <w:sz w:val="21"/>
                <w:szCs w:val="21"/>
                <w:vertAlign w:val="baseline"/>
                <w:lang w:val="en-US" w:eastAsia="zh-CN" w:bidi="ar-SA"/>
              </w:rPr>
            </w:pPr>
            <w:r>
              <w:rPr>
                <w:rFonts w:hint="eastAsia" w:ascii="Times New Roman" w:hAnsi="Times New Roman" w:cs="Times New Roman" w:eastAsiaTheme="minorEastAsia"/>
                <w:snapToGrid w:val="0"/>
                <w:color w:val="auto"/>
                <w:kern w:val="0"/>
                <w:sz w:val="21"/>
                <w:szCs w:val="21"/>
                <w:vertAlign w:val="baseline"/>
                <w:lang w:val="en-US" w:eastAsia="zh-CN" w:bidi="ar-SA"/>
              </w:rPr>
              <w:t>12055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产品</w:t>
            </w:r>
          </w:p>
        </w:tc>
        <w:tc>
          <w:tcPr>
            <w:tcW w:w="48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一二级返料</w:t>
            </w:r>
          </w:p>
        </w:tc>
        <w:tc>
          <w:tcPr>
            <w:tcW w:w="67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snapToGrid w:val="0"/>
                <w:color w:val="auto"/>
                <w:kern w:val="0"/>
                <w:sz w:val="21"/>
                <w:szCs w:val="21"/>
                <w:vertAlign w:val="baseline"/>
                <w:lang w:val="en-US" w:eastAsia="zh-CN" w:bidi="ar-SA"/>
              </w:rPr>
            </w:pPr>
            <w:r>
              <w:rPr>
                <w:rFonts w:hint="eastAsia" w:ascii="Times New Roman" w:hAnsi="Times New Roman" w:cs="Times New Roman" w:eastAsiaTheme="minorEastAsia"/>
                <w:snapToGrid w:val="0"/>
                <w:color w:val="auto"/>
                <w:kern w:val="0"/>
                <w:sz w:val="21"/>
                <w:szCs w:val="21"/>
                <w:vertAlign w:val="baseline"/>
                <w:lang w:val="en-US" w:eastAsia="zh-CN" w:bidi="ar-SA"/>
              </w:rPr>
              <w:t>6615</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中间产品</w:t>
            </w:r>
          </w:p>
        </w:tc>
        <w:tc>
          <w:tcPr>
            <w:tcW w:w="48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11439</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一二级废料</w:t>
            </w:r>
          </w:p>
        </w:tc>
        <w:tc>
          <w:tcPr>
            <w:tcW w:w="48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6615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利用中间产品</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11439</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三废</w:t>
            </w:r>
          </w:p>
        </w:tc>
        <w:tc>
          <w:tcPr>
            <w:tcW w:w="48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2055</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781"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677"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30109</w:t>
            </w:r>
          </w:p>
        </w:tc>
        <w:tc>
          <w:tcPr>
            <w:tcW w:w="992"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48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30109</w:t>
            </w:r>
          </w:p>
        </w:tc>
        <w:tc>
          <w:tcPr>
            <w:tcW w:w="1484" w:type="pct"/>
            <w:tcBorders>
              <w:tl2br w:val="nil"/>
              <w:tr2bl w:val="nil"/>
            </w:tcBorders>
            <w:vAlign w:val="center"/>
          </w:tcPr>
          <w:p>
            <w:pPr>
              <w:pStyle w:val="2"/>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r>
    </w:tbl>
    <w:p>
      <w:pPr>
        <w:pStyle w:val="2"/>
        <w:ind w:left="0" w:leftChars="0" w:right="0" w:rightChars="0" w:firstLine="0" w:firstLineChars="0"/>
        <w:jc w:val="center"/>
        <w:rPr>
          <w:rFonts w:hint="eastAsia"/>
          <w:b/>
          <w:bCs/>
          <w:color w:val="auto"/>
          <w:lang w:val="en-US" w:eastAsia="zh-CN"/>
        </w:rPr>
      </w:pPr>
      <w:r>
        <w:rPr>
          <w:rFonts w:hint="eastAsia"/>
          <w:b/>
          <w:bCs/>
          <w:color w:val="auto"/>
          <w:lang w:val="en-US" w:eastAsia="zh-CN"/>
        </w:rPr>
        <w:t>表3.5-2全厂主要物料平衡统计表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3335"/>
        <w:gridCol w:w="2913"/>
        <w:gridCol w:w="1454"/>
        <w:gridCol w:w="1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92" w:type="pct"/>
            <w:tcBorders>
              <w:tl2br w:val="nil"/>
              <w:tr2bl w:val="nil"/>
            </w:tcBorders>
            <w:vAlign w:val="center"/>
          </w:tcPr>
          <w:p>
            <w:pPr>
              <w:tabs>
                <w:tab w:val="left" w:pos="888"/>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478" w:type="pct"/>
            <w:tcBorders>
              <w:tl2br w:val="nil"/>
              <w:tr2bl w:val="nil"/>
            </w:tcBorders>
            <w:vAlign w:val="center"/>
          </w:tcPr>
          <w:p>
            <w:pPr>
              <w:tabs>
                <w:tab w:val="center" w:pos="5772"/>
                <w:tab w:val="center" w:pos="7400"/>
              </w:tabs>
              <w:spacing w:line="240" w:lineRule="atLeas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投入</w:t>
            </w:r>
            <w:r>
              <w:rPr>
                <w:rFonts w:hint="default" w:ascii="Times New Roman" w:hAnsi="Times New Roman" w:cs="Times New Roman"/>
                <w:color w:val="auto"/>
                <w:sz w:val="21"/>
                <w:szCs w:val="21"/>
                <w:lang w:val="en-US" w:eastAsia="zh-CN"/>
              </w:rPr>
              <w:t>t/a</w:t>
            </w:r>
          </w:p>
        </w:tc>
        <w:tc>
          <w:tcPr>
            <w:tcW w:w="1478" w:type="pct"/>
            <w:gridSpan w:val="2"/>
            <w:tcBorders>
              <w:tl2br w:val="nil"/>
              <w:tr2bl w:val="nil"/>
            </w:tcBorders>
            <w:vAlign w:val="center"/>
          </w:tcPr>
          <w:p>
            <w:pPr>
              <w:tabs>
                <w:tab w:val="center" w:pos="5772"/>
                <w:tab w:val="center" w:pos="7400"/>
              </w:tabs>
              <w:spacing w:line="240" w:lineRule="atLeast"/>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去向t/a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原生镁锭</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5365</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eastAsia="zh-CN"/>
              </w:rPr>
              <w:t>产品</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重熔用铝锭</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镁合金锻件</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锌锭</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镁合金型材</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Ag</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镁合金板材</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RE</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5</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三废</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MgMn5</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废气</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MgGd30</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2223</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废渣</w:t>
            </w: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MgY30</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671</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MgZr30</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134</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MgEr30</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3</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MgCa30</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5</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外购圆锭</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3375</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2#溶剂</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120</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p>
        </w:tc>
        <w:tc>
          <w:tcPr>
            <w:tcW w:w="1692"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47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12055</w:t>
            </w:r>
          </w:p>
        </w:tc>
        <w:tc>
          <w:tcPr>
            <w:tcW w:w="73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color w:val="auto"/>
                <w:sz w:val="21"/>
                <w:szCs w:val="21"/>
              </w:rPr>
            </w:pPr>
          </w:p>
        </w:tc>
        <w:tc>
          <w:tcPr>
            <w:tcW w:w="73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12055</w:t>
            </w:r>
          </w:p>
        </w:tc>
      </w:tr>
    </w:tbl>
    <w:p>
      <w:pPr>
        <w:pStyle w:val="2"/>
        <w:ind w:left="0" w:leftChars="0" w:right="0" w:rightChars="0" w:firstLine="0" w:firstLineChars="0"/>
        <w:jc w:val="center"/>
        <w:rPr>
          <w:rFonts w:hint="default" w:ascii="Times New Roman" w:hAnsi="Times New Roman" w:eastAsia="宋体" w:cs="Times New Roman"/>
          <w:b/>
          <w:bCs/>
          <w:color w:val="auto"/>
          <w:lang w:val="en-US" w:eastAsia="zh-CN"/>
        </w:rPr>
      </w:pPr>
      <w:r>
        <w:rPr>
          <w:rFonts w:hint="eastAsia"/>
          <w:color w:val="auto"/>
          <w:lang w:val="en-US" w:eastAsia="zh-CN"/>
        </w:rPr>
        <w:object>
          <v:shape id="_x0000_i1030" o:spt="75" type="#_x0000_t75" style="height:366.75pt;width:481.45pt;" o:ole="t" filled="f" o:preferrelative="t" stroked="f" coordsize="21600,21600">
            <v:path/>
            <v:fill on="f" focussize="0,0"/>
            <v:stroke on="f"/>
            <v:imagedata r:id="rId50" o:title=""/>
            <o:lock v:ext="edit" aspectratio="f"/>
            <w10:wrap type="none"/>
            <w10:anchorlock/>
          </v:shape>
          <o:OLEObject Type="Embed" ProgID="Visio.Drawing.11" ShapeID="_x0000_i1030" DrawAspect="Content" ObjectID="_1468075730" r:id="rId49">
            <o:LockedField>false</o:LockedField>
          </o:OLEObject>
        </w:object>
      </w:r>
      <w:r>
        <w:rPr>
          <w:rFonts w:hint="default" w:ascii="Times New Roman" w:hAnsi="Times New Roman" w:eastAsia="宋体" w:cs="Times New Roman"/>
          <w:b/>
          <w:bCs/>
          <w:color w:val="auto"/>
          <w:lang w:val="en-US" w:eastAsia="zh-CN"/>
        </w:rPr>
        <w:t>图3.5-</w:t>
      </w:r>
      <w:r>
        <w:rPr>
          <w:rFonts w:hint="eastAsia" w:ascii="Times New Roman" w:hAnsi="Times New Roman" w:eastAsia="宋体" w:cs="Times New Roman"/>
          <w:b/>
          <w:bCs/>
          <w:color w:val="auto"/>
          <w:lang w:val="en-US" w:eastAsia="zh-CN"/>
        </w:rPr>
        <w:t>1主要</w:t>
      </w:r>
      <w:r>
        <w:rPr>
          <w:rFonts w:hint="default" w:ascii="Times New Roman" w:hAnsi="Times New Roman" w:eastAsia="宋体" w:cs="Times New Roman"/>
          <w:b/>
          <w:bCs/>
          <w:color w:val="auto"/>
          <w:lang w:val="en-US" w:eastAsia="zh-CN"/>
        </w:rPr>
        <w:t>物料总平衡图（t/a）</w:t>
      </w:r>
    </w:p>
    <w:p>
      <w:pPr>
        <w:pStyle w:val="7"/>
        <w:bidi w:val="0"/>
        <w:rPr>
          <w:rFonts w:hint="eastAsia"/>
          <w:color w:val="auto"/>
          <w:lang w:val="en-US" w:eastAsia="zh-CN"/>
        </w:rPr>
      </w:pPr>
      <w:r>
        <w:rPr>
          <w:rFonts w:hint="eastAsia"/>
          <w:color w:val="auto"/>
          <w:lang w:val="en-US" w:eastAsia="zh-CN"/>
        </w:rPr>
        <w:t>3.5.2氯元素平衡分析</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9"/>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项目2#熔剂为主要成分为氯化镁氯化钾等，主要用于镁合金精炼，精炼温度为750℃。根据业主提供资料，大部分氯化物95%进入废渣中，约5%氯化物与空气中水分子发生反应，生成HCl。</w:t>
      </w:r>
    </w:p>
    <w:p>
      <w:pPr>
        <w:pStyle w:val="2"/>
        <w:ind w:left="0" w:leftChars="0" w:right="0" w:rightChars="0" w:firstLine="0" w:firstLineChars="0"/>
        <w:jc w:val="center"/>
        <w:outlineLvl w:val="9"/>
        <w:rPr>
          <w:rFonts w:hint="eastAsia"/>
          <w:b/>
          <w:bCs/>
          <w:color w:val="auto"/>
          <w:lang w:val="en-US" w:eastAsia="zh-CN"/>
        </w:rPr>
      </w:pPr>
      <w:r>
        <w:rPr>
          <w:rFonts w:hint="eastAsia" w:ascii="Times New Roman" w:hAnsi="Times New Roman" w:eastAsia="宋体" w:cs="Times New Roman"/>
          <w:b/>
          <w:bCs/>
          <w:color w:val="auto"/>
          <w:kern w:val="2"/>
          <w:sz w:val="24"/>
          <w:szCs w:val="24"/>
          <w:highlight w:val="none"/>
          <w:u w:val="none" w:color="auto"/>
          <w:lang w:val="en-US" w:eastAsia="zh-CN" w:bidi="ar-SA"/>
        </w:rPr>
        <w:t>表3.5-3氯元素平衡表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695"/>
        <w:gridCol w:w="1918"/>
        <w:gridCol w:w="1791"/>
        <w:gridCol w:w="1149"/>
        <w:gridCol w:w="729"/>
        <w:gridCol w:w="1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60" w:type="pct"/>
            <w:tcBorders>
              <w:tl2br w:val="nil"/>
              <w:tr2bl w:val="nil"/>
            </w:tcBorders>
            <w:vAlign w:val="center"/>
          </w:tcPr>
          <w:p>
            <w:pPr>
              <w:tabs>
                <w:tab w:val="left" w:pos="888"/>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c>
          <w:tcPr>
            <w:tcW w:w="1882" w:type="pct"/>
            <w:gridSpan w:val="2"/>
            <w:tcBorders>
              <w:tl2br w:val="nil"/>
              <w:tr2bl w:val="nil"/>
            </w:tcBorders>
            <w:vAlign w:val="center"/>
          </w:tcPr>
          <w:p>
            <w:pPr>
              <w:tabs>
                <w:tab w:val="center" w:pos="5772"/>
                <w:tab w:val="center" w:pos="7400"/>
              </w:tabs>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投入</w:t>
            </w:r>
            <w:r>
              <w:rPr>
                <w:rFonts w:hint="default" w:ascii="Times New Roman" w:hAnsi="Times New Roman" w:eastAsia="宋体" w:cs="Times New Roman"/>
                <w:color w:val="auto"/>
                <w:sz w:val="21"/>
                <w:szCs w:val="21"/>
                <w:lang w:val="en-US" w:eastAsia="zh-CN"/>
              </w:rPr>
              <w:t>t/a</w:t>
            </w:r>
          </w:p>
        </w:tc>
        <w:tc>
          <w:tcPr>
            <w:tcW w:w="1906" w:type="pct"/>
            <w:gridSpan w:val="3"/>
            <w:tcBorders>
              <w:tl2br w:val="nil"/>
              <w:tr2bl w:val="nil"/>
            </w:tcBorders>
            <w:vAlign w:val="center"/>
          </w:tcPr>
          <w:p>
            <w:pPr>
              <w:tabs>
                <w:tab w:val="center" w:pos="5772"/>
                <w:tab w:val="center" w:pos="7400"/>
              </w:tabs>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去向t/a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6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熔剂</w:t>
            </w:r>
          </w:p>
        </w:tc>
        <w:tc>
          <w:tcPr>
            <w:tcW w:w="97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全成分重量</w:t>
            </w:r>
          </w:p>
        </w:tc>
        <w:tc>
          <w:tcPr>
            <w:tcW w:w="90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其中氯元素</w:t>
            </w:r>
          </w:p>
        </w:tc>
        <w:tc>
          <w:tcPr>
            <w:tcW w:w="953" w:type="pct"/>
            <w:gridSpan w:val="2"/>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去向</w:t>
            </w:r>
          </w:p>
        </w:tc>
        <w:tc>
          <w:tcPr>
            <w:tcW w:w="95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其中氯元素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6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MgCl  46%</w:t>
            </w:r>
          </w:p>
        </w:tc>
        <w:tc>
          <w:tcPr>
            <w:tcW w:w="97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w:t>
            </w:r>
          </w:p>
        </w:tc>
        <w:tc>
          <w:tcPr>
            <w:tcW w:w="90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26.3</w:t>
            </w:r>
          </w:p>
        </w:tc>
        <w:tc>
          <w:tcPr>
            <w:tcW w:w="58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废渣</w:t>
            </w:r>
          </w:p>
        </w:tc>
        <w:tc>
          <w:tcPr>
            <w:tcW w:w="36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114</w:t>
            </w:r>
          </w:p>
        </w:tc>
        <w:tc>
          <w:tcPr>
            <w:tcW w:w="95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6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kern w:val="2"/>
                <w:sz w:val="21"/>
                <w:szCs w:val="21"/>
                <w:highlight w:val="none"/>
                <w:u w:val="none" w:color="auto"/>
                <w:lang w:val="en-US" w:eastAsia="zh-CN" w:bidi="ar-SA"/>
              </w:rPr>
              <w:t>Cl</w:t>
            </w:r>
            <w:r>
              <w:rPr>
                <w:rFonts w:hint="eastAsia" w:ascii="Times New Roman" w:hAnsi="Times New Roman" w:eastAsia="宋体" w:cs="Times New Roman"/>
                <w:color w:val="auto"/>
                <w:kern w:val="2"/>
                <w:sz w:val="21"/>
                <w:szCs w:val="21"/>
                <w:highlight w:val="none"/>
                <w:u w:val="none" w:color="auto"/>
                <w:lang w:val="en-US" w:eastAsia="zh-CN" w:bidi="ar-SA"/>
              </w:rPr>
              <w:t xml:space="preserve"> 40%</w:t>
            </w:r>
          </w:p>
        </w:tc>
        <w:tc>
          <w:tcPr>
            <w:tcW w:w="97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90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35.5</w:t>
            </w:r>
          </w:p>
        </w:tc>
        <w:tc>
          <w:tcPr>
            <w:tcW w:w="58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废气</w:t>
            </w:r>
          </w:p>
        </w:tc>
        <w:tc>
          <w:tcPr>
            <w:tcW w:w="36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95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6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Ga</w:t>
            </w:r>
            <w:r>
              <w:rPr>
                <w:rFonts w:hint="default" w:ascii="Times New Roman" w:hAnsi="Times New Roman" w:eastAsia="宋体" w:cs="Times New Roman"/>
                <w:color w:val="auto"/>
                <w:kern w:val="2"/>
                <w:sz w:val="21"/>
                <w:szCs w:val="21"/>
                <w:highlight w:val="none"/>
                <w:u w:val="none" w:color="auto"/>
                <w:lang w:val="en-US" w:eastAsia="zh-CN" w:bidi="ar-SA"/>
              </w:rPr>
              <w:t>Cl</w:t>
            </w:r>
            <w:r>
              <w:rPr>
                <w:rFonts w:hint="default" w:ascii="Times New Roman" w:hAnsi="Times New Roman" w:eastAsia="宋体" w:cs="Times New Roman"/>
                <w:color w:val="auto"/>
                <w:kern w:val="2"/>
                <w:sz w:val="21"/>
                <w:szCs w:val="21"/>
                <w:highlight w:val="none"/>
                <w:u w:val="none" w:color="auto"/>
                <w:vertAlign w:val="subscript"/>
                <w:lang w:val="en-US" w:eastAsia="zh-CN" w:bidi="ar-SA"/>
              </w:rPr>
              <w:t>2</w:t>
            </w:r>
            <w:r>
              <w:rPr>
                <w:rFonts w:hint="eastAsia" w:ascii="Times New Roman" w:hAnsi="Times New Roman" w:eastAsia="宋体" w:cs="Times New Roman"/>
                <w:color w:val="auto"/>
                <w:kern w:val="2"/>
                <w:sz w:val="21"/>
                <w:szCs w:val="21"/>
                <w:highlight w:val="none"/>
                <w:u w:val="none" w:color="auto"/>
                <w:vertAlign w:val="subscript"/>
                <w:lang w:val="en-US" w:eastAsia="zh-CN" w:bidi="ar-SA"/>
              </w:rPr>
              <w:t xml:space="preserve"> </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 xml:space="preserve"> 8%</w:t>
            </w:r>
          </w:p>
        </w:tc>
        <w:tc>
          <w:tcPr>
            <w:tcW w:w="97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90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w:t>
            </w:r>
          </w:p>
        </w:tc>
        <w:tc>
          <w:tcPr>
            <w:tcW w:w="58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c>
          <w:tcPr>
            <w:tcW w:w="36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c>
          <w:tcPr>
            <w:tcW w:w="95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60"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Ba</w:t>
            </w:r>
            <w:r>
              <w:rPr>
                <w:rFonts w:hint="default" w:ascii="Times New Roman" w:hAnsi="Times New Roman" w:eastAsia="宋体" w:cs="Times New Roman"/>
                <w:color w:val="auto"/>
                <w:kern w:val="2"/>
                <w:sz w:val="21"/>
                <w:szCs w:val="21"/>
                <w:highlight w:val="none"/>
                <w:u w:val="none" w:color="auto"/>
                <w:lang w:val="en-US" w:eastAsia="zh-CN" w:bidi="ar-SA"/>
              </w:rPr>
              <w:t>Cl</w:t>
            </w:r>
            <w:r>
              <w:rPr>
                <w:rFonts w:hint="default" w:ascii="Times New Roman" w:hAnsi="Times New Roman" w:eastAsia="宋体" w:cs="Times New Roman"/>
                <w:color w:val="auto"/>
                <w:kern w:val="2"/>
                <w:sz w:val="21"/>
                <w:szCs w:val="21"/>
                <w:highlight w:val="none"/>
                <w:u w:val="none" w:color="auto"/>
                <w:vertAlign w:val="subscript"/>
                <w:lang w:val="en-US" w:eastAsia="zh-CN" w:bidi="ar-SA"/>
              </w:rPr>
              <w:t>2</w:t>
            </w:r>
            <w:r>
              <w:rPr>
                <w:rFonts w:hint="eastAsia" w:ascii="Times New Roman" w:hAnsi="Times New Roman" w:eastAsia="宋体" w:cs="Times New Roman"/>
                <w:color w:val="auto"/>
                <w:kern w:val="2"/>
                <w:sz w:val="21"/>
                <w:szCs w:val="21"/>
                <w:highlight w:val="none"/>
                <w:u w:val="none" w:color="auto"/>
                <w:vertAlign w:val="subscript"/>
                <w:lang w:val="en-US" w:eastAsia="zh-CN" w:bidi="ar-SA"/>
              </w:rPr>
              <w:t xml:space="preserve">  </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8%</w:t>
            </w:r>
          </w:p>
        </w:tc>
        <w:tc>
          <w:tcPr>
            <w:tcW w:w="97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90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58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c>
          <w:tcPr>
            <w:tcW w:w="36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c>
          <w:tcPr>
            <w:tcW w:w="95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10" w:type="pct"/>
            <w:gridSpan w:val="2"/>
            <w:tcBorders>
              <w:tl2br w:val="nil"/>
              <w:tr2bl w:val="nil"/>
            </w:tcBorders>
            <w:vAlign w:val="center"/>
          </w:tcPr>
          <w:p>
            <w:pPr>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合计</w:t>
            </w:r>
          </w:p>
        </w:tc>
        <w:tc>
          <w:tcPr>
            <w:tcW w:w="97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908"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71.2</w:t>
            </w:r>
          </w:p>
        </w:tc>
        <w:tc>
          <w:tcPr>
            <w:tcW w:w="58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eastAsia="zh-CN"/>
              </w:rPr>
            </w:pPr>
          </w:p>
        </w:tc>
        <w:tc>
          <w:tcPr>
            <w:tcW w:w="369"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953" w:type="pct"/>
            <w:tcBorders>
              <w:tl2br w:val="nil"/>
              <w:tr2bl w:val="nil"/>
            </w:tcBorders>
            <w:vAlign w:val="center"/>
          </w:tcPr>
          <w:p>
            <w:pPr>
              <w:tabs>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71.2</w:t>
            </w:r>
          </w:p>
        </w:tc>
      </w:tr>
    </w:tbl>
    <w:p>
      <w:pPr>
        <w:rPr>
          <w:rFonts w:hint="eastAsia"/>
          <w:color w:val="auto"/>
          <w:lang w:val="en-US" w:eastAsia="zh-CN"/>
        </w:rPr>
      </w:pPr>
    </w:p>
    <w:p>
      <w:pPr>
        <w:pStyle w:val="7"/>
        <w:bidi w:val="0"/>
        <w:rPr>
          <w:rFonts w:hint="eastAsia"/>
          <w:color w:val="auto"/>
          <w:lang w:val="en-US" w:eastAsia="zh-CN"/>
        </w:rPr>
      </w:pPr>
      <w:r>
        <w:rPr>
          <w:rFonts w:hint="eastAsia"/>
          <w:color w:val="auto"/>
          <w:lang w:val="en-US" w:eastAsia="zh-CN"/>
        </w:rPr>
        <w:t>3.5.3油漆使用平衡表</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水性色漆年用量为4</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9t/a，固体份含量48% (2</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35t/a) ，固体份约70%进入产品成为漆膜，则进入产品中固体份为1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65t/a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可以满足色漆喷涂面积、厚度的要求。</w:t>
      </w:r>
    </w:p>
    <w:p>
      <w:pPr>
        <w:pStyle w:val="3"/>
        <w:ind w:left="0" w:leftChars="0" w:right="0" w:righ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表3.5-4油漆固体份使用情况</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463"/>
        <w:gridCol w:w="2463"/>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tcBorders>
              <w:top w:val="single" w:color="auto" w:sz="12" w:space="0"/>
              <w:left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喷漆面积</w:t>
            </w:r>
          </w:p>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/a）</w:t>
            </w:r>
          </w:p>
        </w:tc>
        <w:tc>
          <w:tcPr>
            <w:tcW w:w="1250" w:type="pct"/>
            <w:tcBorders>
              <w:top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固体份平均密度(t/m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50" w:type="pct"/>
            <w:tcBorders>
              <w:top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面漆干厚度</w:t>
            </w:r>
          </w:p>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(um)</w:t>
            </w:r>
          </w:p>
        </w:tc>
        <w:tc>
          <w:tcPr>
            <w:tcW w:w="1250" w:type="pct"/>
            <w:tcBorders>
              <w:top w:val="single" w:color="auto" w:sz="12" w:space="0"/>
              <w:right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产品中色漆固体份质量(t/a)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tcBorders>
              <w:left w:val="single" w:color="auto" w:sz="12" w:space="0"/>
              <w:bottom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250" w:type="pct"/>
            <w:tcBorders>
              <w:bottom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250" w:type="pct"/>
            <w:tcBorders>
              <w:bottom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250" w:type="pct"/>
            <w:tcBorders>
              <w:bottom w:val="single" w:color="auto" w:sz="12" w:space="0"/>
              <w:right w:val="single" w:color="auto" w:sz="12" w:space="0"/>
            </w:tcBorders>
            <w:vAlign w:val="center"/>
          </w:tcPr>
          <w:p>
            <w:pPr>
              <w:tabs>
                <w:tab w:val="left" w:pos="888"/>
                <w:tab w:val="center" w:pos="4144"/>
                <w:tab w:val="center" w:pos="5772"/>
                <w:tab w:val="center" w:pos="74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65</w:t>
            </w:r>
          </w:p>
        </w:tc>
      </w:tr>
    </w:tbl>
    <w:p>
      <w:pPr>
        <w:pStyle w:val="2"/>
        <w:ind w:left="0" w:leftChars="0" w:right="0" w:righ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表3.5-5油漆物料平衡表</w:t>
      </w:r>
    </w:p>
    <w:tbl>
      <w:tblPr>
        <w:tblStyle w:val="4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222"/>
        <w:gridCol w:w="1227"/>
        <w:gridCol w:w="1235"/>
        <w:gridCol w:w="1245"/>
        <w:gridCol w:w="1227"/>
        <w:gridCol w:w="1235"/>
        <w:gridCol w:w="1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4" w:type="pct"/>
            <w:gridSpan w:val="5"/>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入方</w:t>
            </w:r>
          </w:p>
        </w:tc>
        <w:tc>
          <w:tcPr>
            <w:tcW w:w="1875" w:type="pct"/>
            <w:gridSpan w:val="3"/>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出方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物料名称</w:t>
            </w: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数量</w:t>
            </w: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组分</w:t>
            </w: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比例</w:t>
            </w: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数量</w:t>
            </w:r>
          </w:p>
        </w:tc>
        <w:tc>
          <w:tcPr>
            <w:tcW w:w="1250" w:type="pct"/>
            <w:gridSpan w:val="2"/>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水性色漆</w:t>
            </w: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9</w:t>
            </w: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挥发份（VOCs）</w:t>
            </w: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27%</w:t>
            </w: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323</w:t>
            </w: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进入产品</w:t>
            </w: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固体份</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固体份</w:t>
            </w: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48%</w:t>
            </w: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352</w:t>
            </w: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调漆废气</w:t>
            </w: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挥发份（VOCs）</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1"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6"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32"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喷漆废气</w:t>
            </w: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挥发份（VOCs）</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529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rPr>
            </w:pPr>
          </w:p>
        </w:tc>
        <w:tc>
          <w:tcPr>
            <w:tcW w:w="621"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rPr>
            </w:pPr>
          </w:p>
        </w:tc>
        <w:tc>
          <w:tcPr>
            <w:tcW w:w="623"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rPr>
            </w:pPr>
          </w:p>
        </w:tc>
        <w:tc>
          <w:tcPr>
            <w:tcW w:w="626"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rPr>
            </w:pPr>
          </w:p>
        </w:tc>
        <w:tc>
          <w:tcPr>
            <w:tcW w:w="632"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rPr>
            </w:pPr>
          </w:p>
        </w:tc>
        <w:tc>
          <w:tcPr>
            <w:tcW w:w="623"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rPr>
            </w:pP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固体份</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446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烘干废气</w:t>
            </w: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挥发份（VOCs）</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774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vMerge w:val="restar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废包装桶</w:t>
            </w: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挥发份（VOCs）</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vMerge w:val="continue"/>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固体份</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1"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6"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23"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漆渣</w:t>
            </w:r>
          </w:p>
        </w:tc>
        <w:tc>
          <w:tcPr>
            <w:tcW w:w="627"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固体份</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2" w:type="pct"/>
            <w:gridSpan w:val="4"/>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合计</w:t>
            </w:r>
          </w:p>
        </w:tc>
        <w:tc>
          <w:tcPr>
            <w:tcW w:w="632"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675</w:t>
            </w:r>
          </w:p>
        </w:tc>
        <w:tc>
          <w:tcPr>
            <w:tcW w:w="1250" w:type="pct"/>
            <w:gridSpan w:val="2"/>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合计</w:t>
            </w:r>
          </w:p>
        </w:tc>
        <w:tc>
          <w:tcPr>
            <w:tcW w:w="625" w:type="pct"/>
            <w:tcBorders>
              <w:tl2br w:val="nil"/>
              <w:tr2bl w:val="nil"/>
            </w:tcBorders>
            <w:vAlign w:val="center"/>
          </w:tcPr>
          <w:p>
            <w:pPr>
              <w:pStyle w:val="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675</w:t>
            </w:r>
          </w:p>
        </w:tc>
      </w:tr>
    </w:tbl>
    <w:p>
      <w:pPr>
        <w:pStyle w:val="3"/>
        <w:rPr>
          <w:rFonts w:hint="default"/>
          <w:color w:val="auto"/>
          <w:lang w:val="en-US" w:eastAsia="zh-CN"/>
        </w:rPr>
      </w:pP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3.5.3水平衡分析</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本项目用水主要为生活用水及生产用水。</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default" w:ascii="Times New Roman" w:hAnsi="Times New Roman" w:eastAsia="宋体" w:cs="Times New Roman"/>
          <w:color w:val="auto"/>
          <w:kern w:val="2"/>
          <w:sz w:val="24"/>
          <w:szCs w:val="24"/>
          <w:highlight w:val="none"/>
          <w:u w:val="none" w:color="auto"/>
          <w:lang w:val="en-US" w:eastAsia="zh-CN" w:bidi="ar-SA"/>
        </w:rPr>
      </w:pPr>
      <w:bookmarkStart w:id="132" w:name="_Toc6242"/>
      <w:r>
        <w:rPr>
          <w:rFonts w:hint="default" w:ascii="Times New Roman" w:hAnsi="Times New Roman" w:eastAsia="宋体" w:cs="Times New Roman"/>
          <w:color w:val="auto"/>
          <w:kern w:val="2"/>
          <w:sz w:val="24"/>
          <w:szCs w:val="24"/>
          <w:highlight w:val="none"/>
          <w:u w:val="none" w:color="auto"/>
          <w:lang w:val="en-US" w:eastAsia="zh-CN" w:bidi="ar-SA"/>
        </w:rPr>
        <w:t>（1）生活用水</w:t>
      </w:r>
      <w:r>
        <w:rPr>
          <w:rFonts w:hint="eastAsia" w:ascii="Times New Roman" w:hAnsi="Times New Roman" w:eastAsia="宋体" w:cs="Times New Roman"/>
          <w:color w:val="auto"/>
          <w:kern w:val="2"/>
          <w:sz w:val="24"/>
          <w:szCs w:val="24"/>
          <w:highlight w:val="none"/>
          <w:u w:val="none" w:color="auto"/>
          <w:lang w:val="en-US" w:eastAsia="zh-CN" w:bidi="ar-SA"/>
        </w:rPr>
        <w:t>及排水</w:t>
      </w:r>
      <w:bookmarkEnd w:id="132"/>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本项目建成投产后，全厂劳动定员</w:t>
      </w:r>
      <w:r>
        <w:rPr>
          <w:rFonts w:hint="eastAsia" w:ascii="Times New Roman" w:hAnsi="Times New Roman" w:eastAsia="宋体" w:cs="Times New Roman"/>
          <w:color w:val="auto"/>
          <w:kern w:val="2"/>
          <w:sz w:val="24"/>
          <w:szCs w:val="24"/>
          <w:highlight w:val="none"/>
          <w:u w:val="none" w:color="auto"/>
          <w:lang w:val="en-US" w:eastAsia="zh-CN" w:bidi="ar-SA"/>
        </w:rPr>
        <w:t>4</w:t>
      </w:r>
      <w:r>
        <w:rPr>
          <w:rFonts w:hint="default" w:ascii="Times New Roman" w:hAnsi="Times New Roman" w:eastAsia="宋体" w:cs="Times New Roman"/>
          <w:color w:val="auto"/>
          <w:kern w:val="2"/>
          <w:sz w:val="24"/>
          <w:szCs w:val="24"/>
          <w:highlight w:val="none"/>
          <w:u w:val="none" w:color="auto"/>
          <w:lang w:val="en-US" w:eastAsia="zh-CN" w:bidi="ar-SA"/>
        </w:rPr>
        <w:t>00人，均在厂区内食宿，按《湖南省用水定额》（DB43/T388-2020）中用水定额为145L/人·d，用水量为</w:t>
      </w:r>
      <w:r>
        <w:rPr>
          <w:rFonts w:hint="eastAsia" w:ascii="Times New Roman" w:hAnsi="Times New Roman" w:eastAsia="宋体" w:cs="Times New Roman"/>
          <w:color w:val="auto"/>
          <w:kern w:val="2"/>
          <w:sz w:val="24"/>
          <w:szCs w:val="24"/>
          <w:highlight w:val="none"/>
          <w:u w:val="none" w:color="auto"/>
          <w:lang w:val="en-US" w:eastAsia="zh-CN" w:bidi="ar-SA"/>
        </w:rPr>
        <w:t>17400</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/a（</w:t>
      </w:r>
      <w:r>
        <w:rPr>
          <w:rFonts w:hint="eastAsia" w:ascii="Times New Roman" w:hAnsi="Times New Roman" w:eastAsia="宋体" w:cs="Times New Roman"/>
          <w:color w:val="auto"/>
          <w:kern w:val="2"/>
          <w:sz w:val="24"/>
          <w:szCs w:val="24"/>
          <w:highlight w:val="none"/>
          <w:u w:val="none" w:color="auto"/>
          <w:lang w:val="en-US" w:eastAsia="zh-CN" w:bidi="ar-SA"/>
        </w:rPr>
        <w:t>58</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/d）。产污系数以0.</w:t>
      </w:r>
      <w:r>
        <w:rPr>
          <w:rFonts w:hint="eastAsia" w:ascii="Times New Roman" w:hAnsi="Times New Roman" w:eastAsia="宋体" w:cs="Times New Roman"/>
          <w:color w:val="auto"/>
          <w:kern w:val="2"/>
          <w:sz w:val="24"/>
          <w:szCs w:val="24"/>
          <w:highlight w:val="none"/>
          <w:u w:val="none" w:color="auto"/>
          <w:lang w:val="en-US" w:eastAsia="zh-CN" w:bidi="ar-SA"/>
        </w:rPr>
        <w:t>9</w:t>
      </w:r>
      <w:r>
        <w:rPr>
          <w:rFonts w:hint="default" w:ascii="Times New Roman" w:hAnsi="Times New Roman" w:eastAsia="宋体" w:cs="Times New Roman"/>
          <w:color w:val="auto"/>
          <w:kern w:val="2"/>
          <w:sz w:val="24"/>
          <w:szCs w:val="24"/>
          <w:highlight w:val="none"/>
          <w:u w:val="none" w:color="auto"/>
          <w:lang w:val="en-US" w:eastAsia="zh-CN" w:bidi="ar-SA"/>
        </w:rPr>
        <w:t>计，则项目生活污水产生量为</w:t>
      </w:r>
      <w:r>
        <w:rPr>
          <w:rFonts w:hint="eastAsia" w:ascii="Times New Roman" w:hAnsi="Times New Roman" w:eastAsia="宋体" w:cs="Times New Roman"/>
          <w:color w:val="auto"/>
          <w:kern w:val="2"/>
          <w:sz w:val="24"/>
          <w:szCs w:val="24"/>
          <w:highlight w:val="none"/>
          <w:u w:val="none" w:color="auto"/>
          <w:lang w:val="en-US" w:eastAsia="zh-CN" w:bidi="ar-SA"/>
        </w:rPr>
        <w:t>52.2</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/d（</w:t>
      </w:r>
      <w:r>
        <w:rPr>
          <w:rFonts w:hint="eastAsia" w:ascii="Times New Roman" w:hAnsi="Times New Roman" w:eastAsia="宋体" w:cs="Times New Roman"/>
          <w:color w:val="auto"/>
          <w:kern w:val="2"/>
          <w:sz w:val="24"/>
          <w:szCs w:val="24"/>
          <w:highlight w:val="none"/>
          <w:u w:val="none" w:color="auto"/>
          <w:lang w:val="en-US" w:eastAsia="zh-CN" w:bidi="ar-SA"/>
        </w:rPr>
        <w:t>15660</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/a），生活污水</w:t>
      </w:r>
      <w:r>
        <w:rPr>
          <w:rFonts w:hint="eastAsia" w:ascii="Times New Roman" w:hAnsi="Times New Roman" w:eastAsia="宋体" w:cs="Times New Roman"/>
          <w:color w:val="auto"/>
          <w:kern w:val="2"/>
          <w:sz w:val="24"/>
          <w:szCs w:val="24"/>
          <w:highlight w:val="none"/>
          <w:u w:val="none" w:color="auto"/>
          <w:lang w:val="en-US" w:eastAsia="zh-CN" w:bidi="ar-SA"/>
        </w:rPr>
        <w:t>经化粪池处理后</w:t>
      </w:r>
      <w:r>
        <w:rPr>
          <w:rFonts w:hint="default" w:ascii="Times New Roman" w:hAnsi="Times New Roman" w:eastAsia="宋体" w:cs="Times New Roman"/>
          <w:color w:val="auto"/>
          <w:kern w:val="2"/>
          <w:sz w:val="24"/>
          <w:szCs w:val="24"/>
          <w:highlight w:val="none"/>
          <w:u w:val="none" w:color="auto"/>
          <w:lang w:val="en-US" w:eastAsia="zh-CN" w:bidi="ar-SA"/>
        </w:rPr>
        <w:t>（食堂废水经隔油先预处理）达《污水综合排放标准》（GB8978-1996）中三级标准及临港污水处理厂的纳管协议标准后进入市政污水管网。</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default" w:ascii="Times New Roman" w:hAnsi="Times New Roman" w:eastAsia="宋体" w:cs="Times New Roman"/>
          <w:color w:val="auto"/>
          <w:kern w:val="2"/>
          <w:sz w:val="24"/>
          <w:szCs w:val="24"/>
          <w:highlight w:val="none"/>
          <w:u w:val="none" w:color="auto"/>
          <w:lang w:val="en-US" w:eastAsia="zh-CN" w:bidi="ar-SA"/>
        </w:rPr>
      </w:pPr>
      <w:bookmarkStart w:id="133" w:name="_Toc11943"/>
      <w:r>
        <w:rPr>
          <w:rFonts w:hint="default" w:ascii="Times New Roman" w:hAnsi="Times New Roman" w:eastAsia="宋体" w:cs="Times New Roman"/>
          <w:color w:val="auto"/>
          <w:kern w:val="2"/>
          <w:sz w:val="24"/>
          <w:szCs w:val="24"/>
          <w:highlight w:val="none"/>
          <w:u w:val="none" w:color="auto"/>
          <w:lang w:val="en-US" w:eastAsia="zh-CN" w:bidi="ar-SA"/>
        </w:rPr>
        <w:t>（2）</w:t>
      </w:r>
      <w:r>
        <w:rPr>
          <w:rFonts w:hint="eastAsia" w:ascii="Times New Roman" w:hAnsi="Times New Roman" w:eastAsia="宋体" w:cs="Times New Roman"/>
          <w:color w:val="auto"/>
          <w:kern w:val="2"/>
          <w:sz w:val="24"/>
          <w:szCs w:val="24"/>
          <w:highlight w:val="none"/>
          <w:u w:val="none" w:color="auto"/>
          <w:lang w:val="en-US" w:eastAsia="zh-CN" w:bidi="ar-SA"/>
        </w:rPr>
        <w:t>冷却用水及排水</w:t>
      </w:r>
      <w:bookmarkEnd w:id="133"/>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根据项目可研及工程分析，项目间接冷却水使用量为12000m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/d（500m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/h），循环使用，损耗率约2%（其中主要为空气蒸发约占损耗95%，随废水定期排放占损耗5%），则项目补充水量为240m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/d，排放废水约12t/d。</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项目直接冷却水使用量为480m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/d（20m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/h），循环使用，损耗约5%（其中主要为空气蒸发约占损耗95%，随废水定期排放占损耗5%），则项目补充水量为24m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/d，排放废水约1.2t/d。</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项目外排冷却水主要主要成分为少量石油类和SS，经过隔油沉淀池处理后，排入湖南三峡环境临港水质净化厂。</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eastAsia" w:ascii="Times New Roman" w:hAnsi="Times New Roman" w:eastAsia="宋体" w:cs="Times New Roman"/>
          <w:color w:val="auto"/>
          <w:kern w:val="2"/>
          <w:sz w:val="24"/>
          <w:szCs w:val="24"/>
          <w:highlight w:val="none"/>
          <w:u w:val="none" w:color="auto"/>
          <w:lang w:val="en-US" w:eastAsia="zh-CN" w:bidi="ar-SA"/>
        </w:rPr>
      </w:pPr>
      <w:bookmarkStart w:id="134" w:name="_Toc32736"/>
      <w:r>
        <w:rPr>
          <w:rFonts w:hint="eastAsia" w:ascii="Times New Roman" w:hAnsi="Times New Roman" w:eastAsia="宋体" w:cs="Times New Roman"/>
          <w:color w:val="auto"/>
          <w:kern w:val="2"/>
          <w:sz w:val="24"/>
          <w:szCs w:val="24"/>
          <w:highlight w:val="none"/>
          <w:u w:val="none" w:color="auto"/>
          <w:lang w:val="en-US" w:eastAsia="zh-CN" w:bidi="ar-SA"/>
        </w:rPr>
        <w:t>（3）喷淋用水</w:t>
      </w:r>
      <w:bookmarkEnd w:id="134"/>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9"/>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项目废气处理工序碱液喷淋需要用水，使用量为100m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/d，循环使用，损耗约5%，每日补充水量约5m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(8)调色漆用水</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水性色漆、纯水按5:1的比例配比，水性色漆含水25%，水性色漆用量49ta，则原料中含水12t/a(0.04t/d)，调配用水10t/a (0.03t/d)，全部损耗。</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项目水平衡表见下表。</w:t>
      </w:r>
    </w:p>
    <w:p>
      <w:pPr>
        <w:pageBreakBefore w:val="0"/>
        <w:kinsoku/>
        <w:wordWrap/>
        <w:overflowPunct w:val="0"/>
        <w:topLinePunct/>
        <w:autoSpaceDE w:val="0"/>
        <w:autoSpaceDN w:val="0"/>
        <w:bidi w:val="0"/>
        <w:spacing w:line="360" w:lineRule="auto"/>
        <w:ind w:left="0" w:leftChars="0" w:right="0" w:rightChars="0" w:firstLine="0" w:firstLineChars="0"/>
        <w:jc w:val="center"/>
        <w:outlineLvl w:val="9"/>
        <w:rPr>
          <w:rFonts w:hint="default" w:ascii="Times New Roman" w:hAnsi="Times New Roman" w:eastAsia="宋体" w:cs="Times New Roman"/>
          <w:b/>
          <w:bCs/>
          <w:color w:val="auto"/>
          <w:kern w:val="2"/>
          <w:sz w:val="24"/>
          <w:szCs w:val="20"/>
          <w:highlight w:val="none"/>
          <w:u w:val="none" w:color="auto"/>
          <w:lang w:val="en-US" w:eastAsia="zh-CN" w:bidi="ar-SA"/>
        </w:rPr>
      </w:pPr>
      <w:r>
        <w:rPr>
          <w:rFonts w:hint="eastAsia" w:ascii="Times New Roman" w:hAnsi="Times New Roman" w:eastAsia="宋体" w:cs="Times New Roman"/>
          <w:b/>
          <w:bCs/>
          <w:color w:val="auto"/>
          <w:kern w:val="2"/>
          <w:sz w:val="24"/>
          <w:szCs w:val="20"/>
          <w:highlight w:val="none"/>
          <w:u w:val="none" w:color="auto"/>
          <w:lang w:val="en-US" w:eastAsia="zh-CN" w:bidi="ar-SA"/>
        </w:rPr>
        <w:t>表3.5-1项目水平衡表（单位m</w:t>
      </w:r>
      <w:r>
        <w:rPr>
          <w:rFonts w:hint="eastAsia" w:ascii="Times New Roman" w:hAnsi="Times New Roman" w:eastAsia="宋体" w:cs="Times New Roman"/>
          <w:b/>
          <w:bCs/>
          <w:color w:val="auto"/>
          <w:kern w:val="2"/>
          <w:sz w:val="24"/>
          <w:szCs w:val="20"/>
          <w:highlight w:val="none"/>
          <w:u w:val="none" w:color="auto"/>
          <w:vertAlign w:val="superscript"/>
          <w:lang w:val="en-US" w:eastAsia="zh-CN" w:bidi="ar-SA"/>
        </w:rPr>
        <w:t>3</w:t>
      </w:r>
      <w:r>
        <w:rPr>
          <w:rFonts w:hint="eastAsia" w:ascii="Times New Roman" w:hAnsi="Times New Roman" w:eastAsia="宋体" w:cs="Times New Roman"/>
          <w:b/>
          <w:bCs/>
          <w:color w:val="auto"/>
          <w:kern w:val="2"/>
          <w:sz w:val="24"/>
          <w:szCs w:val="20"/>
          <w:highlight w:val="none"/>
          <w:u w:val="none" w:color="auto"/>
          <w:lang w:val="en-US" w:eastAsia="zh-CN" w:bidi="ar-SA"/>
        </w:rPr>
        <w:t>/d）</w:t>
      </w:r>
    </w:p>
    <w:tbl>
      <w:tblPr>
        <w:tblStyle w:val="4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1639"/>
        <w:gridCol w:w="1642"/>
        <w:gridCol w:w="1642"/>
        <w:gridCol w:w="1642"/>
        <w:gridCol w:w="1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w:t>
            </w:r>
          </w:p>
        </w:tc>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新鲜水</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循环水</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蒸发</w:t>
            </w:r>
            <w:r>
              <w:rPr>
                <w:rFonts w:hint="default" w:ascii="Times New Roman" w:hAnsi="Times New Roman" w:cs="Times New Roman"/>
                <w:b/>
                <w:bCs/>
                <w:color w:val="auto"/>
                <w:sz w:val="21"/>
                <w:szCs w:val="21"/>
                <w:vertAlign w:val="baseline"/>
                <w:lang w:val="en-US" w:eastAsia="zh-CN"/>
              </w:rPr>
              <w:t>损耗</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排水</w:t>
            </w:r>
          </w:p>
        </w:tc>
        <w:tc>
          <w:tcPr>
            <w:tcW w:w="83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间接冷却水</w:t>
            </w:r>
          </w:p>
        </w:tc>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12000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228</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834"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湖南三峡环境临港水质净化厂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直接冷却水</w:t>
            </w:r>
          </w:p>
        </w:tc>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480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22.8</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83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喷淋用水</w:t>
            </w:r>
          </w:p>
        </w:tc>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生活用水</w:t>
            </w:r>
          </w:p>
        </w:tc>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w:t>
            </w:r>
          </w:p>
        </w:tc>
        <w:tc>
          <w:tcPr>
            <w:tcW w:w="83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湖南三峡环境临港水质净化厂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调漆用水</w:t>
            </w:r>
          </w:p>
        </w:tc>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w:t>
            </w:r>
          </w:p>
        </w:tc>
        <w:tc>
          <w:tcPr>
            <w:tcW w:w="833"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83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合计</w:t>
            </w:r>
          </w:p>
        </w:tc>
        <w:tc>
          <w:tcPr>
            <w:tcW w:w="1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329</w:t>
            </w:r>
            <w:r>
              <w:rPr>
                <w:rFonts w:hint="eastAsia" w:ascii="Times New Roman" w:hAnsi="Times New Roman" w:eastAsia="宋体" w:cs="Times New Roman"/>
                <w:i w:val="0"/>
                <w:iCs w:val="0"/>
                <w:color w:val="auto"/>
                <w:kern w:val="0"/>
                <w:sz w:val="21"/>
                <w:szCs w:val="21"/>
                <w:u w:val="none"/>
                <w:lang w:val="en-US" w:eastAsia="zh-CN" w:bidi="ar"/>
              </w:rPr>
              <w:t>.03</w:t>
            </w:r>
          </w:p>
        </w:tc>
        <w:tc>
          <w:tcPr>
            <w:tcW w:w="16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12580</w:t>
            </w:r>
          </w:p>
        </w:tc>
        <w:tc>
          <w:tcPr>
            <w:tcW w:w="16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261.8</w:t>
            </w:r>
            <w:r>
              <w:rPr>
                <w:rFonts w:hint="eastAsia" w:ascii="Times New Roman" w:hAnsi="Times New Roman" w:eastAsia="宋体" w:cs="Times New Roman"/>
                <w:i w:val="0"/>
                <w:iCs w:val="0"/>
                <w:color w:val="auto"/>
                <w:kern w:val="0"/>
                <w:sz w:val="21"/>
                <w:szCs w:val="21"/>
                <w:u w:val="none"/>
                <w:lang w:val="en-US" w:eastAsia="zh-CN" w:bidi="ar"/>
              </w:rPr>
              <w:t>3</w:t>
            </w:r>
          </w:p>
        </w:tc>
        <w:tc>
          <w:tcPr>
            <w:tcW w:w="16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67.2</w:t>
            </w:r>
          </w:p>
        </w:tc>
        <w:tc>
          <w:tcPr>
            <w:tcW w:w="83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rPr>
          <w:rFonts w:hint="eastAsia"/>
          <w:color w:val="auto"/>
          <w:lang w:val="en-US" w:eastAsia="zh-CN"/>
        </w:rPr>
      </w:pPr>
      <w:r>
        <w:rPr>
          <w:rFonts w:hint="eastAsia"/>
          <w:color w:val="auto"/>
          <w:lang w:val="en-US" w:eastAsia="zh-CN"/>
        </w:rPr>
        <w:t>水平衡图</w:t>
      </w:r>
    </w:p>
    <w:p>
      <w:pPr>
        <w:pStyle w:val="2"/>
        <w:rPr>
          <w:rFonts w:hint="eastAsia"/>
          <w:color w:val="auto"/>
          <w:lang w:val="en-US" w:eastAsia="zh-CN"/>
        </w:rPr>
      </w:pPr>
    </w:p>
    <w:p>
      <w:pPr>
        <w:pStyle w:val="3"/>
        <w:ind w:left="0" w:leftChars="0" w:right="0" w:rightChars="0" w:firstLine="0" w:firstLineChars="0"/>
        <w:jc w:val="center"/>
        <w:rPr>
          <w:rFonts w:hint="default" w:ascii="Times New Roman" w:hAnsi="Times New Roman" w:eastAsia="宋体" w:cs="Times New Roman"/>
          <w:b/>
          <w:bCs/>
          <w:color w:val="auto"/>
          <w:kern w:val="2"/>
          <w:sz w:val="24"/>
          <w:szCs w:val="20"/>
          <w:highlight w:val="none"/>
          <w:u w:val="none" w:color="auto"/>
          <w:lang w:val="en-US" w:eastAsia="zh-CN" w:bidi="ar-SA"/>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color w:val="auto"/>
          <w:lang w:val="en-US" w:eastAsia="zh-CN"/>
        </w:rPr>
        <w:object>
          <v:shape id="_x0000_i1031" o:spt="75" type="#_x0000_t75" style="height:305.05pt;width:481.65pt;" o:ole="t" filled="f" o:preferrelative="t" stroked="f" coordsize="21600,21600">
            <v:path/>
            <v:fill on="f" focussize="0,0"/>
            <v:stroke on="f"/>
            <v:imagedata r:id="rId52" o:title=""/>
            <o:lock v:ext="edit" aspectratio="f"/>
            <w10:wrap type="none"/>
            <w10:anchorlock/>
          </v:shape>
          <o:OLEObject Type="Embed" ProgID="Visio.Drawing.11" ShapeID="_x0000_i1031" DrawAspect="Content" ObjectID="_1468075731" r:id="rId51">
            <o:LockedField>false</o:LockedField>
          </o:OLEObject>
        </w:object>
      </w:r>
      <w:r>
        <w:rPr>
          <w:rFonts w:hint="eastAsia" w:ascii="Times New Roman" w:hAnsi="Times New Roman" w:eastAsia="宋体" w:cs="Times New Roman"/>
          <w:b/>
          <w:bCs/>
          <w:color w:val="auto"/>
          <w:kern w:val="2"/>
          <w:sz w:val="24"/>
          <w:szCs w:val="20"/>
          <w:highlight w:val="none"/>
          <w:u w:val="none" w:color="auto"/>
          <w:lang w:val="en-US" w:eastAsia="zh-CN" w:bidi="ar-SA"/>
        </w:rPr>
        <w:t>图3.5-4项目水平衡图（单位m</w:t>
      </w:r>
      <w:r>
        <w:rPr>
          <w:rFonts w:hint="eastAsia" w:ascii="Times New Roman" w:hAnsi="Times New Roman" w:eastAsia="宋体" w:cs="Times New Roman"/>
          <w:b/>
          <w:bCs/>
          <w:color w:val="auto"/>
          <w:kern w:val="2"/>
          <w:sz w:val="24"/>
          <w:szCs w:val="20"/>
          <w:highlight w:val="none"/>
          <w:u w:val="none" w:color="auto"/>
          <w:vertAlign w:val="superscript"/>
          <w:lang w:val="en-US" w:eastAsia="zh-CN" w:bidi="ar-SA"/>
        </w:rPr>
        <w:t>3</w:t>
      </w:r>
      <w:r>
        <w:rPr>
          <w:rFonts w:hint="eastAsia" w:ascii="Times New Roman" w:hAnsi="Times New Roman" w:eastAsia="宋体" w:cs="Times New Roman"/>
          <w:b/>
          <w:bCs/>
          <w:color w:val="auto"/>
          <w:kern w:val="2"/>
          <w:sz w:val="24"/>
          <w:szCs w:val="20"/>
          <w:highlight w:val="none"/>
          <w:u w:val="none" w:color="auto"/>
          <w:lang w:val="en-US" w:eastAsia="zh-CN" w:bidi="ar-SA"/>
        </w:rPr>
        <w:t>/d）</w:t>
      </w:r>
    </w:p>
    <w:p>
      <w:pPr>
        <w:pStyle w:val="6"/>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rPr>
      </w:pPr>
      <w:bookmarkStart w:id="135" w:name="_Toc10637"/>
      <w:bookmarkStart w:id="136" w:name="_Toc28498"/>
      <w:r>
        <w:rPr>
          <w:rFonts w:hint="default" w:ascii="Times New Roman" w:hAnsi="Times New Roman" w:eastAsia="宋体" w:cs="Times New Roman"/>
          <w:color w:val="auto"/>
          <w:highlight w:val="none"/>
          <w:u w:val="none" w:color="auto"/>
        </w:rPr>
        <mc:AlternateContent>
          <mc:Choice Requires="wps">
            <w:drawing>
              <wp:anchor distT="0" distB="0" distL="114300" distR="114300" simplePos="0" relativeHeight="251660288" behindDoc="0" locked="0" layoutInCell="1" allowOverlap="1">
                <wp:simplePos x="0" y="0"/>
                <wp:positionH relativeFrom="column">
                  <wp:posOffset>10203180</wp:posOffset>
                </wp:positionH>
                <wp:positionV relativeFrom="paragraph">
                  <wp:posOffset>3412490</wp:posOffset>
                </wp:positionV>
                <wp:extent cx="199390" cy="91440"/>
                <wp:effectExtent l="0" t="0" r="10160" b="3810"/>
                <wp:wrapNone/>
                <wp:docPr id="109" name="矩形 109"/>
                <wp:cNvGraphicFramePr/>
                <a:graphic xmlns:a="http://schemas.openxmlformats.org/drawingml/2006/main">
                  <a:graphicData uri="http://schemas.microsoft.com/office/word/2010/wordprocessingShape">
                    <wps:wsp>
                      <wps:cNvSpPr/>
                      <wps:spPr>
                        <a:xfrm>
                          <a:off x="0" y="0"/>
                          <a:ext cx="199390" cy="91440"/>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803.4pt;margin-top:268.7pt;height:7.2pt;width:15.7pt;z-index:251660288;mso-width-relative:page;mso-height-relative:page;" fillcolor="#FFFFFF" filled="t" stroked="f" coordsize="21600,21600" o:gfxdata="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jaTdoAAAANAQAADwAAAAAAAAABACAAAAAiAAAAZHJzL2Rvd25yZXYueG1sUEsBAhQA&#10;FAAAAAgAh07iQBZj9Pm3AQAAbAMAAA4AAAAAAAAAAQAgAAAAKQEAAGRycy9lMm9Eb2MueG1sUEsF&#10;BgAAAAAGAAYAWQEAAFIFAAAAAA==&#10;">
                <v:fill on="t" focussize="0,0"/>
                <v:stroke on="f"/>
                <v:imagedata o:title=""/>
                <o:lock v:ext="edit" aspectratio="f"/>
                <v:textbox>
                  <w:txbxContent>
                    <w:p/>
                  </w:txbxContent>
                </v:textbox>
              </v:rect>
            </w:pict>
          </mc:Fallback>
        </mc:AlternateContent>
      </w:r>
      <w:r>
        <w:rPr>
          <w:rFonts w:hint="default" w:ascii="Times New Roman" w:hAnsi="Times New Roman" w:eastAsia="宋体" w:cs="Times New Roman"/>
          <w:color w:val="auto"/>
          <w:highlight w:val="none"/>
          <w:u w:val="none" w:color="auto"/>
        </w:rPr>
        <mc:AlternateContent>
          <mc:Choice Requires="wps">
            <w:drawing>
              <wp:anchor distT="0" distB="0" distL="114300" distR="114300" simplePos="0" relativeHeight="251659264" behindDoc="0" locked="0" layoutInCell="1" allowOverlap="1">
                <wp:simplePos x="0" y="0"/>
                <wp:positionH relativeFrom="column">
                  <wp:posOffset>9559925</wp:posOffset>
                </wp:positionH>
                <wp:positionV relativeFrom="paragraph">
                  <wp:posOffset>3839210</wp:posOffset>
                </wp:positionV>
                <wp:extent cx="294640" cy="90805"/>
                <wp:effectExtent l="0" t="0" r="10160" b="4445"/>
                <wp:wrapNone/>
                <wp:docPr id="117" name="矩形 117"/>
                <wp:cNvGraphicFramePr/>
                <a:graphic xmlns:a="http://schemas.openxmlformats.org/drawingml/2006/main">
                  <a:graphicData uri="http://schemas.microsoft.com/office/word/2010/wordprocessingShape">
                    <wps:wsp>
                      <wps:cNvSpPr/>
                      <wps:spPr>
                        <a:xfrm>
                          <a:off x="0" y="0"/>
                          <a:ext cx="294640" cy="90805"/>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752.75pt;margin-top:302.3pt;height:7.15pt;width:23.2pt;z-index:251659264;mso-width-relative:page;mso-height-relative:page;" fillcolor="#FFFFFF" filled="t" stroked="f" coordsize="21600,21600" o:gfxdata="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JP0w2QAAAA0BAAAPAAAAAAAAAAEAIAAAACIAAABkcnMvZG93bnJldi54bWxQSwECFAAU&#10;AAAACACHTuJAdILqKLcBAABsAwAADgAAAAAAAAABACAAAAAoAQAAZHJzL2Uyb0RvYy54bWxQSwUG&#10;AAAAAAYABgBZAQAAUQUAAAAA&#10;">
                <v:fill on="t" focussize="0,0"/>
                <v:stroke on="f"/>
                <v:imagedata o:title=""/>
                <o:lock v:ext="edit" aspectratio="f"/>
                <v:textbox>
                  <w:txbxContent>
                    <w:p/>
                  </w:txbxContent>
                </v:textbox>
              </v:rect>
            </w:pict>
          </mc:Fallback>
        </mc:AlternateContent>
      </w:r>
      <w:bookmarkStart w:id="137" w:name="_Toc41310104"/>
      <w:bookmarkStart w:id="138" w:name="_Toc27572"/>
      <w:bookmarkStart w:id="139" w:name="_Toc41310106"/>
      <w:r>
        <w:rPr>
          <w:rFonts w:hint="default" w:ascii="Times New Roman" w:hAnsi="Times New Roman" w:eastAsia="宋体" w:cs="Times New Roman"/>
          <w:color w:val="auto"/>
          <w:highlight w:val="none"/>
          <w:u w:val="none" w:color="auto"/>
        </w:rPr>
        <w:t>3.6项目污染源分析</w:t>
      </w:r>
      <w:bookmarkEnd w:id="135"/>
      <w:bookmarkEnd w:id="136"/>
      <w:bookmarkEnd w:id="137"/>
      <w:bookmarkEnd w:id="138"/>
    </w:p>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rPr>
      </w:pPr>
      <w:bookmarkStart w:id="140" w:name="_Toc2090"/>
      <w:bookmarkStart w:id="141" w:name="_Toc1232"/>
      <w:bookmarkStart w:id="142" w:name="_Toc12869"/>
      <w:r>
        <w:rPr>
          <w:rFonts w:hint="default" w:ascii="Times New Roman" w:hAnsi="Times New Roman" w:eastAsia="宋体" w:cs="Times New Roman"/>
          <w:color w:val="auto"/>
          <w:highlight w:val="none"/>
          <w:u w:val="none" w:color="auto"/>
        </w:rPr>
        <w:t>3.6.1大气污染源分析</w:t>
      </w:r>
      <w:bookmarkEnd w:id="140"/>
      <w:bookmarkEnd w:id="141"/>
      <w:bookmarkEnd w:id="142"/>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bookmarkStart w:id="143" w:name="_Toc15045"/>
      <w:r>
        <w:rPr>
          <w:rFonts w:hint="default" w:ascii="Times New Roman" w:hAnsi="Times New Roman" w:eastAsia="宋体" w:cs="Times New Roman"/>
          <w:color w:val="auto"/>
          <w:sz w:val="24"/>
          <w:szCs w:val="24"/>
          <w:u w:val="none" w:color="auto"/>
        </w:rPr>
        <w:t>本项目大气污染源主要为熔炼废气、等离子喷涂粉尘、</w:t>
      </w:r>
      <w:r>
        <w:rPr>
          <w:rFonts w:hint="default" w:ascii="Times New Roman" w:hAnsi="Times New Roman" w:eastAsia="宋体" w:cs="Times New Roman"/>
          <w:color w:val="auto"/>
          <w:sz w:val="24"/>
          <w:szCs w:val="24"/>
          <w:u w:val="none" w:color="auto"/>
          <w:lang w:eastAsia="zh-CN"/>
        </w:rPr>
        <w:t>喷漆废气、镁板轧机废气</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天然气燃烧等，其中熔炼废气主要污染因子为颗粒物、氯化氢；</w:t>
      </w:r>
      <w:r>
        <w:rPr>
          <w:rFonts w:hint="default" w:ascii="Times New Roman" w:hAnsi="Times New Roman" w:eastAsia="宋体" w:cs="Times New Roman"/>
          <w:color w:val="auto"/>
          <w:sz w:val="24"/>
          <w:szCs w:val="24"/>
          <w:u w:val="none" w:color="auto"/>
          <w:lang w:eastAsia="zh-CN"/>
        </w:rPr>
        <w:t>镁板轧机废气</w:t>
      </w:r>
      <w:r>
        <w:rPr>
          <w:rFonts w:hint="default" w:ascii="Times New Roman" w:hAnsi="Times New Roman" w:eastAsia="宋体" w:cs="Times New Roman"/>
          <w:color w:val="auto"/>
          <w:sz w:val="24"/>
          <w:szCs w:val="24"/>
          <w:u w:val="none" w:color="auto"/>
        </w:rPr>
        <w:t>主要污染因子为</w:t>
      </w:r>
      <w:r>
        <w:rPr>
          <w:rFonts w:hint="eastAsia" w:ascii="Times New Roman" w:hAnsi="Times New Roman" w:eastAsia="宋体" w:cs="Times New Roman"/>
          <w:color w:val="auto"/>
          <w:sz w:val="24"/>
          <w:szCs w:val="24"/>
          <w:u w:val="none" w:color="auto"/>
          <w:lang w:eastAsia="zh-CN"/>
        </w:rPr>
        <w:t>非甲烷总烃；</w:t>
      </w:r>
      <w:r>
        <w:rPr>
          <w:rFonts w:hint="default" w:ascii="Times New Roman" w:hAnsi="Times New Roman" w:eastAsia="宋体" w:cs="Times New Roman"/>
          <w:color w:val="auto"/>
          <w:sz w:val="24"/>
          <w:szCs w:val="24"/>
          <w:u w:val="none" w:color="auto"/>
        </w:rPr>
        <w:t>等离子喷涂主要污染因子为颗粒物</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喷漆废气</w:t>
      </w:r>
      <w:r>
        <w:rPr>
          <w:rFonts w:hint="default" w:ascii="Times New Roman" w:hAnsi="Times New Roman" w:eastAsia="宋体" w:cs="Times New Roman"/>
          <w:color w:val="auto"/>
          <w:sz w:val="24"/>
          <w:szCs w:val="24"/>
          <w:u w:val="none" w:color="auto"/>
        </w:rPr>
        <w:t>主要污染因子为颗粒物</w:t>
      </w:r>
      <w:r>
        <w:rPr>
          <w:rFonts w:hint="eastAsia" w:ascii="Times New Roman" w:hAnsi="Times New Roman" w:eastAsia="宋体" w:cs="Times New Roman"/>
          <w:color w:val="auto"/>
          <w:sz w:val="24"/>
          <w:szCs w:val="24"/>
          <w:u w:val="none" w:color="auto"/>
          <w:lang w:eastAsia="zh-CN"/>
        </w:rPr>
        <w:t>和非甲烷总烃；</w:t>
      </w:r>
      <w:r>
        <w:rPr>
          <w:rFonts w:hint="default" w:ascii="Times New Roman" w:hAnsi="Times New Roman" w:eastAsia="宋体" w:cs="Times New Roman"/>
          <w:color w:val="auto"/>
          <w:sz w:val="24"/>
          <w:szCs w:val="24"/>
          <w:u w:val="none" w:color="auto"/>
        </w:rPr>
        <w:t>天然气燃烧废气主要污染因子为颗粒物、SO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、NO</w:t>
      </w:r>
      <w:r>
        <w:rPr>
          <w:rFonts w:hint="default" w:ascii="Times New Roman" w:hAnsi="Times New Roman" w:eastAsia="宋体" w:cs="Times New Roman"/>
          <w:color w:val="auto"/>
          <w:sz w:val="24"/>
          <w:szCs w:val="24"/>
          <w:u w:val="none" w:color="auto"/>
          <w:vertAlign w:val="subscript"/>
        </w:rPr>
        <w:t>x</w:t>
      </w:r>
      <w:r>
        <w:rPr>
          <w:rFonts w:hint="default" w:ascii="Times New Roman" w:hAnsi="Times New Roman" w:eastAsia="宋体" w:cs="Times New Roman"/>
          <w:color w:val="auto"/>
          <w:sz w:val="24"/>
          <w:szCs w:val="24"/>
          <w:u w:val="none" w:color="auto"/>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1、熔炼废气</w:t>
      </w:r>
      <w:r>
        <w:rPr>
          <w:rFonts w:hint="eastAsia" w:ascii="Times New Roman" w:hAnsi="Times New Roman" w:eastAsia="宋体" w:cs="Times New Roman"/>
          <w:color w:val="auto"/>
          <w:sz w:val="24"/>
          <w:szCs w:val="24"/>
          <w:u w:val="none" w:color="auto"/>
          <w:lang w:eastAsia="zh-CN"/>
        </w:rPr>
        <w:t>和浇筑废气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熔铸车间配置镁合金熔铸生产线1套(包括1t电阻熔化炉、2t电阻熔化炉、4t电阻熔保炉各1台)，使用电为能源，在生产过程中炉膛内使用氩气及CO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作为熔炼时的保护气体，隔绝空气，防止镁的氧化。熔化过程中产生含粉尘的废气。熔炼炉、保温炉内膛密闭，炉内膛在搅拌、扒渣过程中炉门逸散少量</w:t>
      </w:r>
      <w:r>
        <w:rPr>
          <w:rFonts w:hint="eastAsia" w:ascii="Times New Roman" w:hAnsi="Times New Roman" w:eastAsia="宋体" w:cs="Times New Roman"/>
          <w:color w:val="auto"/>
          <w:sz w:val="24"/>
          <w:szCs w:val="24"/>
          <w:u w:val="none" w:color="auto"/>
          <w:lang w:eastAsia="zh-CN"/>
        </w:rPr>
        <w:t>废气，主要成分为颗粒物、</w:t>
      </w:r>
      <w:r>
        <w:rPr>
          <w:rFonts w:hint="eastAsia" w:ascii="Times New Roman" w:hAnsi="Times New Roman" w:eastAsia="宋体" w:cs="Times New Roman"/>
          <w:color w:val="auto"/>
          <w:sz w:val="24"/>
          <w:szCs w:val="24"/>
          <w:u w:val="none" w:color="auto"/>
          <w:lang w:val="en-US" w:eastAsia="zh-CN"/>
        </w:rPr>
        <w:t>HCl；</w:t>
      </w:r>
      <w:r>
        <w:rPr>
          <w:rFonts w:hint="eastAsia" w:ascii="Times New Roman" w:hAnsi="Times New Roman" w:eastAsia="宋体" w:cs="Times New Roman"/>
          <w:color w:val="auto"/>
          <w:sz w:val="24"/>
          <w:szCs w:val="24"/>
          <w:u w:val="none" w:color="auto"/>
          <w:lang w:eastAsia="zh-CN"/>
        </w:rPr>
        <w:t>拟分别通过集气罩收集后通过布袋除尘处理后，进入碱液喷淋塔进行处理后通过</w:t>
      </w:r>
      <w:r>
        <w:rPr>
          <w:rFonts w:hint="eastAsia" w:ascii="Times New Roman" w:hAnsi="Times New Roman" w:eastAsia="宋体" w:cs="Times New Roman"/>
          <w:color w:val="auto"/>
          <w:sz w:val="24"/>
          <w:szCs w:val="24"/>
          <w:u w:val="none" w:color="auto"/>
          <w:lang w:val="en-US" w:eastAsia="zh-CN"/>
        </w:rPr>
        <w:t>20m排气筒排放（DA001）</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pacing w:val="9"/>
          <w:sz w:val="24"/>
          <w:szCs w:val="24"/>
          <w:u w:val="none" w:color="auto"/>
        </w:rPr>
        <w:t>烟气配套风机风量</w:t>
      </w:r>
      <w:r>
        <w:rPr>
          <w:rFonts w:hint="default" w:ascii="Times New Roman" w:hAnsi="Times New Roman" w:eastAsia="宋体" w:cs="Times New Roman"/>
          <w:color w:val="auto"/>
          <w:spacing w:val="5"/>
          <w:sz w:val="24"/>
          <w:szCs w:val="24"/>
          <w:u w:val="none" w:color="auto"/>
        </w:rPr>
        <w:t>为</w:t>
      </w:r>
      <w:r>
        <w:rPr>
          <w:rFonts w:hint="eastAsia" w:ascii="Times New Roman" w:hAnsi="Times New Roman" w:eastAsia="宋体" w:cs="Times New Roman"/>
          <w:color w:val="auto"/>
          <w:spacing w:val="7"/>
          <w:sz w:val="24"/>
          <w:szCs w:val="24"/>
          <w:u w:val="none" w:color="auto"/>
          <w:lang w:val="en-US" w:eastAsia="zh-CN"/>
        </w:rPr>
        <w:t>3</w:t>
      </w:r>
      <w:r>
        <w:rPr>
          <w:rFonts w:hint="default" w:ascii="Times New Roman" w:hAnsi="Times New Roman" w:eastAsia="宋体" w:cs="Times New Roman"/>
          <w:color w:val="auto"/>
          <w:spacing w:val="7"/>
          <w:sz w:val="24"/>
          <w:szCs w:val="24"/>
          <w:u w:val="none" w:color="auto"/>
        </w:rPr>
        <w:t>万</w:t>
      </w:r>
      <w:r>
        <w:rPr>
          <w:rFonts w:hint="default" w:ascii="Times New Roman" w:hAnsi="Times New Roman" w:eastAsia="宋体"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pacing w:val="7"/>
          <w:sz w:val="24"/>
          <w:szCs w:val="24"/>
          <w:u w:val="none" w:color="auto"/>
        </w:rPr>
        <w:t>/</w:t>
      </w:r>
      <w:r>
        <w:rPr>
          <w:rFonts w:hint="default" w:ascii="Times New Roman" w:hAnsi="Times New Roman" w:eastAsia="宋体" w:cs="Times New Roman"/>
          <w:color w:val="auto"/>
          <w:sz w:val="24"/>
          <w:szCs w:val="24"/>
          <w:u w:val="none" w:color="auto"/>
        </w:rPr>
        <w:t>h</w:t>
      </w:r>
      <w:r>
        <w:rPr>
          <w:rFonts w:hint="default" w:ascii="Times New Roman" w:hAnsi="Times New Roman" w:eastAsia="宋体" w:cs="Times New Roman"/>
          <w:color w:val="auto"/>
          <w:spacing w:val="7"/>
          <w:sz w:val="24"/>
          <w:szCs w:val="24"/>
          <w:u w:val="none" w:color="auto"/>
        </w:rPr>
        <w:t>，</w:t>
      </w:r>
      <w:r>
        <w:rPr>
          <w:rFonts w:hint="default" w:ascii="Times New Roman" w:hAnsi="Times New Roman" w:eastAsia="宋体" w:cs="Times New Roman"/>
          <w:color w:val="auto"/>
          <w:sz w:val="24"/>
          <w:szCs w:val="24"/>
          <w:u w:val="none" w:color="auto"/>
        </w:rPr>
        <w:t>排气筒采用钢制烟囱，烟囱内径约1.6m。</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72"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pacing w:val="23"/>
          <w:sz w:val="24"/>
          <w:szCs w:val="24"/>
          <w:u w:val="none" w:color="auto"/>
          <w:lang w:eastAsia="zh-CN"/>
        </w:rPr>
        <w:t>①</w:t>
      </w:r>
      <w:r>
        <w:rPr>
          <w:rFonts w:hint="default" w:ascii="Times New Roman" w:hAnsi="Times New Roman" w:eastAsia="宋体" w:cs="Times New Roman"/>
          <w:color w:val="auto"/>
          <w:spacing w:val="21"/>
          <w:sz w:val="24"/>
          <w:szCs w:val="24"/>
          <w:u w:val="none" w:color="auto"/>
        </w:rPr>
        <w:t>颗粒物</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2" w:firstLineChars="200"/>
        <w:textAlignment w:val="auto"/>
        <w:rPr>
          <w:rFonts w:hint="eastAsia" w:ascii="Times New Roman" w:hAnsi="Times New Roman" w:eastAsia="宋体" w:cs="Times New Roman"/>
          <w:color w:val="auto"/>
          <w:spacing w:val="11"/>
          <w:sz w:val="24"/>
          <w:szCs w:val="24"/>
          <w:u w:val="none" w:color="auto"/>
          <w:lang w:eastAsia="zh-CN"/>
        </w:rPr>
      </w:pPr>
      <w:r>
        <w:rPr>
          <w:rFonts w:hint="default" w:ascii="Times New Roman" w:hAnsi="Times New Roman" w:eastAsia="宋体" w:cs="Times New Roman"/>
          <w:color w:val="auto"/>
          <w:spacing w:val="3"/>
          <w:sz w:val="24"/>
          <w:szCs w:val="24"/>
          <w:u w:val="none" w:color="auto"/>
        </w:rPr>
        <w:t>本项目熔炼</w:t>
      </w:r>
      <w:r>
        <w:rPr>
          <w:rFonts w:hint="default" w:ascii="Times New Roman" w:hAnsi="Times New Roman" w:eastAsia="宋体" w:cs="Times New Roman"/>
          <w:color w:val="auto"/>
          <w:spacing w:val="7"/>
          <w:sz w:val="24"/>
          <w:szCs w:val="24"/>
          <w:u w:val="none" w:color="auto"/>
        </w:rPr>
        <w:t>产生的颗粒物采用产污系数法核算。参照《排放源统计调查产排污核算方法</w:t>
      </w:r>
      <w:r>
        <w:rPr>
          <w:rFonts w:hint="default" w:ascii="Times New Roman" w:hAnsi="Times New Roman" w:eastAsia="宋体" w:cs="Times New Roman"/>
          <w:color w:val="auto"/>
          <w:spacing w:val="3"/>
          <w:sz w:val="24"/>
          <w:szCs w:val="24"/>
          <w:u w:val="none" w:color="auto"/>
        </w:rPr>
        <w:t>和系数手册》(生态环境部2021.6.11)中3240有色金属合金制造行业中“铝镁合金</w:t>
      </w:r>
      <w:r>
        <w:rPr>
          <w:rFonts w:hint="default" w:ascii="Times New Roman" w:hAnsi="Times New Roman" w:eastAsia="宋体" w:cs="Times New Roman"/>
          <w:color w:val="auto"/>
          <w:spacing w:val="11"/>
          <w:sz w:val="24"/>
          <w:szCs w:val="24"/>
          <w:u w:val="none" w:color="auto"/>
        </w:rPr>
        <w:t>”</w:t>
      </w:r>
      <w:r>
        <w:rPr>
          <w:rFonts w:hint="eastAsia" w:ascii="Times New Roman" w:hAnsi="Times New Roman" w:eastAsia="宋体" w:cs="Times New Roman"/>
          <w:color w:val="auto"/>
          <w:spacing w:val="11"/>
          <w:sz w:val="24"/>
          <w:szCs w:val="24"/>
          <w:u w:val="none" w:color="auto"/>
          <w:lang w:eastAsia="zh-CN"/>
        </w:rPr>
        <w:t>。</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4" w:firstLineChars="200"/>
        <w:jc w:val="center"/>
        <w:textAlignment w:val="auto"/>
        <w:rPr>
          <w:rFonts w:hint="eastAsia" w:ascii="Times New Roman" w:hAnsi="Times New Roman" w:eastAsia="宋体" w:cs="Times New Roman"/>
          <w:b/>
          <w:bCs/>
          <w:color w:val="auto"/>
          <w:spacing w:val="3"/>
          <w:sz w:val="24"/>
          <w:szCs w:val="24"/>
          <w:u w:val="none" w:color="auto"/>
          <w:lang w:eastAsia="zh-CN"/>
        </w:rPr>
      </w:pPr>
      <w:r>
        <w:rPr>
          <w:rFonts w:hint="default" w:ascii="Times New Roman" w:hAnsi="Times New Roman" w:eastAsia="宋体" w:cs="Times New Roman"/>
          <w:b/>
          <w:bCs/>
          <w:color w:val="auto"/>
          <w:spacing w:val="3"/>
          <w:sz w:val="24"/>
          <w:szCs w:val="24"/>
          <w:u w:val="none" w:color="auto"/>
        </w:rPr>
        <w:t>表</w:t>
      </w:r>
      <w:r>
        <w:rPr>
          <w:rFonts w:hint="eastAsia" w:ascii="Times New Roman" w:hAnsi="Times New Roman" w:eastAsia="宋体" w:cs="Times New Roman"/>
          <w:b/>
          <w:bCs/>
          <w:color w:val="auto"/>
          <w:spacing w:val="3"/>
          <w:sz w:val="24"/>
          <w:szCs w:val="24"/>
          <w:u w:val="none" w:color="auto"/>
          <w:lang w:val="en-US" w:eastAsia="zh-CN"/>
        </w:rPr>
        <w:t>3.6-1</w:t>
      </w:r>
      <w:r>
        <w:rPr>
          <w:rFonts w:hint="default" w:ascii="Times New Roman" w:hAnsi="Times New Roman" w:eastAsia="宋体" w:cs="Times New Roman"/>
          <w:b/>
          <w:bCs/>
          <w:color w:val="auto"/>
          <w:spacing w:val="3"/>
          <w:sz w:val="24"/>
          <w:szCs w:val="24"/>
          <w:u w:val="none" w:color="auto"/>
        </w:rPr>
        <w:t>3240有色金属合金制造行业</w:t>
      </w:r>
      <w:r>
        <w:rPr>
          <w:rFonts w:hint="eastAsia" w:ascii="Times New Roman" w:hAnsi="Times New Roman" w:eastAsia="宋体" w:cs="Times New Roman"/>
          <w:b/>
          <w:bCs/>
          <w:color w:val="auto"/>
          <w:spacing w:val="3"/>
          <w:sz w:val="24"/>
          <w:szCs w:val="24"/>
          <w:u w:val="none" w:color="auto"/>
          <w:lang w:eastAsia="zh-CN"/>
        </w:rPr>
        <w:t>产污系数</w:t>
      </w:r>
    </w:p>
    <w:tbl>
      <w:tblPr>
        <w:tblStyle w:val="204"/>
        <w:tblW w:w="508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22"/>
        <w:gridCol w:w="1013"/>
        <w:gridCol w:w="1038"/>
        <w:gridCol w:w="1052"/>
        <w:gridCol w:w="1781"/>
        <w:gridCol w:w="1665"/>
        <w:gridCol w:w="10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0"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产品</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名称</w:t>
            </w:r>
          </w:p>
        </w:tc>
        <w:tc>
          <w:tcPr>
            <w:tcW w:w="578"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原料名称</w:t>
            </w:r>
          </w:p>
        </w:tc>
        <w:tc>
          <w:tcPr>
            <w:tcW w:w="592"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工艺</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名称</w:t>
            </w:r>
          </w:p>
        </w:tc>
        <w:tc>
          <w:tcPr>
            <w:tcW w:w="600"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规模</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等级</w:t>
            </w:r>
          </w:p>
        </w:tc>
        <w:tc>
          <w:tcPr>
            <w:tcW w:w="1016"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污染物指标</w:t>
            </w:r>
          </w:p>
        </w:tc>
        <w:tc>
          <w:tcPr>
            <w:tcW w:w="950"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单位</w:t>
            </w:r>
          </w:p>
        </w:tc>
        <w:tc>
          <w:tcPr>
            <w:tcW w:w="622"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产污</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b/>
                <w:bCs/>
                <w:snapToGrid w:val="0"/>
                <w:color w:val="auto"/>
                <w:spacing w:val="7"/>
                <w:kern w:val="0"/>
                <w:sz w:val="21"/>
                <w:szCs w:val="21"/>
                <w:u w:val="none" w:color="auto"/>
              </w:rPr>
            </w:pPr>
            <w:r>
              <w:rPr>
                <w:rFonts w:ascii="宋体" w:hAnsi="宋体" w:eastAsia="宋体" w:cs="宋体"/>
                <w:b/>
                <w:bCs/>
                <w:snapToGrid w:val="0"/>
                <w:color w:val="auto"/>
                <w:spacing w:val="7"/>
                <w:kern w:val="0"/>
                <w:sz w:val="21"/>
                <w:szCs w:val="21"/>
                <w:u w:val="none" w:color="auto"/>
              </w:rPr>
              <w:t>系数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0"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eastAsia" w:ascii="宋体" w:hAnsi="宋体" w:eastAsia="宋体" w:cs="宋体"/>
                <w:snapToGrid w:val="0"/>
                <w:color w:val="auto"/>
                <w:kern w:val="0"/>
                <w:sz w:val="21"/>
                <w:szCs w:val="21"/>
                <w:u w:val="none" w:color="auto"/>
                <w:lang w:eastAsia="zh-CN"/>
              </w:rPr>
            </w:pPr>
            <w:r>
              <w:rPr>
                <w:rFonts w:hint="eastAsia" w:ascii="宋体" w:hAnsi="宋体" w:eastAsia="宋体" w:cs="宋体"/>
                <w:snapToGrid w:val="0"/>
                <w:color w:val="auto"/>
                <w:kern w:val="0"/>
                <w:sz w:val="21"/>
                <w:szCs w:val="21"/>
                <w:u w:val="none" w:color="auto"/>
                <w:lang w:eastAsia="zh-CN"/>
              </w:rPr>
              <w:t>铝镁合金</w:t>
            </w:r>
          </w:p>
        </w:tc>
        <w:tc>
          <w:tcPr>
            <w:tcW w:w="578"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snapToGrid w:val="0"/>
                <w:color w:val="auto"/>
                <w:kern w:val="0"/>
                <w:sz w:val="21"/>
                <w:szCs w:val="21"/>
                <w:u w:val="none" w:color="auto"/>
              </w:rPr>
            </w:pPr>
            <w:r>
              <w:rPr>
                <w:rFonts w:hint="eastAsia" w:ascii="宋体" w:hAnsi="宋体" w:eastAsia="宋体" w:cs="宋体"/>
                <w:snapToGrid w:val="0"/>
                <w:color w:val="auto"/>
                <w:spacing w:val="5"/>
                <w:kern w:val="0"/>
                <w:sz w:val="21"/>
                <w:szCs w:val="21"/>
                <w:u w:val="none" w:color="auto"/>
                <w:lang w:eastAsia="zh-CN"/>
              </w:rPr>
              <w:t>金属镁</w:t>
            </w:r>
            <w:r>
              <w:rPr>
                <w:rFonts w:ascii="Times New Roman" w:hAnsi="Times New Roman" w:eastAsia="Times New Roman" w:cs="Times New Roman"/>
                <w:snapToGrid w:val="0"/>
                <w:color w:val="auto"/>
                <w:spacing w:val="6"/>
                <w:kern w:val="0"/>
                <w:position w:val="1"/>
                <w:sz w:val="21"/>
                <w:szCs w:val="21"/>
                <w:u w:val="none" w:color="auto"/>
              </w:rPr>
              <w:t>+</w:t>
            </w:r>
            <w:r>
              <w:rPr>
                <w:rFonts w:ascii="宋体" w:hAnsi="宋体" w:eastAsia="宋体" w:cs="宋体"/>
                <w:snapToGrid w:val="0"/>
                <w:color w:val="auto"/>
                <w:kern w:val="0"/>
                <w:sz w:val="21"/>
                <w:szCs w:val="21"/>
                <w:u w:val="none" w:color="auto"/>
              </w:rPr>
              <w:t>铝</w:t>
            </w:r>
          </w:p>
        </w:tc>
        <w:tc>
          <w:tcPr>
            <w:tcW w:w="592"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snapToGrid w:val="0"/>
                <w:color w:val="auto"/>
                <w:kern w:val="0"/>
                <w:sz w:val="21"/>
                <w:szCs w:val="21"/>
                <w:u w:val="none" w:color="auto"/>
              </w:rPr>
            </w:pPr>
            <w:r>
              <w:rPr>
                <w:rFonts w:ascii="宋体" w:hAnsi="宋体" w:eastAsia="宋体" w:cs="宋体"/>
                <w:snapToGrid w:val="0"/>
                <w:color w:val="auto"/>
                <w:spacing w:val="-8"/>
                <w:kern w:val="0"/>
                <w:sz w:val="21"/>
                <w:szCs w:val="21"/>
                <w:u w:val="none" w:color="auto"/>
              </w:rPr>
              <w:t>电</w:t>
            </w:r>
            <w:r>
              <w:rPr>
                <w:rFonts w:ascii="宋体" w:hAnsi="宋体" w:eastAsia="宋体" w:cs="宋体"/>
                <w:snapToGrid w:val="0"/>
                <w:color w:val="auto"/>
                <w:spacing w:val="-7"/>
                <w:kern w:val="0"/>
                <w:sz w:val="21"/>
                <w:szCs w:val="21"/>
                <w:u w:val="none" w:color="auto"/>
              </w:rPr>
              <w:t>炉</w:t>
            </w:r>
          </w:p>
        </w:tc>
        <w:tc>
          <w:tcPr>
            <w:tcW w:w="600"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snapToGrid w:val="0"/>
                <w:color w:val="auto"/>
                <w:spacing w:val="4"/>
                <w:kern w:val="0"/>
                <w:position w:val="4"/>
                <w:sz w:val="21"/>
                <w:szCs w:val="21"/>
                <w:u w:val="none" w:color="auto"/>
              </w:rPr>
            </w:pPr>
            <w:r>
              <w:rPr>
                <w:rFonts w:ascii="宋体" w:hAnsi="宋体" w:eastAsia="宋体" w:cs="宋体"/>
                <w:snapToGrid w:val="0"/>
                <w:color w:val="auto"/>
                <w:spacing w:val="5"/>
                <w:kern w:val="0"/>
                <w:position w:val="4"/>
                <w:sz w:val="21"/>
                <w:szCs w:val="21"/>
                <w:u w:val="none" w:color="auto"/>
              </w:rPr>
              <w:t>所</w:t>
            </w:r>
            <w:r>
              <w:rPr>
                <w:rFonts w:ascii="宋体" w:hAnsi="宋体" w:eastAsia="宋体" w:cs="宋体"/>
                <w:snapToGrid w:val="0"/>
                <w:color w:val="auto"/>
                <w:spacing w:val="4"/>
                <w:kern w:val="0"/>
                <w:position w:val="4"/>
                <w:sz w:val="21"/>
                <w:szCs w:val="21"/>
                <w:u w:val="none" w:color="auto"/>
              </w:rPr>
              <w:t>有</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ascii="宋体" w:hAnsi="宋体" w:eastAsia="宋体" w:cs="宋体"/>
                <w:snapToGrid w:val="0"/>
                <w:color w:val="auto"/>
                <w:kern w:val="0"/>
                <w:sz w:val="21"/>
                <w:szCs w:val="21"/>
                <w:u w:val="none" w:color="auto"/>
              </w:rPr>
            </w:pPr>
            <w:r>
              <w:rPr>
                <w:rFonts w:ascii="宋体" w:hAnsi="宋体" w:eastAsia="宋体" w:cs="宋体"/>
                <w:snapToGrid w:val="0"/>
                <w:color w:val="auto"/>
                <w:spacing w:val="4"/>
                <w:kern w:val="0"/>
                <w:sz w:val="21"/>
                <w:szCs w:val="21"/>
                <w:u w:val="none" w:color="auto"/>
              </w:rPr>
              <w:t>规模</w:t>
            </w:r>
          </w:p>
        </w:tc>
        <w:tc>
          <w:tcPr>
            <w:tcW w:w="1016"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auto"/>
                <w:kern w:val="0"/>
                <w:sz w:val="21"/>
                <w:szCs w:val="21"/>
                <w:u w:val="none" w:color="auto"/>
              </w:rPr>
            </w:pPr>
            <w:r>
              <w:rPr>
                <w:rFonts w:ascii="宋体" w:hAnsi="宋体" w:eastAsia="宋体" w:cs="宋体"/>
                <w:snapToGrid w:val="0"/>
                <w:color w:val="auto"/>
                <w:spacing w:val="7"/>
                <w:kern w:val="0"/>
                <w:sz w:val="21"/>
                <w:szCs w:val="21"/>
                <w:u w:val="none" w:color="auto"/>
              </w:rPr>
              <w:t>颗粒物</w:t>
            </w:r>
          </w:p>
        </w:tc>
        <w:tc>
          <w:tcPr>
            <w:tcW w:w="950"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auto"/>
                <w:kern w:val="0"/>
                <w:sz w:val="21"/>
                <w:szCs w:val="21"/>
                <w:u w:val="none" w:color="auto"/>
              </w:rPr>
            </w:pPr>
            <w:r>
              <w:rPr>
                <w:rFonts w:ascii="宋体" w:hAnsi="宋体" w:eastAsia="宋体" w:cs="宋体"/>
                <w:snapToGrid w:val="0"/>
                <w:color w:val="auto"/>
                <w:spacing w:val="8"/>
                <w:kern w:val="0"/>
                <w:sz w:val="21"/>
                <w:szCs w:val="21"/>
                <w:u w:val="none" w:color="auto"/>
              </w:rPr>
              <w:t>千</w:t>
            </w:r>
            <w:r>
              <w:rPr>
                <w:rFonts w:ascii="宋体" w:hAnsi="宋体" w:eastAsia="宋体" w:cs="宋体"/>
                <w:snapToGrid w:val="0"/>
                <w:color w:val="auto"/>
                <w:spacing w:val="5"/>
                <w:kern w:val="0"/>
                <w:sz w:val="21"/>
                <w:szCs w:val="21"/>
                <w:u w:val="none" w:color="auto"/>
              </w:rPr>
              <w:t>克</w:t>
            </w:r>
            <w:r>
              <w:rPr>
                <w:rFonts w:ascii="Times New Roman" w:hAnsi="Times New Roman" w:eastAsia="Times New Roman" w:cs="Times New Roman"/>
                <w:snapToGrid w:val="0"/>
                <w:color w:val="auto"/>
                <w:spacing w:val="5"/>
                <w:kern w:val="0"/>
                <w:sz w:val="21"/>
                <w:szCs w:val="21"/>
                <w:u w:val="none" w:color="auto"/>
              </w:rPr>
              <w:t>/</w:t>
            </w:r>
            <w:r>
              <w:rPr>
                <w:rFonts w:ascii="宋体" w:hAnsi="宋体" w:eastAsia="宋体" w:cs="宋体"/>
                <w:snapToGrid w:val="0"/>
                <w:color w:val="auto"/>
                <w:spacing w:val="5"/>
                <w:kern w:val="0"/>
                <w:sz w:val="21"/>
                <w:szCs w:val="21"/>
                <w:u w:val="none" w:color="auto"/>
              </w:rPr>
              <w:t>吨</w:t>
            </w:r>
            <w:r>
              <w:rPr>
                <w:rFonts w:ascii="Times New Roman" w:hAnsi="Times New Roman" w:eastAsia="Times New Roman" w:cs="Times New Roman"/>
                <w:snapToGrid w:val="0"/>
                <w:color w:val="auto"/>
                <w:spacing w:val="5"/>
                <w:kern w:val="0"/>
                <w:sz w:val="21"/>
                <w:szCs w:val="21"/>
                <w:u w:val="none" w:color="auto"/>
              </w:rPr>
              <w:t>-</w:t>
            </w:r>
            <w:r>
              <w:rPr>
                <w:rFonts w:hint="eastAsia" w:ascii="Times New Roman" w:hAnsi="Times New Roman" w:eastAsia="宋体" w:cs="Times New Roman"/>
                <w:snapToGrid w:val="0"/>
                <w:color w:val="auto"/>
                <w:spacing w:val="5"/>
                <w:kern w:val="0"/>
                <w:sz w:val="21"/>
                <w:szCs w:val="21"/>
                <w:u w:val="none" w:color="auto"/>
                <w:lang w:eastAsia="zh-CN"/>
              </w:rPr>
              <w:t>产</w:t>
            </w:r>
            <w:r>
              <w:rPr>
                <w:rFonts w:ascii="宋体" w:hAnsi="宋体" w:eastAsia="宋体" w:cs="宋体"/>
                <w:snapToGrid w:val="0"/>
                <w:color w:val="auto"/>
                <w:spacing w:val="4"/>
                <w:kern w:val="0"/>
                <w:sz w:val="21"/>
                <w:szCs w:val="21"/>
                <w:u w:val="none" w:color="auto"/>
              </w:rPr>
              <w:t>品</w:t>
            </w:r>
          </w:p>
        </w:tc>
        <w:tc>
          <w:tcPr>
            <w:tcW w:w="622" w:type="pc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ascii="Times New Roman" w:hAnsi="Times New Roman" w:eastAsia="Times New Roman" w:cs="Times New Roman"/>
                <w:snapToGrid w:val="0"/>
                <w:color w:val="auto"/>
                <w:spacing w:val="-6"/>
                <w:kern w:val="0"/>
                <w:sz w:val="21"/>
                <w:szCs w:val="21"/>
                <w:u w:val="none" w:color="auto"/>
              </w:rPr>
              <w:t>2</w:t>
            </w:r>
            <w:r>
              <w:rPr>
                <w:rFonts w:hint="eastAsia" w:ascii="Times New Roman" w:hAnsi="Times New Roman" w:eastAsia="宋体" w:cs="Times New Roman"/>
                <w:snapToGrid w:val="0"/>
                <w:color w:val="auto"/>
                <w:spacing w:val="-5"/>
                <w:kern w:val="0"/>
                <w:sz w:val="21"/>
                <w:szCs w:val="21"/>
                <w:u w:val="none" w:color="auto"/>
                <w:lang w:val="en-US" w:eastAsia="zh-CN"/>
              </w:rPr>
              <w:t>0.07</w:t>
            </w:r>
          </w:p>
        </w:tc>
      </w:tr>
    </w:tbl>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24" w:firstLineChars="200"/>
        <w:textAlignment w:val="auto"/>
        <w:rPr>
          <w:rFonts w:hint="eastAsia"/>
          <w:color w:val="auto"/>
          <w:sz w:val="24"/>
          <w:szCs w:val="24"/>
          <w:u w:val="none" w:color="auto"/>
          <w:lang w:eastAsia="zh-CN"/>
        </w:rPr>
      </w:pPr>
      <w:r>
        <w:rPr>
          <w:rFonts w:hint="eastAsia" w:ascii="Times New Roman" w:hAnsi="Times New Roman" w:eastAsia="宋体" w:cs="Times New Roman"/>
          <w:color w:val="auto"/>
          <w:spacing w:val="11"/>
          <w:sz w:val="24"/>
          <w:szCs w:val="24"/>
          <w:u w:val="none" w:color="auto"/>
          <w:lang w:eastAsia="zh-CN"/>
        </w:rPr>
        <w:t>本项目</w:t>
      </w:r>
      <w:r>
        <w:rPr>
          <w:rFonts w:hint="default" w:ascii="Times New Roman" w:hAnsi="Times New Roman" w:eastAsia="宋体" w:cs="Times New Roman"/>
          <w:color w:val="auto"/>
          <w:spacing w:val="3"/>
          <w:sz w:val="24"/>
          <w:szCs w:val="24"/>
          <w:u w:val="none" w:color="auto"/>
        </w:rPr>
        <w:t>熔炼</w:t>
      </w:r>
      <w:r>
        <w:rPr>
          <w:rFonts w:hint="eastAsia" w:ascii="Times New Roman" w:hAnsi="Times New Roman" w:eastAsia="宋体" w:cs="Times New Roman"/>
          <w:color w:val="auto"/>
          <w:spacing w:val="7"/>
          <w:sz w:val="24"/>
          <w:szCs w:val="24"/>
          <w:u w:val="none" w:color="auto"/>
          <w:lang w:eastAsia="zh-CN"/>
        </w:rPr>
        <w:t>废气</w:t>
      </w:r>
      <w:r>
        <w:rPr>
          <w:rFonts w:hint="default" w:ascii="Times New Roman" w:hAnsi="Times New Roman" w:eastAsia="宋体" w:cs="Times New Roman"/>
          <w:color w:val="auto"/>
          <w:spacing w:val="11"/>
          <w:sz w:val="24"/>
          <w:szCs w:val="24"/>
          <w:u w:val="none" w:color="auto"/>
        </w:rPr>
        <w:t>颗粒物产生系数为</w:t>
      </w:r>
      <w:r>
        <w:rPr>
          <w:rFonts w:hint="eastAsia" w:ascii="Times New Roman" w:hAnsi="Times New Roman" w:eastAsia="宋体" w:cs="Times New Roman"/>
          <w:color w:val="auto"/>
          <w:spacing w:val="11"/>
          <w:sz w:val="24"/>
          <w:szCs w:val="24"/>
          <w:u w:val="none" w:color="auto"/>
          <w:lang w:val="en-US" w:eastAsia="zh-CN"/>
        </w:rPr>
        <w:t>20.07</w:t>
      </w:r>
      <w:r>
        <w:rPr>
          <w:rFonts w:hint="default" w:ascii="Times New Roman" w:hAnsi="Times New Roman" w:eastAsia="宋体" w:cs="Times New Roman"/>
          <w:color w:val="auto"/>
          <w:sz w:val="24"/>
          <w:szCs w:val="24"/>
          <w:u w:val="none" w:color="auto"/>
        </w:rPr>
        <w:t>kg</w:t>
      </w:r>
      <w:r>
        <w:rPr>
          <w:rFonts w:hint="default" w:ascii="Times New Roman" w:hAnsi="Times New Roman" w:eastAsia="宋体" w:cs="Times New Roman"/>
          <w:color w:val="auto"/>
          <w:spacing w:val="11"/>
          <w:sz w:val="24"/>
          <w:szCs w:val="24"/>
          <w:u w:val="none" w:color="auto"/>
        </w:rPr>
        <w:t>/</w:t>
      </w:r>
      <w:r>
        <w:rPr>
          <w:rFonts w:hint="default" w:ascii="Times New Roman" w:hAnsi="Times New Roman" w:eastAsia="宋体" w:cs="Times New Roman"/>
          <w:color w:val="auto"/>
          <w:sz w:val="24"/>
          <w:szCs w:val="24"/>
          <w:u w:val="none" w:color="auto"/>
        </w:rPr>
        <w:t>t</w:t>
      </w:r>
      <w:r>
        <w:rPr>
          <w:rFonts w:hint="default" w:ascii="Times New Roman" w:hAnsi="Times New Roman" w:eastAsia="宋体" w:cs="Times New Roman"/>
          <w:color w:val="auto"/>
          <w:spacing w:val="11"/>
          <w:sz w:val="24"/>
          <w:szCs w:val="24"/>
          <w:u w:val="none" w:color="auto"/>
        </w:rPr>
        <w:t>产品，</w:t>
      </w:r>
      <w:r>
        <w:rPr>
          <w:rFonts w:hint="default" w:ascii="Times New Roman" w:hAnsi="Times New Roman" w:eastAsia="宋体" w:cs="Times New Roman"/>
          <w:color w:val="auto"/>
          <w:spacing w:val="16"/>
          <w:sz w:val="24"/>
          <w:szCs w:val="24"/>
          <w:u w:val="none" w:color="auto"/>
        </w:rPr>
        <w:t>本</w:t>
      </w:r>
      <w:r>
        <w:rPr>
          <w:rFonts w:hint="default" w:ascii="Times New Roman" w:hAnsi="Times New Roman" w:eastAsia="宋体" w:cs="Times New Roman"/>
          <w:color w:val="auto"/>
          <w:spacing w:val="15"/>
          <w:sz w:val="24"/>
          <w:szCs w:val="24"/>
          <w:u w:val="none" w:color="auto"/>
        </w:rPr>
        <w:t>项目年产</w:t>
      </w:r>
      <w:r>
        <w:rPr>
          <w:rFonts w:hint="default" w:ascii="Times New Roman" w:hAnsi="Times New Roman" w:eastAsia="宋体" w:cs="Times New Roman"/>
          <w:color w:val="auto"/>
          <w:spacing w:val="15"/>
          <w:sz w:val="24"/>
          <w:szCs w:val="24"/>
          <w:u w:val="none" w:color="auto"/>
          <w:lang w:eastAsia="zh-CN"/>
        </w:rPr>
        <w:t>镁锭</w:t>
      </w:r>
      <w:r>
        <w:rPr>
          <w:rFonts w:hint="eastAsia" w:ascii="Times New Roman" w:hAnsi="Times New Roman" w:eastAsia="宋体" w:cs="Times New Roman"/>
          <w:color w:val="auto"/>
          <w:spacing w:val="15"/>
          <w:sz w:val="24"/>
          <w:szCs w:val="24"/>
          <w:u w:val="none" w:color="auto"/>
          <w:lang w:val="en-US" w:eastAsia="zh-CN"/>
        </w:rPr>
        <w:t>10795</w:t>
      </w:r>
      <w:r>
        <w:rPr>
          <w:rFonts w:hint="default" w:ascii="Times New Roman" w:hAnsi="Times New Roman" w:eastAsia="宋体" w:cs="Times New Roman"/>
          <w:color w:val="auto"/>
          <w:spacing w:val="15"/>
          <w:sz w:val="24"/>
          <w:szCs w:val="24"/>
          <w:u w:val="none" w:color="auto"/>
        </w:rPr>
        <w:t>吨，经计算，熔炼、精炼烟气中颗粒物产生量为</w:t>
      </w:r>
      <w:r>
        <w:rPr>
          <w:rFonts w:hint="eastAsia" w:ascii="Times New Roman" w:hAnsi="Times New Roman" w:eastAsia="宋体" w:cs="Times New Roman"/>
          <w:color w:val="auto"/>
          <w:spacing w:val="5"/>
          <w:sz w:val="24"/>
          <w:szCs w:val="24"/>
          <w:u w:val="none" w:color="auto"/>
          <w:lang w:val="en-US" w:eastAsia="zh-CN"/>
        </w:rPr>
        <w:t>216.65</w:t>
      </w:r>
      <w:r>
        <w:rPr>
          <w:rFonts w:hint="default" w:ascii="Times New Roman" w:hAnsi="Times New Roman" w:eastAsia="宋体" w:cs="Times New Roman"/>
          <w:color w:val="auto"/>
          <w:sz w:val="24"/>
          <w:szCs w:val="24"/>
          <w:u w:val="none" w:color="auto"/>
        </w:rPr>
        <w:t>t</w:t>
      </w:r>
      <w:r>
        <w:rPr>
          <w:rFonts w:hint="default" w:ascii="Times New Roman" w:hAnsi="Times New Roman" w:eastAsia="宋体" w:cs="Times New Roman"/>
          <w:color w:val="auto"/>
          <w:spacing w:val="4"/>
          <w:sz w:val="24"/>
          <w:szCs w:val="24"/>
          <w:u w:val="none" w:color="auto"/>
        </w:rPr>
        <w:t>/</w:t>
      </w:r>
      <w:r>
        <w:rPr>
          <w:rFonts w:hint="default" w:ascii="Times New Roman" w:hAnsi="Times New Roman" w:eastAsia="宋体" w:cs="Times New Roman"/>
          <w:color w:val="auto"/>
          <w:sz w:val="24"/>
          <w:szCs w:val="24"/>
          <w:u w:val="none" w:color="auto"/>
        </w:rPr>
        <w:t>a</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2" w:firstLineChars="200"/>
        <w:textAlignment w:val="auto"/>
        <w:rPr>
          <w:rFonts w:hint="eastAsia" w:ascii="Times New Roman" w:hAnsi="Times New Roman" w:eastAsia="宋体" w:cs="Times New Roman"/>
          <w:color w:val="auto"/>
          <w:spacing w:val="3"/>
          <w:sz w:val="24"/>
          <w:szCs w:val="24"/>
          <w:u w:val="none" w:color="auto"/>
          <w:lang w:eastAsia="zh-CN"/>
        </w:rPr>
      </w:pPr>
      <w:r>
        <w:rPr>
          <w:rFonts w:hint="eastAsia" w:ascii="Times New Roman" w:hAnsi="Times New Roman" w:eastAsia="宋体" w:cs="Times New Roman"/>
          <w:color w:val="auto"/>
          <w:spacing w:val="3"/>
          <w:sz w:val="24"/>
          <w:szCs w:val="24"/>
          <w:u w:val="none" w:color="auto"/>
          <w:lang w:eastAsia="zh-CN"/>
        </w:rPr>
        <w:t>②氯化氢废气</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3"/>
          <w:sz w:val="24"/>
          <w:szCs w:val="24"/>
          <w:u w:val="none" w:color="auto"/>
          <w:lang w:val="en-US" w:eastAsia="zh-CN"/>
        </w:rPr>
      </w:pPr>
      <w:r>
        <w:rPr>
          <w:rFonts w:hint="default" w:ascii="Times New Roman" w:hAnsi="Times New Roman" w:eastAsia="宋体" w:cs="Times New Roman"/>
          <w:color w:val="auto"/>
          <w:sz w:val="24"/>
          <w:szCs w:val="24"/>
          <w:u w:val="none" w:color="auto"/>
        </w:rPr>
        <w:t>本项目</w:t>
      </w:r>
      <w:r>
        <w:rPr>
          <w:rFonts w:hint="eastAsia" w:ascii="Times New Roman" w:hAnsi="Times New Roman" w:eastAsia="宋体" w:cs="Times New Roman"/>
          <w:color w:val="auto"/>
          <w:sz w:val="24"/>
          <w:szCs w:val="24"/>
          <w:u w:val="none" w:color="auto"/>
          <w:lang w:eastAsia="zh-CN"/>
        </w:rPr>
        <w:t>熔炼工序会产生少量酸性废气，主要成分为</w:t>
      </w:r>
      <w:r>
        <w:rPr>
          <w:rFonts w:hint="eastAsia" w:ascii="Times New Roman" w:hAnsi="Times New Roman" w:eastAsia="宋体" w:cs="Times New Roman"/>
          <w:color w:val="auto"/>
          <w:spacing w:val="3"/>
          <w:sz w:val="24"/>
          <w:szCs w:val="24"/>
          <w:u w:val="none" w:color="auto"/>
          <w:lang w:eastAsia="zh-CN"/>
        </w:rPr>
        <w:t>氯化氢。通过氯元素平衡分析，氯化氢产生量</w:t>
      </w:r>
      <w:r>
        <w:rPr>
          <w:rFonts w:hint="eastAsia" w:ascii="Times New Roman" w:hAnsi="Times New Roman" w:eastAsia="宋体" w:cs="Times New Roman"/>
          <w:color w:val="auto"/>
          <w:spacing w:val="3"/>
          <w:sz w:val="24"/>
          <w:szCs w:val="24"/>
          <w:u w:val="none" w:color="auto"/>
          <w:lang w:val="en-US" w:eastAsia="zh-CN"/>
        </w:rPr>
        <w:t>6t/a</w:t>
      </w:r>
      <w:r>
        <w:rPr>
          <w:rFonts w:hint="eastAsia" w:ascii="Times New Roman" w:hAnsi="Times New Roman" w:eastAsia="宋体" w:cs="Times New Roman"/>
          <w:color w:val="auto"/>
          <w:sz w:val="24"/>
          <w:szCs w:val="24"/>
          <w:u w:val="none" w:color="auto"/>
          <w:lang w:val="en-US" w:eastAsia="zh-CN"/>
        </w:rPr>
        <w:t>。</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80" w:firstLineChars="200"/>
        <w:textAlignment w:val="auto"/>
        <w:outlineLvl w:val="2"/>
        <w:rPr>
          <w:rFonts w:hint="eastAsia" w:ascii="Times New Roman" w:hAnsi="Times New Roman" w:eastAsia="宋体" w:cs="Times New Roman"/>
          <w:color w:val="auto"/>
          <w:sz w:val="24"/>
          <w:szCs w:val="24"/>
          <w:u w:val="none" w:color="auto"/>
          <w:lang w:eastAsia="zh-CN"/>
        </w:rPr>
      </w:pPr>
      <w:bookmarkStart w:id="144" w:name="_Toc32342"/>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eastAsia="zh-CN"/>
        </w:rPr>
        <w:t>）浇筑废气</w:t>
      </w:r>
      <w:bookmarkEnd w:id="144"/>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2" w:firstLineChars="200"/>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pacing w:val="3"/>
          <w:sz w:val="24"/>
          <w:szCs w:val="24"/>
          <w:u w:val="none" w:color="auto"/>
        </w:rPr>
        <w:t>本项目</w:t>
      </w:r>
      <w:r>
        <w:rPr>
          <w:rFonts w:hint="eastAsia" w:ascii="Times New Roman" w:hAnsi="Times New Roman" w:eastAsia="宋体" w:cs="Times New Roman"/>
          <w:color w:val="auto"/>
          <w:sz w:val="24"/>
          <w:szCs w:val="24"/>
          <w:u w:val="none" w:color="auto"/>
          <w:lang w:eastAsia="zh-CN"/>
        </w:rPr>
        <w:t>浇筑废气</w:t>
      </w:r>
      <w:r>
        <w:rPr>
          <w:rFonts w:hint="default" w:ascii="Times New Roman" w:hAnsi="Times New Roman" w:eastAsia="宋体" w:cs="Times New Roman"/>
          <w:color w:val="auto"/>
          <w:spacing w:val="7"/>
          <w:sz w:val="24"/>
          <w:szCs w:val="24"/>
          <w:u w:val="none" w:color="auto"/>
        </w:rPr>
        <w:t>产生的颗粒物采用产污系数法核算</w:t>
      </w:r>
      <w:r>
        <w:rPr>
          <w:rFonts w:hint="eastAsia" w:ascii="Times New Roman" w:hAnsi="Times New Roman" w:eastAsia="宋体" w:cs="Times New Roman"/>
          <w:color w:val="auto"/>
          <w:spacing w:val="7"/>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参照</w:t>
      </w:r>
      <w:r>
        <w:rPr>
          <w:rFonts w:hint="default" w:ascii="Times New Roman" w:hAnsi="Times New Roman" w:eastAsia="宋体" w:cs="Times New Roman"/>
          <w:color w:val="auto"/>
          <w:spacing w:val="7"/>
          <w:sz w:val="24"/>
          <w:szCs w:val="24"/>
          <w:u w:val="none" w:color="auto"/>
        </w:rPr>
        <w:t>《排放源统计调查产排污核算方法</w:t>
      </w:r>
      <w:r>
        <w:rPr>
          <w:rFonts w:hint="default" w:ascii="Times New Roman" w:hAnsi="Times New Roman" w:eastAsia="宋体" w:cs="Times New Roman"/>
          <w:color w:val="auto"/>
          <w:spacing w:val="3"/>
          <w:sz w:val="24"/>
          <w:szCs w:val="24"/>
          <w:u w:val="none" w:color="auto"/>
        </w:rPr>
        <w:t>和系数手册》(生态环境部2021.6.11)中</w:t>
      </w:r>
      <w:r>
        <w:rPr>
          <w:rFonts w:hint="eastAsia" w:ascii="Times New Roman" w:hAnsi="Times New Roman" w:eastAsia="宋体" w:cs="Times New Roman"/>
          <w:color w:val="auto"/>
          <w:spacing w:val="3"/>
          <w:sz w:val="24"/>
          <w:szCs w:val="24"/>
          <w:u w:val="none" w:color="auto"/>
          <w:lang w:eastAsia="zh-CN"/>
        </w:rPr>
        <w:t>机械加工行业表</w:t>
      </w:r>
      <w:r>
        <w:rPr>
          <w:rFonts w:hint="eastAsia" w:ascii="Times New Roman" w:hAnsi="Times New Roman" w:eastAsia="宋体" w:cs="Times New Roman"/>
          <w:color w:val="auto"/>
          <w:spacing w:val="3"/>
          <w:sz w:val="24"/>
          <w:szCs w:val="24"/>
          <w:u w:val="none" w:color="auto"/>
          <w:lang w:val="en-US" w:eastAsia="zh-CN"/>
        </w:rPr>
        <w:t>01铸造</w:t>
      </w:r>
      <w:r>
        <w:rPr>
          <w:rFonts w:hint="default" w:ascii="Times New Roman" w:hAnsi="Times New Roman" w:eastAsia="宋体" w:cs="Times New Roman"/>
          <w:color w:val="auto"/>
          <w:spacing w:val="11"/>
          <w:sz w:val="24"/>
          <w:szCs w:val="24"/>
          <w:u w:val="none" w:color="auto"/>
        </w:rPr>
        <w:t>，</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4" w:firstLineChars="200"/>
        <w:jc w:val="center"/>
        <w:textAlignment w:val="auto"/>
        <w:rPr>
          <w:rFonts w:hint="default" w:ascii="Times New Roman" w:hAnsi="Times New Roman" w:eastAsia="宋体" w:cs="Times New Roman"/>
          <w:b/>
          <w:bCs/>
          <w:color w:val="auto"/>
          <w:spacing w:val="3"/>
          <w:sz w:val="24"/>
          <w:szCs w:val="24"/>
          <w:u w:val="none" w:color="auto"/>
          <w:lang w:val="en-US" w:eastAsia="zh-CN"/>
        </w:rPr>
      </w:pPr>
      <w:r>
        <w:rPr>
          <w:rFonts w:hint="default" w:ascii="Times New Roman" w:hAnsi="Times New Roman" w:eastAsia="宋体" w:cs="Times New Roman"/>
          <w:b/>
          <w:bCs/>
          <w:color w:val="auto"/>
          <w:spacing w:val="3"/>
          <w:sz w:val="24"/>
          <w:szCs w:val="24"/>
          <w:u w:val="none" w:color="auto"/>
          <w:lang w:val="en-US" w:eastAsia="zh-CN"/>
        </w:rPr>
        <w:t>表</w:t>
      </w:r>
      <w:r>
        <w:rPr>
          <w:rFonts w:hint="eastAsia" w:ascii="Times New Roman" w:hAnsi="Times New Roman" w:eastAsia="宋体" w:cs="Times New Roman"/>
          <w:b/>
          <w:bCs/>
          <w:color w:val="auto"/>
          <w:spacing w:val="3"/>
          <w:sz w:val="24"/>
          <w:szCs w:val="24"/>
          <w:u w:val="none" w:color="auto"/>
          <w:lang w:val="en-US" w:eastAsia="zh-CN"/>
        </w:rPr>
        <w:t>3.6-3</w:t>
      </w:r>
      <w:r>
        <w:rPr>
          <w:rFonts w:hint="default" w:ascii="Times New Roman" w:hAnsi="Times New Roman" w:eastAsia="宋体" w:cs="Times New Roman"/>
          <w:b/>
          <w:bCs/>
          <w:color w:val="auto"/>
          <w:spacing w:val="3"/>
          <w:sz w:val="24"/>
          <w:szCs w:val="24"/>
          <w:u w:val="none" w:color="auto"/>
          <w:lang w:val="en-US" w:eastAsia="zh-CN"/>
        </w:rPr>
        <w:t>机械行业系数手册(表</w:t>
      </w:r>
      <w:r>
        <w:rPr>
          <w:rFonts w:hint="eastAsia" w:ascii="Times New Roman" w:hAnsi="Times New Roman" w:eastAsia="宋体" w:cs="Times New Roman"/>
          <w:b/>
          <w:bCs/>
          <w:color w:val="auto"/>
          <w:spacing w:val="3"/>
          <w:sz w:val="24"/>
          <w:szCs w:val="24"/>
          <w:u w:val="none" w:color="auto"/>
          <w:lang w:val="en-US" w:eastAsia="zh-CN"/>
        </w:rPr>
        <w:t>1铸造</w:t>
      </w:r>
      <w:r>
        <w:rPr>
          <w:rFonts w:hint="default" w:ascii="Times New Roman" w:hAnsi="Times New Roman" w:eastAsia="宋体" w:cs="Times New Roman"/>
          <w:b/>
          <w:bCs/>
          <w:color w:val="auto"/>
          <w:spacing w:val="3"/>
          <w:sz w:val="24"/>
          <w:szCs w:val="24"/>
          <w:u w:val="none" w:color="auto"/>
          <w:lang w:val="en-US" w:eastAsia="zh-CN"/>
        </w:rPr>
        <w:t>)</w:t>
      </w:r>
    </w:p>
    <w:tbl>
      <w:tblPr>
        <w:tblStyle w:val="20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65"/>
        <w:gridCol w:w="1003"/>
        <w:gridCol w:w="1004"/>
        <w:gridCol w:w="1004"/>
        <w:gridCol w:w="842"/>
        <w:gridCol w:w="1355"/>
        <w:gridCol w:w="1357"/>
        <w:gridCol w:w="11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2"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lang w:eastAsia="zh-CN"/>
              </w:rPr>
            </w:pPr>
            <w:r>
              <w:rPr>
                <w:rFonts w:hint="default" w:ascii="Times New Roman" w:hAnsi="Times New Roman" w:eastAsia="宋体" w:cs="Times New Roman"/>
                <w:b/>
                <w:bCs/>
                <w:color w:val="auto"/>
                <w:spacing w:val="6"/>
                <w:sz w:val="21"/>
                <w:szCs w:val="21"/>
                <w:u w:val="none" w:color="auto"/>
                <w:lang w:eastAsia="zh-CN"/>
              </w:rPr>
              <w:t>工段名称</w:t>
            </w:r>
          </w:p>
        </w:tc>
        <w:tc>
          <w:tcPr>
            <w:tcW w:w="582"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lang w:eastAsia="zh-CN"/>
              </w:rPr>
            </w:pPr>
            <w:r>
              <w:rPr>
                <w:rFonts w:hint="default" w:ascii="Times New Roman" w:hAnsi="Times New Roman" w:eastAsia="宋体" w:cs="Times New Roman"/>
                <w:b/>
                <w:bCs/>
                <w:color w:val="auto"/>
                <w:spacing w:val="6"/>
                <w:sz w:val="21"/>
                <w:szCs w:val="21"/>
                <w:u w:val="none" w:color="auto"/>
                <w:lang w:eastAsia="zh-CN"/>
              </w:rPr>
              <w:t>产品名称</w:t>
            </w:r>
          </w:p>
        </w:tc>
        <w:tc>
          <w:tcPr>
            <w:tcW w:w="582"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lang w:eastAsia="zh-CN"/>
              </w:rPr>
            </w:pPr>
            <w:r>
              <w:rPr>
                <w:rFonts w:hint="default" w:ascii="Times New Roman" w:hAnsi="Times New Roman" w:eastAsia="宋体" w:cs="Times New Roman"/>
                <w:b/>
                <w:bCs/>
                <w:color w:val="auto"/>
                <w:spacing w:val="6"/>
                <w:sz w:val="21"/>
                <w:szCs w:val="21"/>
                <w:u w:val="none" w:color="auto"/>
                <w:lang w:eastAsia="zh-CN"/>
              </w:rPr>
              <w:t>原料名称</w:t>
            </w:r>
          </w:p>
        </w:tc>
        <w:tc>
          <w:tcPr>
            <w:tcW w:w="582"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工艺名称</w:t>
            </w:r>
          </w:p>
        </w:tc>
        <w:tc>
          <w:tcPr>
            <w:tcW w:w="488"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规模</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等级</w:t>
            </w:r>
          </w:p>
        </w:tc>
        <w:tc>
          <w:tcPr>
            <w:tcW w:w="786"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污染物指标</w:t>
            </w:r>
          </w:p>
        </w:tc>
        <w:tc>
          <w:tcPr>
            <w:tcW w:w="787"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单位</w:t>
            </w:r>
          </w:p>
        </w:tc>
        <w:tc>
          <w:tcPr>
            <w:tcW w:w="687" w:type="pc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产污系数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502"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3"/>
                <w:position w:val="4"/>
                <w:sz w:val="21"/>
                <w:szCs w:val="21"/>
                <w:u w:val="none" w:color="auto"/>
                <w:lang w:eastAsia="zh-CN"/>
              </w:rPr>
              <w:t>铸造</w:t>
            </w:r>
          </w:p>
        </w:tc>
        <w:tc>
          <w:tcPr>
            <w:tcW w:w="582"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4"/>
                <w:sz w:val="21"/>
                <w:szCs w:val="21"/>
                <w:u w:val="none" w:color="auto"/>
                <w:lang w:eastAsia="zh-CN"/>
              </w:rPr>
            </w:pPr>
            <w:r>
              <w:rPr>
                <w:rFonts w:hint="default" w:ascii="Times New Roman" w:hAnsi="Times New Roman" w:eastAsia="宋体" w:cs="Times New Roman"/>
                <w:color w:val="auto"/>
                <w:spacing w:val="6"/>
                <w:sz w:val="21"/>
                <w:szCs w:val="21"/>
                <w:u w:val="none" w:color="auto"/>
                <w:lang w:eastAsia="zh-CN"/>
              </w:rPr>
              <w:t>铸件</w:t>
            </w:r>
          </w:p>
        </w:tc>
        <w:tc>
          <w:tcPr>
            <w:tcW w:w="582"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u w:val="none" w:color="auto"/>
                <w:lang w:eastAsia="zh-CN"/>
              </w:rPr>
            </w:pPr>
            <w:r>
              <w:rPr>
                <w:rFonts w:hint="default" w:ascii="Times New Roman" w:hAnsi="Times New Roman" w:eastAsia="宋体" w:cs="Times New Roman"/>
                <w:color w:val="auto"/>
                <w:spacing w:val="6"/>
                <w:sz w:val="21"/>
                <w:szCs w:val="21"/>
                <w:u w:val="none" w:color="auto"/>
                <w:lang w:eastAsia="zh-CN"/>
              </w:rPr>
              <w:t>金属液等、脱模剂</w:t>
            </w:r>
          </w:p>
        </w:tc>
        <w:tc>
          <w:tcPr>
            <w:tcW w:w="582" w:type="pct"/>
            <w:vMerge w:val="restar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kern w:val="0"/>
                <w:sz w:val="21"/>
                <w:szCs w:val="21"/>
                <w:u w:val="none" w:color="auto"/>
                <w:lang w:val="en-US" w:eastAsia="zh-CN" w:bidi="ar"/>
              </w:rPr>
              <w:t>造型/浇注</w:t>
            </w:r>
          </w:p>
        </w:tc>
        <w:tc>
          <w:tcPr>
            <w:tcW w:w="488"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position w:val="4"/>
                <w:sz w:val="21"/>
                <w:szCs w:val="21"/>
                <w:u w:val="none" w:color="auto"/>
              </w:rPr>
              <w:t>所</w:t>
            </w:r>
            <w:r>
              <w:rPr>
                <w:rFonts w:hint="default" w:ascii="Times New Roman" w:hAnsi="Times New Roman" w:eastAsia="宋体" w:cs="Times New Roman"/>
                <w:color w:val="auto"/>
                <w:spacing w:val="4"/>
                <w:position w:val="4"/>
                <w:sz w:val="21"/>
                <w:szCs w:val="21"/>
                <w:u w:val="none" w:color="auto"/>
              </w:rPr>
              <w:t>有</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规模</w:t>
            </w:r>
          </w:p>
        </w:tc>
        <w:tc>
          <w:tcPr>
            <w:tcW w:w="786"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颗粒物</w:t>
            </w:r>
          </w:p>
        </w:tc>
        <w:tc>
          <w:tcPr>
            <w:tcW w:w="787" w:type="pct"/>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8"/>
                <w:sz w:val="21"/>
                <w:szCs w:val="21"/>
                <w:u w:val="none" w:color="auto"/>
              </w:rPr>
              <w:t>千</w:t>
            </w:r>
            <w:r>
              <w:rPr>
                <w:rFonts w:hint="default" w:ascii="Times New Roman" w:hAnsi="Times New Roman" w:eastAsia="宋体" w:cs="Times New Roman"/>
                <w:color w:val="auto"/>
                <w:spacing w:val="6"/>
                <w:sz w:val="21"/>
                <w:szCs w:val="21"/>
                <w:u w:val="none" w:color="auto"/>
              </w:rPr>
              <w:t>克/</w:t>
            </w:r>
            <w:r>
              <w:rPr>
                <w:rFonts w:hint="default" w:ascii="Times New Roman" w:hAnsi="Times New Roman" w:eastAsia="宋体" w:cs="Times New Roman"/>
                <w:color w:val="auto"/>
                <w:sz w:val="21"/>
                <w:szCs w:val="21"/>
                <w:u w:val="none" w:color="auto"/>
                <w:lang w:eastAsia="zh-CN"/>
              </w:rPr>
              <w:t>吨</w:t>
            </w:r>
            <w:r>
              <w:rPr>
                <w:rFonts w:hint="default" w:ascii="Times New Roman" w:hAnsi="Times New Roman" w:eastAsia="宋体" w:cs="Times New Roman"/>
                <w:color w:val="auto"/>
                <w:spacing w:val="6"/>
                <w:sz w:val="21"/>
                <w:szCs w:val="21"/>
                <w:u w:val="none" w:color="auto"/>
              </w:rPr>
              <w:t>-</w:t>
            </w:r>
            <w:r>
              <w:rPr>
                <w:rFonts w:hint="default" w:ascii="Times New Roman" w:hAnsi="Times New Roman" w:eastAsia="宋体" w:cs="Times New Roman"/>
                <w:color w:val="auto"/>
                <w:spacing w:val="6"/>
                <w:sz w:val="21"/>
                <w:szCs w:val="21"/>
                <w:u w:val="none" w:color="auto"/>
                <w:lang w:eastAsia="zh-CN"/>
              </w:rPr>
              <w:t>产品</w:t>
            </w:r>
          </w:p>
        </w:tc>
        <w:tc>
          <w:tcPr>
            <w:tcW w:w="687" w:type="pct"/>
            <w:vMerge w:val="restar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kern w:val="0"/>
                <w:sz w:val="21"/>
                <w:szCs w:val="21"/>
                <w:u w:val="none" w:color="auto"/>
                <w:lang w:val="en-US" w:eastAsia="zh-CN" w:bidi="ar"/>
              </w:rPr>
              <w:t>0.247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50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58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58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582"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488"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786"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787"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c>
          <w:tcPr>
            <w:tcW w:w="687" w:type="pct"/>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color w:val="auto"/>
                <w:u w:val="none" w:color="auto"/>
              </w:rPr>
            </w:pPr>
          </w:p>
        </w:tc>
      </w:tr>
    </w:tbl>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24" w:firstLineChars="200"/>
        <w:textAlignment w:val="auto"/>
        <w:rPr>
          <w:rFonts w:hint="eastAsia" w:ascii="Times New Roman" w:hAnsi="Times New Roman" w:eastAsia="宋体" w:cs="Times New Roman"/>
          <w:color w:val="auto"/>
          <w:spacing w:val="11"/>
          <w:sz w:val="24"/>
          <w:szCs w:val="24"/>
          <w:u w:val="none" w:color="auto"/>
          <w:lang w:val="en-US" w:eastAsia="zh-CN"/>
        </w:rPr>
      </w:pPr>
      <w:r>
        <w:rPr>
          <w:rFonts w:hint="eastAsia" w:ascii="Times New Roman" w:hAnsi="Times New Roman" w:eastAsia="宋体" w:cs="Times New Roman"/>
          <w:color w:val="auto"/>
          <w:spacing w:val="11"/>
          <w:sz w:val="24"/>
          <w:szCs w:val="24"/>
          <w:u w:val="none" w:color="auto"/>
          <w:lang w:val="en-US" w:eastAsia="zh-CN"/>
        </w:rPr>
        <w:t>根据上表，本项目浇筑废气</w:t>
      </w:r>
      <w:r>
        <w:rPr>
          <w:rFonts w:hint="default" w:ascii="Times New Roman" w:hAnsi="Times New Roman" w:eastAsia="宋体" w:cs="Times New Roman"/>
          <w:color w:val="auto"/>
          <w:spacing w:val="11"/>
          <w:sz w:val="24"/>
          <w:szCs w:val="24"/>
          <w:u w:val="none" w:color="auto"/>
          <w:lang w:val="en-US" w:eastAsia="zh-CN"/>
        </w:rPr>
        <w:t>颗粒物产生系数为</w:t>
      </w:r>
      <w:r>
        <w:rPr>
          <w:rFonts w:hint="eastAsia" w:ascii="Times New Roman" w:hAnsi="Times New Roman" w:eastAsia="宋体" w:cs="Times New Roman"/>
          <w:color w:val="auto"/>
          <w:spacing w:val="11"/>
          <w:sz w:val="24"/>
          <w:szCs w:val="24"/>
          <w:u w:val="none" w:color="auto"/>
          <w:lang w:val="en-US" w:eastAsia="zh-CN"/>
        </w:rPr>
        <w:t>0.247</w:t>
      </w:r>
      <w:r>
        <w:rPr>
          <w:rFonts w:hint="default" w:ascii="Times New Roman" w:hAnsi="Times New Roman" w:eastAsia="宋体" w:cs="Times New Roman"/>
          <w:color w:val="auto"/>
          <w:spacing w:val="11"/>
          <w:sz w:val="24"/>
          <w:szCs w:val="24"/>
          <w:u w:val="none" w:color="auto"/>
          <w:lang w:val="en-US" w:eastAsia="zh-CN"/>
        </w:rPr>
        <w:t>kg/t产品，本项目年产镁锭</w:t>
      </w:r>
      <w:r>
        <w:rPr>
          <w:rFonts w:hint="eastAsia" w:ascii="Times New Roman" w:hAnsi="Times New Roman" w:eastAsia="宋体" w:cs="Times New Roman"/>
          <w:color w:val="auto"/>
          <w:spacing w:val="11"/>
          <w:sz w:val="24"/>
          <w:szCs w:val="24"/>
          <w:u w:val="none" w:color="auto"/>
          <w:lang w:val="en-US" w:eastAsia="zh-CN"/>
        </w:rPr>
        <w:t>10795</w:t>
      </w:r>
      <w:r>
        <w:rPr>
          <w:rFonts w:hint="default" w:ascii="Times New Roman" w:hAnsi="Times New Roman" w:eastAsia="宋体" w:cs="Times New Roman"/>
          <w:color w:val="auto"/>
          <w:spacing w:val="11"/>
          <w:sz w:val="24"/>
          <w:szCs w:val="24"/>
          <w:u w:val="none" w:color="auto"/>
          <w:lang w:val="en-US" w:eastAsia="zh-CN"/>
        </w:rPr>
        <w:t>吨，经计算，</w:t>
      </w:r>
      <w:r>
        <w:rPr>
          <w:rFonts w:hint="eastAsia" w:ascii="Times New Roman" w:hAnsi="Times New Roman" w:eastAsia="宋体" w:cs="Times New Roman"/>
          <w:color w:val="auto"/>
          <w:spacing w:val="11"/>
          <w:sz w:val="24"/>
          <w:szCs w:val="24"/>
          <w:u w:val="none" w:color="auto"/>
          <w:lang w:val="en-US" w:eastAsia="zh-CN"/>
        </w:rPr>
        <w:t>铸造浇筑废气</w:t>
      </w:r>
      <w:r>
        <w:rPr>
          <w:rFonts w:hint="default" w:ascii="Times New Roman" w:hAnsi="Times New Roman" w:eastAsia="宋体" w:cs="Times New Roman"/>
          <w:color w:val="auto"/>
          <w:spacing w:val="11"/>
          <w:sz w:val="24"/>
          <w:szCs w:val="24"/>
          <w:u w:val="none" w:color="auto"/>
          <w:lang w:val="en-US" w:eastAsia="zh-CN"/>
        </w:rPr>
        <w:t>颗粒物产生量为</w:t>
      </w:r>
      <w:r>
        <w:rPr>
          <w:rFonts w:hint="eastAsia" w:ascii="Times New Roman" w:hAnsi="Times New Roman" w:eastAsia="宋体" w:cs="Times New Roman"/>
          <w:color w:val="auto"/>
          <w:spacing w:val="11"/>
          <w:sz w:val="24"/>
          <w:szCs w:val="24"/>
          <w:u w:val="none" w:color="auto"/>
          <w:lang w:val="en-US" w:eastAsia="zh-CN"/>
        </w:rPr>
        <w:t>2.67</w:t>
      </w:r>
      <w:r>
        <w:rPr>
          <w:rFonts w:hint="default" w:ascii="Times New Roman" w:hAnsi="Times New Roman" w:eastAsia="宋体" w:cs="Times New Roman"/>
          <w:color w:val="auto"/>
          <w:spacing w:val="11"/>
          <w:sz w:val="24"/>
          <w:szCs w:val="24"/>
          <w:u w:val="none" w:color="auto"/>
          <w:lang w:val="en-US" w:eastAsia="zh-CN"/>
        </w:rPr>
        <w:t>t/a</w:t>
      </w:r>
      <w:r>
        <w:rPr>
          <w:rFonts w:hint="eastAsia" w:ascii="Times New Roman" w:hAnsi="Times New Roman" w:eastAsia="宋体" w:cs="Times New Roman"/>
          <w:color w:val="auto"/>
          <w:spacing w:val="11"/>
          <w:sz w:val="24"/>
          <w:szCs w:val="24"/>
          <w:u w:val="none" w:color="auto"/>
          <w:lang w:val="en-US" w:eastAsia="zh-CN"/>
        </w:rPr>
        <w:t>。</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524" w:firstLineChars="200"/>
        <w:textAlignment w:val="auto"/>
        <w:rPr>
          <w:rFonts w:hint="default" w:ascii="Times New Roman" w:hAnsi="Times New Roman" w:eastAsia="宋体" w:cs="Times New Roman"/>
          <w:color w:val="auto"/>
          <w:spacing w:val="11"/>
          <w:sz w:val="24"/>
          <w:szCs w:val="24"/>
          <w:u w:val="none" w:color="auto"/>
          <w:lang w:val="en-US" w:eastAsia="zh-CN"/>
        </w:rPr>
      </w:pPr>
      <w:r>
        <w:rPr>
          <w:rFonts w:hint="eastAsia" w:ascii="Times New Roman" w:hAnsi="Times New Roman" w:eastAsia="宋体" w:cs="Times New Roman"/>
          <w:color w:val="auto"/>
          <w:spacing w:val="11"/>
          <w:sz w:val="24"/>
          <w:szCs w:val="24"/>
          <w:u w:val="none" w:color="auto"/>
          <w:lang w:val="en-US" w:eastAsia="zh-CN"/>
        </w:rPr>
        <w:t>熔炼废气与浇筑废气分别通过集气罩收集后一同经过</w:t>
      </w:r>
      <w:r>
        <w:rPr>
          <w:rFonts w:hint="eastAsia" w:ascii="Times New Roman" w:hAnsi="Times New Roman" w:eastAsia="宋体" w:cs="Times New Roman"/>
          <w:color w:val="auto"/>
          <w:spacing w:val="11"/>
          <w:sz w:val="24"/>
          <w:szCs w:val="24"/>
          <w:u w:val="none" w:color="auto"/>
          <w:lang w:eastAsia="zh-CN"/>
        </w:rPr>
        <w:t>袋式除尘＋喷淋塔处理后通过</w:t>
      </w:r>
      <w:r>
        <w:rPr>
          <w:rFonts w:hint="eastAsia" w:ascii="Times New Roman" w:hAnsi="Times New Roman" w:eastAsia="宋体" w:cs="Times New Roman"/>
          <w:color w:val="auto"/>
          <w:spacing w:val="11"/>
          <w:sz w:val="24"/>
          <w:szCs w:val="24"/>
          <w:u w:val="none" w:color="auto"/>
          <w:lang w:val="en-US" w:eastAsia="zh-CN"/>
        </w:rPr>
        <w:t>20m排气筒排放，熔炼废气与浇筑废气颗粒物产生量合计219.32t/a，</w:t>
      </w:r>
      <w:r>
        <w:rPr>
          <w:rFonts w:hint="eastAsia" w:ascii="Times New Roman" w:hAnsi="Times New Roman" w:eastAsia="宋体" w:cs="Times New Roman"/>
          <w:color w:val="auto"/>
          <w:sz w:val="24"/>
          <w:szCs w:val="24"/>
          <w:u w:val="none" w:color="auto"/>
          <w:lang w:val="en-US" w:eastAsia="zh-CN"/>
        </w:rPr>
        <w:t>HCl产生量为6t/a。参考《关于指导大气污染治理项目入库工作的通知》（广东省环境厅粤环办〔2021〕92号），本项目熔炼废气采用密闭负压抽气，</w:t>
      </w:r>
      <w:r>
        <w:rPr>
          <w:rFonts w:hint="eastAsia" w:ascii="Times New Roman" w:hAnsi="Times New Roman" w:eastAsia="宋体" w:cs="Times New Roman"/>
          <w:color w:val="auto"/>
          <w:spacing w:val="11"/>
          <w:sz w:val="24"/>
          <w:szCs w:val="24"/>
          <w:u w:val="none" w:color="auto"/>
          <w:lang w:val="en-US" w:eastAsia="zh-CN"/>
        </w:rPr>
        <w:t>收集效率按照95%计算，铸造废气收集效率按40%计算，则本项目熔炼和浇筑废气颗粒物有组织产生量207.39t/a，氯化氢有组织产生量为5.7t/a，通过</w:t>
      </w:r>
      <w:r>
        <w:rPr>
          <w:rFonts w:hint="default" w:ascii="Times New Roman" w:hAnsi="Times New Roman" w:eastAsia="宋体" w:cs="Times New Roman"/>
          <w:color w:val="auto"/>
          <w:spacing w:val="11"/>
          <w:sz w:val="24"/>
          <w:szCs w:val="24"/>
          <w:u w:val="none" w:color="auto"/>
          <w:lang w:eastAsia="zh-CN"/>
        </w:rPr>
        <w:t>布袋除尘器+碱液喷淋塔(湿法除尘)两级措施可使得颗粒物处理效率达到99%</w:t>
      </w:r>
      <w:r>
        <w:rPr>
          <w:rFonts w:hint="eastAsia" w:ascii="Times New Roman" w:hAnsi="Times New Roman" w:eastAsia="宋体" w:cs="Times New Roman"/>
          <w:color w:val="auto"/>
          <w:spacing w:val="11"/>
          <w:sz w:val="24"/>
          <w:szCs w:val="24"/>
          <w:u w:val="none" w:color="auto"/>
          <w:lang w:eastAsia="zh-CN"/>
        </w:rPr>
        <w:t>以上，</w:t>
      </w:r>
      <w:r>
        <w:rPr>
          <w:rFonts w:hint="eastAsia" w:ascii="Times New Roman" w:hAnsi="Times New Roman" w:eastAsia="宋体" w:cs="Times New Roman"/>
          <w:color w:val="auto"/>
          <w:spacing w:val="11"/>
          <w:sz w:val="24"/>
          <w:szCs w:val="24"/>
          <w:u w:val="none" w:color="auto"/>
          <w:lang w:val="en-US" w:eastAsia="zh-CN"/>
        </w:rPr>
        <w:t>HCl处理效率为85%</w:t>
      </w:r>
      <w:r>
        <w:rPr>
          <w:rFonts w:hint="default" w:ascii="Times New Roman" w:hAnsi="Times New Roman" w:eastAsia="宋体" w:cs="Times New Roman"/>
          <w:color w:val="auto"/>
          <w:spacing w:val="11"/>
          <w:sz w:val="24"/>
          <w:szCs w:val="24"/>
          <w:u w:val="none" w:color="auto"/>
          <w:lang w:eastAsia="zh-CN"/>
        </w:rPr>
        <w:t>以上，则颗粒物有组织排放量为</w:t>
      </w:r>
      <w:r>
        <w:rPr>
          <w:rFonts w:hint="eastAsia" w:ascii="Times New Roman" w:hAnsi="Times New Roman" w:eastAsia="宋体" w:cs="Times New Roman"/>
          <w:color w:val="auto"/>
          <w:spacing w:val="11"/>
          <w:sz w:val="24"/>
          <w:szCs w:val="24"/>
          <w:u w:val="none" w:color="auto"/>
          <w:lang w:val="en-US" w:eastAsia="zh-CN"/>
        </w:rPr>
        <w:t>2.07</w:t>
      </w:r>
      <w:r>
        <w:rPr>
          <w:rFonts w:hint="default" w:ascii="Times New Roman" w:hAnsi="Times New Roman" w:eastAsia="宋体" w:cs="Times New Roman"/>
          <w:color w:val="auto"/>
          <w:spacing w:val="11"/>
          <w:sz w:val="24"/>
          <w:szCs w:val="24"/>
          <w:u w:val="none" w:color="auto"/>
          <w:lang w:eastAsia="zh-CN"/>
        </w:rPr>
        <w:t>t/a，排放速率</w:t>
      </w:r>
      <w:r>
        <w:rPr>
          <w:rFonts w:hint="eastAsia" w:ascii="Times New Roman" w:hAnsi="Times New Roman" w:eastAsia="宋体" w:cs="Times New Roman"/>
          <w:color w:val="auto"/>
          <w:spacing w:val="11"/>
          <w:sz w:val="24"/>
          <w:szCs w:val="24"/>
          <w:u w:val="none" w:color="auto"/>
          <w:lang w:val="en-US" w:eastAsia="zh-CN"/>
        </w:rPr>
        <w:t>0.287</w:t>
      </w:r>
      <w:r>
        <w:rPr>
          <w:rFonts w:hint="default" w:ascii="Times New Roman" w:hAnsi="Times New Roman" w:eastAsia="宋体" w:cs="Times New Roman"/>
          <w:color w:val="auto"/>
          <w:spacing w:val="11"/>
          <w:sz w:val="24"/>
          <w:szCs w:val="24"/>
          <w:u w:val="none" w:color="auto"/>
          <w:lang w:eastAsia="zh-CN"/>
        </w:rPr>
        <w:t>kg/h，排放浓度为</w:t>
      </w:r>
      <w:r>
        <w:rPr>
          <w:rFonts w:hint="eastAsia" w:ascii="Times New Roman" w:hAnsi="Times New Roman" w:eastAsia="宋体" w:cs="Times New Roman"/>
          <w:color w:val="auto"/>
          <w:spacing w:val="11"/>
          <w:sz w:val="24"/>
          <w:szCs w:val="24"/>
          <w:u w:val="none" w:color="auto"/>
          <w:lang w:val="en-US" w:eastAsia="zh-CN"/>
        </w:rPr>
        <w:t>9.58</w:t>
      </w:r>
      <w:r>
        <w:rPr>
          <w:rFonts w:hint="default" w:ascii="Times New Roman" w:hAnsi="Times New Roman" w:eastAsia="宋体" w:cs="Times New Roman"/>
          <w:color w:val="auto"/>
          <w:spacing w:val="11"/>
          <w:sz w:val="24"/>
          <w:szCs w:val="24"/>
          <w:u w:val="none" w:color="auto"/>
          <w:lang w:eastAsia="zh-CN"/>
        </w:rPr>
        <w:t>mg/m</w:t>
      </w:r>
      <w:r>
        <w:rPr>
          <w:rFonts w:hint="eastAsia" w:ascii="Times New Roman" w:hAnsi="Times New Roman" w:eastAsia="宋体" w:cs="Times New Roman"/>
          <w:color w:val="auto"/>
          <w:spacing w:val="11"/>
          <w:sz w:val="24"/>
          <w:szCs w:val="24"/>
          <w:u w:val="none" w:color="auto"/>
          <w:vertAlign w:val="superscript"/>
          <w:lang w:val="en-US" w:eastAsia="zh-CN"/>
        </w:rPr>
        <w:t>3</w:t>
      </w:r>
      <w:r>
        <w:rPr>
          <w:rFonts w:hint="default" w:ascii="Times New Roman" w:hAnsi="Times New Roman" w:eastAsia="宋体" w:cs="Times New Roman"/>
          <w:color w:val="auto"/>
          <w:spacing w:val="11"/>
          <w:sz w:val="24"/>
          <w:szCs w:val="24"/>
          <w:u w:val="none" w:color="auto"/>
          <w:lang w:eastAsia="zh-CN"/>
        </w:rPr>
        <w:t>。</w:t>
      </w:r>
      <w:r>
        <w:rPr>
          <w:rFonts w:hint="eastAsia" w:ascii="Times New Roman" w:hAnsi="Times New Roman" w:eastAsia="宋体" w:cs="Times New Roman"/>
          <w:color w:val="auto"/>
          <w:spacing w:val="11"/>
          <w:sz w:val="24"/>
          <w:szCs w:val="24"/>
          <w:u w:val="none" w:color="auto"/>
          <w:lang w:val="en-US" w:eastAsia="zh-CN"/>
        </w:rPr>
        <w:t>HCl</w:t>
      </w:r>
      <w:r>
        <w:rPr>
          <w:rFonts w:hint="default" w:ascii="Times New Roman" w:hAnsi="Times New Roman" w:eastAsia="宋体" w:cs="Times New Roman"/>
          <w:color w:val="auto"/>
          <w:spacing w:val="11"/>
          <w:sz w:val="24"/>
          <w:szCs w:val="24"/>
          <w:u w:val="none" w:color="auto"/>
          <w:lang w:eastAsia="zh-CN"/>
        </w:rPr>
        <w:t>有组织排放量为</w:t>
      </w:r>
      <w:r>
        <w:rPr>
          <w:rFonts w:hint="eastAsia" w:ascii="Times New Roman" w:hAnsi="Times New Roman" w:eastAsia="宋体" w:cs="Times New Roman"/>
          <w:color w:val="auto"/>
          <w:spacing w:val="11"/>
          <w:sz w:val="24"/>
          <w:szCs w:val="24"/>
          <w:u w:val="none" w:color="auto"/>
          <w:lang w:val="en-US" w:eastAsia="zh-CN"/>
        </w:rPr>
        <w:t>0.86</w:t>
      </w:r>
      <w:r>
        <w:rPr>
          <w:rFonts w:hint="default" w:ascii="Times New Roman" w:hAnsi="Times New Roman" w:eastAsia="宋体" w:cs="Times New Roman"/>
          <w:color w:val="auto"/>
          <w:spacing w:val="11"/>
          <w:sz w:val="24"/>
          <w:szCs w:val="24"/>
          <w:u w:val="none" w:color="auto"/>
          <w:lang w:eastAsia="zh-CN"/>
        </w:rPr>
        <w:t>t/a，排放速率</w:t>
      </w:r>
      <w:r>
        <w:rPr>
          <w:rFonts w:hint="eastAsia" w:ascii="Times New Roman" w:hAnsi="Times New Roman" w:eastAsia="宋体" w:cs="Times New Roman"/>
          <w:color w:val="auto"/>
          <w:spacing w:val="11"/>
          <w:sz w:val="24"/>
          <w:szCs w:val="24"/>
          <w:u w:val="none" w:color="auto"/>
          <w:lang w:val="en-US" w:eastAsia="zh-CN"/>
        </w:rPr>
        <w:t>0.119</w:t>
      </w:r>
      <w:r>
        <w:rPr>
          <w:rFonts w:hint="default" w:ascii="Times New Roman" w:hAnsi="Times New Roman" w:eastAsia="宋体" w:cs="Times New Roman"/>
          <w:color w:val="auto"/>
          <w:spacing w:val="11"/>
          <w:sz w:val="24"/>
          <w:szCs w:val="24"/>
          <w:u w:val="none" w:color="auto"/>
          <w:lang w:eastAsia="zh-CN"/>
        </w:rPr>
        <w:t>kg/h，排放浓度为</w:t>
      </w:r>
      <w:r>
        <w:rPr>
          <w:rFonts w:hint="eastAsia" w:ascii="Times New Roman" w:hAnsi="Times New Roman" w:eastAsia="宋体" w:cs="Times New Roman"/>
          <w:color w:val="auto"/>
          <w:spacing w:val="11"/>
          <w:sz w:val="24"/>
          <w:szCs w:val="24"/>
          <w:u w:val="none" w:color="auto"/>
          <w:lang w:val="en-US" w:eastAsia="zh-CN"/>
        </w:rPr>
        <w:t>3.98</w:t>
      </w:r>
      <w:r>
        <w:rPr>
          <w:rFonts w:hint="default" w:ascii="Times New Roman" w:hAnsi="Times New Roman" w:eastAsia="宋体" w:cs="Times New Roman"/>
          <w:color w:val="auto"/>
          <w:spacing w:val="11"/>
          <w:sz w:val="24"/>
          <w:szCs w:val="24"/>
          <w:u w:val="none" w:color="auto"/>
          <w:lang w:eastAsia="zh-CN"/>
        </w:rPr>
        <w:t>mg/m</w:t>
      </w:r>
      <w:r>
        <w:rPr>
          <w:rFonts w:hint="eastAsia" w:ascii="Times New Roman" w:hAnsi="Times New Roman" w:eastAsia="宋体" w:cs="Times New Roman"/>
          <w:color w:val="auto"/>
          <w:spacing w:val="11"/>
          <w:sz w:val="24"/>
          <w:szCs w:val="24"/>
          <w:u w:val="none" w:color="auto"/>
          <w:vertAlign w:val="superscript"/>
          <w:lang w:val="en-US" w:eastAsia="zh-CN"/>
        </w:rPr>
        <w:t>3</w:t>
      </w:r>
      <w:r>
        <w:rPr>
          <w:rFonts w:hint="eastAsia" w:ascii="Times New Roman" w:hAnsi="Times New Roman" w:eastAsia="宋体" w:cs="Times New Roman"/>
          <w:color w:val="auto"/>
          <w:spacing w:val="11"/>
          <w:sz w:val="24"/>
          <w:szCs w:val="24"/>
          <w:u w:val="none" w:color="auto"/>
          <w:lang w:eastAsia="zh-CN"/>
        </w:rPr>
        <w:t>。</w:t>
      </w:r>
      <w:r>
        <w:rPr>
          <w:rFonts w:hint="default" w:ascii="Times New Roman" w:hAnsi="Times New Roman" w:eastAsia="宋体" w:cs="Times New Roman"/>
          <w:color w:val="auto"/>
          <w:spacing w:val="11"/>
          <w:sz w:val="24"/>
          <w:szCs w:val="24"/>
          <w:u w:val="none" w:color="auto"/>
          <w:lang w:eastAsia="zh-CN"/>
        </w:rPr>
        <w:t>颗粒物</w:t>
      </w:r>
      <w:r>
        <w:rPr>
          <w:rFonts w:hint="eastAsia" w:ascii="Times New Roman" w:hAnsi="Times New Roman" w:eastAsia="宋体" w:cs="Times New Roman"/>
          <w:color w:val="auto"/>
          <w:spacing w:val="11"/>
          <w:sz w:val="24"/>
          <w:szCs w:val="24"/>
          <w:u w:val="none" w:color="auto"/>
          <w:lang w:eastAsia="zh-CN"/>
        </w:rPr>
        <w:t>无组织排放量为</w:t>
      </w:r>
      <w:r>
        <w:rPr>
          <w:rFonts w:hint="eastAsia" w:ascii="Times New Roman" w:hAnsi="Times New Roman" w:eastAsia="宋体" w:cs="Times New Roman"/>
          <w:color w:val="auto"/>
          <w:spacing w:val="11"/>
          <w:sz w:val="24"/>
          <w:szCs w:val="24"/>
          <w:u w:val="none" w:color="auto"/>
          <w:lang w:val="en-US" w:eastAsia="zh-CN"/>
        </w:rPr>
        <w:t>11.93t/a，HCl</w:t>
      </w:r>
      <w:r>
        <w:rPr>
          <w:rFonts w:hint="eastAsia" w:ascii="Times New Roman" w:hAnsi="Times New Roman" w:eastAsia="宋体" w:cs="Times New Roman"/>
          <w:color w:val="auto"/>
          <w:spacing w:val="11"/>
          <w:sz w:val="24"/>
          <w:szCs w:val="24"/>
          <w:u w:val="none" w:color="auto"/>
          <w:lang w:eastAsia="zh-CN"/>
        </w:rPr>
        <w:t>无组织排放量为</w:t>
      </w:r>
      <w:r>
        <w:rPr>
          <w:rFonts w:hint="eastAsia" w:ascii="Times New Roman" w:hAnsi="Times New Roman" w:eastAsia="宋体" w:cs="Times New Roman"/>
          <w:color w:val="auto"/>
          <w:spacing w:val="11"/>
          <w:sz w:val="24"/>
          <w:szCs w:val="24"/>
          <w:u w:val="none" w:color="auto"/>
          <w:lang w:val="en-US" w:eastAsia="zh-CN"/>
        </w:rPr>
        <w:t>0.3t/a。</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2" w:firstLineChars="200"/>
        <w:textAlignment w:val="auto"/>
        <w:outlineLvl w:val="2"/>
        <w:rPr>
          <w:rFonts w:hint="default" w:ascii="Times New Roman" w:hAnsi="Times New Roman" w:eastAsia="宋体" w:cs="Times New Roman"/>
          <w:color w:val="auto"/>
          <w:spacing w:val="3"/>
          <w:sz w:val="24"/>
          <w:szCs w:val="24"/>
          <w:u w:val="none" w:color="auto"/>
          <w:lang w:val="en-US" w:eastAsia="zh-CN"/>
        </w:rPr>
      </w:pPr>
      <w:bookmarkStart w:id="145" w:name="_Toc14073"/>
      <w:r>
        <w:rPr>
          <w:rFonts w:hint="eastAsia" w:ascii="Times New Roman" w:hAnsi="Times New Roman" w:eastAsia="宋体" w:cs="Times New Roman"/>
          <w:color w:val="auto"/>
          <w:spacing w:val="3"/>
          <w:sz w:val="24"/>
          <w:szCs w:val="24"/>
          <w:u w:val="none" w:color="auto"/>
          <w:lang w:val="en-US" w:eastAsia="zh-CN"/>
        </w:rPr>
        <w:t>（2）</w:t>
      </w:r>
      <w:r>
        <w:rPr>
          <w:rFonts w:hint="default" w:ascii="Times New Roman" w:hAnsi="Times New Roman" w:eastAsia="宋体" w:cs="Times New Roman"/>
          <w:color w:val="auto"/>
          <w:spacing w:val="3"/>
          <w:sz w:val="24"/>
          <w:szCs w:val="24"/>
          <w:u w:val="none" w:color="auto"/>
          <w:lang w:val="en-US" w:eastAsia="zh-CN"/>
        </w:rPr>
        <w:t>天然气燃烧废气</w:t>
      </w:r>
      <w:bookmarkEnd w:id="145"/>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88" w:firstLineChars="200"/>
        <w:textAlignment w:val="auto"/>
        <w:rPr>
          <w:rFonts w:hint="default" w:ascii="Times New Roman" w:hAnsi="Times New Roman" w:eastAsia="宋体" w:cs="Times New Roman"/>
          <w:color w:val="auto"/>
          <w:spacing w:val="3"/>
          <w:sz w:val="24"/>
          <w:szCs w:val="24"/>
          <w:u w:val="none" w:color="auto"/>
        </w:rPr>
      </w:pPr>
      <w:r>
        <w:rPr>
          <w:rFonts w:hint="eastAsia" w:ascii="Times New Roman" w:hAnsi="Times New Roman" w:eastAsia="宋体" w:cs="Times New Roman"/>
          <w:color w:val="auto"/>
          <w:spacing w:val="2"/>
          <w:sz w:val="24"/>
          <w:szCs w:val="24"/>
          <w:u w:val="none" w:color="auto"/>
          <w:lang w:eastAsia="zh-CN"/>
        </w:rPr>
        <w:t>加热模具炉采用天然气燃料，</w:t>
      </w:r>
      <w:r>
        <w:rPr>
          <w:rFonts w:hint="default" w:ascii="Times New Roman" w:hAnsi="Times New Roman" w:eastAsia="宋体" w:cs="Times New Roman"/>
          <w:color w:val="auto"/>
          <w:spacing w:val="3"/>
          <w:sz w:val="24"/>
          <w:szCs w:val="24"/>
          <w:u w:val="none" w:color="auto"/>
        </w:rPr>
        <w:t>天然气燃烧</w:t>
      </w:r>
      <w:r>
        <w:rPr>
          <w:rFonts w:hint="eastAsia" w:ascii="Times New Roman" w:hAnsi="Times New Roman" w:eastAsia="宋体" w:cs="Times New Roman"/>
          <w:color w:val="auto"/>
          <w:spacing w:val="3"/>
          <w:sz w:val="24"/>
          <w:szCs w:val="24"/>
          <w:u w:val="none" w:color="auto"/>
          <w:lang w:eastAsia="zh-CN"/>
        </w:rPr>
        <w:t>废气</w:t>
      </w:r>
      <w:r>
        <w:rPr>
          <w:rFonts w:hint="default" w:ascii="Times New Roman" w:hAnsi="Times New Roman" w:eastAsia="宋体" w:cs="Times New Roman"/>
          <w:color w:val="auto"/>
          <w:spacing w:val="7"/>
          <w:sz w:val="24"/>
          <w:szCs w:val="24"/>
          <w:u w:val="none" w:color="auto"/>
        </w:rPr>
        <w:t>采用产污系数法核算</w:t>
      </w:r>
      <w:r>
        <w:rPr>
          <w:rFonts w:hint="eastAsia" w:ascii="Times New Roman" w:hAnsi="Times New Roman" w:eastAsia="宋体" w:cs="Times New Roman"/>
          <w:color w:val="auto"/>
          <w:spacing w:val="3"/>
          <w:sz w:val="24"/>
          <w:szCs w:val="24"/>
          <w:u w:val="none" w:color="auto"/>
          <w:lang w:eastAsia="zh-CN"/>
        </w:rPr>
        <w:t>，</w:t>
      </w:r>
      <w:r>
        <w:rPr>
          <w:rFonts w:hint="default" w:ascii="Times New Roman" w:hAnsi="Times New Roman" w:eastAsia="宋体" w:cs="Times New Roman"/>
          <w:color w:val="auto"/>
          <w:spacing w:val="3"/>
          <w:sz w:val="24"/>
          <w:szCs w:val="24"/>
          <w:u w:val="none" w:color="auto"/>
        </w:rPr>
        <w:t>参照《排放源统计调查产排污核算方法和系数手册》(生态环境部2021.6.11)中机械行业系数手册表14天然气工业炉窑的产污系数</w:t>
      </w:r>
      <w:r>
        <w:rPr>
          <w:rFonts w:hint="eastAsia" w:ascii="Times New Roman" w:hAnsi="Times New Roman" w:eastAsia="宋体" w:cs="Times New Roman"/>
          <w:color w:val="auto"/>
          <w:spacing w:val="3"/>
          <w:sz w:val="24"/>
          <w:szCs w:val="24"/>
          <w:u w:val="none" w:color="auto"/>
          <w:lang w:eastAsia="zh-CN"/>
        </w:rPr>
        <w:t>，见下表</w:t>
      </w:r>
      <w:r>
        <w:rPr>
          <w:rFonts w:hint="default" w:ascii="Times New Roman" w:hAnsi="Times New Roman" w:eastAsia="宋体" w:cs="Times New Roman"/>
          <w:color w:val="auto"/>
          <w:spacing w:val="3"/>
          <w:sz w:val="24"/>
          <w:szCs w:val="24"/>
          <w:u w:val="none" w:color="auto"/>
        </w:rPr>
        <w:t>：</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4" w:firstLineChars="20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pacing w:val="3"/>
          <w:sz w:val="24"/>
          <w:szCs w:val="24"/>
          <w:u w:val="none" w:color="auto"/>
          <w:lang w:val="en-US" w:eastAsia="zh-CN"/>
        </w:rPr>
        <w:t>表</w:t>
      </w:r>
      <w:r>
        <w:rPr>
          <w:rFonts w:hint="eastAsia" w:ascii="Times New Roman" w:hAnsi="Times New Roman" w:eastAsia="宋体" w:cs="Times New Roman"/>
          <w:b/>
          <w:bCs/>
          <w:color w:val="auto"/>
          <w:spacing w:val="3"/>
          <w:sz w:val="24"/>
          <w:szCs w:val="24"/>
          <w:u w:val="none" w:color="auto"/>
          <w:lang w:val="en-US" w:eastAsia="zh-CN"/>
        </w:rPr>
        <w:t>3.6-4</w:t>
      </w:r>
      <w:r>
        <w:rPr>
          <w:rFonts w:hint="default" w:ascii="Times New Roman" w:hAnsi="Times New Roman" w:eastAsia="宋体" w:cs="Times New Roman"/>
          <w:b/>
          <w:bCs/>
          <w:color w:val="auto"/>
          <w:spacing w:val="3"/>
          <w:sz w:val="24"/>
          <w:szCs w:val="24"/>
          <w:u w:val="none" w:color="auto"/>
          <w:lang w:val="en-US" w:eastAsia="zh-CN"/>
        </w:rPr>
        <w:t>机械行业系数手册(表14天然气工业炉窑)</w:t>
      </w:r>
    </w:p>
    <w:tbl>
      <w:tblPr>
        <w:tblStyle w:val="204"/>
        <w:tblW w:w="8525"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0"/>
        <w:gridCol w:w="943"/>
        <w:gridCol w:w="791"/>
        <w:gridCol w:w="1271"/>
        <w:gridCol w:w="1272"/>
        <w:gridCol w:w="1110"/>
        <w:gridCol w:w="1182"/>
        <w:gridCol w:w="11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0"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原料</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名称</w:t>
            </w:r>
          </w:p>
        </w:tc>
        <w:tc>
          <w:tcPr>
            <w:tcW w:w="943"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工艺名称</w:t>
            </w:r>
          </w:p>
        </w:tc>
        <w:tc>
          <w:tcPr>
            <w:tcW w:w="79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规模</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等级</w:t>
            </w:r>
          </w:p>
        </w:tc>
        <w:tc>
          <w:tcPr>
            <w:tcW w:w="127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污染物指标</w:t>
            </w:r>
          </w:p>
        </w:tc>
        <w:tc>
          <w:tcPr>
            <w:tcW w:w="127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单位</w:t>
            </w:r>
          </w:p>
        </w:tc>
        <w:tc>
          <w:tcPr>
            <w:tcW w:w="1110"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产污系数</w:t>
            </w:r>
          </w:p>
        </w:tc>
        <w:tc>
          <w:tcPr>
            <w:tcW w:w="118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末端治理技术名称</w:t>
            </w:r>
          </w:p>
        </w:tc>
        <w:tc>
          <w:tcPr>
            <w:tcW w:w="1136"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末端治理</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技术效率</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0" w:type="dxa"/>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position w:val="4"/>
                <w:sz w:val="21"/>
                <w:szCs w:val="21"/>
                <w:u w:val="none" w:color="auto"/>
              </w:rPr>
              <w:t>天</w:t>
            </w:r>
            <w:r>
              <w:rPr>
                <w:rFonts w:hint="default" w:ascii="Times New Roman" w:hAnsi="Times New Roman" w:eastAsia="宋体" w:cs="Times New Roman"/>
                <w:color w:val="auto"/>
                <w:spacing w:val="2"/>
                <w:position w:val="4"/>
                <w:sz w:val="21"/>
                <w:szCs w:val="21"/>
                <w:u w:val="none" w:color="auto"/>
              </w:rPr>
              <w:t>然</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气</w:t>
            </w:r>
          </w:p>
        </w:tc>
        <w:tc>
          <w:tcPr>
            <w:tcW w:w="943" w:type="dxa"/>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天</w:t>
            </w:r>
            <w:r>
              <w:rPr>
                <w:rFonts w:hint="default" w:ascii="Times New Roman" w:hAnsi="Times New Roman" w:eastAsia="宋体" w:cs="Times New Roman"/>
                <w:color w:val="auto"/>
                <w:spacing w:val="5"/>
                <w:sz w:val="21"/>
                <w:szCs w:val="21"/>
                <w:u w:val="none" w:color="auto"/>
              </w:rPr>
              <w:t>然气</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工业炉</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窑</w:t>
            </w:r>
          </w:p>
        </w:tc>
        <w:tc>
          <w:tcPr>
            <w:tcW w:w="791" w:type="dxa"/>
            <w:vMerge w:val="restart"/>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position w:val="4"/>
                <w:sz w:val="21"/>
                <w:szCs w:val="21"/>
                <w:u w:val="none" w:color="auto"/>
              </w:rPr>
              <w:t>所</w:t>
            </w:r>
            <w:r>
              <w:rPr>
                <w:rFonts w:hint="default" w:ascii="Times New Roman" w:hAnsi="Times New Roman" w:eastAsia="宋体" w:cs="Times New Roman"/>
                <w:color w:val="auto"/>
                <w:spacing w:val="4"/>
                <w:position w:val="4"/>
                <w:sz w:val="21"/>
                <w:szCs w:val="21"/>
                <w:u w:val="none" w:color="auto"/>
              </w:rPr>
              <w:t>有</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规模</w:t>
            </w:r>
          </w:p>
        </w:tc>
        <w:tc>
          <w:tcPr>
            <w:tcW w:w="127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颗粒物</w:t>
            </w:r>
          </w:p>
        </w:tc>
        <w:tc>
          <w:tcPr>
            <w:tcW w:w="127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千</w:t>
            </w:r>
            <w:r>
              <w:rPr>
                <w:rFonts w:hint="default" w:ascii="Times New Roman" w:hAnsi="Times New Roman" w:eastAsia="宋体" w:cs="Times New Roman"/>
                <w:color w:val="auto"/>
                <w:spacing w:val="6"/>
                <w:sz w:val="21"/>
                <w:szCs w:val="21"/>
                <w:u w:val="none" w:color="auto"/>
              </w:rPr>
              <w:t>克/</w:t>
            </w:r>
            <w:r>
              <w:rPr>
                <w:rFonts w:hint="default" w:ascii="Times New Roman" w:hAnsi="Times New Roman" w:eastAsia="宋体" w:cs="Times New Roman"/>
                <w:color w:val="auto"/>
                <w:sz w:val="21"/>
                <w:szCs w:val="21"/>
                <w:u w:val="none" w:color="auto"/>
              </w:rPr>
              <w:t>m</w:t>
            </w:r>
            <w:r>
              <w:rPr>
                <w:rFonts w:hint="eastAsia"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pacing w:val="6"/>
                <w:sz w:val="21"/>
                <w:szCs w:val="21"/>
                <w:u w:val="none" w:color="auto"/>
              </w:rPr>
              <w:t>-原</w:t>
            </w:r>
            <w:r>
              <w:rPr>
                <w:rFonts w:hint="default" w:ascii="Times New Roman" w:hAnsi="Times New Roman" w:eastAsia="宋体" w:cs="Times New Roman"/>
                <w:color w:val="auto"/>
                <w:sz w:val="21"/>
                <w:szCs w:val="21"/>
                <w:u w:val="none" w:color="auto"/>
              </w:rPr>
              <w:t>料</w:t>
            </w:r>
          </w:p>
        </w:tc>
        <w:tc>
          <w:tcPr>
            <w:tcW w:w="1110"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0.000286</w:t>
            </w:r>
          </w:p>
        </w:tc>
        <w:tc>
          <w:tcPr>
            <w:tcW w:w="118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直排</w:t>
            </w:r>
          </w:p>
        </w:tc>
        <w:tc>
          <w:tcPr>
            <w:tcW w:w="1136"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0" w:type="dxa"/>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943" w:type="dxa"/>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91" w:type="dxa"/>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u w:val="none" w:color="auto"/>
              </w:rPr>
            </w:pPr>
          </w:p>
        </w:tc>
        <w:tc>
          <w:tcPr>
            <w:tcW w:w="127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eastAsia" w:ascii="Times New Roman" w:hAnsi="Times New Roman" w:eastAsia="宋体" w:cs="Times New Roman"/>
                <w:color w:val="auto"/>
                <w:spacing w:val="8"/>
                <w:sz w:val="21"/>
                <w:szCs w:val="21"/>
                <w:u w:val="none" w:color="auto"/>
                <w:lang w:eastAsia="zh-CN"/>
              </w:rPr>
            </w:pPr>
            <w:r>
              <w:rPr>
                <w:rFonts w:hint="eastAsia" w:ascii="Times New Roman" w:hAnsi="Times New Roman" w:eastAsia="宋体" w:cs="Times New Roman"/>
                <w:color w:val="auto"/>
                <w:spacing w:val="8"/>
                <w:sz w:val="21"/>
                <w:szCs w:val="21"/>
                <w:u w:val="none" w:color="auto"/>
                <w:lang w:eastAsia="zh-CN"/>
              </w:rPr>
              <w:t>二氧化硫</w:t>
            </w:r>
          </w:p>
        </w:tc>
        <w:tc>
          <w:tcPr>
            <w:tcW w:w="127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rPr>
            </w:pPr>
            <w:r>
              <w:rPr>
                <w:rFonts w:hint="default" w:ascii="Times New Roman" w:hAnsi="Times New Roman" w:eastAsia="宋体" w:cs="Times New Roman"/>
                <w:color w:val="auto"/>
                <w:spacing w:val="8"/>
                <w:sz w:val="21"/>
                <w:szCs w:val="21"/>
                <w:u w:val="none" w:color="auto"/>
              </w:rPr>
              <w:t>千</w:t>
            </w:r>
            <w:r>
              <w:rPr>
                <w:rFonts w:hint="default" w:ascii="Times New Roman" w:hAnsi="Times New Roman" w:eastAsia="宋体" w:cs="Times New Roman"/>
                <w:color w:val="auto"/>
                <w:spacing w:val="6"/>
                <w:sz w:val="21"/>
                <w:szCs w:val="21"/>
                <w:u w:val="none" w:color="auto"/>
              </w:rPr>
              <w:t>克/</w:t>
            </w:r>
            <w:r>
              <w:rPr>
                <w:rFonts w:hint="default" w:ascii="Times New Roman" w:hAnsi="Times New Roman" w:eastAsia="宋体" w:cs="Times New Roman"/>
                <w:color w:val="auto"/>
                <w:sz w:val="21"/>
                <w:szCs w:val="21"/>
                <w:u w:val="none" w:color="auto"/>
              </w:rPr>
              <w:t>m</w:t>
            </w:r>
            <w:r>
              <w:rPr>
                <w:rFonts w:hint="eastAsia"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pacing w:val="6"/>
                <w:sz w:val="21"/>
                <w:szCs w:val="21"/>
                <w:u w:val="none" w:color="auto"/>
              </w:rPr>
              <w:t>-原</w:t>
            </w:r>
            <w:r>
              <w:rPr>
                <w:rFonts w:hint="default" w:ascii="Times New Roman" w:hAnsi="Times New Roman" w:eastAsia="宋体" w:cs="Times New Roman"/>
                <w:color w:val="auto"/>
                <w:sz w:val="21"/>
                <w:szCs w:val="21"/>
                <w:u w:val="none" w:color="auto"/>
              </w:rPr>
              <w:t>料</w:t>
            </w:r>
          </w:p>
        </w:tc>
        <w:tc>
          <w:tcPr>
            <w:tcW w:w="1110"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0.000002S</w:t>
            </w:r>
          </w:p>
        </w:tc>
        <w:tc>
          <w:tcPr>
            <w:tcW w:w="118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12"/>
                <w:sz w:val="21"/>
                <w:szCs w:val="21"/>
                <w:u w:val="none" w:color="auto"/>
              </w:rPr>
            </w:pPr>
            <w:r>
              <w:rPr>
                <w:rFonts w:hint="default" w:ascii="Times New Roman" w:hAnsi="Times New Roman" w:eastAsia="宋体" w:cs="Times New Roman"/>
                <w:color w:val="auto"/>
                <w:sz w:val="21"/>
                <w:szCs w:val="21"/>
                <w:u w:val="none" w:color="auto"/>
                <w:lang w:eastAsia="zh-CN"/>
              </w:rPr>
              <w:t>直排</w:t>
            </w:r>
          </w:p>
        </w:tc>
        <w:tc>
          <w:tcPr>
            <w:tcW w:w="1136"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0" w:type="dxa"/>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943" w:type="dxa"/>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791" w:type="dxa"/>
            <w:vMerge w:val="continue"/>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u w:val="none" w:color="auto"/>
              </w:rPr>
            </w:pPr>
          </w:p>
        </w:tc>
        <w:tc>
          <w:tcPr>
            <w:tcW w:w="127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8"/>
                <w:sz w:val="21"/>
                <w:szCs w:val="21"/>
                <w:u w:val="none" w:color="auto"/>
              </w:rPr>
              <w:t>氮氧化</w:t>
            </w:r>
            <w:r>
              <w:rPr>
                <w:rFonts w:hint="default" w:ascii="Times New Roman" w:hAnsi="Times New Roman" w:eastAsia="宋体" w:cs="Times New Roman"/>
                <w:color w:val="auto"/>
                <w:spacing w:val="7"/>
                <w:sz w:val="21"/>
                <w:szCs w:val="21"/>
                <w:u w:val="none" w:color="auto"/>
              </w:rPr>
              <w:t>物</w:t>
            </w:r>
          </w:p>
        </w:tc>
        <w:tc>
          <w:tcPr>
            <w:tcW w:w="127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8"/>
                <w:sz w:val="21"/>
                <w:szCs w:val="21"/>
                <w:u w:val="none" w:color="auto"/>
              </w:rPr>
              <w:t>千</w:t>
            </w:r>
            <w:r>
              <w:rPr>
                <w:rFonts w:hint="default" w:ascii="Times New Roman" w:hAnsi="Times New Roman" w:eastAsia="宋体" w:cs="Times New Roman"/>
                <w:color w:val="auto"/>
                <w:spacing w:val="6"/>
                <w:sz w:val="21"/>
                <w:szCs w:val="21"/>
                <w:u w:val="none" w:color="auto"/>
              </w:rPr>
              <w:t>克/</w:t>
            </w:r>
            <w:r>
              <w:rPr>
                <w:rFonts w:hint="default" w:ascii="Times New Roman" w:hAnsi="Times New Roman" w:eastAsia="宋体" w:cs="Times New Roman"/>
                <w:color w:val="auto"/>
                <w:sz w:val="21"/>
                <w:szCs w:val="21"/>
                <w:u w:val="none" w:color="auto"/>
              </w:rPr>
              <w:t>m</w:t>
            </w:r>
            <w:r>
              <w:rPr>
                <w:rFonts w:hint="eastAsia"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pacing w:val="6"/>
                <w:sz w:val="21"/>
                <w:szCs w:val="21"/>
                <w:u w:val="none" w:color="auto"/>
              </w:rPr>
              <w:t>-原</w:t>
            </w:r>
            <w:r>
              <w:rPr>
                <w:rFonts w:hint="default" w:ascii="Times New Roman" w:hAnsi="Times New Roman" w:eastAsia="宋体" w:cs="Times New Roman"/>
                <w:color w:val="auto"/>
                <w:sz w:val="21"/>
                <w:szCs w:val="21"/>
                <w:u w:val="none" w:color="auto"/>
              </w:rPr>
              <w:t>料</w:t>
            </w:r>
          </w:p>
        </w:tc>
        <w:tc>
          <w:tcPr>
            <w:tcW w:w="1110"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6"/>
                <w:sz w:val="21"/>
                <w:szCs w:val="21"/>
                <w:u w:val="none" w:color="auto"/>
              </w:rPr>
              <w:t>0</w:t>
            </w:r>
            <w:r>
              <w:rPr>
                <w:rFonts w:hint="default" w:ascii="Times New Roman" w:hAnsi="Times New Roman" w:eastAsia="宋体" w:cs="Times New Roman"/>
                <w:color w:val="auto"/>
                <w:spacing w:val="4"/>
                <w:sz w:val="21"/>
                <w:szCs w:val="21"/>
                <w:u w:val="none" w:color="auto"/>
              </w:rPr>
              <w:t>.</w:t>
            </w:r>
            <w:r>
              <w:rPr>
                <w:rFonts w:hint="default" w:ascii="Times New Roman" w:hAnsi="Times New Roman" w:eastAsia="宋体" w:cs="Times New Roman"/>
                <w:color w:val="auto"/>
                <w:spacing w:val="3"/>
                <w:sz w:val="21"/>
                <w:szCs w:val="21"/>
                <w:u w:val="none" w:color="auto"/>
              </w:rPr>
              <w:t>00187</w:t>
            </w:r>
          </w:p>
        </w:tc>
        <w:tc>
          <w:tcPr>
            <w:tcW w:w="118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
              </w:rPr>
              <w:t>低氮燃烧法</w:t>
            </w:r>
          </w:p>
        </w:tc>
        <w:tc>
          <w:tcPr>
            <w:tcW w:w="1136"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50</w:t>
            </w:r>
          </w:p>
        </w:tc>
      </w:tr>
    </w:tbl>
    <w:p>
      <w:pPr>
        <w:pageBreakBefore w:val="0"/>
        <w:kinsoku/>
        <w:wordWrap/>
        <w:overflowPunct w:val="0"/>
        <w:topLinePunct/>
        <w:autoSpaceDE w:val="0"/>
        <w:autoSpaceDN w:val="0"/>
        <w:bidi w:val="0"/>
        <w:spacing w:before="127" w:line="375" w:lineRule="auto"/>
        <w:ind w:left="27" w:right="80" w:firstLine="476"/>
        <w:rPr>
          <w:rFonts w:ascii="宋体" w:hAnsi="宋体" w:eastAsia="宋体" w:cs="宋体"/>
          <w:color w:val="auto"/>
          <w:sz w:val="24"/>
          <w:szCs w:val="24"/>
          <w:u w:val="none" w:color="auto"/>
        </w:rPr>
      </w:pPr>
      <w:r>
        <w:rPr>
          <w:rFonts w:ascii="宋体" w:hAnsi="宋体" w:eastAsia="宋体" w:cs="宋体"/>
          <w:color w:val="auto"/>
          <w:spacing w:val="4"/>
          <w:sz w:val="24"/>
          <w:szCs w:val="24"/>
          <w:u w:val="none" w:color="auto"/>
        </w:rPr>
        <w:t>根据《</w:t>
      </w:r>
      <w:r>
        <w:rPr>
          <w:rFonts w:ascii="宋体" w:hAnsi="宋体" w:eastAsia="宋体" w:cs="宋体"/>
          <w:color w:val="auto"/>
          <w:spacing w:val="2"/>
          <w:sz w:val="24"/>
          <w:szCs w:val="24"/>
          <w:u w:val="none" w:color="auto"/>
        </w:rPr>
        <w:t>天然气》(</w:t>
      </w:r>
      <w:r>
        <w:rPr>
          <w:rFonts w:ascii="Times New Roman" w:hAnsi="Times New Roman" w:eastAsia="Times New Roman" w:cs="Times New Roman"/>
          <w:color w:val="auto"/>
          <w:sz w:val="24"/>
          <w:szCs w:val="24"/>
          <w:u w:val="none" w:color="auto"/>
        </w:rPr>
        <w:t>GB</w:t>
      </w:r>
      <w:r>
        <w:rPr>
          <w:rFonts w:ascii="Times New Roman" w:hAnsi="Times New Roman" w:eastAsia="Times New Roman" w:cs="Times New Roman"/>
          <w:color w:val="auto"/>
          <w:spacing w:val="2"/>
          <w:sz w:val="24"/>
          <w:szCs w:val="24"/>
          <w:u w:val="none" w:color="auto"/>
        </w:rPr>
        <w:t>17820-2018</w:t>
      </w:r>
      <w:r>
        <w:rPr>
          <w:rFonts w:ascii="宋体" w:hAnsi="宋体" w:eastAsia="宋体" w:cs="宋体"/>
          <w:color w:val="auto"/>
          <w:spacing w:val="2"/>
          <w:sz w:val="24"/>
          <w:szCs w:val="24"/>
          <w:u w:val="none" w:color="auto"/>
        </w:rPr>
        <w:t>)，天然气二类气总硫含量</w:t>
      </w:r>
      <w:r>
        <w:rPr>
          <w:rFonts w:ascii="Times New Roman" w:hAnsi="Times New Roman" w:eastAsia="Times New Roman" w:cs="Times New Roman"/>
          <w:color w:val="auto"/>
          <w:spacing w:val="2"/>
          <w:sz w:val="24"/>
          <w:szCs w:val="24"/>
          <w:u w:val="none" w:color="auto"/>
        </w:rPr>
        <w:t>≤100</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2"/>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ascii="宋体" w:hAnsi="宋体" w:eastAsia="宋体" w:cs="宋体"/>
          <w:color w:val="auto"/>
          <w:spacing w:val="2"/>
          <w:sz w:val="24"/>
          <w:szCs w:val="24"/>
          <w:u w:val="none" w:color="auto"/>
        </w:rPr>
        <w:t>，本</w:t>
      </w:r>
      <w:r>
        <w:rPr>
          <w:rFonts w:ascii="宋体" w:hAnsi="宋体" w:eastAsia="宋体" w:cs="宋体"/>
          <w:color w:val="auto"/>
          <w:spacing w:val="8"/>
          <w:sz w:val="24"/>
          <w:szCs w:val="24"/>
          <w:u w:val="none" w:color="auto"/>
        </w:rPr>
        <w:t>项目</w:t>
      </w:r>
      <w:r>
        <w:rPr>
          <w:rFonts w:ascii="宋体" w:hAnsi="宋体" w:eastAsia="宋体" w:cs="宋体"/>
          <w:color w:val="auto"/>
          <w:spacing w:val="6"/>
          <w:sz w:val="24"/>
          <w:szCs w:val="24"/>
          <w:u w:val="none" w:color="auto"/>
        </w:rPr>
        <w:t>天</w:t>
      </w:r>
      <w:r>
        <w:rPr>
          <w:rFonts w:ascii="宋体" w:hAnsi="宋体" w:eastAsia="宋体" w:cs="宋体"/>
          <w:color w:val="auto"/>
          <w:spacing w:val="4"/>
          <w:sz w:val="24"/>
          <w:szCs w:val="24"/>
          <w:u w:val="none" w:color="auto"/>
        </w:rPr>
        <w:t>然气含硫量取上限</w:t>
      </w:r>
      <w:r>
        <w:rPr>
          <w:rFonts w:ascii="Times New Roman" w:hAnsi="Times New Roman" w:eastAsia="Times New Roman" w:cs="Times New Roman"/>
          <w:color w:val="auto"/>
          <w:spacing w:val="4"/>
          <w:sz w:val="24"/>
          <w:szCs w:val="24"/>
          <w:u w:val="none" w:color="auto"/>
        </w:rPr>
        <w:t>100</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ascii="宋体" w:hAnsi="宋体" w:eastAsia="宋体" w:cs="宋体"/>
          <w:color w:val="auto"/>
          <w:spacing w:val="4"/>
          <w:sz w:val="24"/>
          <w:szCs w:val="24"/>
          <w:u w:val="none" w:color="auto"/>
        </w:rPr>
        <w:t>。</w:t>
      </w:r>
    </w:p>
    <w:p>
      <w:pPr>
        <w:pageBreakBefore w:val="0"/>
        <w:kinsoku/>
        <w:wordWrap/>
        <w:overflowPunct w:val="0"/>
        <w:topLinePunct/>
        <w:autoSpaceDE w:val="0"/>
        <w:autoSpaceDN w:val="0"/>
        <w:bidi w:val="0"/>
        <w:spacing w:before="2" w:line="383" w:lineRule="auto"/>
        <w:ind w:left="137" w:right="122" w:firstLine="479"/>
        <w:rPr>
          <w:rFonts w:hint="default" w:ascii="Times New Roman" w:hAnsi="Times New Roman" w:eastAsia="宋体" w:cs="Times New Roman"/>
          <w:color w:val="auto"/>
          <w:spacing w:val="-1"/>
          <w:sz w:val="24"/>
          <w:szCs w:val="24"/>
          <w:u w:val="none" w:color="auto"/>
        </w:rPr>
      </w:pPr>
      <w:r>
        <w:rPr>
          <w:rFonts w:hint="default" w:ascii="Times New Roman" w:hAnsi="Times New Roman" w:eastAsia="宋体" w:cs="Times New Roman"/>
          <w:color w:val="auto"/>
          <w:spacing w:val="2"/>
          <w:sz w:val="24"/>
          <w:szCs w:val="24"/>
          <w:u w:val="none" w:color="auto"/>
        </w:rPr>
        <w:t>本项目</w:t>
      </w:r>
      <w:r>
        <w:rPr>
          <w:rFonts w:hint="eastAsia" w:ascii="Times New Roman" w:hAnsi="Times New Roman" w:eastAsia="宋体" w:cs="Times New Roman"/>
          <w:color w:val="auto"/>
          <w:spacing w:val="2"/>
          <w:sz w:val="24"/>
          <w:szCs w:val="24"/>
          <w:u w:val="none" w:color="auto"/>
          <w:lang w:eastAsia="zh-CN"/>
        </w:rPr>
        <w:t>加热模具炉</w:t>
      </w:r>
      <w:r>
        <w:rPr>
          <w:rFonts w:hint="default" w:ascii="Times New Roman" w:hAnsi="Times New Roman" w:eastAsia="宋体" w:cs="Times New Roman"/>
          <w:color w:val="auto"/>
          <w:spacing w:val="2"/>
          <w:sz w:val="24"/>
          <w:szCs w:val="24"/>
          <w:u w:val="none" w:color="auto"/>
        </w:rPr>
        <w:t>天然气用量约为</w:t>
      </w:r>
      <w:r>
        <w:rPr>
          <w:rFonts w:hint="eastAsia" w:ascii="Times New Roman" w:hAnsi="Times New Roman" w:eastAsia="宋体" w:cs="Times New Roman"/>
          <w:color w:val="auto"/>
          <w:spacing w:val="2"/>
          <w:sz w:val="24"/>
          <w:szCs w:val="24"/>
          <w:u w:val="none" w:color="auto"/>
          <w:lang w:val="en-US" w:eastAsia="zh-CN"/>
        </w:rPr>
        <w:t>77.76</w:t>
      </w:r>
      <w:r>
        <w:rPr>
          <w:rFonts w:hint="default" w:ascii="Times New Roman" w:hAnsi="Times New Roman" w:eastAsia="宋体" w:cs="Times New Roman"/>
          <w:color w:val="auto"/>
          <w:spacing w:val="-2"/>
          <w:sz w:val="24"/>
          <w:szCs w:val="24"/>
          <w:u w:val="none" w:color="auto"/>
        </w:rPr>
        <w:t>万</w:t>
      </w:r>
      <w:r>
        <w:rPr>
          <w:rFonts w:hint="default" w:ascii="Times New Roman" w:hAnsi="Times New Roman" w:eastAsia="宋体" w:cs="Times New Roman"/>
          <w:color w:val="auto"/>
          <w:spacing w:val="-1"/>
          <w:sz w:val="24"/>
          <w:szCs w:val="24"/>
          <w:u w:val="none" w:color="auto"/>
        </w:rPr>
        <w:t>m</w:t>
      </w:r>
      <w:r>
        <w:rPr>
          <w:rFonts w:hint="eastAsia" w:ascii="Times New Roman" w:hAnsi="Times New Roman" w:eastAsia="宋体" w:cs="Times New Roman"/>
          <w:color w:val="auto"/>
          <w:spacing w:val="-1"/>
          <w:sz w:val="24"/>
          <w:szCs w:val="24"/>
          <w:u w:val="none" w:color="auto"/>
          <w:vertAlign w:val="superscript"/>
          <w:lang w:val="en-US" w:eastAsia="zh-CN"/>
        </w:rPr>
        <w:t>3</w:t>
      </w:r>
      <w:r>
        <w:rPr>
          <w:rFonts w:hint="default" w:ascii="Times New Roman" w:hAnsi="Times New Roman" w:eastAsia="宋体" w:cs="Times New Roman"/>
          <w:color w:val="auto"/>
          <w:spacing w:val="-2"/>
          <w:sz w:val="24"/>
          <w:szCs w:val="24"/>
          <w:u w:val="none" w:color="auto"/>
        </w:rPr>
        <w:t>/</w:t>
      </w:r>
      <w:r>
        <w:rPr>
          <w:rFonts w:hint="default" w:ascii="Times New Roman" w:hAnsi="Times New Roman" w:eastAsia="宋体" w:cs="Times New Roman"/>
          <w:color w:val="auto"/>
          <w:spacing w:val="-1"/>
          <w:sz w:val="24"/>
          <w:szCs w:val="24"/>
          <w:u w:val="none" w:color="auto"/>
        </w:rPr>
        <w:t>a</w:t>
      </w:r>
      <w:r>
        <w:rPr>
          <w:rFonts w:hint="default" w:ascii="Times New Roman" w:hAnsi="Times New Roman" w:eastAsia="宋体" w:cs="Times New Roman"/>
          <w:color w:val="auto"/>
          <w:spacing w:val="-2"/>
          <w:sz w:val="24"/>
          <w:szCs w:val="24"/>
          <w:u w:val="none" w:color="auto"/>
        </w:rPr>
        <w:t>，</w:t>
      </w:r>
      <w:r>
        <w:rPr>
          <w:rFonts w:hint="eastAsia" w:ascii="Times New Roman" w:hAnsi="Times New Roman" w:eastAsia="宋体" w:cs="Times New Roman"/>
          <w:color w:val="auto"/>
          <w:spacing w:val="-2"/>
          <w:sz w:val="24"/>
          <w:szCs w:val="24"/>
          <w:u w:val="none" w:color="auto"/>
          <w:lang w:eastAsia="zh-CN"/>
        </w:rPr>
        <w:t>采用低氮燃烧法，</w:t>
      </w:r>
      <w:r>
        <w:rPr>
          <w:rFonts w:hint="eastAsia" w:ascii="Times New Roman" w:hAnsi="Times New Roman" w:eastAsia="宋体" w:cs="Times New Roman"/>
          <w:color w:val="auto"/>
          <w:spacing w:val="-1"/>
          <w:sz w:val="24"/>
          <w:szCs w:val="24"/>
          <w:u w:val="none" w:color="auto"/>
          <w:lang w:val="en-US" w:eastAsia="zh-CN"/>
        </w:rPr>
        <w:t>废气量为8000</w:t>
      </w:r>
      <w:r>
        <w:rPr>
          <w:rFonts w:hint="default" w:ascii="Times New Roman" w:hAnsi="Times New Roman" w:eastAsia="宋体"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vertAlign w:val="baseline"/>
          <w:lang w:val="en-US" w:eastAsia="zh-CN"/>
        </w:rPr>
        <w:t>/h。</w:t>
      </w:r>
      <w:r>
        <w:rPr>
          <w:rFonts w:hint="default" w:ascii="Times New Roman" w:hAnsi="Times New Roman" w:eastAsia="宋体" w:cs="Times New Roman"/>
          <w:color w:val="auto"/>
          <w:spacing w:val="2"/>
          <w:sz w:val="24"/>
          <w:szCs w:val="24"/>
          <w:u w:val="none" w:color="auto"/>
        </w:rPr>
        <w:t>燃烧</w:t>
      </w:r>
      <w:r>
        <w:rPr>
          <w:rFonts w:hint="eastAsia" w:ascii="Times New Roman" w:hAnsi="Times New Roman" w:eastAsia="宋体" w:cs="Times New Roman"/>
          <w:color w:val="auto"/>
          <w:spacing w:val="2"/>
          <w:sz w:val="24"/>
          <w:szCs w:val="24"/>
          <w:u w:val="none" w:color="auto"/>
          <w:lang w:eastAsia="zh-CN"/>
        </w:rPr>
        <w:t>废气颗粒物产生量为</w:t>
      </w:r>
      <w:r>
        <w:rPr>
          <w:rFonts w:hint="eastAsia" w:ascii="Times New Roman" w:hAnsi="Times New Roman" w:eastAsia="宋体" w:cs="Times New Roman"/>
          <w:color w:val="auto"/>
          <w:spacing w:val="-1"/>
          <w:sz w:val="24"/>
          <w:szCs w:val="24"/>
          <w:u w:val="none" w:color="auto"/>
          <w:lang w:val="en-US" w:eastAsia="zh-CN"/>
        </w:rPr>
        <w:t>0.22</w:t>
      </w:r>
      <w:r>
        <w:rPr>
          <w:rFonts w:hint="default" w:ascii="Times New Roman" w:hAnsi="Times New Roman" w:eastAsia="宋体" w:cs="Times New Roman"/>
          <w:color w:val="auto"/>
          <w:spacing w:val="-1"/>
          <w:sz w:val="24"/>
          <w:szCs w:val="24"/>
          <w:u w:val="none" w:color="auto"/>
        </w:rPr>
        <w:t>t/a</w:t>
      </w:r>
      <w:r>
        <w:rPr>
          <w:rFonts w:hint="eastAsia" w:ascii="Times New Roman" w:hAnsi="Times New Roman" w:eastAsia="宋体" w:cs="Times New Roman"/>
          <w:color w:val="auto"/>
          <w:spacing w:val="-1"/>
          <w:sz w:val="24"/>
          <w:szCs w:val="24"/>
          <w:u w:val="none" w:color="auto"/>
          <w:lang w:eastAsia="zh-CN"/>
        </w:rPr>
        <w:t>，产生浓度</w:t>
      </w:r>
      <w:r>
        <w:rPr>
          <w:rFonts w:hint="eastAsia" w:ascii="Times New Roman" w:hAnsi="Times New Roman" w:eastAsia="宋体" w:cs="Times New Roman"/>
          <w:color w:val="auto"/>
          <w:spacing w:val="-1"/>
          <w:sz w:val="24"/>
          <w:szCs w:val="24"/>
          <w:u w:val="none" w:color="auto"/>
          <w:lang w:val="en-US" w:eastAsia="zh-CN"/>
        </w:rPr>
        <w:t>3.82</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pacing w:val="8"/>
          <w:sz w:val="24"/>
          <w:szCs w:val="24"/>
          <w:u w:val="none" w:color="auto"/>
          <w:lang w:eastAsia="zh-CN"/>
        </w:rPr>
        <w:t>二氧化硫</w:t>
      </w:r>
      <w:r>
        <w:rPr>
          <w:rFonts w:hint="eastAsia" w:ascii="Times New Roman" w:hAnsi="Times New Roman" w:eastAsia="宋体" w:cs="Times New Roman"/>
          <w:color w:val="auto"/>
          <w:spacing w:val="2"/>
          <w:sz w:val="24"/>
          <w:szCs w:val="24"/>
          <w:u w:val="none" w:color="auto"/>
          <w:lang w:eastAsia="zh-CN"/>
        </w:rPr>
        <w:t>产生量为</w:t>
      </w:r>
      <w:r>
        <w:rPr>
          <w:rFonts w:hint="eastAsia" w:ascii="Times New Roman" w:hAnsi="Times New Roman" w:eastAsia="宋体" w:cs="Times New Roman"/>
          <w:color w:val="auto"/>
          <w:spacing w:val="-1"/>
          <w:sz w:val="24"/>
          <w:szCs w:val="24"/>
          <w:u w:val="none" w:color="auto"/>
          <w:lang w:val="en-US" w:eastAsia="zh-CN"/>
        </w:rPr>
        <w:t>0.16</w:t>
      </w:r>
      <w:r>
        <w:rPr>
          <w:rFonts w:hint="default" w:ascii="Times New Roman" w:hAnsi="Times New Roman" w:eastAsia="宋体" w:cs="Times New Roman"/>
          <w:color w:val="auto"/>
          <w:spacing w:val="-1"/>
          <w:sz w:val="24"/>
          <w:szCs w:val="24"/>
          <w:u w:val="none" w:color="auto"/>
        </w:rPr>
        <w:t>t/a</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pacing w:val="8"/>
          <w:sz w:val="24"/>
          <w:szCs w:val="24"/>
          <w:u w:val="none" w:color="auto"/>
          <w:lang w:eastAsia="zh-CN"/>
        </w:rPr>
        <w:t>二氧化硫</w:t>
      </w:r>
      <w:r>
        <w:rPr>
          <w:rFonts w:hint="eastAsia" w:ascii="Times New Roman" w:hAnsi="Times New Roman" w:eastAsia="宋体" w:cs="Times New Roman"/>
          <w:color w:val="auto"/>
          <w:spacing w:val="2"/>
          <w:sz w:val="24"/>
          <w:szCs w:val="24"/>
          <w:u w:val="none" w:color="auto"/>
          <w:lang w:eastAsia="zh-CN"/>
        </w:rPr>
        <w:t>产生浓度为</w:t>
      </w:r>
      <w:r>
        <w:rPr>
          <w:rFonts w:hint="eastAsia" w:ascii="Times New Roman" w:hAnsi="Times New Roman" w:eastAsia="宋体" w:cs="Times New Roman"/>
          <w:color w:val="auto"/>
          <w:spacing w:val="-1"/>
          <w:sz w:val="24"/>
          <w:szCs w:val="24"/>
          <w:u w:val="none" w:color="auto"/>
          <w:lang w:val="en-US" w:eastAsia="zh-CN"/>
        </w:rPr>
        <w:t>2.69</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pacing w:val="8"/>
          <w:sz w:val="24"/>
          <w:szCs w:val="24"/>
          <w:u w:val="none" w:color="auto"/>
          <w:lang w:eastAsia="zh-CN"/>
        </w:rPr>
        <w:t>氮氧化物</w:t>
      </w:r>
      <w:r>
        <w:rPr>
          <w:rFonts w:hint="eastAsia" w:ascii="Times New Roman" w:hAnsi="Times New Roman" w:eastAsia="宋体" w:cs="Times New Roman"/>
          <w:color w:val="auto"/>
          <w:spacing w:val="2"/>
          <w:sz w:val="24"/>
          <w:szCs w:val="24"/>
          <w:u w:val="none" w:color="auto"/>
          <w:lang w:eastAsia="zh-CN"/>
        </w:rPr>
        <w:t>产生量为</w:t>
      </w:r>
      <w:r>
        <w:rPr>
          <w:rFonts w:hint="eastAsia" w:ascii="Times New Roman" w:hAnsi="Times New Roman" w:eastAsia="宋体" w:cs="Times New Roman"/>
          <w:color w:val="auto"/>
          <w:spacing w:val="-1"/>
          <w:sz w:val="24"/>
          <w:szCs w:val="24"/>
          <w:u w:val="none" w:color="auto"/>
          <w:lang w:val="en-US" w:eastAsia="zh-CN"/>
        </w:rPr>
        <w:t>1.45</w:t>
      </w:r>
      <w:r>
        <w:rPr>
          <w:rFonts w:hint="default" w:ascii="Times New Roman" w:hAnsi="Times New Roman" w:eastAsia="宋体" w:cs="Times New Roman"/>
          <w:color w:val="auto"/>
          <w:spacing w:val="-1"/>
          <w:sz w:val="24"/>
          <w:szCs w:val="24"/>
          <w:u w:val="none" w:color="auto"/>
        </w:rPr>
        <w:t>t/a</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pacing w:val="8"/>
          <w:sz w:val="24"/>
          <w:szCs w:val="24"/>
          <w:u w:val="none" w:color="auto"/>
          <w:lang w:eastAsia="zh-CN"/>
        </w:rPr>
        <w:t>氮氧化物</w:t>
      </w:r>
      <w:r>
        <w:rPr>
          <w:rFonts w:hint="eastAsia" w:ascii="Times New Roman" w:hAnsi="Times New Roman" w:eastAsia="宋体" w:cs="Times New Roman"/>
          <w:color w:val="auto"/>
          <w:spacing w:val="2"/>
          <w:sz w:val="24"/>
          <w:szCs w:val="24"/>
          <w:u w:val="none" w:color="auto"/>
          <w:lang w:eastAsia="zh-CN"/>
        </w:rPr>
        <w:t>产生浓度为</w:t>
      </w:r>
      <w:r>
        <w:rPr>
          <w:rFonts w:hint="eastAsia" w:ascii="Times New Roman" w:hAnsi="Times New Roman" w:eastAsia="宋体" w:cs="Times New Roman"/>
          <w:color w:val="auto"/>
          <w:spacing w:val="-1"/>
          <w:sz w:val="24"/>
          <w:szCs w:val="24"/>
          <w:u w:val="none" w:color="auto"/>
          <w:lang w:val="en-US" w:eastAsia="zh-CN"/>
        </w:rPr>
        <w:t>12.59</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pacing w:val="-1"/>
          <w:sz w:val="24"/>
          <w:szCs w:val="24"/>
          <w:u w:val="none" w:color="auto"/>
          <w:lang w:eastAsia="zh-CN"/>
        </w:rPr>
        <w:t>烟气通过通过</w:t>
      </w:r>
      <w:r>
        <w:rPr>
          <w:rFonts w:hint="eastAsia" w:ascii="Times New Roman" w:hAnsi="Times New Roman" w:eastAsia="宋体" w:cs="Times New Roman"/>
          <w:color w:val="auto"/>
          <w:spacing w:val="-1"/>
          <w:sz w:val="24"/>
          <w:szCs w:val="24"/>
          <w:u w:val="none" w:color="auto"/>
          <w:lang w:val="en-US" w:eastAsia="zh-CN"/>
        </w:rPr>
        <w:t>25m排气筒外排。</w:t>
      </w:r>
      <w:r>
        <w:rPr>
          <w:rFonts w:hint="eastAsia" w:ascii="Times New Roman" w:hAnsi="Times New Roman" w:eastAsia="宋体" w:cs="Times New Roman"/>
          <w:color w:val="auto"/>
          <w:spacing w:val="2"/>
          <w:sz w:val="24"/>
          <w:szCs w:val="24"/>
          <w:u w:val="none" w:color="auto"/>
          <w:lang w:eastAsia="zh-CN"/>
        </w:rPr>
        <w:t>颗粒物排放浓度为</w:t>
      </w:r>
      <w:r>
        <w:rPr>
          <w:rFonts w:hint="eastAsia" w:ascii="Times New Roman" w:hAnsi="Times New Roman" w:eastAsia="宋体" w:cs="Times New Roman"/>
          <w:color w:val="auto"/>
          <w:spacing w:val="-1"/>
          <w:sz w:val="24"/>
          <w:szCs w:val="24"/>
          <w:u w:val="none" w:color="auto"/>
          <w:lang w:val="en-US" w:eastAsia="zh-CN"/>
        </w:rPr>
        <w:t>3.82</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pacing w:val="8"/>
          <w:sz w:val="24"/>
          <w:szCs w:val="24"/>
          <w:u w:val="none" w:color="auto"/>
          <w:lang w:eastAsia="zh-CN"/>
        </w:rPr>
        <w:t>二氧化硫</w:t>
      </w:r>
      <w:r>
        <w:rPr>
          <w:rFonts w:hint="eastAsia" w:ascii="Times New Roman" w:hAnsi="Times New Roman" w:eastAsia="宋体" w:cs="Times New Roman"/>
          <w:color w:val="auto"/>
          <w:spacing w:val="2"/>
          <w:sz w:val="24"/>
          <w:szCs w:val="24"/>
          <w:u w:val="none" w:color="auto"/>
          <w:lang w:eastAsia="zh-CN"/>
        </w:rPr>
        <w:t>排放浓度为</w:t>
      </w:r>
      <w:r>
        <w:rPr>
          <w:rFonts w:hint="eastAsia" w:ascii="Times New Roman" w:hAnsi="Times New Roman" w:eastAsia="宋体" w:cs="Times New Roman"/>
          <w:color w:val="auto"/>
          <w:spacing w:val="-1"/>
          <w:sz w:val="24"/>
          <w:szCs w:val="24"/>
          <w:u w:val="none" w:color="auto"/>
          <w:lang w:val="en-US" w:eastAsia="zh-CN"/>
        </w:rPr>
        <w:t>2.69</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pacing w:val="8"/>
          <w:sz w:val="24"/>
          <w:szCs w:val="24"/>
          <w:u w:val="none" w:color="auto"/>
          <w:lang w:eastAsia="zh-CN"/>
        </w:rPr>
        <w:t>氮氧化物</w:t>
      </w:r>
      <w:r>
        <w:rPr>
          <w:rFonts w:hint="eastAsia" w:ascii="Times New Roman" w:hAnsi="Times New Roman" w:eastAsia="宋体" w:cs="Times New Roman"/>
          <w:color w:val="auto"/>
          <w:spacing w:val="2"/>
          <w:sz w:val="24"/>
          <w:szCs w:val="24"/>
          <w:u w:val="none" w:color="auto"/>
          <w:lang w:eastAsia="zh-CN"/>
        </w:rPr>
        <w:t>排放浓度为</w:t>
      </w:r>
      <w:r>
        <w:rPr>
          <w:rFonts w:hint="eastAsia" w:ascii="Times New Roman" w:hAnsi="Times New Roman" w:eastAsia="宋体" w:cs="Times New Roman"/>
          <w:color w:val="auto"/>
          <w:spacing w:val="-1"/>
          <w:sz w:val="24"/>
          <w:szCs w:val="24"/>
          <w:u w:val="none" w:color="auto"/>
          <w:lang w:val="en-US" w:eastAsia="zh-CN"/>
        </w:rPr>
        <w:t>12.59</w:t>
      </w:r>
      <w:r>
        <w:rPr>
          <w:rFonts w:ascii="Times New Roman" w:hAnsi="Times New Roman" w:eastAsia="Times New Roman" w:cs="Times New Roman"/>
          <w:color w:val="auto"/>
          <w:sz w:val="24"/>
          <w:szCs w:val="24"/>
          <w:u w:val="none" w:color="auto"/>
        </w:rPr>
        <w:t>mg</w:t>
      </w:r>
      <w:r>
        <w:rPr>
          <w:rFonts w:ascii="Times New Roman" w:hAnsi="Times New Roman" w:eastAsia="Times New Roman" w:cs="Times New Roman"/>
          <w:color w:val="auto"/>
          <w:spacing w:val="4"/>
          <w:sz w:val="24"/>
          <w:szCs w:val="24"/>
          <w:u w:val="none" w:color="auto"/>
        </w:rPr>
        <w:t>/</w:t>
      </w:r>
      <w:r>
        <w:rPr>
          <w:rFonts w:ascii="Times New Roman" w:hAnsi="Times New Roman" w:eastAsia="Times New Roman" w:cs="Times New Roman"/>
          <w:color w:val="auto"/>
          <w:sz w:val="24"/>
          <w:szCs w:val="24"/>
          <w:u w:val="none" w:color="auto"/>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满足标准</w:t>
      </w:r>
      <w:r>
        <w:rPr>
          <w:rFonts w:hint="default" w:ascii="Times New Roman" w:hAnsi="Times New Roman" w:eastAsia="宋体" w:cs="Times New Roman"/>
          <w:color w:val="auto"/>
          <w:spacing w:val="-1"/>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8" w:firstLineChars="200"/>
        <w:textAlignment w:val="auto"/>
        <w:outlineLvl w:val="2"/>
        <w:rPr>
          <w:rFonts w:hint="default" w:ascii="Times New Roman" w:hAnsi="Times New Roman" w:eastAsia="宋体" w:cs="Times New Roman"/>
          <w:color w:val="auto"/>
          <w:spacing w:val="2"/>
          <w:sz w:val="24"/>
          <w:szCs w:val="24"/>
          <w:u w:val="none" w:color="auto"/>
          <w:lang w:eastAsia="zh-CN"/>
        </w:rPr>
      </w:pPr>
      <w:bookmarkStart w:id="146" w:name="_Toc2056"/>
      <w:r>
        <w:rPr>
          <w:rFonts w:hint="eastAsia" w:ascii="Times New Roman" w:hAnsi="Times New Roman" w:eastAsia="宋体" w:cs="Times New Roman"/>
          <w:color w:val="auto"/>
          <w:spacing w:val="2"/>
          <w:sz w:val="24"/>
          <w:szCs w:val="24"/>
          <w:u w:val="none" w:color="auto"/>
          <w:lang w:eastAsia="zh-CN"/>
        </w:rPr>
        <w:t>（</w:t>
      </w:r>
      <w:r>
        <w:rPr>
          <w:rFonts w:hint="eastAsia" w:ascii="Times New Roman" w:hAnsi="Times New Roman" w:eastAsia="宋体" w:cs="Times New Roman"/>
          <w:color w:val="auto"/>
          <w:spacing w:val="2"/>
          <w:sz w:val="24"/>
          <w:szCs w:val="24"/>
          <w:u w:val="none" w:color="auto"/>
          <w:lang w:val="en-US" w:eastAsia="zh-CN"/>
        </w:rPr>
        <w:t>3</w:t>
      </w:r>
      <w:r>
        <w:rPr>
          <w:rFonts w:hint="eastAsia" w:ascii="Times New Roman" w:hAnsi="Times New Roman" w:eastAsia="宋体" w:cs="Times New Roman"/>
          <w:color w:val="auto"/>
          <w:spacing w:val="2"/>
          <w:sz w:val="24"/>
          <w:szCs w:val="24"/>
          <w:u w:val="none" w:color="auto"/>
          <w:lang w:eastAsia="zh-CN"/>
        </w:rPr>
        <w:t>）</w:t>
      </w:r>
      <w:r>
        <w:rPr>
          <w:rFonts w:hint="default" w:ascii="Times New Roman" w:hAnsi="Times New Roman" w:eastAsia="宋体" w:cs="Times New Roman"/>
          <w:color w:val="auto"/>
          <w:spacing w:val="2"/>
          <w:sz w:val="24"/>
          <w:szCs w:val="24"/>
          <w:u w:val="none" w:color="auto"/>
          <w:lang w:eastAsia="zh-CN"/>
        </w:rPr>
        <w:t>镁板轧机废气</w:t>
      </w:r>
      <w:bookmarkEnd w:id="146"/>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板材车间配置1台四辊板材热温轧机，采用20~30%的聚乙二醇水溶液进行润滑，</w:t>
      </w:r>
      <w:r>
        <w:rPr>
          <w:rFonts w:hint="eastAsia" w:ascii="Times New Roman" w:hAnsi="Times New Roman" w:eastAsia="宋体" w:cs="Times New Roman"/>
          <w:color w:val="auto"/>
          <w:sz w:val="24"/>
          <w:szCs w:val="24"/>
          <w:u w:val="none" w:color="auto"/>
          <w:lang w:eastAsia="zh-CN"/>
        </w:rPr>
        <w:t>使用量较小</w:t>
      </w:r>
      <w:r>
        <w:rPr>
          <w:rFonts w:hint="eastAsia" w:ascii="Times New Roman" w:hAnsi="Times New Roman" w:eastAsia="宋体" w:cs="Times New Roman"/>
          <w:color w:val="auto"/>
          <w:sz w:val="24"/>
          <w:szCs w:val="24"/>
          <w:u w:val="none" w:color="auto"/>
          <w:lang w:val="en-US" w:eastAsia="zh-CN"/>
        </w:rPr>
        <w:t>1t/a，有机挥发组分（</w:t>
      </w:r>
      <w:r>
        <w:rPr>
          <w:rFonts w:hint="default" w:ascii="Times New Roman" w:hAnsi="Times New Roman" w:eastAsia="宋体" w:cs="Times New Roman"/>
          <w:color w:val="auto"/>
          <w:sz w:val="24"/>
          <w:szCs w:val="24"/>
          <w:u w:val="none" w:color="auto"/>
        </w:rPr>
        <w:t>聚乙二醇</w:t>
      </w:r>
      <w:r>
        <w:rPr>
          <w:rFonts w:hint="eastAsia" w:ascii="Times New Roman" w:hAnsi="Times New Roman" w:eastAsia="宋体" w:cs="Times New Roman"/>
          <w:color w:val="auto"/>
          <w:sz w:val="24"/>
          <w:szCs w:val="24"/>
          <w:u w:val="none" w:color="auto"/>
          <w:lang w:val="en-US" w:eastAsia="zh-CN"/>
        </w:rPr>
        <w:t>）约占30%，按全部挥发计算，VOCs产生量为0.3t/a，产生浓度10.42mg/m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rPr>
        <w:t>由集气罩收集</w:t>
      </w:r>
      <w:r>
        <w:rPr>
          <w:rFonts w:hint="eastAsia" w:ascii="Times New Roman" w:hAnsi="Times New Roman" w:eastAsia="宋体" w:cs="Times New Roman"/>
          <w:color w:val="auto"/>
          <w:sz w:val="24"/>
          <w:szCs w:val="24"/>
          <w:u w:val="none" w:color="auto"/>
          <w:lang w:eastAsia="zh-CN"/>
        </w:rPr>
        <w:t>经活性炭吸附后</w:t>
      </w:r>
      <w:r>
        <w:rPr>
          <w:rFonts w:hint="default" w:ascii="Times New Roman" w:hAnsi="Times New Roman" w:eastAsia="宋体" w:cs="Times New Roman"/>
          <w:color w:val="auto"/>
          <w:sz w:val="24"/>
          <w:szCs w:val="24"/>
          <w:u w:val="none" w:color="auto"/>
        </w:rPr>
        <w:t>由</w:t>
      </w:r>
      <w:r>
        <w:rPr>
          <w:rFonts w:hint="eastAsia" w:ascii="Times New Roman" w:hAnsi="Times New Roman" w:eastAsia="宋体" w:cs="Times New Roman"/>
          <w:color w:val="auto"/>
          <w:sz w:val="24"/>
          <w:szCs w:val="24"/>
          <w:u w:val="none" w:color="auto"/>
          <w:lang w:val="en-US" w:eastAsia="zh-CN"/>
        </w:rPr>
        <w:t>20</w:t>
      </w:r>
      <w:r>
        <w:rPr>
          <w:rFonts w:hint="default" w:ascii="Times New Roman" w:hAnsi="Times New Roman" w:eastAsia="宋体" w:cs="Times New Roman"/>
          <w:color w:val="auto"/>
          <w:sz w:val="24"/>
          <w:szCs w:val="24"/>
          <w:u w:val="none" w:color="auto"/>
        </w:rPr>
        <w:t>m高排气筒排放</w:t>
      </w:r>
      <w:r>
        <w:rPr>
          <w:rFonts w:hint="eastAsia" w:ascii="Times New Roman" w:hAnsi="Times New Roman" w:eastAsia="宋体" w:cs="Times New Roman"/>
          <w:color w:val="auto"/>
          <w:sz w:val="24"/>
          <w:szCs w:val="24"/>
          <w:u w:val="none" w:color="auto"/>
          <w:lang w:eastAsia="zh-CN"/>
        </w:rPr>
        <w:t>，收集效率按</w:t>
      </w:r>
      <w:r>
        <w:rPr>
          <w:rFonts w:hint="eastAsia" w:ascii="Times New Roman" w:hAnsi="Times New Roman" w:eastAsia="宋体" w:cs="Times New Roman"/>
          <w:color w:val="auto"/>
          <w:sz w:val="24"/>
          <w:szCs w:val="24"/>
          <w:u w:val="none" w:color="auto"/>
          <w:lang w:val="en-US" w:eastAsia="zh-CN"/>
        </w:rPr>
        <w:t>95%计，</w:t>
      </w:r>
      <w:r>
        <w:rPr>
          <w:rFonts w:hint="eastAsia" w:ascii="Times New Roman" w:hAnsi="Times New Roman" w:eastAsia="宋体" w:cs="Times New Roman"/>
          <w:color w:val="auto"/>
          <w:sz w:val="24"/>
          <w:szCs w:val="24"/>
          <w:u w:val="none" w:color="auto"/>
          <w:lang w:eastAsia="zh-CN"/>
        </w:rPr>
        <w:t>风机风量</w:t>
      </w:r>
      <w:r>
        <w:rPr>
          <w:rFonts w:hint="eastAsia" w:ascii="Times New Roman" w:hAnsi="Times New Roman" w:eastAsia="宋体" w:cs="Times New Roman"/>
          <w:color w:val="auto"/>
          <w:sz w:val="24"/>
          <w:szCs w:val="24"/>
          <w:u w:val="none" w:color="auto"/>
          <w:lang w:val="en-US" w:eastAsia="zh-CN"/>
        </w:rPr>
        <w:t>4000m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/h</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eastAsia="zh-CN"/>
        </w:rPr>
        <w:t>活性炭吸附处理效率按</w:t>
      </w:r>
      <w:r>
        <w:rPr>
          <w:rFonts w:hint="eastAsia" w:ascii="Times New Roman" w:hAnsi="Times New Roman" w:eastAsia="宋体" w:cs="Times New Roman"/>
          <w:color w:val="auto"/>
          <w:sz w:val="24"/>
          <w:szCs w:val="24"/>
          <w:u w:val="none" w:color="auto"/>
          <w:lang w:val="en-US" w:eastAsia="zh-CN"/>
        </w:rPr>
        <w:t>18%计算，VOCs排放量为0.23t/a，排放浓度为8.11mg/m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w:t>
      </w:r>
    </w:p>
    <w:p>
      <w:pPr>
        <w:pStyle w:val="58"/>
        <w:pageBreakBefore w:val="0"/>
        <w:kinsoku/>
        <w:wordWrap/>
        <w:overflowPunct w:val="0"/>
        <w:topLinePunct/>
        <w:autoSpaceDE w:val="0"/>
        <w:autoSpaceDN w:val="0"/>
        <w:bidi w:val="0"/>
        <w:spacing w:line="360" w:lineRule="auto"/>
        <w:outlineLvl w:val="2"/>
        <w:rPr>
          <w:rFonts w:hint="default" w:ascii="Times New Roman" w:hAnsi="Times New Roman" w:eastAsia="宋体" w:cs="Times New Roman"/>
          <w:color w:val="auto"/>
          <w:sz w:val="24"/>
          <w:szCs w:val="24"/>
          <w:u w:val="none" w:color="auto"/>
        </w:rPr>
      </w:pPr>
      <w:bookmarkStart w:id="147" w:name="_Toc32422"/>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4</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等离子喷涂粉尘</w:t>
      </w:r>
      <w:bookmarkEnd w:id="147"/>
    </w:p>
    <w:p>
      <w:pPr>
        <w:pStyle w:val="58"/>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项目使用喷涂原料为金属粉末，通过等离子喷涂设备进行金属制品表面喷涂，喷涂过程中会产生一部分颗粒物。</w:t>
      </w:r>
    </w:p>
    <w:p>
      <w:pPr>
        <w:keepNext w:val="0"/>
        <w:keepLines w:val="0"/>
        <w:pageBreakBefore w:val="0"/>
        <w:widowControl w:val="0"/>
        <w:tabs>
          <w:tab w:val="left" w:pos="257"/>
        </w:tabs>
        <w:kinsoku/>
        <w:wordWrap/>
        <w:overflowPunct w:val="0"/>
        <w:topLinePunct/>
        <w:autoSpaceDE w:val="0"/>
        <w:autoSpaceDN w:val="0"/>
        <w:bidi w:val="0"/>
        <w:adjustRightInd/>
        <w:snapToGrid/>
        <w:spacing w:line="360" w:lineRule="auto"/>
        <w:ind w:left="0" w:right="0" w:firstLine="494" w:firstLineChars="20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pacing w:val="3"/>
          <w:sz w:val="24"/>
          <w:szCs w:val="24"/>
          <w:u w:val="none" w:color="auto"/>
          <w:lang w:val="en-US" w:eastAsia="zh-CN"/>
        </w:rPr>
        <w:t>表</w:t>
      </w:r>
      <w:r>
        <w:rPr>
          <w:rFonts w:hint="eastAsia" w:ascii="Times New Roman" w:hAnsi="Times New Roman" w:eastAsia="宋体" w:cs="Times New Roman"/>
          <w:b/>
          <w:bCs/>
          <w:color w:val="auto"/>
          <w:spacing w:val="3"/>
          <w:sz w:val="24"/>
          <w:szCs w:val="24"/>
          <w:u w:val="none" w:color="auto"/>
          <w:lang w:val="en-US" w:eastAsia="zh-CN"/>
        </w:rPr>
        <w:t>3.6-5</w:t>
      </w:r>
      <w:r>
        <w:rPr>
          <w:rFonts w:hint="default" w:ascii="Times New Roman" w:hAnsi="Times New Roman" w:eastAsia="宋体" w:cs="Times New Roman"/>
          <w:b/>
          <w:bCs/>
          <w:color w:val="auto"/>
          <w:spacing w:val="3"/>
          <w:sz w:val="24"/>
          <w:szCs w:val="24"/>
          <w:u w:val="none" w:color="auto"/>
          <w:lang w:val="en-US" w:eastAsia="zh-CN"/>
        </w:rPr>
        <w:t>机械行业系数手册(表14</w:t>
      </w:r>
      <w:r>
        <w:rPr>
          <w:rFonts w:hint="eastAsia" w:ascii="Times New Roman" w:hAnsi="Times New Roman" w:eastAsia="宋体" w:cs="Times New Roman"/>
          <w:b/>
          <w:bCs/>
          <w:color w:val="auto"/>
          <w:spacing w:val="3"/>
          <w:sz w:val="24"/>
          <w:szCs w:val="24"/>
          <w:u w:val="none" w:color="auto"/>
          <w:lang w:val="en-US" w:eastAsia="zh-CN"/>
        </w:rPr>
        <w:t>涂装</w:t>
      </w:r>
      <w:r>
        <w:rPr>
          <w:rFonts w:hint="default" w:ascii="Times New Roman" w:hAnsi="Times New Roman" w:eastAsia="宋体" w:cs="Times New Roman"/>
          <w:b/>
          <w:bCs/>
          <w:color w:val="auto"/>
          <w:spacing w:val="3"/>
          <w:sz w:val="24"/>
          <w:szCs w:val="24"/>
          <w:u w:val="none" w:color="auto"/>
          <w:lang w:val="en-US" w:eastAsia="zh-CN"/>
        </w:rPr>
        <w:t>)</w:t>
      </w:r>
    </w:p>
    <w:tbl>
      <w:tblPr>
        <w:tblStyle w:val="204"/>
        <w:tblW w:w="8525"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0"/>
        <w:gridCol w:w="943"/>
        <w:gridCol w:w="791"/>
        <w:gridCol w:w="1271"/>
        <w:gridCol w:w="1272"/>
        <w:gridCol w:w="1110"/>
        <w:gridCol w:w="1182"/>
        <w:gridCol w:w="11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0"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原料</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名称</w:t>
            </w:r>
          </w:p>
        </w:tc>
        <w:tc>
          <w:tcPr>
            <w:tcW w:w="943"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工艺名称</w:t>
            </w:r>
          </w:p>
        </w:tc>
        <w:tc>
          <w:tcPr>
            <w:tcW w:w="79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规模</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等级</w:t>
            </w:r>
          </w:p>
        </w:tc>
        <w:tc>
          <w:tcPr>
            <w:tcW w:w="127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污染物指标</w:t>
            </w:r>
          </w:p>
        </w:tc>
        <w:tc>
          <w:tcPr>
            <w:tcW w:w="127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单位</w:t>
            </w:r>
          </w:p>
        </w:tc>
        <w:tc>
          <w:tcPr>
            <w:tcW w:w="1110"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产污系数</w:t>
            </w:r>
          </w:p>
        </w:tc>
        <w:tc>
          <w:tcPr>
            <w:tcW w:w="118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末端治理技术名称</w:t>
            </w:r>
          </w:p>
        </w:tc>
        <w:tc>
          <w:tcPr>
            <w:tcW w:w="1136"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末端治理</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技术效率</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u w:val="none" w:color="auto"/>
              </w:rPr>
            </w:pPr>
            <w:r>
              <w:rPr>
                <w:rFonts w:hint="default" w:ascii="Times New Roman" w:hAnsi="Times New Roman" w:eastAsia="宋体" w:cs="Times New Roman"/>
                <w:b/>
                <w:bCs/>
                <w:color w:val="auto"/>
                <w:spacing w:val="6"/>
                <w:sz w:val="21"/>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0"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粉末</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涂料</w:t>
            </w:r>
          </w:p>
        </w:tc>
        <w:tc>
          <w:tcPr>
            <w:tcW w:w="943"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喷塑</w:t>
            </w:r>
          </w:p>
        </w:tc>
        <w:tc>
          <w:tcPr>
            <w:tcW w:w="791"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position w:val="4"/>
                <w:sz w:val="21"/>
                <w:szCs w:val="21"/>
                <w:u w:val="none" w:color="auto"/>
              </w:rPr>
              <w:t>所</w:t>
            </w:r>
            <w:r>
              <w:rPr>
                <w:rFonts w:hint="default" w:ascii="Times New Roman" w:hAnsi="Times New Roman" w:eastAsia="宋体" w:cs="Times New Roman"/>
                <w:color w:val="auto"/>
                <w:spacing w:val="4"/>
                <w:position w:val="4"/>
                <w:sz w:val="21"/>
                <w:szCs w:val="21"/>
                <w:u w:val="none" w:color="auto"/>
              </w:rPr>
              <w:t>有</w:t>
            </w:r>
          </w:p>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规模</w:t>
            </w:r>
          </w:p>
        </w:tc>
        <w:tc>
          <w:tcPr>
            <w:tcW w:w="1271"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jc w:val="left"/>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颗粒物</w:t>
            </w:r>
          </w:p>
        </w:tc>
        <w:tc>
          <w:tcPr>
            <w:tcW w:w="127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jc w:val="left"/>
              <w:rPr>
                <w:rFonts w:hint="default" w:ascii="Times New Roman" w:hAnsi="Times New Roman" w:eastAsia="宋体" w:cs="Times New Roman"/>
                <w:color w:val="auto"/>
                <w:sz w:val="21"/>
                <w:szCs w:val="21"/>
                <w:u w:val="none" w:color="auto"/>
              </w:rPr>
            </w:pPr>
            <w:r>
              <w:rPr>
                <w:rFonts w:hint="eastAsia" w:ascii="宋体" w:hAnsi="宋体" w:eastAsia="宋体" w:cs="宋体"/>
                <w:color w:val="auto"/>
                <w:kern w:val="0"/>
                <w:sz w:val="21"/>
                <w:szCs w:val="21"/>
                <w:u w:val="none" w:color="auto"/>
                <w:lang w:val="en-US" w:eastAsia="zh-CN" w:bidi="ar"/>
              </w:rPr>
              <w:t>千克/吨-原料</w:t>
            </w:r>
          </w:p>
        </w:tc>
        <w:tc>
          <w:tcPr>
            <w:tcW w:w="1110"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color w:val="auto"/>
                <w:kern w:val="0"/>
                <w:sz w:val="21"/>
                <w:szCs w:val="21"/>
                <w:u w:val="none" w:color="auto"/>
                <w:lang w:val="en-US" w:eastAsia="zh-CN" w:bidi="ar"/>
              </w:rPr>
              <w:t>300</w:t>
            </w:r>
          </w:p>
        </w:tc>
        <w:tc>
          <w:tcPr>
            <w:tcW w:w="1182"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袋式除尘</w:t>
            </w:r>
          </w:p>
        </w:tc>
        <w:tc>
          <w:tcPr>
            <w:tcW w:w="1136" w:type="dxa"/>
            <w:tcBorders>
              <w:tl2br w:val="nil"/>
              <w:tr2bl w:val="nil"/>
            </w:tcBorders>
            <w:vAlign w:val="center"/>
          </w:tcPr>
          <w:p>
            <w:pPr>
              <w:keepNext w:val="0"/>
              <w:keepLines w:val="0"/>
              <w:pageBreakBefore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95</w:t>
            </w:r>
          </w:p>
        </w:tc>
      </w:tr>
    </w:tbl>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eastAsia" w:ascii="Times New Roman" w:hAnsi="Times New Roman" w:eastAsia="宋体" w:cs="Times New Roman"/>
          <w:color w:val="auto"/>
          <w:sz w:val="24"/>
          <w:szCs w:val="24"/>
          <w:u w:val="none" w:color="auto"/>
          <w:vertAlign w:val="subscript"/>
          <w:lang w:val="en-US" w:eastAsia="zh-CN"/>
        </w:rPr>
      </w:pPr>
      <w:r>
        <w:rPr>
          <w:rFonts w:hint="default" w:ascii="Times New Roman" w:hAnsi="Times New Roman" w:eastAsia="宋体" w:cs="Times New Roman"/>
          <w:color w:val="auto"/>
          <w:sz w:val="24"/>
          <w:szCs w:val="24"/>
          <w:u w:val="none" w:color="auto"/>
        </w:rPr>
        <w:t>本项目年使用喷涂粉末</w:t>
      </w:r>
      <w:r>
        <w:rPr>
          <w:rFonts w:hint="eastAsia" w:ascii="Times New Roman" w:hAnsi="Times New Roman" w:eastAsia="宋体" w:cs="Times New Roman"/>
          <w:color w:val="auto"/>
          <w:sz w:val="24"/>
          <w:szCs w:val="24"/>
          <w:u w:val="none" w:color="auto"/>
          <w:lang w:val="en-US" w:eastAsia="zh-CN"/>
        </w:rPr>
        <w:t>50</w:t>
      </w:r>
      <w:r>
        <w:rPr>
          <w:rFonts w:hint="default" w:ascii="Times New Roman" w:hAnsi="Times New Roman" w:eastAsia="宋体" w:cs="Times New Roman"/>
          <w:color w:val="auto"/>
          <w:sz w:val="24"/>
          <w:szCs w:val="24"/>
          <w:u w:val="none" w:color="auto"/>
        </w:rPr>
        <w:t>t/a</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喷涂粉尘颗粒物产生量为</w:t>
      </w:r>
      <w:r>
        <w:rPr>
          <w:rFonts w:hint="eastAsia" w:ascii="Times New Roman" w:hAnsi="Times New Roman" w:eastAsia="宋体"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rPr>
        <w:t>t/a</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由于该工序基本处于密闭空间内进行，集气系统收集效率保守估计按95%计算，布袋除尘器的处理效率为95%</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拟设风机风量为</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000m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/m，则颗粒物有组织排放量为</w:t>
      </w:r>
      <w:r>
        <w:rPr>
          <w:rFonts w:hint="eastAsia" w:ascii="Times New Roman" w:hAnsi="Times New Roman" w:eastAsia="宋体" w:cs="Times New Roman"/>
          <w:color w:val="auto"/>
          <w:sz w:val="24"/>
          <w:szCs w:val="24"/>
          <w:u w:val="none" w:color="auto"/>
          <w:lang w:val="en-US" w:eastAsia="zh-CN"/>
        </w:rPr>
        <w:t>0.71</w:t>
      </w:r>
      <w:r>
        <w:rPr>
          <w:rFonts w:hint="default" w:ascii="Times New Roman" w:hAnsi="Times New Roman" w:eastAsia="宋体" w:cs="Times New Roman"/>
          <w:color w:val="auto"/>
          <w:sz w:val="24"/>
          <w:szCs w:val="24"/>
          <w:u w:val="none" w:color="auto"/>
        </w:rPr>
        <w:t>t</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rPr>
        <w:t>a(0.</w:t>
      </w:r>
      <w:r>
        <w:rPr>
          <w:rFonts w:hint="eastAsia" w:ascii="Times New Roman" w:hAnsi="Times New Roman" w:eastAsia="宋体" w:cs="Times New Roman"/>
          <w:color w:val="auto"/>
          <w:sz w:val="24"/>
          <w:szCs w:val="24"/>
          <w:u w:val="none" w:color="auto"/>
          <w:lang w:val="en-US" w:eastAsia="zh-CN"/>
        </w:rPr>
        <w:t>098</w:t>
      </w:r>
      <w:r>
        <w:rPr>
          <w:rFonts w:hint="default" w:ascii="Times New Roman" w:hAnsi="Times New Roman" w:eastAsia="宋体" w:cs="Times New Roman"/>
          <w:color w:val="auto"/>
          <w:sz w:val="24"/>
          <w:szCs w:val="24"/>
          <w:u w:val="none" w:color="auto"/>
        </w:rPr>
        <w:t>kg/h)，排放浓度为</w:t>
      </w:r>
      <w:r>
        <w:rPr>
          <w:rFonts w:hint="eastAsia" w:ascii="Times New Roman" w:hAnsi="Times New Roman" w:eastAsia="宋体" w:cs="Times New Roman"/>
          <w:color w:val="auto"/>
          <w:sz w:val="24"/>
          <w:szCs w:val="24"/>
          <w:u w:val="none" w:color="auto"/>
          <w:lang w:val="en-US" w:eastAsia="zh-CN"/>
        </w:rPr>
        <w:t>19.79</w:t>
      </w:r>
      <w:r>
        <w:rPr>
          <w:rFonts w:hint="default" w:ascii="Times New Roman" w:hAnsi="Times New Roman" w:eastAsia="宋体" w:cs="Times New Roman"/>
          <w:color w:val="auto"/>
          <w:sz w:val="24"/>
          <w:szCs w:val="24"/>
          <w:u w:val="none" w:color="auto"/>
        </w:rPr>
        <w:t>mg/m</w:t>
      </w:r>
      <w:r>
        <w:rPr>
          <w:rFonts w:hint="default"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vertAlign w:val="baseline"/>
          <w:lang w:eastAsia="zh-CN"/>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outlineLvl w:val="2"/>
        <w:rPr>
          <w:rFonts w:hint="eastAsia" w:ascii="Times New Roman" w:hAnsi="Times New Roman" w:eastAsia="宋体" w:cs="Times New Roman"/>
          <w:color w:val="auto"/>
          <w:sz w:val="24"/>
          <w:szCs w:val="24"/>
          <w:u w:val="none" w:color="auto"/>
          <w:lang w:val="en-US" w:eastAsia="zh-CN"/>
        </w:rPr>
      </w:pPr>
      <w:bookmarkStart w:id="148" w:name="_Toc3419"/>
      <w:r>
        <w:rPr>
          <w:rFonts w:hint="default" w:ascii="Times New Roman" w:hAnsi="Times New Roman" w:eastAsia="宋体" w:cs="Times New Roman"/>
          <w:color w:val="auto"/>
          <w:sz w:val="24"/>
          <w:szCs w:val="24"/>
          <w:u w:val="none" w:color="auto"/>
          <w:lang w:val="en-US" w:eastAsia="zh-CN"/>
        </w:rPr>
        <w:t>（4）喷漆</w:t>
      </w:r>
      <w:r>
        <w:rPr>
          <w:rFonts w:hint="eastAsia" w:ascii="Times New Roman" w:hAnsi="Times New Roman" w:eastAsia="宋体" w:cs="Times New Roman"/>
          <w:color w:val="auto"/>
          <w:sz w:val="24"/>
          <w:szCs w:val="24"/>
          <w:u w:val="none" w:color="auto"/>
          <w:lang w:val="en-US" w:eastAsia="zh-CN"/>
        </w:rPr>
        <w:t>和烘干废气</w:t>
      </w:r>
      <w:bookmarkEnd w:id="148"/>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w:t>
      </w:r>
      <w:r>
        <w:rPr>
          <w:rFonts w:hint="eastAsia" w:ascii="Times New Roman" w:hAnsi="Times New Roman" w:eastAsia="宋体" w:cs="Times New Roman"/>
          <w:color w:val="auto"/>
          <w:sz w:val="24"/>
          <w:szCs w:val="24"/>
          <w:u w:val="none" w:color="auto"/>
          <w:lang w:val="en-US" w:eastAsia="zh-CN"/>
        </w:rPr>
        <w:t>调漆、</w:t>
      </w:r>
      <w:r>
        <w:rPr>
          <w:rFonts w:hint="default" w:ascii="Times New Roman" w:hAnsi="Times New Roman" w:eastAsia="宋体" w:cs="Times New Roman"/>
          <w:color w:val="auto"/>
          <w:sz w:val="24"/>
          <w:szCs w:val="24"/>
          <w:u w:val="none" w:color="auto"/>
          <w:lang w:val="en-US" w:eastAsia="zh-CN"/>
        </w:rPr>
        <w:t>喷漆</w:t>
      </w:r>
      <w:r>
        <w:rPr>
          <w:rFonts w:hint="eastAsia" w:ascii="Times New Roman" w:hAnsi="Times New Roman" w:eastAsia="宋体" w:cs="Times New Roman"/>
          <w:color w:val="auto"/>
          <w:sz w:val="24"/>
          <w:szCs w:val="24"/>
          <w:u w:val="none" w:color="auto"/>
          <w:lang w:val="en-US" w:eastAsia="zh-CN"/>
        </w:rPr>
        <w:t>、烘干</w:t>
      </w:r>
      <w:r>
        <w:rPr>
          <w:rFonts w:hint="default" w:ascii="Times New Roman" w:hAnsi="Times New Roman" w:eastAsia="宋体" w:cs="Times New Roman"/>
          <w:color w:val="auto"/>
          <w:sz w:val="24"/>
          <w:szCs w:val="24"/>
          <w:u w:val="none" w:color="auto"/>
          <w:lang w:val="en-US" w:eastAsia="zh-CN"/>
        </w:rPr>
        <w:t>工序在喷漆房内进行，采用自动喷涂，</w:t>
      </w:r>
      <w:r>
        <w:rPr>
          <w:rFonts w:hint="eastAsia" w:ascii="Times New Roman" w:hAnsi="Times New Roman" w:eastAsia="宋体" w:cs="Times New Roman"/>
          <w:color w:val="auto"/>
          <w:sz w:val="24"/>
          <w:szCs w:val="24"/>
          <w:u w:val="none" w:color="auto"/>
          <w:lang w:val="en-US" w:eastAsia="zh-CN"/>
        </w:rPr>
        <w:t>主要污染物VOCs和</w:t>
      </w:r>
      <w:r>
        <w:rPr>
          <w:rFonts w:hint="default" w:ascii="Times New Roman" w:hAnsi="Times New Roman" w:eastAsia="宋体" w:cs="Times New Roman"/>
          <w:color w:val="auto"/>
          <w:sz w:val="24"/>
          <w:szCs w:val="24"/>
          <w:u w:val="none" w:color="auto"/>
          <w:lang w:val="en-US" w:eastAsia="zh-CN"/>
        </w:rPr>
        <w:t>颗粒</w:t>
      </w:r>
      <w:r>
        <w:rPr>
          <w:rFonts w:hint="eastAsia" w:ascii="Times New Roman" w:hAnsi="Times New Roman" w:eastAsia="宋体" w:cs="Times New Roman"/>
          <w:color w:val="auto"/>
          <w:sz w:val="24"/>
          <w:szCs w:val="24"/>
          <w:u w:val="none" w:color="auto"/>
          <w:lang w:val="en-US" w:eastAsia="zh-CN"/>
        </w:rPr>
        <w:t>物（</w:t>
      </w:r>
      <w:r>
        <w:rPr>
          <w:rFonts w:hint="default" w:ascii="Times New Roman" w:hAnsi="Times New Roman" w:eastAsia="宋体" w:cs="Times New Roman"/>
          <w:color w:val="auto"/>
          <w:sz w:val="24"/>
          <w:szCs w:val="24"/>
          <w:u w:val="none" w:color="auto"/>
          <w:lang w:val="en-US" w:eastAsia="zh-CN"/>
        </w:rPr>
        <w:t>漆雾</w:t>
      </w:r>
      <w:r>
        <w:rPr>
          <w:rFonts w:hint="eastAsia" w:ascii="Times New Roman" w:hAnsi="Times New Roman" w:eastAsia="宋体" w:cs="Times New Roman"/>
          <w:color w:val="auto"/>
          <w:sz w:val="24"/>
          <w:szCs w:val="24"/>
          <w:u w:val="none" w:color="auto"/>
          <w:lang w:val="en-US" w:eastAsia="zh-CN"/>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由物料衡算可知，调色漆废气产生量为VOCs0.013t/a，色漆喷涂废气产生量为VOCs0.529ta、颗粒物0.446t/a，色漆烘干废气产生量为VOCs0.774t/a。喷漆房VOC产生量为1.316t/a，颗粒物产生量为0.446</w:t>
      </w:r>
      <w:r>
        <w:rPr>
          <w:rFonts w:hint="default" w:ascii="Times New Roman" w:hAnsi="Times New Roman" w:eastAsia="宋体" w:cs="Times New Roman"/>
          <w:color w:val="auto"/>
          <w:sz w:val="24"/>
          <w:szCs w:val="24"/>
          <w:u w:val="none" w:color="auto"/>
          <w:lang w:val="en-US" w:eastAsia="zh-CN"/>
        </w:rPr>
        <w:t>t/a</w:t>
      </w:r>
      <w:r>
        <w:rPr>
          <w:rFonts w:hint="eastAsia" w:ascii="Times New Roman" w:hAnsi="Times New Roman" w:eastAsia="宋体" w:cs="Times New Roman"/>
          <w:color w:val="auto"/>
          <w:sz w:val="24"/>
          <w:szCs w:val="24"/>
          <w:u w:val="none" w:color="auto"/>
          <w:lang w:val="en-US" w:eastAsia="zh-CN"/>
        </w:rPr>
        <w:t>。</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项目喷漆房全封闭，仅在人员出入和产品流转过程中有少量废气逸散，废气处理系统收集率按95%计，</w:t>
      </w:r>
      <w:r>
        <w:rPr>
          <w:rFonts w:hint="eastAsia" w:ascii="Times New Roman" w:hAnsi="Times New Roman" w:eastAsia="宋体" w:cs="Times New Roman"/>
          <w:color w:val="auto"/>
          <w:sz w:val="24"/>
          <w:szCs w:val="24"/>
          <w:u w:val="none" w:color="auto"/>
          <w:lang w:val="en-US" w:eastAsia="zh-CN"/>
        </w:rPr>
        <w:t>风机风量10000m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/h，</w:t>
      </w:r>
      <w:r>
        <w:rPr>
          <w:rFonts w:hint="default" w:ascii="Times New Roman" w:hAnsi="Times New Roman" w:eastAsia="宋体" w:cs="Times New Roman"/>
          <w:color w:val="auto"/>
          <w:sz w:val="24"/>
          <w:szCs w:val="24"/>
          <w:u w:val="none" w:color="auto"/>
          <w:lang w:val="en-US" w:eastAsia="zh-CN"/>
        </w:rPr>
        <w:t>水帘+干式过滤综合去除效率为98%。则项目</w:t>
      </w:r>
      <w:r>
        <w:rPr>
          <w:rFonts w:hint="eastAsia" w:ascii="Times New Roman" w:hAnsi="Times New Roman" w:eastAsia="宋体" w:cs="Times New Roman"/>
          <w:color w:val="auto"/>
          <w:sz w:val="24"/>
          <w:szCs w:val="24"/>
          <w:u w:val="none" w:color="auto"/>
          <w:lang w:val="en-US" w:eastAsia="zh-CN"/>
        </w:rPr>
        <w:t>喷漆房</w:t>
      </w:r>
      <w:r>
        <w:rPr>
          <w:rFonts w:hint="default" w:ascii="Times New Roman" w:hAnsi="Times New Roman" w:eastAsia="宋体" w:cs="Times New Roman"/>
          <w:color w:val="auto"/>
          <w:sz w:val="24"/>
          <w:szCs w:val="24"/>
          <w:u w:val="none" w:color="auto"/>
          <w:lang w:val="en-US" w:eastAsia="zh-CN"/>
        </w:rPr>
        <w:t>颗粒物（漆雾）有组织产生量为</w:t>
      </w:r>
      <w:r>
        <w:rPr>
          <w:rFonts w:hint="eastAsia" w:ascii="Times New Roman" w:hAnsi="Times New Roman" w:eastAsia="宋体" w:cs="Times New Roman"/>
          <w:color w:val="auto"/>
          <w:sz w:val="24"/>
          <w:szCs w:val="24"/>
          <w:u w:val="none" w:color="auto"/>
          <w:lang w:val="en-US" w:eastAsia="zh-CN"/>
        </w:rPr>
        <w:t>0.42</w:t>
      </w:r>
      <w:r>
        <w:rPr>
          <w:rFonts w:hint="default" w:ascii="Times New Roman" w:hAnsi="Times New Roman" w:eastAsia="宋体" w:cs="Times New Roman"/>
          <w:color w:val="auto"/>
          <w:sz w:val="24"/>
          <w:szCs w:val="24"/>
          <w:u w:val="none" w:color="auto"/>
          <w:lang w:val="en-US" w:eastAsia="zh-CN"/>
        </w:rPr>
        <w:t>t/a，产</w:t>
      </w:r>
      <w:r>
        <w:rPr>
          <w:rFonts w:hint="default" w:ascii="Times New Roman" w:hAnsi="Times New Roman" w:eastAsia="宋体" w:cs="Times New Roman"/>
          <w:color w:val="auto"/>
          <w:sz w:val="24"/>
          <w:szCs w:val="24"/>
          <w:highlight w:val="none"/>
          <w:u w:val="none" w:color="auto"/>
          <w:lang w:val="en-US" w:eastAsia="zh-CN"/>
        </w:rPr>
        <w:t>生速率为0.9</w:t>
      </w: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kg/h</w:t>
      </w:r>
      <w:r>
        <w:rPr>
          <w:rFonts w:hint="eastAsia" w:ascii="Times New Roman" w:hAnsi="Times New Roman" w:eastAsia="宋体" w:cs="Times New Roman"/>
          <w:color w:val="auto"/>
          <w:sz w:val="24"/>
          <w:szCs w:val="24"/>
          <w:highlight w:val="none"/>
          <w:u w:val="none" w:color="auto"/>
          <w:lang w:val="en-US" w:eastAsia="zh-CN"/>
        </w:rPr>
        <w:t>，产生浓度为92.36mg/m</w:t>
      </w:r>
      <w:r>
        <w:rPr>
          <w:rFonts w:hint="eastAsia" w:ascii="Times New Roman" w:hAnsi="Times New Roman" w:eastAsia="宋体" w:cs="Times New Roman"/>
          <w:color w:val="auto"/>
          <w:sz w:val="24"/>
          <w:szCs w:val="24"/>
          <w:highlight w:val="none"/>
          <w:u w:val="none" w:color="auto"/>
          <w:vertAlign w:val="superscript"/>
          <w:lang w:val="en-US" w:eastAsia="zh-CN"/>
        </w:rPr>
        <w:t>3</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排放量为</w:t>
      </w:r>
      <w:r>
        <w:rPr>
          <w:rFonts w:hint="eastAsia" w:ascii="Times New Roman" w:hAnsi="Times New Roman" w:eastAsia="宋体" w:cs="Times New Roman"/>
          <w:color w:val="auto"/>
          <w:sz w:val="24"/>
          <w:szCs w:val="24"/>
          <w:highlight w:val="none"/>
          <w:u w:val="none" w:color="auto"/>
          <w:lang w:val="en-US" w:eastAsia="zh-CN"/>
        </w:rPr>
        <w:t>0.133</w:t>
      </w:r>
      <w:r>
        <w:rPr>
          <w:rFonts w:hint="default" w:ascii="Times New Roman" w:hAnsi="Times New Roman" w:eastAsia="宋体" w:cs="Times New Roman"/>
          <w:color w:val="auto"/>
          <w:sz w:val="24"/>
          <w:szCs w:val="24"/>
          <w:highlight w:val="none"/>
          <w:u w:val="none" w:color="auto"/>
          <w:lang w:val="en-US" w:eastAsia="zh-CN"/>
        </w:rPr>
        <w:t>t/a</w:t>
      </w:r>
      <w:r>
        <w:rPr>
          <w:rFonts w:hint="default" w:ascii="Times New Roman" w:hAnsi="Times New Roman" w:eastAsia="宋体" w:cs="Times New Roman"/>
          <w:color w:val="auto"/>
          <w:sz w:val="24"/>
          <w:szCs w:val="24"/>
          <w:u w:val="none" w:color="auto"/>
          <w:lang w:val="en-US" w:eastAsia="zh-CN"/>
        </w:rPr>
        <w:t>，排放速率为0.018kg/h</w:t>
      </w:r>
      <w:r>
        <w:rPr>
          <w:rFonts w:hint="eastAsia" w:ascii="Times New Roman" w:hAnsi="Times New Roman" w:eastAsia="宋体" w:cs="Times New Roman"/>
          <w:color w:val="auto"/>
          <w:sz w:val="24"/>
          <w:szCs w:val="24"/>
          <w:u w:val="none" w:color="auto"/>
          <w:lang w:val="en-US" w:eastAsia="zh-CN"/>
        </w:rPr>
        <w:t>，排放浓度为1.84mg/m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。VOC</w:t>
      </w:r>
      <w:r>
        <w:rPr>
          <w:rFonts w:hint="default" w:ascii="Times New Roman" w:hAnsi="Times New Roman" w:eastAsia="宋体" w:cs="Times New Roman"/>
          <w:color w:val="auto"/>
          <w:sz w:val="24"/>
          <w:szCs w:val="24"/>
          <w:u w:val="none" w:color="auto"/>
          <w:lang w:val="en-US" w:eastAsia="zh-CN"/>
        </w:rPr>
        <w:t>有组织产生量</w:t>
      </w:r>
      <w:r>
        <w:rPr>
          <w:rFonts w:hint="eastAsia" w:ascii="Times New Roman" w:hAnsi="Times New Roman" w:eastAsia="宋体" w:cs="Times New Roman"/>
          <w:color w:val="auto"/>
          <w:sz w:val="24"/>
          <w:szCs w:val="24"/>
          <w:u w:val="none" w:color="auto"/>
          <w:lang w:val="en-US" w:eastAsia="zh-CN"/>
        </w:rPr>
        <w:t>12.54</w:t>
      </w:r>
      <w:r>
        <w:rPr>
          <w:rFonts w:hint="default" w:ascii="Times New Roman" w:hAnsi="Times New Roman" w:eastAsia="宋体" w:cs="Times New Roman"/>
          <w:color w:val="auto"/>
          <w:sz w:val="24"/>
          <w:szCs w:val="24"/>
          <w:u w:val="none" w:color="auto"/>
          <w:lang w:val="en-US" w:eastAsia="zh-CN"/>
        </w:rPr>
        <w:t>t/a</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产生速率为</w:t>
      </w:r>
      <w:r>
        <w:rPr>
          <w:rFonts w:hint="eastAsia" w:ascii="Times New Roman" w:hAnsi="Times New Roman" w:eastAsia="宋体" w:cs="Times New Roman"/>
          <w:color w:val="auto"/>
          <w:sz w:val="24"/>
          <w:szCs w:val="24"/>
          <w:u w:val="none" w:color="auto"/>
          <w:lang w:val="en-US" w:eastAsia="zh-CN"/>
        </w:rPr>
        <w:t>0.39</w:t>
      </w:r>
      <w:r>
        <w:rPr>
          <w:rFonts w:hint="default" w:ascii="Times New Roman" w:hAnsi="Times New Roman" w:eastAsia="宋体" w:cs="Times New Roman"/>
          <w:color w:val="auto"/>
          <w:sz w:val="24"/>
          <w:szCs w:val="24"/>
          <w:u w:val="none" w:color="auto"/>
          <w:lang w:val="en-US" w:eastAsia="zh-CN"/>
        </w:rPr>
        <w:t>kg/h</w:t>
      </w: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vertAlign w:val="baseline"/>
          <w:lang w:val="en-US" w:eastAsia="zh-CN"/>
        </w:rPr>
        <w:t>产生浓度为39.58</w:t>
      </w:r>
      <w:r>
        <w:rPr>
          <w:rFonts w:hint="eastAsia" w:ascii="Times New Roman" w:hAnsi="Times New Roman" w:eastAsia="宋体" w:cs="Times New Roman"/>
          <w:color w:val="auto"/>
          <w:sz w:val="24"/>
          <w:szCs w:val="24"/>
          <w:u w:val="none" w:color="auto"/>
          <w:lang w:val="en-US" w:eastAsia="zh-CN"/>
        </w:rPr>
        <w:t>mg/m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通过活性炭吸附装置处理后，处理效率按18%计，排放量为1.08t/a，排放</w:t>
      </w:r>
      <w:r>
        <w:rPr>
          <w:rFonts w:hint="default" w:ascii="Times New Roman" w:hAnsi="Times New Roman" w:eastAsia="宋体" w:cs="Times New Roman"/>
          <w:color w:val="auto"/>
          <w:sz w:val="24"/>
          <w:szCs w:val="24"/>
          <w:u w:val="none" w:color="auto"/>
          <w:lang w:val="en-US" w:eastAsia="zh-CN"/>
        </w:rPr>
        <w:t>速率为</w:t>
      </w:r>
      <w:r>
        <w:rPr>
          <w:rFonts w:hint="eastAsia" w:ascii="Times New Roman" w:hAnsi="Times New Roman" w:eastAsia="宋体" w:cs="Times New Roman"/>
          <w:color w:val="auto"/>
          <w:sz w:val="24"/>
          <w:szCs w:val="24"/>
          <w:u w:val="none" w:color="auto"/>
          <w:lang w:val="en-US" w:eastAsia="zh-CN"/>
        </w:rPr>
        <w:t>0.05</w:t>
      </w:r>
      <w:r>
        <w:rPr>
          <w:rFonts w:hint="default" w:ascii="Times New Roman" w:hAnsi="Times New Roman" w:eastAsia="宋体" w:cs="Times New Roman"/>
          <w:color w:val="auto"/>
          <w:sz w:val="24"/>
          <w:szCs w:val="24"/>
          <w:u w:val="none" w:color="auto"/>
          <w:lang w:val="en-US" w:eastAsia="zh-CN"/>
        </w:rPr>
        <w:t>kg/h</w:t>
      </w:r>
      <w:r>
        <w:rPr>
          <w:rFonts w:hint="eastAsia" w:ascii="Times New Roman" w:hAnsi="Times New Roman" w:eastAsia="宋体" w:cs="Times New Roman"/>
          <w:color w:val="auto"/>
          <w:sz w:val="24"/>
          <w:szCs w:val="24"/>
          <w:u w:val="none" w:color="auto"/>
          <w:lang w:val="en-US" w:eastAsia="zh-CN"/>
        </w:rPr>
        <w:t>，排放浓度32.45mg/m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vertAlign w:val="baseline"/>
          <w:lang w:val="en-US" w:eastAsia="zh-CN"/>
        </w:rPr>
        <w:t>。颗粒物</w:t>
      </w:r>
      <w:r>
        <w:rPr>
          <w:rFonts w:hint="default" w:ascii="Times New Roman" w:hAnsi="Times New Roman" w:eastAsia="宋体" w:cs="Times New Roman"/>
          <w:color w:val="auto"/>
          <w:sz w:val="24"/>
          <w:szCs w:val="24"/>
          <w:u w:val="none" w:color="auto"/>
          <w:lang w:val="en-US" w:eastAsia="zh-CN"/>
        </w:rPr>
        <w:t>无组织排放量为</w:t>
      </w:r>
      <w:r>
        <w:rPr>
          <w:rFonts w:hint="eastAsia" w:ascii="Times New Roman" w:hAnsi="Times New Roman" w:eastAsia="宋体" w:cs="Times New Roman"/>
          <w:color w:val="auto"/>
          <w:sz w:val="24"/>
          <w:szCs w:val="24"/>
          <w:u w:val="none" w:color="auto"/>
          <w:lang w:val="en-US" w:eastAsia="zh-CN"/>
        </w:rPr>
        <w:t>0.02</w:t>
      </w:r>
      <w:r>
        <w:rPr>
          <w:rFonts w:hint="default" w:ascii="Times New Roman" w:hAnsi="Times New Roman" w:eastAsia="宋体" w:cs="Times New Roman"/>
          <w:color w:val="auto"/>
          <w:sz w:val="24"/>
          <w:szCs w:val="24"/>
          <w:u w:val="none" w:color="auto"/>
          <w:lang w:val="en-US" w:eastAsia="zh-CN"/>
        </w:rPr>
        <w:t>t/a，</w:t>
      </w:r>
      <w:r>
        <w:rPr>
          <w:rFonts w:hint="eastAsia" w:ascii="Times New Roman" w:hAnsi="Times New Roman" w:eastAsia="宋体" w:cs="Times New Roman"/>
          <w:color w:val="auto"/>
          <w:sz w:val="24"/>
          <w:szCs w:val="24"/>
          <w:u w:val="none" w:color="auto"/>
          <w:vertAlign w:val="baseline"/>
          <w:lang w:val="en-US" w:eastAsia="zh-CN"/>
        </w:rPr>
        <w:t>VOCS</w:t>
      </w:r>
      <w:r>
        <w:rPr>
          <w:rFonts w:hint="default" w:ascii="Times New Roman" w:hAnsi="Times New Roman" w:eastAsia="宋体" w:cs="Times New Roman"/>
          <w:color w:val="auto"/>
          <w:sz w:val="24"/>
          <w:szCs w:val="24"/>
          <w:u w:val="none" w:color="auto"/>
          <w:lang w:val="en-US" w:eastAsia="zh-CN"/>
        </w:rPr>
        <w:t>无组织排放量为</w:t>
      </w:r>
      <w:r>
        <w:rPr>
          <w:rFonts w:hint="eastAsia" w:ascii="Times New Roman" w:hAnsi="Times New Roman" w:eastAsia="宋体" w:cs="Times New Roman"/>
          <w:color w:val="auto"/>
          <w:sz w:val="24"/>
          <w:szCs w:val="24"/>
          <w:u w:val="none" w:color="auto"/>
          <w:lang w:val="en-US" w:eastAsia="zh-CN"/>
        </w:rPr>
        <w:t>0.66</w:t>
      </w:r>
      <w:r>
        <w:rPr>
          <w:rFonts w:hint="default" w:ascii="Times New Roman" w:hAnsi="Times New Roman" w:eastAsia="宋体" w:cs="Times New Roman"/>
          <w:color w:val="auto"/>
          <w:sz w:val="24"/>
          <w:szCs w:val="24"/>
          <w:u w:val="none" w:color="auto"/>
          <w:lang w:val="en-US" w:eastAsia="zh-CN"/>
        </w:rPr>
        <w:t>t/a。</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eastAsia="zh-CN"/>
        </w:rPr>
        <w:t>项目表面处理车间与板材车间位于同一栋厂房，拟将镁板轧机废气、喷涂废气、喷漆室三股废气分别进行处理后通过一根</w:t>
      </w:r>
      <w:r>
        <w:rPr>
          <w:rFonts w:hint="eastAsia" w:ascii="Times New Roman" w:hAnsi="Times New Roman" w:eastAsia="宋体" w:cs="Times New Roman"/>
          <w:color w:val="auto"/>
          <w:sz w:val="24"/>
          <w:szCs w:val="24"/>
          <w:u w:val="none" w:color="auto"/>
          <w:lang w:val="en-US" w:eastAsia="zh-CN"/>
        </w:rPr>
        <w:t>20m排气筒排放（DA003）。</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5、食堂油烟</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本项目设置食堂，采用天然气为燃料，由于天然气为清洁能源，其燃烧产生的废气中污染物浓度较低，本项目不予定量分析。</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本项目食堂日用餐人数以</w:t>
      </w:r>
      <w:r>
        <w:rPr>
          <w:rFonts w:hint="eastAsia" w:ascii="Times New Roman" w:hAnsi="Times New Roman" w:eastAsia="宋体" w:cs="Times New Roman"/>
          <w:color w:val="auto"/>
          <w:sz w:val="24"/>
          <w:szCs w:val="24"/>
          <w:u w:val="none" w:color="auto"/>
          <w:lang w:val="en-US" w:eastAsia="zh-CN"/>
        </w:rPr>
        <w:t>400</w:t>
      </w:r>
      <w:r>
        <w:rPr>
          <w:rFonts w:hint="default" w:ascii="Times New Roman" w:hAnsi="Times New Roman" w:eastAsia="宋体" w:cs="Times New Roman"/>
          <w:color w:val="auto"/>
          <w:sz w:val="24"/>
          <w:szCs w:val="24"/>
          <w:u w:val="none" w:color="auto"/>
        </w:rPr>
        <w:t>人计，食堂配备1口标准灶(共</w:t>
      </w:r>
      <w:r>
        <w:rPr>
          <w:rFonts w:hint="eastAsia"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个基准灶头)，属</w:t>
      </w:r>
      <w:r>
        <w:rPr>
          <w:rFonts w:hint="eastAsia" w:ascii="Times New Roman" w:hAnsi="Times New Roman" w:eastAsia="宋体" w:cs="Times New Roman"/>
          <w:color w:val="auto"/>
          <w:sz w:val="24"/>
          <w:szCs w:val="24"/>
          <w:u w:val="none" w:color="auto"/>
          <w:lang w:eastAsia="zh-CN"/>
        </w:rPr>
        <w:t>中</w:t>
      </w:r>
      <w:r>
        <w:rPr>
          <w:rFonts w:hint="default" w:ascii="Times New Roman" w:hAnsi="Times New Roman" w:eastAsia="宋体" w:cs="Times New Roman"/>
          <w:color w:val="auto"/>
          <w:sz w:val="24"/>
          <w:szCs w:val="24"/>
          <w:u w:val="none" w:color="auto"/>
        </w:rPr>
        <w:t>型餐饮规模，引风机标准风量为</w:t>
      </w:r>
      <w:r>
        <w:rPr>
          <w:rFonts w:hint="eastAsia" w:ascii="Times New Roman" w:hAnsi="Times New Roman" w:eastAsia="宋体"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rPr>
        <w:t>000m3/h，灶头日均使用时间约3h。食堂人均用食用油以10g计，则食用油使用量为</w:t>
      </w:r>
      <w:r>
        <w:rPr>
          <w:rFonts w:hint="eastAsia"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kg/d(</w:t>
      </w:r>
      <w:r>
        <w:rPr>
          <w:rFonts w:hint="eastAsia" w:ascii="Times New Roman" w:hAnsi="Times New Roman" w:eastAsia="宋体" w:cs="Times New Roman"/>
          <w:color w:val="auto"/>
          <w:sz w:val="24"/>
          <w:szCs w:val="24"/>
          <w:u w:val="none" w:color="auto"/>
          <w:lang w:val="en-US" w:eastAsia="zh-CN"/>
        </w:rPr>
        <w:t>1.2</w:t>
      </w:r>
      <w:r>
        <w:rPr>
          <w:rFonts w:hint="default" w:ascii="Times New Roman" w:hAnsi="Times New Roman" w:eastAsia="宋体" w:cs="Times New Roman"/>
          <w:color w:val="auto"/>
          <w:sz w:val="24"/>
          <w:szCs w:val="24"/>
          <w:u w:val="none" w:color="auto"/>
        </w:rPr>
        <w:t>t/a)。</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在烹饪过程中，不同烹调工艺油产生量有所不同，根据类比调查，烹饪过程油的挥发损失率约2%~3.5%，取最高值3.5%，则油烟产生量为</w:t>
      </w:r>
      <w:r>
        <w:rPr>
          <w:rFonts w:hint="eastAsia" w:ascii="Times New Roman" w:hAnsi="Times New Roman" w:eastAsia="宋体" w:cs="Times New Roman"/>
          <w:color w:val="auto"/>
          <w:sz w:val="24"/>
          <w:szCs w:val="24"/>
          <w:u w:val="none" w:color="auto"/>
          <w:lang w:val="en-US" w:eastAsia="zh-CN"/>
        </w:rPr>
        <w:t>0.14</w:t>
      </w:r>
      <w:r>
        <w:rPr>
          <w:rFonts w:hint="default" w:ascii="Times New Roman" w:hAnsi="Times New Roman" w:eastAsia="宋体" w:cs="Times New Roman"/>
          <w:color w:val="auto"/>
          <w:sz w:val="24"/>
          <w:szCs w:val="24"/>
          <w:u w:val="none" w:color="auto"/>
        </w:rPr>
        <w:t>kg/d</w:t>
      </w:r>
      <w:r>
        <w:rPr>
          <w:rFonts w:hint="default" w:ascii="Times New Roman" w:hAnsi="Times New Roman" w:eastAsia="宋体" w:cs="Times New Roman"/>
          <w:color w:val="auto"/>
          <w:sz w:val="24"/>
          <w:szCs w:val="24"/>
          <w:u w:val="none" w:color="auto"/>
        </w:rPr>
        <w:tab/>
      </w:r>
      <w:r>
        <w:rPr>
          <w:rFonts w:hint="default" w:ascii="Times New Roman" w:hAnsi="Times New Roman" w:eastAsia="宋体" w:cs="Times New Roman"/>
          <w:color w:val="auto"/>
          <w:sz w:val="24"/>
          <w:szCs w:val="24"/>
          <w:u w:val="none" w:color="auto"/>
        </w:rPr>
        <w:t>(0.0</w:t>
      </w:r>
      <w:r>
        <w:rPr>
          <w:rFonts w:hint="eastAsia" w:ascii="Times New Roman" w:hAnsi="Times New Roman" w:eastAsia="宋体" w:cs="Times New Roman"/>
          <w:color w:val="auto"/>
          <w:sz w:val="24"/>
          <w:szCs w:val="24"/>
          <w:u w:val="none" w:color="auto"/>
          <w:lang w:val="en-US" w:eastAsia="zh-CN"/>
        </w:rPr>
        <w:t>42</w:t>
      </w:r>
      <w:r>
        <w:rPr>
          <w:rFonts w:hint="default" w:ascii="Times New Roman" w:hAnsi="Times New Roman" w:eastAsia="宋体" w:cs="Times New Roman"/>
          <w:color w:val="auto"/>
          <w:sz w:val="24"/>
          <w:szCs w:val="24"/>
          <w:u w:val="none" w:color="auto"/>
        </w:rPr>
        <w:t>t/a)，油烟产生浓度为</w:t>
      </w:r>
      <w:r>
        <w:rPr>
          <w:rFonts w:hint="eastAsia" w:ascii="Times New Roman" w:hAnsi="Times New Roman" w:eastAsia="宋体" w:cs="Times New Roman"/>
          <w:color w:val="auto"/>
          <w:sz w:val="24"/>
          <w:szCs w:val="24"/>
          <w:u w:val="none" w:color="auto"/>
          <w:lang w:val="en-US" w:eastAsia="zh-CN"/>
        </w:rPr>
        <w:t>5.83</w:t>
      </w:r>
      <w:r>
        <w:rPr>
          <w:rFonts w:hint="default" w:ascii="Times New Roman" w:hAnsi="Times New Roman" w:eastAsia="宋体" w:cs="Times New Roman"/>
          <w:color w:val="auto"/>
          <w:sz w:val="24"/>
          <w:szCs w:val="24"/>
          <w:u w:val="none" w:color="auto"/>
        </w:rPr>
        <w:t>mg/m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。按照《饮食业油烟排放标准(试行)》(GB18483-2001)规定，中型灶型油烟最高允许排放浓度为2.0mg/m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，烟净化设施去除率不得低于75%。本项目食堂油烟废气经油烟净化处理设施处理后的达标排放浓度为</w:t>
      </w:r>
      <w:r>
        <w:rPr>
          <w:rFonts w:hint="eastAsia" w:ascii="Times New Roman" w:hAnsi="Times New Roman" w:eastAsia="宋体" w:cs="Times New Roman"/>
          <w:color w:val="auto"/>
          <w:sz w:val="24"/>
          <w:szCs w:val="24"/>
          <w:u w:val="none" w:color="auto"/>
          <w:lang w:val="en-US" w:eastAsia="zh-CN"/>
        </w:rPr>
        <w:t>1.45</w:t>
      </w:r>
      <w:r>
        <w:rPr>
          <w:rFonts w:hint="default" w:ascii="Times New Roman" w:hAnsi="Times New Roman" w:eastAsia="宋体" w:cs="Times New Roman"/>
          <w:color w:val="auto"/>
          <w:sz w:val="24"/>
          <w:szCs w:val="24"/>
          <w:u w:val="none" w:color="auto"/>
        </w:rPr>
        <w:t>mg/m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，排放量为0.0</w:t>
      </w:r>
      <w:r>
        <w:rPr>
          <w:rFonts w:hint="eastAsia" w:ascii="Times New Roman" w:hAnsi="Times New Roman" w:eastAsia="宋体" w:cs="Times New Roman"/>
          <w:color w:val="auto"/>
          <w:sz w:val="24"/>
          <w:szCs w:val="24"/>
          <w:u w:val="none" w:color="auto"/>
          <w:lang w:val="en-US" w:eastAsia="zh-CN"/>
        </w:rPr>
        <w:t>35</w:t>
      </w:r>
      <w:r>
        <w:rPr>
          <w:rFonts w:hint="default" w:ascii="Times New Roman" w:hAnsi="Times New Roman" w:eastAsia="宋体" w:cs="Times New Roman"/>
          <w:color w:val="auto"/>
          <w:sz w:val="24"/>
          <w:szCs w:val="24"/>
          <w:u w:val="none" w:color="auto"/>
        </w:rPr>
        <w:t>kg/d(0.0</w:t>
      </w:r>
      <w:r>
        <w:rPr>
          <w:rFonts w:hint="eastAsia" w:ascii="Times New Roman" w:hAnsi="Times New Roman" w:eastAsia="宋体" w:cs="Times New Roman"/>
          <w:color w:val="auto"/>
          <w:sz w:val="24"/>
          <w:szCs w:val="24"/>
          <w:u w:val="none" w:color="auto"/>
          <w:lang w:val="en-US" w:eastAsia="zh-CN"/>
        </w:rPr>
        <w:t>105</w:t>
      </w:r>
      <w:r>
        <w:rPr>
          <w:rFonts w:hint="default" w:ascii="Times New Roman" w:hAnsi="Times New Roman" w:eastAsia="宋体" w:cs="Times New Roman"/>
          <w:color w:val="auto"/>
          <w:sz w:val="24"/>
          <w:szCs w:val="24"/>
          <w:u w:val="none" w:color="auto"/>
        </w:rPr>
        <w:t>t/a)。经处理后的油烟废气通过专用烟道排放。</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right="0"/>
        <w:textAlignment w:val="auto"/>
        <w:rPr>
          <w:rFonts w:hint="eastAsia" w:ascii="Times New Roman" w:hAnsi="Times New Roman" w:eastAsia="宋体" w:cs="Times New Roman"/>
          <w:color w:val="auto"/>
          <w:sz w:val="24"/>
          <w:szCs w:val="24"/>
          <w:u w:val="none" w:color="auto"/>
          <w:lang w:val="en-US" w:eastAsia="zh-CN"/>
        </w:rPr>
        <w:sectPr>
          <w:headerReference r:id="rId10" w:type="default"/>
          <w:footerReference r:id="rId11" w:type="default"/>
          <w:pgSz w:w="11906" w:h="16839"/>
          <w:pgMar w:top="1132" w:right="1533" w:bottom="1181" w:left="1785" w:header="882" w:footer="994" w:gutter="0"/>
          <w:pgBorders>
            <w:top w:val="none" w:sz="0" w:space="0"/>
            <w:left w:val="none" w:sz="0" w:space="0"/>
            <w:bottom w:val="none" w:sz="0" w:space="0"/>
            <w:right w:val="none" w:sz="0" w:space="0"/>
          </w:pgBorders>
          <w:pgNumType w:fmt="decimal"/>
          <w:cols w:space="720" w:num="1"/>
        </w:sectPr>
      </w:pP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right="0"/>
        <w:jc w:val="center"/>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表3.6-8项目废气排放情况汇总</w:t>
      </w:r>
    </w:p>
    <w:tbl>
      <w:tblPr>
        <w:tblStyle w:val="40"/>
        <w:tblW w:w="52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86"/>
        <w:gridCol w:w="993"/>
        <w:gridCol w:w="1262"/>
        <w:gridCol w:w="1091"/>
        <w:gridCol w:w="260"/>
        <w:gridCol w:w="892"/>
        <w:gridCol w:w="101"/>
        <w:gridCol w:w="1250"/>
        <w:gridCol w:w="165"/>
        <w:gridCol w:w="1119"/>
        <w:gridCol w:w="171"/>
        <w:gridCol w:w="969"/>
        <w:gridCol w:w="1256"/>
        <w:gridCol w:w="957"/>
        <w:gridCol w:w="782"/>
        <w:gridCol w:w="150"/>
        <w:gridCol w:w="630"/>
        <w:gridCol w:w="535"/>
        <w:gridCol w:w="46"/>
        <w:gridCol w:w="807"/>
        <w:gridCol w:w="553"/>
        <w:gridCol w:w="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tc>
        <w:tc>
          <w:tcPr>
            <w:tcW w:w="4807" w:type="pct"/>
            <w:gridSpan w:val="21"/>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有组织排放情况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污染物名称</w:t>
            </w:r>
          </w:p>
        </w:tc>
        <w:tc>
          <w:tcPr>
            <w:tcW w:w="1230" w:type="pct"/>
            <w:gridSpan w:val="6"/>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产生情况</w:t>
            </w:r>
          </w:p>
        </w:tc>
        <w:tc>
          <w:tcPr>
            <w:tcW w:w="739" w:type="pct"/>
            <w:gridSpan w:val="3"/>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控制措施</w:t>
            </w:r>
          </w:p>
        </w:tc>
        <w:tc>
          <w:tcPr>
            <w:tcW w:w="1029" w:type="pct"/>
            <w:gridSpan w:val="4"/>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排放情况</w:t>
            </w:r>
          </w:p>
        </w:tc>
        <w:tc>
          <w:tcPr>
            <w:tcW w:w="396"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排气筒</w:t>
            </w:r>
          </w:p>
        </w:tc>
        <w:tc>
          <w:tcPr>
            <w:tcW w:w="445"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排放标准</w:t>
            </w:r>
          </w:p>
        </w:tc>
        <w:tc>
          <w:tcPr>
            <w:tcW w:w="227"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产生浓度mg/m</w:t>
            </w:r>
            <w:r>
              <w:rPr>
                <w:rFonts w:hint="default" w:ascii="Times New Roman" w:hAnsi="Times New Roman" w:cs="Times New Roman"/>
                <w:color w:val="auto"/>
                <w:kern w:val="2"/>
                <w:sz w:val="21"/>
                <w:szCs w:val="21"/>
                <w:vertAlign w:val="superscript"/>
              </w:rPr>
              <w:t>3</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产生速率kg/h</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产生量t/a</w:t>
            </w:r>
          </w:p>
        </w:tc>
        <w:tc>
          <w:tcPr>
            <w:tcW w:w="739" w:type="pct"/>
            <w:gridSpan w:val="3"/>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排放浓度mg/m</w:t>
            </w:r>
            <w:r>
              <w:rPr>
                <w:rFonts w:hint="default" w:ascii="Times New Roman" w:hAnsi="Times New Roman" w:cs="Times New Roman"/>
                <w:color w:val="auto"/>
                <w:kern w:val="2"/>
                <w:sz w:val="21"/>
                <w:szCs w:val="21"/>
                <w:vertAlign w:val="superscript"/>
              </w:rPr>
              <w:t>3</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排放速率kg/h</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排放量t/a</w:t>
            </w:r>
          </w:p>
        </w:tc>
        <w:tc>
          <w:tcPr>
            <w:tcW w:w="20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高m</w:t>
            </w:r>
          </w:p>
        </w:tc>
        <w:tc>
          <w:tcPr>
            <w:tcW w:w="18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内径m</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浓度mg/m</w:t>
            </w:r>
            <w:r>
              <w:rPr>
                <w:rFonts w:hint="default" w:ascii="Times New Roman" w:hAnsi="Times New Roman" w:cs="Times New Roman"/>
                <w:color w:val="auto"/>
                <w:kern w:val="2"/>
                <w:sz w:val="21"/>
                <w:szCs w:val="21"/>
                <w:vertAlign w:val="superscript"/>
              </w:rPr>
              <w:t>3</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速率kg/h</w:t>
            </w:r>
          </w:p>
        </w:tc>
        <w:tc>
          <w:tcPr>
            <w:tcW w:w="227"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熔炼和浇筑废气</w:t>
            </w: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eastAsia="zh-CN"/>
              </w:rPr>
            </w:pPr>
            <w:r>
              <w:rPr>
                <w:rFonts w:hint="eastAsia" w:ascii="Times New Roman" w:hAnsi="Times New Roman" w:cs="Times New Roman"/>
                <w:color w:val="auto"/>
                <w:kern w:val="2"/>
                <w:sz w:val="21"/>
                <w:szCs w:val="21"/>
                <w:lang w:eastAsia="zh-CN"/>
              </w:rPr>
              <w:t>颗粒物</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94.07</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2.82</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20.32</w:t>
            </w:r>
          </w:p>
        </w:tc>
        <w:tc>
          <w:tcPr>
            <w:tcW w:w="739" w:type="pct"/>
            <w:gridSpan w:val="3"/>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11"/>
                <w:sz w:val="21"/>
                <w:szCs w:val="21"/>
                <w:u w:val="none" w:color="auto"/>
                <w:lang w:eastAsia="zh-CN"/>
              </w:rPr>
              <w:t>布袋除尘器+碱液喷淋塔</w:t>
            </w:r>
            <w:r>
              <w:rPr>
                <w:rFonts w:hint="eastAsia" w:ascii="Times New Roman" w:hAnsi="Times New Roman" w:eastAsia="宋体" w:cs="Times New Roman"/>
                <w:color w:val="auto"/>
                <w:spacing w:val="11"/>
                <w:sz w:val="21"/>
                <w:szCs w:val="21"/>
                <w:u w:val="none" w:color="auto"/>
                <w:lang w:val="en-US" w:eastAsia="zh-CN"/>
              </w:rPr>
              <w:t>+20m排气筒</w:t>
            </w:r>
            <w:r>
              <w:rPr>
                <w:rFonts w:hint="eastAsia"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DA001</w:t>
            </w:r>
            <w:r>
              <w:rPr>
                <w:rFonts w:hint="eastAsia" w:ascii="Times New Roman" w:hAnsi="Times New Roman" w:cs="Times New Roman"/>
                <w:color w:val="auto"/>
                <w:kern w:val="2"/>
                <w:sz w:val="21"/>
                <w:szCs w:val="21"/>
                <w:lang w:eastAsia="zh-CN"/>
              </w:rPr>
              <w:t>）</w:t>
            </w: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0.89</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0.027</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0.193</w:t>
            </w:r>
          </w:p>
        </w:tc>
        <w:tc>
          <w:tcPr>
            <w:tcW w:w="206"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20</w:t>
            </w:r>
          </w:p>
        </w:tc>
        <w:tc>
          <w:tcPr>
            <w:tcW w:w="189"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1.6</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30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eastAsia="zh-CN"/>
              </w:rPr>
            </w:pPr>
            <w:r>
              <w:rPr>
                <w:rFonts w:hint="eastAsia" w:ascii="Times New Roman" w:hAnsi="Times New Roman" w:cs="Times New Roman"/>
                <w:color w:val="auto"/>
                <w:kern w:val="2"/>
                <w:sz w:val="21"/>
                <w:szCs w:val="21"/>
                <w:lang w:eastAsia="zh-CN"/>
              </w:rPr>
              <w:t>氯化氢</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10.19</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0.31</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739" w:type="pct"/>
            <w:gridSpan w:val="3"/>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1.53</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pacing w:val="11"/>
                <w:sz w:val="21"/>
                <w:szCs w:val="21"/>
                <w:u w:val="none" w:color="auto"/>
                <w:lang w:val="en-US" w:eastAsia="zh-CN"/>
              </w:rPr>
              <w:t>0.046</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0.33</w:t>
            </w:r>
          </w:p>
        </w:tc>
        <w:tc>
          <w:tcPr>
            <w:tcW w:w="206"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189"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100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eastAsia="zh-CN"/>
              </w:rPr>
            </w:pPr>
            <w:r>
              <w:rPr>
                <w:rFonts w:hint="eastAsia" w:ascii="Times New Roman" w:hAnsi="Times New Roman" w:cs="Times New Roman"/>
                <w:color w:val="auto"/>
                <w:kern w:val="2"/>
                <w:sz w:val="21"/>
                <w:szCs w:val="21"/>
                <w:lang w:eastAsia="zh-CN"/>
              </w:rPr>
              <w:t>氟化物</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1.62</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0.35</w:t>
            </w:r>
          </w:p>
        </w:tc>
        <w:tc>
          <w:tcPr>
            <w:tcW w:w="739" w:type="pct"/>
            <w:gridSpan w:val="3"/>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0.23</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0.007</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pacing w:val="11"/>
                <w:sz w:val="21"/>
                <w:szCs w:val="21"/>
                <w:u w:val="none" w:color="auto"/>
                <w:lang w:val="en-US" w:eastAsia="zh-CN"/>
              </w:rPr>
              <w:t>0.05</w:t>
            </w:r>
          </w:p>
        </w:tc>
        <w:tc>
          <w:tcPr>
            <w:tcW w:w="206"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189"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9</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0.59</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天然气燃烧废气</w:t>
            </w: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颗粒物</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eastAsia="宋体" w:cs="Times New Roman"/>
                <w:color w:val="auto"/>
                <w:spacing w:val="-1"/>
                <w:sz w:val="21"/>
                <w:szCs w:val="21"/>
                <w:u w:val="none" w:color="auto"/>
                <w:lang w:val="en-US" w:eastAsia="zh-CN"/>
              </w:rPr>
              <w:t>3.82</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0.03</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0.22</w:t>
            </w:r>
          </w:p>
        </w:tc>
        <w:tc>
          <w:tcPr>
            <w:tcW w:w="739" w:type="pct"/>
            <w:gridSpan w:val="3"/>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kern w:val="2"/>
                <w:sz w:val="21"/>
                <w:szCs w:val="21"/>
                <w:lang w:eastAsia="zh-CN"/>
              </w:rPr>
              <w:t>低氮燃烧器</w:t>
            </w:r>
            <w:r>
              <w:rPr>
                <w:rFonts w:hint="eastAsia" w:ascii="Times New Roman" w:hAnsi="Times New Roman" w:cs="Times New Roman"/>
                <w:color w:val="auto"/>
                <w:kern w:val="2"/>
                <w:sz w:val="21"/>
                <w:szCs w:val="21"/>
                <w:lang w:val="en-US" w:eastAsia="zh-CN"/>
              </w:rPr>
              <w:t>+25m排气筒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pacing w:val="-1"/>
                <w:sz w:val="21"/>
                <w:szCs w:val="21"/>
                <w:u w:val="none" w:color="auto"/>
                <w:lang w:val="en-US" w:eastAsia="zh-CN"/>
              </w:rPr>
              <w:t>3.82</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rPr>
              <w:t>0.03</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0.22</w:t>
            </w:r>
          </w:p>
        </w:tc>
        <w:tc>
          <w:tcPr>
            <w:tcW w:w="206"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189"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30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rPr>
              <w:t>/</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二氧化硫</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eastAsia="宋体" w:cs="Times New Roman"/>
                <w:color w:val="auto"/>
                <w:spacing w:val="-1"/>
                <w:sz w:val="21"/>
                <w:szCs w:val="21"/>
                <w:u w:val="none" w:color="auto"/>
                <w:lang w:val="en-US" w:eastAsia="zh-CN"/>
              </w:rPr>
              <w:t>2.69</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0.02</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0.16</w:t>
            </w:r>
          </w:p>
        </w:tc>
        <w:tc>
          <w:tcPr>
            <w:tcW w:w="739" w:type="pct"/>
            <w:gridSpan w:val="3"/>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pacing w:val="-1"/>
                <w:sz w:val="21"/>
                <w:szCs w:val="21"/>
                <w:u w:val="none" w:color="auto"/>
                <w:lang w:val="en-US" w:eastAsia="zh-CN"/>
              </w:rPr>
              <w:t>2.69</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rPr>
              <w:t>0.02</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0.16</w:t>
            </w:r>
          </w:p>
        </w:tc>
        <w:tc>
          <w:tcPr>
            <w:tcW w:w="206"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189"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100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rPr>
              <w:t>/</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氮氧化物</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eastAsia="宋体" w:cs="Times New Roman"/>
                <w:color w:val="auto"/>
                <w:spacing w:val="-1"/>
                <w:sz w:val="21"/>
                <w:szCs w:val="21"/>
                <w:u w:val="none" w:color="auto"/>
                <w:lang w:val="en-US" w:eastAsia="zh-CN"/>
              </w:rPr>
              <w:t>12.59</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0.21</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1.45</w:t>
            </w:r>
          </w:p>
        </w:tc>
        <w:tc>
          <w:tcPr>
            <w:tcW w:w="739" w:type="pct"/>
            <w:gridSpan w:val="3"/>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Calibri" w:cs="Times New Roman"/>
                <w:color w:val="auto"/>
                <w:kern w:val="2"/>
                <w:sz w:val="21"/>
                <w:szCs w:val="21"/>
              </w:rPr>
            </w:pPr>
            <w:r>
              <w:rPr>
                <w:rFonts w:hint="eastAsia" w:ascii="Times New Roman" w:hAnsi="Times New Roman" w:eastAsia="宋体" w:cs="Times New Roman"/>
                <w:color w:val="auto"/>
                <w:spacing w:val="-1"/>
                <w:sz w:val="21"/>
                <w:szCs w:val="21"/>
                <w:u w:val="none" w:color="auto"/>
                <w:lang w:val="en-US" w:eastAsia="zh-CN"/>
              </w:rPr>
              <w:t>12.59</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rPr>
              <w:t>0.21</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szCs w:val="21"/>
                <w:lang w:val="en-US" w:eastAsia="zh-CN"/>
              </w:rPr>
              <w:t>1.45</w:t>
            </w:r>
          </w:p>
        </w:tc>
        <w:tc>
          <w:tcPr>
            <w:tcW w:w="206"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189"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300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镁板轧机废气</w:t>
            </w: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VOCs</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10.42</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0.04</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36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eastAsia="zh-CN"/>
              </w:rPr>
              <w:t>活性炭吸附</w:t>
            </w:r>
          </w:p>
        </w:tc>
        <w:tc>
          <w:tcPr>
            <w:tcW w:w="373"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20m排气筒</w:t>
            </w:r>
            <w:r>
              <w:rPr>
                <w:rFonts w:hint="default" w:ascii="Times New Roman" w:hAnsi="Times New Roman" w:cs="Times New Roman"/>
                <w:color w:val="auto"/>
                <w:kern w:val="2"/>
                <w:sz w:val="21"/>
                <w:szCs w:val="21"/>
              </w:rPr>
              <w:t>（DA0</w:t>
            </w:r>
            <w:r>
              <w:rPr>
                <w:rFonts w:hint="eastAsia" w:ascii="Times New Roman" w:hAnsi="Times New Roman" w:cs="Times New Roman"/>
                <w:color w:val="auto"/>
                <w:kern w:val="2"/>
                <w:sz w:val="21"/>
                <w:szCs w:val="21"/>
                <w:lang w:val="en-US" w:eastAsia="zh-CN"/>
              </w:rPr>
              <w:t>03</w:t>
            </w:r>
          </w:p>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8.11</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0.23</w:t>
            </w:r>
          </w:p>
        </w:tc>
        <w:tc>
          <w:tcPr>
            <w:tcW w:w="20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20</w:t>
            </w:r>
          </w:p>
        </w:tc>
        <w:tc>
          <w:tcPr>
            <w:tcW w:w="18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100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等离子喷涂</w:t>
            </w:r>
            <w:r>
              <w:rPr>
                <w:rFonts w:hint="eastAsia" w:ascii="Times New Roman" w:hAnsi="Times New Roman" w:cs="Times New Roman"/>
                <w:color w:val="auto"/>
                <w:kern w:val="2"/>
                <w:sz w:val="21"/>
                <w:szCs w:val="21"/>
                <w:lang w:eastAsia="zh-CN"/>
              </w:rPr>
              <w:t>废气</w:t>
            </w: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颗粒物</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395.83</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2.08</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36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eastAsia="zh-CN"/>
              </w:rPr>
              <w:t>布袋除尘器</w:t>
            </w:r>
          </w:p>
        </w:tc>
        <w:tc>
          <w:tcPr>
            <w:tcW w:w="373"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19.79</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0.09</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Calibri" w:cs="Times New Roman"/>
                <w:color w:val="auto"/>
                <w:kern w:val="2"/>
                <w:sz w:val="21"/>
                <w:szCs w:val="21"/>
              </w:rPr>
            </w:pPr>
            <w:r>
              <w:rPr>
                <w:rFonts w:hint="eastAsia" w:ascii="Times New Roman" w:hAnsi="Times New Roman" w:cs="Times New Roman"/>
                <w:color w:val="auto"/>
                <w:kern w:val="2"/>
                <w:sz w:val="21"/>
                <w:szCs w:val="21"/>
                <w:lang w:val="en-US" w:eastAsia="zh-CN"/>
              </w:rPr>
              <w:t>0.71</w:t>
            </w:r>
          </w:p>
        </w:tc>
        <w:tc>
          <w:tcPr>
            <w:tcW w:w="206" w:type="pct"/>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20</w:t>
            </w:r>
          </w:p>
        </w:tc>
        <w:tc>
          <w:tcPr>
            <w:tcW w:w="18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0.4</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30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喷漆和烘干</w:t>
            </w: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颗粒物</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6.65</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0.92</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92.36</w:t>
            </w:r>
          </w:p>
        </w:tc>
        <w:tc>
          <w:tcPr>
            <w:tcW w:w="366"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sz w:val="21"/>
                <w:szCs w:val="21"/>
                <w:u w:val="none" w:color="auto"/>
                <w:lang w:val="en-US" w:eastAsia="zh-CN"/>
              </w:rPr>
              <w:t>水帘+干式过滤</w:t>
            </w:r>
            <w:r>
              <w:rPr>
                <w:rFonts w:hint="eastAsia" w:ascii="Times New Roman" w:hAnsi="Times New Roman" w:eastAsia="宋体" w:cs="Times New Roman"/>
                <w:color w:val="auto"/>
                <w:sz w:val="21"/>
                <w:szCs w:val="21"/>
                <w:u w:val="none" w:color="auto"/>
                <w:lang w:val="en-US" w:eastAsia="zh-CN"/>
              </w:rPr>
              <w:t>+活性炭吸附</w:t>
            </w:r>
          </w:p>
        </w:tc>
        <w:tc>
          <w:tcPr>
            <w:tcW w:w="373"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1.84</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0.018</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0.133</w:t>
            </w:r>
          </w:p>
        </w:tc>
        <w:tc>
          <w:tcPr>
            <w:tcW w:w="206" w:type="pct"/>
            <w:vMerge w:val="restart"/>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20</w:t>
            </w:r>
          </w:p>
        </w:tc>
        <w:tc>
          <w:tcPr>
            <w:tcW w:w="189"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0.4</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30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27"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VOCs</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2.85</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0.39</w:t>
            </w: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39.58</w:t>
            </w:r>
          </w:p>
        </w:tc>
        <w:tc>
          <w:tcPr>
            <w:tcW w:w="366"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73"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32.45</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0.05</w:t>
            </w: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0.39</w:t>
            </w:r>
          </w:p>
        </w:tc>
        <w:tc>
          <w:tcPr>
            <w:tcW w:w="206"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189"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100</w:t>
            </w: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27"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32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食堂油烟</w:t>
            </w:r>
          </w:p>
        </w:tc>
        <w:tc>
          <w:tcPr>
            <w:tcW w:w="4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油烟</w:t>
            </w:r>
          </w:p>
        </w:tc>
        <w:tc>
          <w:tcPr>
            <w:tcW w:w="35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5.83</w:t>
            </w:r>
          </w:p>
        </w:tc>
        <w:tc>
          <w:tcPr>
            <w:tcW w:w="410"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sz w:val="21"/>
                <w:szCs w:val="21"/>
                <w:lang w:val="en-US" w:eastAsia="zh-CN"/>
              </w:rPr>
            </w:pPr>
          </w:p>
        </w:tc>
        <w:tc>
          <w:tcPr>
            <w:tcW w:w="46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42</w:t>
            </w:r>
          </w:p>
        </w:tc>
        <w:tc>
          <w:tcPr>
            <w:tcW w:w="739"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eastAsia="zh-CN"/>
              </w:rPr>
            </w:pPr>
            <w:r>
              <w:rPr>
                <w:rFonts w:hint="eastAsia" w:ascii="Times New Roman" w:hAnsi="Times New Roman" w:cs="Times New Roman"/>
                <w:color w:val="auto"/>
                <w:kern w:val="2"/>
                <w:sz w:val="21"/>
                <w:szCs w:val="21"/>
                <w:lang w:eastAsia="zh-CN"/>
              </w:rPr>
              <w:t>油烟净化器</w:t>
            </w: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1.42</w:t>
            </w:r>
          </w:p>
        </w:tc>
        <w:tc>
          <w:tcPr>
            <w:tcW w:w="31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val="en-US" w:eastAsia="zh-CN"/>
              </w:rPr>
            </w:pPr>
          </w:p>
        </w:tc>
        <w:tc>
          <w:tcPr>
            <w:tcW w:w="304"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sz w:val="21"/>
                <w:szCs w:val="21"/>
                <w:u w:val="none" w:color="auto"/>
              </w:rPr>
              <w:t>0.0</w:t>
            </w:r>
            <w:r>
              <w:rPr>
                <w:rFonts w:hint="eastAsia" w:ascii="Times New Roman" w:hAnsi="Times New Roman" w:eastAsia="宋体" w:cs="Times New Roman"/>
                <w:color w:val="auto"/>
                <w:sz w:val="21"/>
                <w:szCs w:val="21"/>
                <w:u w:val="none" w:color="auto"/>
                <w:lang w:val="en-US" w:eastAsia="zh-CN"/>
              </w:rPr>
              <w:t>105</w:t>
            </w:r>
          </w:p>
        </w:tc>
        <w:tc>
          <w:tcPr>
            <w:tcW w:w="20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8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26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1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22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807" w:type="pct"/>
            <w:gridSpan w:val="21"/>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无组织排放情况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无组织位置</w:t>
            </w:r>
          </w:p>
        </w:tc>
        <w:tc>
          <w:tcPr>
            <w:tcW w:w="442"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污染物名称</w:t>
            </w:r>
          </w:p>
        </w:tc>
        <w:tc>
          <w:tcPr>
            <w:tcW w:w="1209" w:type="pct"/>
            <w:gridSpan w:val="6"/>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产生情况</w:t>
            </w:r>
          </w:p>
        </w:tc>
        <w:tc>
          <w:tcPr>
            <w:tcW w:w="317"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控制措施</w:t>
            </w:r>
          </w:p>
        </w:tc>
        <w:tc>
          <w:tcPr>
            <w:tcW w:w="1409" w:type="pct"/>
            <w:gridSpan w:val="6"/>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排放情况</w:t>
            </w:r>
          </w:p>
        </w:tc>
        <w:tc>
          <w:tcPr>
            <w:tcW w:w="688" w:type="pct"/>
            <w:gridSpan w:val="4"/>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42"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产生量t/a</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产生浓度mg/m</w:t>
            </w:r>
            <w:r>
              <w:rPr>
                <w:rFonts w:hint="default" w:ascii="Times New Roman" w:hAnsi="Times New Roman" w:cs="Times New Roman"/>
                <w:color w:val="auto"/>
                <w:kern w:val="2"/>
                <w:sz w:val="21"/>
                <w:szCs w:val="21"/>
                <w:vertAlign w:val="superscript"/>
              </w:rPr>
              <w:t>3</w:t>
            </w:r>
          </w:p>
        </w:tc>
        <w:tc>
          <w:tcPr>
            <w:tcW w:w="475"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产生速率kg/h</w:t>
            </w:r>
          </w:p>
        </w:tc>
        <w:tc>
          <w:tcPr>
            <w:tcW w:w="317"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排放量t/a</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排放浓度mg/m</w:t>
            </w:r>
            <w:r>
              <w:rPr>
                <w:rFonts w:hint="default" w:ascii="Times New Roman" w:hAnsi="Times New Roman" w:cs="Times New Roman"/>
                <w:color w:val="auto"/>
                <w:kern w:val="2"/>
                <w:sz w:val="21"/>
                <w:szCs w:val="21"/>
                <w:vertAlign w:val="superscript"/>
              </w:rPr>
              <w:t>3</w:t>
            </w:r>
          </w:p>
        </w:tc>
        <w:tc>
          <w:tcPr>
            <w:tcW w:w="429"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排放速率kg/h</w:t>
            </w:r>
          </w:p>
        </w:tc>
        <w:tc>
          <w:tcPr>
            <w:tcW w:w="688" w:type="pct"/>
            <w:gridSpan w:val="4"/>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长/宽/高（m）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熔炼车间</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颗粒物</w:t>
            </w: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1.016</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75" w:type="pct"/>
            <w:gridSpan w:val="3"/>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0.14</w:t>
            </w:r>
          </w:p>
        </w:tc>
        <w:tc>
          <w:tcPr>
            <w:tcW w:w="317"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加强通风</w:t>
            </w: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rPr>
              <w:t>1.016</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gridSpan w:val="3"/>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0.14</w:t>
            </w:r>
          </w:p>
        </w:tc>
        <w:tc>
          <w:tcPr>
            <w:tcW w:w="688" w:type="pct"/>
            <w:gridSpan w:val="4"/>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171</w:t>
            </w:r>
            <w:r>
              <w:rPr>
                <w:rFonts w:hint="default" w:ascii="Times New Roman" w:hAnsi="Times New Roman" w:cs="Times New Roman"/>
                <w:color w:val="auto"/>
                <w:kern w:val="2"/>
                <w:sz w:val="21"/>
                <w:szCs w:val="21"/>
              </w:rPr>
              <w:t>/</w:t>
            </w:r>
            <w:r>
              <w:rPr>
                <w:rFonts w:hint="eastAsia" w:ascii="Times New Roman" w:hAnsi="Times New Roman" w:cs="Times New Roman"/>
                <w:color w:val="auto"/>
                <w:kern w:val="2"/>
                <w:sz w:val="21"/>
                <w:szCs w:val="21"/>
                <w:lang w:val="en-US" w:eastAsia="zh-CN"/>
              </w:rPr>
              <w:t>30</w:t>
            </w:r>
            <w:r>
              <w:rPr>
                <w:rFonts w:hint="default" w:ascii="Times New Roman" w:hAnsi="Times New Roman" w:cs="Times New Roman"/>
                <w:color w:val="auto"/>
                <w:kern w:val="2"/>
                <w:sz w:val="21"/>
                <w:szCs w:val="21"/>
              </w:rPr>
              <w:t>/</w:t>
            </w:r>
            <w:r>
              <w:rPr>
                <w:rFonts w:hint="eastAsia" w:ascii="Times New Roman" w:hAnsi="Times New Roman" w:cs="Times New Roman"/>
                <w:color w:val="auto"/>
                <w:kern w:val="2"/>
                <w:sz w:val="21"/>
                <w:szCs w:val="21"/>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kern w:val="2"/>
                <w:sz w:val="21"/>
                <w:szCs w:val="21"/>
                <w:lang w:eastAsia="zh-CN"/>
              </w:rPr>
              <w:t>氯化氢</w:t>
            </w: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0.11</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75" w:type="pct"/>
            <w:gridSpan w:val="3"/>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317"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rPr>
              <w:t>0.11</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gridSpan w:val="3"/>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0.01</w:t>
            </w:r>
          </w:p>
        </w:tc>
        <w:tc>
          <w:tcPr>
            <w:tcW w:w="688" w:type="pct"/>
            <w:gridSpan w:val="4"/>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kern w:val="2"/>
                <w:sz w:val="21"/>
                <w:szCs w:val="21"/>
                <w:lang w:eastAsia="zh-CN"/>
              </w:rPr>
              <w:t>氟化物</w:t>
            </w: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.017</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75" w:type="pct"/>
            <w:gridSpan w:val="3"/>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317"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.017</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gridSpan w:val="3"/>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0.002</w:t>
            </w:r>
          </w:p>
        </w:tc>
        <w:tc>
          <w:tcPr>
            <w:tcW w:w="688" w:type="pct"/>
            <w:gridSpan w:val="4"/>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val="en-US" w:eastAsia="zh-CN"/>
              </w:rPr>
              <w:t>镁板轧机</w:t>
            </w:r>
            <w:r>
              <w:rPr>
                <w:rFonts w:hint="eastAsia" w:ascii="Times New Roman" w:hAnsi="Times New Roman" w:cs="Times New Roman"/>
                <w:color w:val="auto"/>
                <w:kern w:val="2"/>
                <w:sz w:val="21"/>
                <w:szCs w:val="21"/>
                <w:lang w:val="en-US" w:eastAsia="zh-CN"/>
              </w:rPr>
              <w:t>车间</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VOCs</w:t>
            </w: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15</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75"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317"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加强通风</w:t>
            </w: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15</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0.002</w:t>
            </w:r>
          </w:p>
        </w:tc>
        <w:tc>
          <w:tcPr>
            <w:tcW w:w="688" w:type="pct"/>
            <w:gridSpan w:val="4"/>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color w:val="auto"/>
                <w:kern w:val="2"/>
                <w:sz w:val="21"/>
                <w:szCs w:val="21"/>
                <w:lang w:val="en-US" w:eastAsia="zh-CN"/>
              </w:rPr>
              <w:t>256</w:t>
            </w:r>
            <w:r>
              <w:rPr>
                <w:rFonts w:hint="default" w:ascii="Times New Roman" w:hAnsi="Times New Roman" w:cs="Times New Roman"/>
                <w:color w:val="auto"/>
                <w:kern w:val="2"/>
                <w:sz w:val="21"/>
                <w:szCs w:val="21"/>
              </w:rPr>
              <w:t>/</w:t>
            </w:r>
            <w:r>
              <w:rPr>
                <w:rFonts w:hint="eastAsia" w:ascii="Times New Roman" w:hAnsi="Times New Roman" w:cs="Times New Roman"/>
                <w:color w:val="auto"/>
                <w:kern w:val="2"/>
                <w:sz w:val="21"/>
                <w:szCs w:val="21"/>
                <w:lang w:val="en-US" w:eastAsia="zh-CN"/>
              </w:rPr>
              <w:t>99</w:t>
            </w:r>
            <w:r>
              <w:rPr>
                <w:rFonts w:hint="default" w:ascii="Times New Roman" w:hAnsi="Times New Roman" w:cs="Times New Roman"/>
                <w:color w:val="auto"/>
                <w:kern w:val="2"/>
                <w:sz w:val="21"/>
                <w:szCs w:val="21"/>
              </w:rPr>
              <w:t>/</w:t>
            </w:r>
            <w:r>
              <w:rPr>
                <w:rFonts w:hint="eastAsia" w:ascii="Times New Roman" w:hAnsi="Times New Roman" w:cs="Times New Roman"/>
                <w:color w:val="auto"/>
                <w:kern w:val="2"/>
                <w:sz w:val="21"/>
                <w:szCs w:val="21"/>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eastAsia="zh-CN"/>
              </w:rPr>
              <w:t>表面处理车间（喷涂加喷漆）</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eastAsia="zh-CN"/>
              </w:rPr>
              <w:t>颗粒物</w:t>
            </w: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75"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317"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加强通风</w:t>
            </w: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1.1</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29"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0.15</w:t>
            </w:r>
          </w:p>
        </w:tc>
        <w:tc>
          <w:tcPr>
            <w:tcW w:w="688" w:type="pct"/>
            <w:gridSpan w:val="4"/>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rPr>
            </w:pPr>
            <w:r>
              <w:rPr>
                <w:rFonts w:hint="eastAsia" w:ascii="Times New Roman" w:hAnsi="Times New Roman" w:cs="Times New Roman"/>
                <w:color w:val="auto"/>
                <w:kern w:val="2"/>
                <w:sz w:val="21"/>
                <w:szCs w:val="21"/>
                <w:lang w:val="en-US" w:eastAsia="zh-CN"/>
              </w:rPr>
              <w:t>171/33</w:t>
            </w:r>
            <w:r>
              <w:rPr>
                <w:rFonts w:hint="default" w:ascii="Times New Roman" w:hAnsi="Times New Roman" w:cs="Times New Roman"/>
                <w:color w:val="auto"/>
                <w:kern w:val="2"/>
                <w:sz w:val="21"/>
                <w:szCs w:val="21"/>
              </w:rPr>
              <w:t>/</w:t>
            </w:r>
            <w:r>
              <w:rPr>
                <w:rFonts w:hint="eastAsia" w:ascii="Times New Roman" w:hAnsi="Times New Roman" w:cs="Times New Roman"/>
                <w:color w:val="auto"/>
                <w:kern w:val="2"/>
                <w:sz w:val="21"/>
                <w:szCs w:val="21"/>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738" w:type="pct"/>
            <w:gridSpan w:val="2"/>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lang w:val="en-US" w:eastAsia="zh-CN"/>
              </w:rPr>
            </w:pP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VOCs</w:t>
            </w:r>
          </w:p>
        </w:tc>
        <w:tc>
          <w:tcPr>
            <w:tcW w:w="2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442"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75"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317"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c>
          <w:tcPr>
            <w:tcW w:w="41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0.15</w:t>
            </w:r>
          </w:p>
        </w:tc>
        <w:tc>
          <w:tcPr>
            <w:tcW w:w="569"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p>
        </w:tc>
        <w:tc>
          <w:tcPr>
            <w:tcW w:w="429"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0.02</w:t>
            </w:r>
          </w:p>
        </w:tc>
        <w:tc>
          <w:tcPr>
            <w:tcW w:w="688" w:type="pct"/>
            <w:gridSpan w:val="4"/>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cs="Times New Roman"/>
                <w:color w:val="auto"/>
                <w:kern w:val="2"/>
                <w:sz w:val="21"/>
                <w:szCs w:val="21"/>
              </w:rPr>
            </w:pPr>
          </w:p>
        </w:tc>
      </w:tr>
    </w:tbl>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0" w:firstLineChars="200"/>
        <w:textAlignment w:val="auto"/>
        <w:rPr>
          <w:rFonts w:hint="eastAsia" w:ascii="Times New Roman" w:hAnsi="Times New Roman" w:eastAsia="宋体" w:cs="Times New Roman"/>
          <w:color w:val="auto"/>
          <w:sz w:val="24"/>
          <w:szCs w:val="24"/>
          <w:u w:val="none" w:color="auto"/>
          <w:lang w:val="en-US" w:eastAsia="zh-CN"/>
        </w:rPr>
        <w:sectPr>
          <w:pgSz w:w="16839" w:h="11906" w:orient="landscape"/>
          <w:pgMar w:top="1785" w:right="1132" w:bottom="1533" w:left="1181" w:header="882" w:footer="994" w:gutter="0"/>
          <w:pgBorders>
            <w:top w:val="none" w:sz="0" w:space="0"/>
            <w:left w:val="none" w:sz="0" w:space="0"/>
            <w:bottom w:val="none" w:sz="0" w:space="0"/>
            <w:right w:val="none" w:sz="0" w:space="0"/>
          </w:pgBorders>
          <w:pgNumType w:fmt="decimal"/>
          <w:cols w:space="720" w:num="1"/>
        </w:sectPr>
      </w:pPr>
    </w:p>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lang w:val="en-US" w:eastAsia="zh-CN"/>
        </w:rPr>
      </w:pPr>
      <w:bookmarkStart w:id="149" w:name="_Toc23150"/>
      <w:r>
        <w:rPr>
          <w:rFonts w:hint="eastAsia" w:ascii="Times New Roman" w:hAnsi="Times New Roman" w:eastAsia="宋体" w:cs="Times New Roman"/>
          <w:color w:val="auto"/>
          <w:highlight w:val="none"/>
          <w:u w:val="none" w:color="auto"/>
          <w:lang w:val="en-US" w:eastAsia="zh-CN"/>
        </w:rPr>
        <w:t>3.6.2废水污染源分析</w:t>
      </w:r>
      <w:bookmarkEnd w:id="149"/>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0"/>
          <w:highlight w:val="none"/>
          <w:u w:val="none" w:color="auto"/>
          <w:lang w:val="en-US" w:eastAsia="zh-CN" w:bidi="ar-SA"/>
        </w:rPr>
      </w:pPr>
      <w:r>
        <w:rPr>
          <w:rFonts w:hint="eastAsia" w:ascii="Times New Roman" w:hAnsi="Times New Roman" w:eastAsia="宋体" w:cs="Times New Roman"/>
          <w:color w:val="auto"/>
          <w:kern w:val="2"/>
          <w:sz w:val="24"/>
          <w:szCs w:val="20"/>
          <w:highlight w:val="none"/>
          <w:u w:val="none" w:color="auto"/>
          <w:lang w:val="en-US" w:eastAsia="zh-CN" w:bidi="ar-SA"/>
        </w:rPr>
        <w:t>项目废水主要为员工生活污水和少量含油冷却排污水。</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default" w:ascii="Times New Roman" w:hAnsi="Times New Roman" w:eastAsia="宋体" w:cs="Times New Roman"/>
          <w:color w:val="auto"/>
          <w:kern w:val="2"/>
          <w:sz w:val="24"/>
          <w:szCs w:val="20"/>
          <w:highlight w:val="none"/>
          <w:u w:val="none" w:color="auto"/>
          <w:lang w:val="en-US" w:eastAsia="zh-CN" w:bidi="ar-SA"/>
        </w:rPr>
      </w:pPr>
      <w:bookmarkStart w:id="150" w:name="_Toc14455"/>
      <w:r>
        <w:rPr>
          <w:rFonts w:hint="default" w:ascii="Times New Roman" w:hAnsi="Times New Roman" w:eastAsia="宋体" w:cs="Times New Roman"/>
          <w:color w:val="auto"/>
          <w:kern w:val="2"/>
          <w:sz w:val="24"/>
          <w:szCs w:val="20"/>
          <w:highlight w:val="none"/>
          <w:u w:val="none" w:color="auto"/>
          <w:lang w:val="en-US" w:eastAsia="zh-CN" w:bidi="ar-SA"/>
        </w:rPr>
        <w:t>（1）生活</w:t>
      </w:r>
      <w:r>
        <w:rPr>
          <w:rFonts w:hint="eastAsia" w:ascii="Times New Roman" w:hAnsi="Times New Roman" w:eastAsia="宋体" w:cs="Times New Roman"/>
          <w:color w:val="auto"/>
          <w:kern w:val="2"/>
          <w:sz w:val="24"/>
          <w:szCs w:val="20"/>
          <w:highlight w:val="none"/>
          <w:u w:val="none" w:color="auto"/>
          <w:lang w:val="en-US" w:eastAsia="zh-CN" w:bidi="ar-SA"/>
        </w:rPr>
        <w:t>污水</w:t>
      </w:r>
      <w:bookmarkEnd w:id="150"/>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0"/>
          <w:highlight w:val="none"/>
          <w:u w:val="none" w:color="auto"/>
          <w:lang w:val="en-US" w:eastAsia="zh-CN" w:bidi="ar-SA"/>
        </w:rPr>
      </w:pPr>
      <w:r>
        <w:rPr>
          <w:rFonts w:ascii="Times New Roman" w:hAnsi="Times New Roman"/>
          <w:color w:val="auto"/>
          <w:sz w:val="24"/>
          <w:szCs w:val="24"/>
        </w:rPr>
        <w:t>根据水平衡计算，项目预计产生生活污水约为</w:t>
      </w:r>
      <w:r>
        <w:rPr>
          <w:rFonts w:hint="eastAsia" w:ascii="Times New Roman" w:hAnsi="Times New Roman" w:eastAsia="宋体" w:cs="Times New Roman"/>
          <w:color w:val="auto"/>
          <w:kern w:val="2"/>
          <w:sz w:val="24"/>
          <w:szCs w:val="24"/>
          <w:highlight w:val="none"/>
          <w:u w:val="none" w:color="auto"/>
          <w:lang w:val="en-US" w:eastAsia="zh-CN" w:bidi="ar-SA"/>
        </w:rPr>
        <w:t>52.2</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/d（</w:t>
      </w:r>
      <w:r>
        <w:rPr>
          <w:rFonts w:hint="eastAsia" w:ascii="Times New Roman" w:hAnsi="Times New Roman" w:eastAsia="宋体" w:cs="Times New Roman"/>
          <w:color w:val="auto"/>
          <w:kern w:val="2"/>
          <w:sz w:val="24"/>
          <w:szCs w:val="24"/>
          <w:highlight w:val="none"/>
          <w:u w:val="none" w:color="auto"/>
          <w:lang w:val="en-US" w:eastAsia="zh-CN" w:bidi="ar-SA"/>
        </w:rPr>
        <w:t>15660</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/a）</w:t>
      </w:r>
      <w:r>
        <w:rPr>
          <w:rFonts w:ascii="Times New Roman" w:hAnsi="Times New Roman"/>
          <w:color w:val="auto"/>
          <w:sz w:val="24"/>
          <w:szCs w:val="24"/>
        </w:rPr>
        <w:t>，主要污染因子为COD、</w:t>
      </w:r>
      <w:r>
        <w:rPr>
          <w:rFonts w:hint="eastAsia" w:ascii="Times New Roman" w:hAnsi="Times New Roman"/>
          <w:color w:val="auto"/>
          <w:sz w:val="24"/>
          <w:szCs w:val="24"/>
        </w:rPr>
        <w:t>BOD</w:t>
      </w:r>
      <w:r>
        <w:rPr>
          <w:rFonts w:hint="eastAsia" w:ascii="Times New Roman" w:hAnsi="Times New Roman"/>
          <w:color w:val="auto"/>
          <w:sz w:val="24"/>
          <w:szCs w:val="24"/>
          <w:vertAlign w:val="subscript"/>
        </w:rPr>
        <w:t>5</w:t>
      </w:r>
      <w:r>
        <w:rPr>
          <w:rFonts w:ascii="Times New Roman" w:hAnsi="Times New Roman"/>
          <w:color w:val="auto"/>
          <w:sz w:val="24"/>
          <w:szCs w:val="24"/>
        </w:rPr>
        <w:t>、SS、氨氮、动植物油类等，生活污水（食堂废水</w:t>
      </w:r>
      <w:r>
        <w:rPr>
          <w:rFonts w:hint="eastAsia" w:ascii="Times New Roman" w:hAnsi="Times New Roman"/>
          <w:color w:val="auto"/>
          <w:sz w:val="24"/>
          <w:szCs w:val="24"/>
          <w:lang w:eastAsia="zh-CN"/>
        </w:rPr>
        <w:t>）</w:t>
      </w:r>
      <w:r>
        <w:rPr>
          <w:rFonts w:ascii="Times New Roman" w:hAnsi="Times New Roman"/>
          <w:color w:val="auto"/>
          <w:sz w:val="24"/>
          <w:szCs w:val="24"/>
        </w:rPr>
        <w:t>采取“隔油池预处理后达《污水综合排放标准》</w:t>
      </w:r>
      <w:r>
        <w:rPr>
          <w:rFonts w:hint="eastAsia" w:ascii="Times New Roman" w:hAnsi="Times New Roman"/>
          <w:color w:val="auto"/>
          <w:sz w:val="24"/>
          <w:szCs w:val="24"/>
        </w:rPr>
        <w:t>(GB8978-1996)</w:t>
      </w:r>
      <w:r>
        <w:rPr>
          <w:rFonts w:ascii="Times New Roman" w:hAnsi="Times New Roman"/>
          <w:color w:val="auto"/>
          <w:sz w:val="24"/>
          <w:szCs w:val="24"/>
        </w:rPr>
        <w:t>表4的三级标准及污水处理厂</w:t>
      </w:r>
      <w:r>
        <w:rPr>
          <w:rFonts w:hint="eastAsia" w:ascii="Times New Roman" w:hAnsi="Times New Roman"/>
          <w:color w:val="auto"/>
          <w:sz w:val="24"/>
          <w:szCs w:val="24"/>
        </w:rPr>
        <w:t>的纳管协议标准后</w:t>
      </w:r>
      <w:r>
        <w:rPr>
          <w:rFonts w:ascii="Times New Roman" w:hAnsi="Times New Roman"/>
          <w:color w:val="auto"/>
          <w:sz w:val="24"/>
          <w:szCs w:val="24"/>
        </w:rPr>
        <w:t>，</w:t>
      </w:r>
      <w:r>
        <w:rPr>
          <w:rFonts w:hint="eastAsia" w:ascii="Times New Roman" w:hAnsi="Times New Roman"/>
          <w:color w:val="auto"/>
          <w:sz w:val="24"/>
          <w:szCs w:val="24"/>
        </w:rPr>
        <w:t>通过厂区生活污水排放口（DW001）</w:t>
      </w:r>
      <w:r>
        <w:rPr>
          <w:rFonts w:ascii="Times New Roman" w:hAnsi="Times New Roman"/>
          <w:color w:val="auto"/>
          <w:sz w:val="24"/>
          <w:szCs w:val="24"/>
        </w:rPr>
        <w:t>排入市政污水管网，经</w:t>
      </w:r>
      <w:r>
        <w:rPr>
          <w:rFonts w:hint="eastAsia" w:ascii="Times New Roman" w:hAnsi="Times New Roman"/>
          <w:color w:val="auto"/>
          <w:sz w:val="24"/>
          <w:szCs w:val="24"/>
        </w:rPr>
        <w:t>湖南三峡环境临港水质净化厂</w:t>
      </w:r>
      <w:r>
        <w:rPr>
          <w:rFonts w:ascii="Times New Roman" w:hAnsi="Times New Roman"/>
          <w:color w:val="auto"/>
          <w:sz w:val="24"/>
          <w:szCs w:val="24"/>
        </w:rPr>
        <w:t>处理达《城镇污水处理厂污染物排放标准》（GB18918-2002）及修改单中一级A标准，经象骨港汇入长江。</w:t>
      </w:r>
      <w:r>
        <w:rPr>
          <w:rFonts w:hint="eastAsia" w:ascii="Times New Roman" w:hAnsi="Times New Roman" w:eastAsia="宋体" w:cs="Times New Roman"/>
          <w:color w:val="auto"/>
          <w:kern w:val="2"/>
          <w:sz w:val="24"/>
          <w:szCs w:val="20"/>
          <w:highlight w:val="none"/>
          <w:u w:val="none" w:color="auto"/>
          <w:lang w:val="en-US" w:eastAsia="zh-CN" w:bidi="ar-SA"/>
        </w:rPr>
        <w:t>根据《室外排水设计标准》（GB50014-2021）中第3.3.6条:城镇已建有污水收集和集中处理设施时，分流制排水系统不应设置化粪池，本项目属于污水排入园区管网，满足接纳要求，不设置化粪池。</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outlineLvl w:val="2"/>
        <w:rPr>
          <w:rFonts w:hint="default" w:ascii="Times New Roman" w:hAnsi="Times New Roman" w:eastAsia="宋体" w:cs="Times New Roman"/>
          <w:color w:val="auto"/>
          <w:kern w:val="2"/>
          <w:sz w:val="24"/>
          <w:szCs w:val="20"/>
          <w:highlight w:val="none"/>
          <w:u w:val="none" w:color="auto"/>
          <w:lang w:val="en-US" w:eastAsia="zh-CN" w:bidi="ar-SA"/>
        </w:rPr>
      </w:pPr>
      <w:bookmarkStart w:id="151" w:name="_Toc2338"/>
      <w:r>
        <w:rPr>
          <w:rFonts w:hint="default" w:ascii="Times New Roman" w:hAnsi="Times New Roman" w:eastAsia="宋体" w:cs="Times New Roman"/>
          <w:color w:val="auto"/>
          <w:kern w:val="2"/>
          <w:sz w:val="24"/>
          <w:szCs w:val="20"/>
          <w:highlight w:val="none"/>
          <w:u w:val="none" w:color="auto"/>
          <w:lang w:val="en-US" w:eastAsia="zh-CN" w:bidi="ar-SA"/>
        </w:rPr>
        <w:t>（2）</w:t>
      </w:r>
      <w:r>
        <w:rPr>
          <w:rFonts w:hint="eastAsia" w:ascii="Times New Roman" w:hAnsi="Times New Roman" w:eastAsia="宋体" w:cs="Times New Roman"/>
          <w:color w:val="auto"/>
          <w:kern w:val="2"/>
          <w:sz w:val="24"/>
          <w:szCs w:val="20"/>
          <w:highlight w:val="none"/>
          <w:u w:val="none" w:color="auto"/>
          <w:lang w:val="en-US" w:eastAsia="zh-CN" w:bidi="ar-SA"/>
        </w:rPr>
        <w:t>含油冷却排污水</w:t>
      </w:r>
      <w:bookmarkEnd w:id="151"/>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0"/>
          <w:highlight w:val="none"/>
          <w:u w:val="none" w:color="auto"/>
          <w:lang w:val="en-US" w:eastAsia="zh-CN" w:bidi="ar-SA"/>
        </w:rPr>
      </w:pPr>
      <w:r>
        <w:rPr>
          <w:rFonts w:hint="eastAsia" w:ascii="Times New Roman" w:hAnsi="Times New Roman" w:eastAsia="宋体" w:cs="Times New Roman"/>
          <w:color w:val="auto"/>
          <w:kern w:val="2"/>
          <w:sz w:val="24"/>
          <w:szCs w:val="20"/>
          <w:highlight w:val="none"/>
          <w:u w:val="none" w:color="auto"/>
          <w:lang w:val="en-US" w:eastAsia="zh-CN" w:bidi="ar-SA"/>
        </w:rPr>
        <w:t>根据水平衡分析，本项目含油冷却污水排放量为720m</w:t>
      </w:r>
      <w:r>
        <w:rPr>
          <w:rFonts w:hint="eastAsia" w:ascii="Times New Roman" w:hAnsi="Times New Roman" w:eastAsia="宋体" w:cs="Times New Roman"/>
          <w:color w:val="auto"/>
          <w:kern w:val="2"/>
          <w:sz w:val="24"/>
          <w:szCs w:val="20"/>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0"/>
          <w:highlight w:val="none"/>
          <w:u w:val="none" w:color="auto"/>
          <w:lang w:val="en-US" w:eastAsia="zh-CN" w:bidi="ar-SA"/>
        </w:rPr>
        <w:t>/a（2.4m</w:t>
      </w:r>
      <w:r>
        <w:rPr>
          <w:rFonts w:hint="eastAsia" w:ascii="Times New Roman" w:hAnsi="Times New Roman" w:eastAsia="宋体" w:cs="Times New Roman"/>
          <w:color w:val="auto"/>
          <w:kern w:val="2"/>
          <w:sz w:val="24"/>
          <w:szCs w:val="20"/>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0"/>
          <w:highlight w:val="none"/>
          <w:u w:val="none" w:color="auto"/>
          <w:lang w:val="en-US" w:eastAsia="zh-CN" w:bidi="ar-SA"/>
        </w:rPr>
        <w:t>/d）排放，主要成分为COD、石油类，类比同类项目，产生浓度约为COD：1500mg/m</w:t>
      </w:r>
      <w:r>
        <w:rPr>
          <w:rFonts w:hint="eastAsia" w:ascii="Times New Roman" w:hAnsi="Times New Roman" w:eastAsia="宋体" w:cs="Times New Roman"/>
          <w:color w:val="auto"/>
          <w:kern w:val="2"/>
          <w:sz w:val="24"/>
          <w:szCs w:val="20"/>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0"/>
          <w:highlight w:val="none"/>
          <w:u w:val="none" w:color="auto"/>
          <w:vertAlign w:val="baseline"/>
          <w:lang w:val="en-US" w:eastAsia="zh-CN" w:bidi="ar-SA"/>
        </w:rPr>
        <w:t>，</w:t>
      </w:r>
      <w:r>
        <w:rPr>
          <w:rFonts w:hint="eastAsia" w:ascii="Times New Roman" w:hAnsi="Times New Roman" w:eastAsia="宋体" w:cs="Times New Roman"/>
          <w:color w:val="auto"/>
          <w:kern w:val="2"/>
          <w:sz w:val="24"/>
          <w:szCs w:val="20"/>
          <w:highlight w:val="none"/>
          <w:u w:val="none" w:color="auto"/>
          <w:lang w:val="en-US" w:eastAsia="zh-CN" w:bidi="ar-SA"/>
        </w:rPr>
        <w:t>石油类250mg/m</w:t>
      </w:r>
      <w:r>
        <w:rPr>
          <w:rFonts w:hint="eastAsia" w:ascii="Times New Roman" w:hAnsi="Times New Roman" w:eastAsia="宋体" w:cs="Times New Roman"/>
          <w:color w:val="auto"/>
          <w:kern w:val="2"/>
          <w:sz w:val="24"/>
          <w:szCs w:val="20"/>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0"/>
          <w:highlight w:val="none"/>
          <w:u w:val="none" w:color="auto"/>
          <w:lang w:val="en-US" w:eastAsia="zh-CN" w:bidi="ar-SA"/>
        </w:rPr>
        <w:t>。经自建隔油沉淀+混凝气浮设施处理后，生活污水一起进入城陵矶临港产业新区污水处理厂。</w:t>
      </w:r>
    </w:p>
    <w:p>
      <w:pPr>
        <w:jc w:val="center"/>
        <w:outlineLvl w:val="9"/>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表3.6-9废水产生排放情况汇总</w:t>
      </w:r>
    </w:p>
    <w:tbl>
      <w:tblPr>
        <w:tblStyle w:val="4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915"/>
        <w:gridCol w:w="918"/>
        <w:gridCol w:w="1170"/>
        <w:gridCol w:w="918"/>
        <w:gridCol w:w="918"/>
        <w:gridCol w:w="918"/>
        <w:gridCol w:w="1170"/>
        <w:gridCol w:w="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w:t>
            </w: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污染因子</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产生量</w:t>
            </w:r>
            <w:r>
              <w:rPr>
                <w:rFonts w:hint="eastAsia" w:ascii="Times New Roman" w:hAnsi="Times New Roman" w:cs="Times New Roman"/>
                <w:b/>
                <w:bCs/>
                <w:color w:val="auto"/>
                <w:sz w:val="21"/>
                <w:szCs w:val="21"/>
                <w:vertAlign w:val="baseline"/>
                <w:lang w:val="en-US" w:eastAsia="zh-CN"/>
              </w:rPr>
              <w:t>（t/a）</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产生浓度</w:t>
            </w:r>
            <w:r>
              <w:rPr>
                <w:rFonts w:hint="eastAsia" w:ascii="Times New Roman" w:hAnsi="Times New Roman" w:cs="Times New Roman"/>
                <w:b/>
                <w:bCs/>
                <w:color w:val="auto"/>
                <w:sz w:val="21"/>
                <w:szCs w:val="21"/>
                <w:vertAlign w:val="baseline"/>
                <w:lang w:val="en-US" w:eastAsia="zh-CN"/>
              </w:rPr>
              <w:t>（</w:t>
            </w:r>
            <w:r>
              <w:rPr>
                <w:rFonts w:hint="eastAsia" w:ascii="Times New Roman" w:hAnsi="Times New Roman" w:eastAsia="宋体" w:cs="Times New Roman"/>
                <w:color w:val="auto"/>
                <w:kern w:val="2"/>
                <w:sz w:val="21"/>
                <w:szCs w:val="21"/>
                <w:highlight w:val="none"/>
                <w:u w:val="none" w:color="auto"/>
                <w:lang w:val="en-US" w:eastAsia="zh-CN" w:bidi="ar-SA"/>
              </w:rPr>
              <w:t>mg/m</w:t>
            </w:r>
            <w:r>
              <w:rPr>
                <w:rFonts w:hint="eastAsia" w:ascii="Times New Roman" w:hAnsi="Times New Roman" w:eastAsia="宋体" w:cs="Times New Roman"/>
                <w:color w:val="auto"/>
                <w:kern w:val="2"/>
                <w:sz w:val="21"/>
                <w:szCs w:val="21"/>
                <w:highlight w:val="none"/>
                <w:u w:val="none" w:color="auto"/>
                <w:vertAlign w:val="superscript"/>
                <w:lang w:val="en-US" w:eastAsia="zh-CN" w:bidi="ar-SA"/>
              </w:rPr>
              <w:t>3</w:t>
            </w:r>
            <w:r>
              <w:rPr>
                <w:rFonts w:hint="eastAsia" w:ascii="Times New Roman" w:hAnsi="Times New Roman" w:cs="Times New Roman"/>
                <w:b/>
                <w:bCs/>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color w:val="auto"/>
                <w:sz w:val="21"/>
                <w:szCs w:val="21"/>
                <w:lang w:val="en-US" w:eastAsia="zh-CN"/>
              </w:rPr>
            </w:pPr>
            <w:r>
              <w:rPr>
                <w:rFonts w:hint="eastAsia"/>
                <w:color w:val="auto"/>
                <w:sz w:val="21"/>
                <w:szCs w:val="21"/>
                <w:lang w:val="en-US" w:eastAsia="zh-CN"/>
              </w:rPr>
              <w:t>处理工艺</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处理效率</w:t>
            </w:r>
            <w:r>
              <w:rPr>
                <w:rFonts w:hint="eastAsia" w:ascii="Times New Roman" w:hAnsi="Times New Roman" w:cs="Times New Roman"/>
                <w:b/>
                <w:bCs/>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排放量</w:t>
            </w:r>
            <w:r>
              <w:rPr>
                <w:rFonts w:hint="eastAsia" w:ascii="Times New Roman" w:hAnsi="Times New Roman" w:cs="Times New Roman"/>
                <w:b/>
                <w:bCs/>
                <w:color w:val="auto"/>
                <w:sz w:val="21"/>
                <w:szCs w:val="21"/>
                <w:vertAlign w:val="baseline"/>
                <w:lang w:val="en-US" w:eastAsia="zh-CN"/>
              </w:rPr>
              <w:t>（t/a）</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排放浓度</w:t>
            </w:r>
            <w:r>
              <w:rPr>
                <w:rFonts w:hint="eastAsia" w:ascii="Times New Roman" w:hAnsi="Times New Roman" w:cs="Times New Roman"/>
                <w:b/>
                <w:bCs/>
                <w:color w:val="auto"/>
                <w:sz w:val="21"/>
                <w:szCs w:val="21"/>
                <w:vertAlign w:val="baseline"/>
                <w:lang w:val="en-US" w:eastAsia="zh-CN"/>
              </w:rPr>
              <w:t>（</w:t>
            </w:r>
            <w:r>
              <w:rPr>
                <w:rFonts w:hint="eastAsia" w:ascii="Times New Roman" w:hAnsi="Times New Roman" w:eastAsia="宋体" w:cs="Times New Roman"/>
                <w:color w:val="auto"/>
                <w:kern w:val="2"/>
                <w:sz w:val="21"/>
                <w:szCs w:val="21"/>
                <w:highlight w:val="none"/>
                <w:u w:val="none" w:color="auto"/>
                <w:lang w:val="en-US" w:eastAsia="zh-CN" w:bidi="ar-SA"/>
              </w:rPr>
              <w:t>mg/m</w:t>
            </w:r>
            <w:r>
              <w:rPr>
                <w:rFonts w:hint="eastAsia" w:ascii="Times New Roman" w:hAnsi="Times New Roman" w:eastAsia="宋体" w:cs="Times New Roman"/>
                <w:color w:val="auto"/>
                <w:kern w:val="2"/>
                <w:sz w:val="21"/>
                <w:szCs w:val="21"/>
                <w:highlight w:val="none"/>
                <w:u w:val="none" w:color="auto"/>
                <w:vertAlign w:val="superscript"/>
                <w:lang w:val="en-US" w:eastAsia="zh-CN" w:bidi="ar-SA"/>
              </w:rPr>
              <w:t>3</w:t>
            </w:r>
            <w:r>
              <w:rPr>
                <w:rFonts w:hint="eastAsia" w:ascii="Times New Roman" w:hAnsi="Times New Roman" w:cs="Times New Roman"/>
                <w:b/>
                <w:bCs/>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生活污水</w:t>
            </w: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15660</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15660</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城陵矶临港产业新区污水处理厂</w:t>
            </w:r>
            <w:r>
              <w:rPr>
                <w:rFonts w:hint="eastAsia" w:ascii="Times New Roman" w:hAnsi="Times New Roman" w:cs="Times New Roman"/>
                <w:color w:val="auto"/>
                <w:sz w:val="21"/>
                <w:szCs w:val="21"/>
                <w:lang w:eastAsia="zh-CN"/>
              </w:rPr>
              <w:t>深度处理后排入长江</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b w:val="0"/>
                <w:color w:val="auto"/>
                <w:sz w:val="21"/>
                <w:szCs w:val="21"/>
              </w:rPr>
              <w:t>COD</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b w:val="0"/>
                <w:color w:val="auto"/>
                <w:sz w:val="21"/>
                <w:szCs w:val="21"/>
              </w:rPr>
              <w:t>氨氮</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b w:val="0"/>
                <w:color w:val="auto"/>
                <w:sz w:val="21"/>
                <w:szCs w:val="21"/>
              </w:rPr>
              <w:t>BOD</w:t>
            </w:r>
            <w:r>
              <w:rPr>
                <w:rFonts w:hint="default" w:ascii="Times New Roman" w:hAnsi="Times New Roman" w:cs="Times New Roman"/>
                <w:b w:val="0"/>
                <w:color w:val="auto"/>
                <w:sz w:val="21"/>
                <w:szCs w:val="21"/>
                <w:vertAlign w:val="subscript"/>
              </w:rPr>
              <w:t>5</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3.13</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3.13</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b w:val="0"/>
                <w:color w:val="auto"/>
                <w:sz w:val="21"/>
                <w:szCs w:val="21"/>
              </w:rPr>
              <w:t>SS</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b w:val="0"/>
                <w:color w:val="auto"/>
                <w:sz w:val="21"/>
                <w:szCs w:val="21"/>
              </w:rPr>
              <w:t>动植物油</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隔油池</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70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0.13</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生产废水</w:t>
            </w: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720</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隔油沉淀+混凝气浮</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720</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1500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0.11</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石油类</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250</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95</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12.5</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全厂污水合计</w:t>
            </w: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16380</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16380</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城陵矶临港产业新区污水处理厂</w:t>
            </w:r>
            <w:r>
              <w:rPr>
                <w:rFonts w:hint="eastAsia" w:ascii="Times New Roman" w:hAnsi="Times New Roman" w:cs="Times New Roman"/>
                <w:color w:val="auto"/>
                <w:sz w:val="21"/>
                <w:szCs w:val="21"/>
                <w:lang w:eastAsia="zh-CN"/>
              </w:rPr>
              <w:t>深度处理后排入长江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color w:val="auto"/>
                <w:sz w:val="21"/>
                <w:szCs w:val="21"/>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color w:val="auto"/>
                <w:sz w:val="21"/>
                <w:szCs w:val="21"/>
              </w:rPr>
              <w:t>COD</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6.56</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5.59</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341.27</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color w:val="auto"/>
                <w:sz w:val="21"/>
                <w:szCs w:val="21"/>
              </w:rPr>
              <w:t>氨氮</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0.56</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33.58</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color w:val="auto"/>
                <w:sz w:val="21"/>
                <w:szCs w:val="21"/>
              </w:rPr>
              <w:t>BOD</w:t>
            </w:r>
            <w:r>
              <w:rPr>
                <w:rFonts w:hint="default" w:ascii="Times New Roman" w:hAnsi="Times New Roman" w:cs="Times New Roman"/>
                <w:b w:val="0"/>
                <w:color w:val="auto"/>
                <w:sz w:val="21"/>
                <w:szCs w:val="21"/>
                <w:vertAlign w:val="subscript"/>
              </w:rPr>
              <w:t>5</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3.13</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3.13</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191.09</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color w:val="auto"/>
                <w:sz w:val="21"/>
                <w:szCs w:val="21"/>
              </w:rPr>
              <w:t>SS</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2.35</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143.47</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color w:val="auto"/>
                <w:sz w:val="21"/>
                <w:szCs w:val="21"/>
              </w:rPr>
              <w:t>动植物油</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0.13</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7.94</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2"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石油类</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0.18</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w:t>
            </w:r>
          </w:p>
        </w:tc>
        <w:tc>
          <w:tcPr>
            <w:tcW w:w="668"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0.06</w:t>
            </w:r>
          </w:p>
        </w:tc>
        <w:tc>
          <w:tcPr>
            <w:tcW w:w="524"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pStyle w:val="7"/>
        <w:pageBreakBefore w:val="0"/>
        <w:kinsoku/>
        <w:wordWrap/>
        <w:overflowPunct w:val="0"/>
        <w:topLinePunct/>
        <w:autoSpaceDE w:val="0"/>
        <w:autoSpaceDN w:val="0"/>
        <w:bidi w:val="0"/>
        <w:spacing w:line="360" w:lineRule="auto"/>
        <w:rPr>
          <w:rFonts w:hint="eastAsia" w:ascii="Times New Roman" w:hAnsi="Times New Roman" w:eastAsia="宋体" w:cs="Times New Roman"/>
          <w:color w:val="auto"/>
          <w:highlight w:val="none"/>
          <w:u w:val="none" w:color="auto"/>
          <w:lang w:val="en-US" w:eastAsia="zh-CN"/>
        </w:rPr>
      </w:pPr>
      <w:bookmarkStart w:id="152" w:name="_Toc5631"/>
      <w:r>
        <w:rPr>
          <w:rFonts w:hint="default" w:ascii="Times New Roman" w:hAnsi="Times New Roman" w:eastAsia="宋体" w:cs="Times New Roman"/>
          <w:color w:val="auto"/>
          <w:highlight w:val="none"/>
          <w:u w:val="none" w:color="auto"/>
          <w:lang w:val="en-US" w:eastAsia="zh-CN"/>
        </w:rPr>
        <w:t>3.</w:t>
      </w:r>
      <w:r>
        <w:rPr>
          <w:rFonts w:hint="eastAsia" w:ascii="Times New Roman" w:hAnsi="Times New Roman" w:eastAsia="宋体" w:cs="Times New Roman"/>
          <w:color w:val="auto"/>
          <w:highlight w:val="none"/>
          <w:u w:val="none" w:color="auto"/>
          <w:lang w:val="en-US" w:eastAsia="zh-CN"/>
        </w:rPr>
        <w:t>6.3</w:t>
      </w:r>
      <w:r>
        <w:rPr>
          <w:rFonts w:hint="default" w:ascii="Times New Roman" w:hAnsi="Times New Roman" w:eastAsia="宋体" w:cs="Times New Roman"/>
          <w:color w:val="auto"/>
          <w:highlight w:val="none"/>
          <w:u w:val="none" w:color="auto"/>
          <w:lang w:val="en-US" w:eastAsia="zh-CN"/>
        </w:rPr>
        <w:t>噪声</w:t>
      </w:r>
      <w:r>
        <w:rPr>
          <w:rFonts w:hint="eastAsia" w:ascii="Times New Roman" w:hAnsi="Times New Roman" w:eastAsia="宋体" w:cs="Times New Roman"/>
          <w:color w:val="auto"/>
          <w:highlight w:val="none"/>
          <w:u w:val="none" w:color="auto"/>
          <w:lang w:val="en-US" w:eastAsia="zh-CN"/>
        </w:rPr>
        <w:t>污染源分析</w:t>
      </w:r>
      <w:bookmarkEnd w:id="152"/>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0"/>
          <w:highlight w:val="none"/>
          <w:u w:val="none" w:color="auto"/>
          <w:lang w:val="en-US" w:eastAsia="zh-CN" w:bidi="ar-SA"/>
        </w:rPr>
      </w:pPr>
      <w:r>
        <w:rPr>
          <w:rFonts w:hint="default" w:ascii="Times New Roman" w:hAnsi="Times New Roman" w:eastAsia="宋体" w:cs="Times New Roman"/>
          <w:color w:val="auto"/>
          <w:kern w:val="2"/>
          <w:sz w:val="24"/>
          <w:szCs w:val="20"/>
          <w:highlight w:val="none"/>
          <w:u w:val="none" w:color="auto"/>
          <w:lang w:val="en-US" w:eastAsia="zh-CN" w:bidi="ar-SA"/>
        </w:rPr>
        <w:t>本项目高噪声设备主要有本工程主要噪声源有空压机、风机、锯床、剪切机、砂磨机、模锻机、挤压机、轧机、泵类等，噪声为80～95dB(A)产生的机械噪声，噪声源强在75~95dB(A)，经基础减震、车间墙体隔声、隔声罩、风机进出口设置消声器等措施后，可减少噪声约20dB(A)，项目主要噪声源声级值及治理措施见表3.</w:t>
      </w:r>
      <w:r>
        <w:rPr>
          <w:rFonts w:hint="eastAsia" w:ascii="Times New Roman" w:hAnsi="Times New Roman" w:eastAsia="宋体" w:cs="Times New Roman"/>
          <w:color w:val="auto"/>
          <w:kern w:val="2"/>
          <w:sz w:val="24"/>
          <w:szCs w:val="20"/>
          <w:highlight w:val="none"/>
          <w:u w:val="none" w:color="auto"/>
          <w:lang w:val="en-US" w:eastAsia="zh-CN" w:bidi="ar-SA"/>
        </w:rPr>
        <w:t>6-10</w:t>
      </w:r>
      <w:r>
        <w:rPr>
          <w:rFonts w:hint="default" w:ascii="Times New Roman" w:hAnsi="Times New Roman" w:eastAsia="宋体" w:cs="Times New Roman"/>
          <w:color w:val="auto"/>
          <w:kern w:val="2"/>
          <w:sz w:val="24"/>
          <w:szCs w:val="20"/>
          <w:highlight w:val="none"/>
          <w:u w:val="none" w:color="auto"/>
          <w:lang w:val="en-US" w:eastAsia="zh-CN" w:bidi="ar-SA"/>
        </w:rPr>
        <w:t>所示。</w:t>
      </w:r>
    </w:p>
    <w:p>
      <w:pPr>
        <w:pageBreakBefore w:val="0"/>
        <w:kinsoku/>
        <w:wordWrap/>
        <w:overflowPunct w:val="0"/>
        <w:topLinePunct/>
        <w:autoSpaceDE w:val="0"/>
        <w:autoSpaceDN w:val="0"/>
        <w:bidi w:val="0"/>
        <w:spacing w:line="360" w:lineRule="auto"/>
        <w:ind w:left="0" w:leftChars="0" w:right="0" w:rightChars="0" w:firstLine="0" w:firstLineChars="0"/>
        <w:jc w:val="center"/>
        <w:outlineLvl w:val="9"/>
        <w:rPr>
          <w:rFonts w:hint="default" w:ascii="Times New Roman" w:hAnsi="Times New Roman" w:eastAsia="宋体" w:cs="Times New Roman"/>
          <w:b/>
          <w:bCs/>
          <w:color w:val="auto"/>
          <w:kern w:val="2"/>
          <w:sz w:val="24"/>
          <w:szCs w:val="20"/>
          <w:highlight w:val="none"/>
          <w:u w:val="none" w:color="auto"/>
          <w:lang w:val="en-US" w:eastAsia="zh-CN" w:bidi="ar-SA"/>
        </w:rPr>
      </w:pPr>
      <w:r>
        <w:rPr>
          <w:rFonts w:hint="default" w:ascii="Times New Roman" w:hAnsi="Times New Roman" w:eastAsia="宋体" w:cs="Times New Roman"/>
          <w:b/>
          <w:bCs/>
          <w:color w:val="auto"/>
          <w:kern w:val="2"/>
          <w:sz w:val="24"/>
          <w:szCs w:val="20"/>
          <w:highlight w:val="none"/>
          <w:u w:val="none" w:color="auto"/>
          <w:lang w:val="en-US" w:eastAsia="zh-CN" w:bidi="ar-SA"/>
        </w:rPr>
        <w:t>表3.</w:t>
      </w:r>
      <w:r>
        <w:rPr>
          <w:rFonts w:hint="eastAsia" w:ascii="Times New Roman" w:hAnsi="Times New Roman" w:eastAsia="宋体" w:cs="Times New Roman"/>
          <w:b/>
          <w:bCs/>
          <w:color w:val="auto"/>
          <w:kern w:val="2"/>
          <w:sz w:val="24"/>
          <w:szCs w:val="20"/>
          <w:highlight w:val="none"/>
          <w:u w:val="none" w:color="auto"/>
          <w:lang w:val="en-US" w:eastAsia="zh-CN" w:bidi="ar-SA"/>
        </w:rPr>
        <w:t>6-10</w:t>
      </w:r>
      <w:r>
        <w:rPr>
          <w:rFonts w:hint="default" w:ascii="Times New Roman" w:hAnsi="Times New Roman" w:eastAsia="宋体" w:cs="Times New Roman"/>
          <w:b/>
          <w:bCs/>
          <w:color w:val="auto"/>
          <w:kern w:val="2"/>
          <w:sz w:val="24"/>
          <w:szCs w:val="20"/>
          <w:highlight w:val="none"/>
          <w:u w:val="none" w:color="auto"/>
          <w:lang w:val="en-US" w:eastAsia="zh-CN" w:bidi="ar-SA"/>
        </w:rPr>
        <w:t>主要噪声源及治理情况</w:t>
      </w:r>
    </w:p>
    <w:tbl>
      <w:tblPr>
        <w:tblStyle w:val="204"/>
        <w:tblW w:w="85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193"/>
        <w:gridCol w:w="855"/>
        <w:gridCol w:w="1184"/>
        <w:gridCol w:w="1320"/>
        <w:gridCol w:w="1184"/>
        <w:gridCol w:w="981"/>
        <w:gridCol w:w="9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所处</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位置</w:t>
            </w: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(台/</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套)</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单台设备</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声级值</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(dB(A))</w:t>
            </w: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治理措施</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降噪效果(dB(A))</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噪声</w:t>
            </w:r>
          </w:p>
        </w:tc>
        <w:tc>
          <w:tcPr>
            <w:tcW w:w="99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噪声源叠加值(dB(A))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车间</w:t>
            </w: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熔炼炉</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w:t>
            </w: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采取基础减</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震、车间墙</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体隔声、隔</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声罩、风机</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进出口设置</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消声器等措</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55</w:t>
            </w:r>
          </w:p>
        </w:tc>
        <w:tc>
          <w:tcPr>
            <w:tcW w:w="996"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铸锭机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r>
              <w:rPr>
                <w:rFonts w:hint="eastAsia" w:ascii="Times New Roman" w:hAnsi="Times New Roman" w:cs="Times New Roman"/>
                <w:color w:val="auto"/>
                <w:sz w:val="21"/>
                <w:szCs w:val="21"/>
                <w:vertAlign w:val="baseline"/>
                <w:lang w:val="en-US" w:eastAsia="zh-CN"/>
              </w:rPr>
              <w:t>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r>
              <w:rPr>
                <w:rFonts w:hint="eastAsia" w:ascii="Times New Roman" w:hAnsi="Times New Roman" w:cs="Times New Roman"/>
                <w:color w:val="auto"/>
                <w:sz w:val="21"/>
                <w:szCs w:val="21"/>
                <w:vertAlign w:val="baseline"/>
                <w:lang w:val="en-US" w:eastAsia="zh-CN"/>
              </w:rPr>
              <w:t>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空压机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立式铣床</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切割机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95</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模锻机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磨砂机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65</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泵类</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65</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pStyle w:val="7"/>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highlight w:val="none"/>
          <w:u w:val="none" w:color="auto"/>
          <w:lang w:val="en-US" w:eastAsia="zh-CN"/>
        </w:rPr>
      </w:pPr>
      <w:bookmarkStart w:id="153" w:name="_Toc30015"/>
      <w:r>
        <w:rPr>
          <w:rFonts w:hint="default" w:ascii="Times New Roman" w:hAnsi="Times New Roman" w:eastAsia="宋体" w:cs="Times New Roman"/>
          <w:color w:val="auto"/>
          <w:highlight w:val="none"/>
          <w:u w:val="none" w:color="auto"/>
          <w:lang w:val="en-US" w:eastAsia="zh-CN"/>
        </w:rPr>
        <w:t>3.</w:t>
      </w:r>
      <w:r>
        <w:rPr>
          <w:rFonts w:hint="eastAsia" w:ascii="Times New Roman" w:hAnsi="Times New Roman" w:eastAsia="宋体" w:cs="Times New Roman"/>
          <w:color w:val="auto"/>
          <w:highlight w:val="none"/>
          <w:u w:val="none" w:color="auto"/>
          <w:lang w:val="en-US" w:eastAsia="zh-CN"/>
        </w:rPr>
        <w:t>6.4</w:t>
      </w:r>
      <w:r>
        <w:rPr>
          <w:rFonts w:hint="default" w:ascii="Times New Roman" w:hAnsi="Times New Roman" w:eastAsia="宋体" w:cs="Times New Roman"/>
          <w:color w:val="auto"/>
          <w:highlight w:val="none"/>
          <w:u w:val="none" w:color="auto"/>
          <w:lang w:val="en-US" w:eastAsia="zh-CN"/>
        </w:rPr>
        <w:t>固体废物</w:t>
      </w:r>
      <w:bookmarkEnd w:id="153"/>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9"/>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本项目营运期废物</w:t>
      </w:r>
      <w:r>
        <w:rPr>
          <w:rFonts w:hint="default" w:ascii="Times New Roman" w:hAnsi="Times New Roman" w:eastAsia="宋体" w:cs="Times New Roman"/>
          <w:snapToGrid w:val="0"/>
          <w:color w:val="auto"/>
          <w:spacing w:val="7"/>
          <w:kern w:val="0"/>
          <w:sz w:val="24"/>
          <w:szCs w:val="24"/>
          <w:u w:val="none" w:color="auto"/>
          <w:lang w:eastAsia="zh-CN"/>
        </w:rPr>
        <w:t>主要包括</w:t>
      </w:r>
      <w:r>
        <w:rPr>
          <w:rFonts w:hint="default" w:ascii="Times New Roman" w:hAnsi="Times New Roman" w:eastAsia="宋体" w:cs="Times New Roman"/>
          <w:snapToGrid w:val="0"/>
          <w:color w:val="auto"/>
          <w:spacing w:val="7"/>
          <w:kern w:val="0"/>
          <w:sz w:val="24"/>
          <w:szCs w:val="24"/>
          <w:u w:val="none" w:color="auto"/>
        </w:rPr>
        <w:t>镁熔渣</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7"/>
          <w:kern w:val="0"/>
          <w:sz w:val="24"/>
          <w:szCs w:val="24"/>
          <w:u w:val="none" w:color="auto"/>
        </w:rPr>
        <w:t>废边角料及残次品</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7"/>
          <w:kern w:val="0"/>
          <w:sz w:val="24"/>
          <w:szCs w:val="24"/>
          <w:u w:val="none" w:color="auto"/>
        </w:rPr>
        <w:t>含油滤料及含油污泥</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9"/>
          <w:kern w:val="0"/>
          <w:sz w:val="24"/>
          <w:szCs w:val="24"/>
          <w:u w:val="none" w:color="auto"/>
        </w:rPr>
        <w:t>废活性炭、废矿物油和员工生活垃圾。</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0" w:firstLineChars="200"/>
        <w:jc w:val="left"/>
        <w:textAlignment w:val="baseline"/>
        <w:outlineLvl w:val="2"/>
        <w:rPr>
          <w:rFonts w:hint="default" w:ascii="Times New Roman" w:hAnsi="Times New Roman" w:eastAsia="宋体" w:cs="Times New Roman"/>
          <w:b/>
          <w:bCs/>
          <w:snapToGrid w:val="0"/>
          <w:color w:val="auto"/>
          <w:spacing w:val="7"/>
          <w:kern w:val="0"/>
          <w:sz w:val="24"/>
          <w:szCs w:val="24"/>
          <w:u w:val="none" w:color="auto"/>
        </w:rPr>
      </w:pPr>
      <w:bookmarkStart w:id="154" w:name="_Toc32427"/>
      <w:r>
        <w:rPr>
          <w:rFonts w:hint="eastAsia" w:ascii="Times New Roman" w:hAnsi="Times New Roman" w:eastAsia="宋体" w:cs="Times New Roman"/>
          <w:b/>
          <w:bCs/>
          <w:snapToGrid w:val="0"/>
          <w:color w:val="auto"/>
          <w:spacing w:val="7"/>
          <w:kern w:val="0"/>
          <w:sz w:val="24"/>
          <w:szCs w:val="24"/>
          <w:u w:val="none" w:color="auto"/>
          <w:lang w:eastAsia="zh-CN"/>
        </w:rPr>
        <w:t>（</w:t>
      </w:r>
      <w:r>
        <w:rPr>
          <w:rFonts w:hint="eastAsia" w:ascii="Times New Roman" w:hAnsi="Times New Roman" w:eastAsia="宋体" w:cs="Times New Roman"/>
          <w:b/>
          <w:bCs/>
          <w:snapToGrid w:val="0"/>
          <w:color w:val="auto"/>
          <w:spacing w:val="7"/>
          <w:kern w:val="0"/>
          <w:sz w:val="24"/>
          <w:szCs w:val="24"/>
          <w:u w:val="none" w:color="auto"/>
          <w:lang w:val="en-US" w:eastAsia="zh-CN"/>
        </w:rPr>
        <w:t>1</w:t>
      </w:r>
      <w:r>
        <w:rPr>
          <w:rFonts w:hint="eastAsia" w:ascii="Times New Roman" w:hAnsi="Times New Roman" w:eastAsia="宋体" w:cs="Times New Roman"/>
          <w:b/>
          <w:bCs/>
          <w:snapToGrid w:val="0"/>
          <w:color w:val="auto"/>
          <w:spacing w:val="7"/>
          <w:kern w:val="0"/>
          <w:sz w:val="24"/>
          <w:szCs w:val="24"/>
          <w:u w:val="none" w:color="auto"/>
          <w:lang w:eastAsia="zh-CN"/>
        </w:rPr>
        <w:t>）</w:t>
      </w:r>
      <w:r>
        <w:rPr>
          <w:rFonts w:hint="default" w:ascii="Times New Roman" w:hAnsi="Times New Roman" w:eastAsia="宋体" w:cs="Times New Roman"/>
          <w:b/>
          <w:bCs/>
          <w:snapToGrid w:val="0"/>
          <w:color w:val="auto"/>
          <w:spacing w:val="7"/>
          <w:kern w:val="0"/>
          <w:sz w:val="24"/>
          <w:szCs w:val="24"/>
          <w:u w:val="none" w:color="auto"/>
        </w:rPr>
        <w:t>一般固废</w:t>
      </w:r>
      <w:bookmarkEnd w:id="154"/>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eastAsia" w:ascii="Times New Roman" w:hAnsi="Times New Roman" w:eastAsia="宋体" w:cs="Times New Roman"/>
          <w:snapToGrid w:val="0"/>
          <w:color w:val="auto"/>
          <w:spacing w:val="7"/>
          <w:kern w:val="0"/>
          <w:sz w:val="24"/>
          <w:szCs w:val="24"/>
          <w:u w:val="none" w:color="auto"/>
          <w:lang w:val="en-US" w:eastAsia="zh-CN"/>
        </w:rPr>
        <w:t>1）</w:t>
      </w:r>
      <w:r>
        <w:rPr>
          <w:rFonts w:hint="default" w:ascii="Times New Roman" w:hAnsi="Times New Roman" w:eastAsia="宋体" w:cs="Times New Roman"/>
          <w:snapToGrid w:val="0"/>
          <w:color w:val="auto"/>
          <w:spacing w:val="7"/>
          <w:kern w:val="0"/>
          <w:sz w:val="24"/>
          <w:szCs w:val="24"/>
          <w:u w:val="none" w:color="auto"/>
        </w:rPr>
        <w:t>熔渣</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镁熔铸车间的镁合金熔铸机组在生产过程中产生镁熔渣</w:t>
      </w:r>
      <w:r>
        <w:rPr>
          <w:rFonts w:hint="eastAsia" w:ascii="Times New Roman" w:hAnsi="Times New Roman" w:eastAsia="宋体" w:cs="Times New Roman"/>
          <w:snapToGrid w:val="0"/>
          <w:color w:val="auto"/>
          <w:spacing w:val="7"/>
          <w:kern w:val="0"/>
          <w:sz w:val="24"/>
          <w:szCs w:val="24"/>
          <w:u w:val="none" w:color="auto"/>
          <w:lang w:eastAsia="zh-CN"/>
        </w:rPr>
        <w:t>及不能回用废料</w:t>
      </w:r>
      <w:r>
        <w:rPr>
          <w:rFonts w:hint="default" w:ascii="Times New Roman" w:hAnsi="Times New Roman" w:eastAsia="宋体" w:cs="Times New Roman"/>
          <w:snapToGrid w:val="0"/>
          <w:color w:val="auto"/>
          <w:spacing w:val="7"/>
          <w:kern w:val="0"/>
          <w:sz w:val="24"/>
          <w:szCs w:val="24"/>
          <w:u w:val="none" w:color="auto"/>
        </w:rPr>
        <w:t>合计约</w:t>
      </w:r>
      <w:r>
        <w:rPr>
          <w:rFonts w:hint="eastAsia" w:ascii="Times New Roman" w:hAnsi="Times New Roman" w:eastAsia="宋体" w:cs="Times New Roman"/>
          <w:snapToGrid w:val="0"/>
          <w:color w:val="auto"/>
          <w:spacing w:val="7"/>
          <w:kern w:val="0"/>
          <w:sz w:val="24"/>
          <w:szCs w:val="24"/>
          <w:u w:val="none" w:color="auto"/>
          <w:lang w:val="en-US" w:eastAsia="zh-CN"/>
        </w:rPr>
        <w:t>1835.7</w:t>
      </w:r>
      <w:r>
        <w:rPr>
          <w:rFonts w:hint="default" w:ascii="Times New Roman" w:hAnsi="Times New Roman" w:eastAsia="宋体" w:cs="Times New Roman"/>
          <w:snapToGrid w:val="0"/>
          <w:color w:val="auto"/>
          <w:spacing w:val="7"/>
          <w:kern w:val="0"/>
          <w:sz w:val="24"/>
          <w:szCs w:val="24"/>
          <w:u w:val="none" w:color="auto"/>
        </w:rPr>
        <w:t>t/a，外售处理。</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eastAsia" w:ascii="Times New Roman" w:hAnsi="Times New Roman" w:eastAsia="宋体" w:cs="Times New Roman"/>
          <w:snapToGrid w:val="0"/>
          <w:color w:val="auto"/>
          <w:spacing w:val="7"/>
          <w:kern w:val="0"/>
          <w:sz w:val="24"/>
          <w:szCs w:val="24"/>
          <w:u w:val="none" w:color="auto"/>
          <w:lang w:val="en-US" w:eastAsia="zh-CN"/>
        </w:rPr>
        <w:t>2）</w:t>
      </w:r>
      <w:r>
        <w:rPr>
          <w:rFonts w:hint="default" w:ascii="Times New Roman" w:hAnsi="Times New Roman" w:eastAsia="宋体" w:cs="Times New Roman"/>
          <w:snapToGrid w:val="0"/>
          <w:color w:val="auto"/>
          <w:spacing w:val="7"/>
          <w:kern w:val="0"/>
          <w:sz w:val="24"/>
          <w:szCs w:val="24"/>
          <w:u w:val="none" w:color="auto"/>
        </w:rPr>
        <w:t>废边角料及残次品</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各车间产生的残次品及金属边角废料等，</w:t>
      </w:r>
      <w:r>
        <w:rPr>
          <w:rFonts w:hint="eastAsia" w:ascii="Times New Roman" w:hAnsi="Times New Roman" w:eastAsia="宋体" w:cs="Times New Roman"/>
          <w:snapToGrid w:val="0"/>
          <w:color w:val="auto"/>
          <w:spacing w:val="7"/>
          <w:kern w:val="0"/>
          <w:sz w:val="24"/>
          <w:szCs w:val="24"/>
          <w:u w:val="none" w:color="auto"/>
          <w:lang w:eastAsia="zh-CN"/>
        </w:rPr>
        <w:t>产生量约</w:t>
      </w:r>
      <w:r>
        <w:rPr>
          <w:rFonts w:hint="eastAsia" w:ascii="Times New Roman" w:hAnsi="Times New Roman" w:eastAsia="宋体" w:cs="Times New Roman"/>
          <w:snapToGrid w:val="0"/>
          <w:color w:val="auto"/>
          <w:spacing w:val="7"/>
          <w:kern w:val="0"/>
          <w:sz w:val="24"/>
          <w:szCs w:val="24"/>
          <w:u w:val="none" w:color="auto"/>
          <w:lang w:val="en-US" w:eastAsia="zh-CN"/>
        </w:rPr>
        <w:t>6615</w:t>
      </w:r>
      <w:r>
        <w:rPr>
          <w:rFonts w:hint="default" w:ascii="Times New Roman" w:hAnsi="Times New Roman" w:eastAsia="宋体" w:cs="Times New Roman"/>
          <w:snapToGrid w:val="0"/>
          <w:color w:val="auto"/>
          <w:spacing w:val="7"/>
          <w:kern w:val="0"/>
          <w:sz w:val="24"/>
          <w:szCs w:val="24"/>
          <w:u w:val="none" w:color="auto"/>
        </w:rPr>
        <w:t>t/a，拟收集后送熔铸车间重熔。</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0" w:firstLineChars="200"/>
        <w:jc w:val="left"/>
        <w:textAlignment w:val="baseline"/>
        <w:outlineLvl w:val="2"/>
        <w:rPr>
          <w:rFonts w:hint="default" w:ascii="Times New Roman" w:hAnsi="Times New Roman" w:eastAsia="宋体" w:cs="Times New Roman"/>
          <w:b/>
          <w:bCs/>
          <w:snapToGrid w:val="0"/>
          <w:color w:val="auto"/>
          <w:spacing w:val="7"/>
          <w:kern w:val="0"/>
          <w:sz w:val="24"/>
          <w:szCs w:val="24"/>
          <w:u w:val="none" w:color="auto"/>
        </w:rPr>
      </w:pPr>
      <w:bookmarkStart w:id="155" w:name="_Toc719"/>
      <w:r>
        <w:rPr>
          <w:rFonts w:hint="eastAsia" w:ascii="Times New Roman" w:hAnsi="Times New Roman" w:eastAsia="宋体" w:cs="Times New Roman"/>
          <w:b/>
          <w:bCs/>
          <w:snapToGrid w:val="0"/>
          <w:color w:val="auto"/>
          <w:spacing w:val="7"/>
          <w:kern w:val="0"/>
          <w:sz w:val="24"/>
          <w:szCs w:val="24"/>
          <w:u w:val="none" w:color="auto"/>
          <w:lang w:eastAsia="zh-CN"/>
        </w:rPr>
        <w:t>（</w:t>
      </w:r>
      <w:r>
        <w:rPr>
          <w:rFonts w:hint="eastAsia" w:ascii="Times New Roman" w:hAnsi="Times New Roman" w:eastAsia="宋体" w:cs="Times New Roman"/>
          <w:b/>
          <w:bCs/>
          <w:snapToGrid w:val="0"/>
          <w:color w:val="auto"/>
          <w:spacing w:val="7"/>
          <w:kern w:val="0"/>
          <w:sz w:val="24"/>
          <w:szCs w:val="24"/>
          <w:u w:val="none" w:color="auto"/>
          <w:lang w:val="en-US" w:eastAsia="zh-CN"/>
        </w:rPr>
        <w:t>2</w:t>
      </w:r>
      <w:r>
        <w:rPr>
          <w:rFonts w:hint="eastAsia" w:ascii="Times New Roman" w:hAnsi="Times New Roman" w:eastAsia="宋体" w:cs="Times New Roman"/>
          <w:b/>
          <w:bCs/>
          <w:snapToGrid w:val="0"/>
          <w:color w:val="auto"/>
          <w:spacing w:val="7"/>
          <w:kern w:val="0"/>
          <w:sz w:val="24"/>
          <w:szCs w:val="24"/>
          <w:u w:val="none" w:color="auto"/>
          <w:lang w:eastAsia="zh-CN"/>
        </w:rPr>
        <w:t>）</w:t>
      </w:r>
      <w:r>
        <w:rPr>
          <w:rFonts w:hint="default" w:ascii="Times New Roman" w:hAnsi="Times New Roman" w:eastAsia="宋体" w:cs="Times New Roman"/>
          <w:b/>
          <w:bCs/>
          <w:snapToGrid w:val="0"/>
          <w:color w:val="auto"/>
          <w:spacing w:val="7"/>
          <w:kern w:val="0"/>
          <w:sz w:val="24"/>
          <w:szCs w:val="24"/>
          <w:u w:val="none" w:color="auto"/>
        </w:rPr>
        <w:t>危险废物</w:t>
      </w:r>
      <w:bookmarkEnd w:id="155"/>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eastAsia" w:ascii="Times New Roman" w:hAnsi="Times New Roman" w:eastAsia="宋体" w:cs="Times New Roman"/>
          <w:snapToGrid w:val="0"/>
          <w:color w:val="auto"/>
          <w:spacing w:val="7"/>
          <w:kern w:val="0"/>
          <w:sz w:val="24"/>
          <w:szCs w:val="24"/>
          <w:u w:val="none" w:color="auto"/>
          <w:lang w:val="en-US" w:eastAsia="zh-CN"/>
        </w:rPr>
        <w:t>1）</w:t>
      </w:r>
      <w:r>
        <w:rPr>
          <w:rFonts w:hint="default" w:ascii="Times New Roman" w:hAnsi="Times New Roman" w:eastAsia="宋体" w:cs="Times New Roman"/>
          <w:snapToGrid w:val="0"/>
          <w:color w:val="auto"/>
          <w:spacing w:val="7"/>
          <w:kern w:val="0"/>
          <w:sz w:val="24"/>
          <w:szCs w:val="24"/>
          <w:u w:val="none" w:color="auto"/>
        </w:rPr>
        <w:t>含油滤料及含油污泥</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熔铸车间浊循环水池核桃壳过滤装置产生少量含油滤料及生产废水处理站定期产生含油污泥</w:t>
      </w:r>
      <w:r>
        <w:rPr>
          <w:rFonts w:hint="eastAsia" w:ascii="Times New Roman" w:hAnsi="Times New Roman" w:eastAsia="宋体" w:cs="Times New Roman"/>
          <w:snapToGrid w:val="0"/>
          <w:color w:val="auto"/>
          <w:spacing w:val="7"/>
          <w:kern w:val="0"/>
          <w:sz w:val="24"/>
          <w:szCs w:val="24"/>
          <w:u w:val="none" w:color="auto"/>
          <w:lang w:eastAsia="zh-CN"/>
        </w:rPr>
        <w:t>，含油按污水处理量</w:t>
      </w:r>
      <w:r>
        <w:rPr>
          <w:rFonts w:hint="eastAsia" w:ascii="Times New Roman" w:hAnsi="Times New Roman" w:eastAsia="宋体" w:cs="Times New Roman"/>
          <w:snapToGrid w:val="0"/>
          <w:color w:val="auto"/>
          <w:spacing w:val="7"/>
          <w:kern w:val="0"/>
          <w:sz w:val="24"/>
          <w:szCs w:val="24"/>
          <w:u w:val="none" w:color="auto"/>
          <w:lang w:val="en-US" w:eastAsia="zh-CN"/>
        </w:rPr>
        <w:t>0.3%计算，</w:t>
      </w:r>
      <w:r>
        <w:rPr>
          <w:rFonts w:hint="eastAsia" w:ascii="Times New Roman" w:hAnsi="Times New Roman" w:eastAsia="宋体" w:cs="Times New Roman"/>
          <w:snapToGrid w:val="0"/>
          <w:color w:val="auto"/>
          <w:spacing w:val="7"/>
          <w:kern w:val="0"/>
          <w:sz w:val="24"/>
          <w:szCs w:val="24"/>
          <w:u w:val="none" w:color="auto"/>
          <w:lang w:eastAsia="zh-CN"/>
        </w:rPr>
        <w:t>产生量约</w:t>
      </w:r>
      <w:r>
        <w:rPr>
          <w:rFonts w:hint="eastAsia" w:ascii="Times New Roman" w:hAnsi="Times New Roman" w:eastAsia="宋体" w:cs="Times New Roman"/>
          <w:snapToGrid w:val="0"/>
          <w:color w:val="auto"/>
          <w:spacing w:val="7"/>
          <w:kern w:val="0"/>
          <w:sz w:val="24"/>
          <w:szCs w:val="24"/>
          <w:u w:val="none" w:color="auto"/>
          <w:lang w:val="en-US" w:eastAsia="zh-CN"/>
        </w:rPr>
        <w:t>2.16t/a。</w:t>
      </w:r>
      <w:r>
        <w:rPr>
          <w:rFonts w:hint="default" w:ascii="Times New Roman" w:hAnsi="Times New Roman" w:eastAsia="宋体" w:cs="Times New Roman"/>
          <w:snapToGrid w:val="0"/>
          <w:color w:val="auto"/>
          <w:spacing w:val="7"/>
          <w:kern w:val="0"/>
          <w:sz w:val="24"/>
          <w:szCs w:val="24"/>
          <w:u w:val="none" w:color="auto"/>
        </w:rPr>
        <w:t>均属危险固体废物(编号HW08)，妥善收集后置于危废临时库暂存，定期委托具有危废处置资质的单位处置。</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eastAsia" w:ascii="Times New Roman" w:hAnsi="Times New Roman" w:eastAsia="宋体" w:cs="Times New Roman"/>
          <w:snapToGrid w:val="0"/>
          <w:color w:val="auto"/>
          <w:spacing w:val="7"/>
          <w:kern w:val="0"/>
          <w:sz w:val="24"/>
          <w:szCs w:val="24"/>
          <w:u w:val="none" w:color="auto"/>
          <w:lang w:val="en-US" w:eastAsia="zh-CN"/>
        </w:rPr>
        <w:t>2</w:t>
      </w:r>
      <w:r>
        <w:rPr>
          <w:rFonts w:hint="eastAsia"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7"/>
          <w:kern w:val="0"/>
          <w:sz w:val="24"/>
          <w:szCs w:val="24"/>
          <w:u w:val="none" w:color="auto"/>
        </w:rPr>
        <w:t>废活性炭</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根据建设单位提供资料，废气处理活性炭装置一次装</w:t>
      </w:r>
      <w:r>
        <w:rPr>
          <w:rFonts w:hint="default" w:ascii="Times New Roman" w:hAnsi="Times New Roman" w:eastAsia="宋体" w:cs="Times New Roman"/>
          <w:snapToGrid w:val="0"/>
          <w:color w:val="auto"/>
          <w:spacing w:val="6"/>
          <w:kern w:val="0"/>
          <w:sz w:val="24"/>
          <w:szCs w:val="24"/>
          <w:u w:val="none" w:color="auto"/>
        </w:rPr>
        <w:t>填</w:t>
      </w:r>
      <w:r>
        <w:rPr>
          <w:rFonts w:hint="default" w:ascii="Times New Roman" w:hAnsi="Times New Roman" w:eastAsia="宋体" w:cs="Times New Roman"/>
          <w:snapToGrid w:val="0"/>
          <w:color w:val="auto"/>
          <w:spacing w:val="3"/>
          <w:kern w:val="0"/>
          <w:sz w:val="24"/>
          <w:szCs w:val="24"/>
          <w:u w:val="none" w:color="auto"/>
        </w:rPr>
        <w:t>量为0.5</w:t>
      </w:r>
      <w:r>
        <w:rPr>
          <w:rFonts w:hint="default" w:ascii="Times New Roman" w:hAnsi="Times New Roman" w:eastAsia="宋体" w:cs="Times New Roman"/>
          <w:snapToGrid w:val="0"/>
          <w:color w:val="auto"/>
          <w:kern w:val="0"/>
          <w:sz w:val="24"/>
          <w:szCs w:val="24"/>
          <w:u w:val="none" w:color="auto"/>
        </w:rPr>
        <w:t>t</w:t>
      </w:r>
      <w:r>
        <w:rPr>
          <w:rFonts w:hint="default" w:ascii="Times New Roman" w:hAnsi="Times New Roman" w:eastAsia="宋体" w:cs="Times New Roman"/>
          <w:snapToGrid w:val="0"/>
          <w:color w:val="auto"/>
          <w:spacing w:val="3"/>
          <w:kern w:val="0"/>
          <w:sz w:val="24"/>
          <w:szCs w:val="24"/>
          <w:u w:val="none" w:color="auto"/>
        </w:rPr>
        <w:t>，每个月更换一次，则废活性炭产生量为6</w:t>
      </w:r>
      <w:r>
        <w:rPr>
          <w:rFonts w:hint="default" w:ascii="Times New Roman" w:hAnsi="Times New Roman" w:eastAsia="宋体" w:cs="Times New Roman"/>
          <w:snapToGrid w:val="0"/>
          <w:color w:val="auto"/>
          <w:kern w:val="0"/>
          <w:sz w:val="24"/>
          <w:szCs w:val="24"/>
          <w:u w:val="none" w:color="auto"/>
        </w:rPr>
        <w:t>t</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a</w:t>
      </w:r>
      <w:r>
        <w:rPr>
          <w:rFonts w:hint="default" w:ascii="Times New Roman" w:hAnsi="Times New Roman" w:eastAsia="宋体" w:cs="Times New Roman"/>
          <w:snapToGrid w:val="0"/>
          <w:color w:val="auto"/>
          <w:spacing w:val="3"/>
          <w:kern w:val="0"/>
          <w:sz w:val="24"/>
          <w:szCs w:val="24"/>
          <w:u w:val="none" w:color="auto"/>
        </w:rPr>
        <w:t>，根据《国家危险废物</w:t>
      </w:r>
      <w:r>
        <w:rPr>
          <w:rFonts w:hint="default" w:ascii="Times New Roman" w:hAnsi="Times New Roman" w:eastAsia="宋体" w:cs="Times New Roman"/>
          <w:snapToGrid w:val="0"/>
          <w:color w:val="auto"/>
          <w:spacing w:val="11"/>
          <w:kern w:val="0"/>
          <w:sz w:val="24"/>
          <w:szCs w:val="24"/>
          <w:u w:val="none" w:color="auto"/>
        </w:rPr>
        <w:t>名录》(2021年版)，废活性炭属于危险废物，分类编号为</w:t>
      </w:r>
      <w:r>
        <w:rPr>
          <w:rFonts w:hint="default" w:ascii="Times New Roman" w:hAnsi="Times New Roman" w:eastAsia="宋体" w:cs="Times New Roman"/>
          <w:snapToGrid w:val="0"/>
          <w:color w:val="auto"/>
          <w:kern w:val="0"/>
          <w:sz w:val="24"/>
          <w:szCs w:val="24"/>
          <w:u w:val="none" w:color="auto"/>
        </w:rPr>
        <w:t>HW</w:t>
      </w:r>
      <w:r>
        <w:rPr>
          <w:rFonts w:hint="default" w:ascii="Times New Roman" w:hAnsi="Times New Roman" w:eastAsia="宋体" w:cs="Times New Roman"/>
          <w:snapToGrid w:val="0"/>
          <w:color w:val="auto"/>
          <w:spacing w:val="11"/>
          <w:kern w:val="0"/>
          <w:sz w:val="24"/>
          <w:szCs w:val="24"/>
          <w:u w:val="none" w:color="auto"/>
        </w:rPr>
        <w:t>49，代码</w:t>
      </w:r>
      <w:r>
        <w:rPr>
          <w:rFonts w:hint="default" w:ascii="Times New Roman" w:hAnsi="Times New Roman" w:eastAsia="宋体" w:cs="Times New Roman"/>
          <w:snapToGrid w:val="0"/>
          <w:color w:val="auto"/>
          <w:spacing w:val="7"/>
          <w:kern w:val="0"/>
          <w:sz w:val="24"/>
          <w:szCs w:val="24"/>
          <w:u w:val="none" w:color="auto"/>
        </w:rPr>
        <w:t>为</w:t>
      </w:r>
      <w:r>
        <w:rPr>
          <w:rFonts w:hint="default" w:ascii="Times New Roman" w:hAnsi="Times New Roman" w:eastAsia="宋体" w:cs="Times New Roman"/>
          <w:snapToGrid w:val="0"/>
          <w:color w:val="auto"/>
          <w:spacing w:val="8"/>
          <w:kern w:val="0"/>
          <w:sz w:val="24"/>
          <w:szCs w:val="24"/>
          <w:u w:val="none" w:color="auto"/>
        </w:rPr>
        <w:t>9</w:t>
      </w:r>
      <w:r>
        <w:rPr>
          <w:rFonts w:hint="default" w:ascii="Times New Roman" w:hAnsi="Times New Roman" w:eastAsia="宋体" w:cs="Times New Roman"/>
          <w:snapToGrid w:val="0"/>
          <w:color w:val="auto"/>
          <w:spacing w:val="6"/>
          <w:kern w:val="0"/>
          <w:sz w:val="24"/>
          <w:szCs w:val="24"/>
          <w:u w:val="none" w:color="auto"/>
        </w:rPr>
        <w:t>00-039-49，收集后暂存于危废暂存间，定期委托有资质单位处置。</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2"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eastAsia" w:ascii="Times New Roman" w:hAnsi="Times New Roman" w:eastAsia="宋体" w:cs="Times New Roman"/>
          <w:snapToGrid w:val="0"/>
          <w:color w:val="auto"/>
          <w:spacing w:val="13"/>
          <w:kern w:val="0"/>
          <w:sz w:val="24"/>
          <w:szCs w:val="24"/>
          <w:u w:val="none" w:color="auto"/>
          <w:lang w:val="en-US" w:eastAsia="zh-CN"/>
        </w:rPr>
        <w:t>3）</w:t>
      </w:r>
      <w:r>
        <w:rPr>
          <w:rFonts w:hint="default" w:ascii="Times New Roman" w:hAnsi="Times New Roman" w:eastAsia="宋体" w:cs="Times New Roman"/>
          <w:snapToGrid w:val="0"/>
          <w:color w:val="auto"/>
          <w:spacing w:val="13"/>
          <w:kern w:val="0"/>
          <w:sz w:val="24"/>
          <w:szCs w:val="24"/>
          <w:u w:val="none" w:color="auto"/>
        </w:rPr>
        <w:t>废矿物油：项目机器维修产生的废矿物油，采取回用为润滑油的方式</w:t>
      </w:r>
      <w:r>
        <w:rPr>
          <w:rFonts w:hint="default" w:ascii="Times New Roman" w:hAnsi="Times New Roman" w:eastAsia="宋体" w:cs="Times New Roman"/>
          <w:snapToGrid w:val="0"/>
          <w:color w:val="auto"/>
          <w:spacing w:val="2"/>
          <w:kern w:val="0"/>
          <w:sz w:val="24"/>
          <w:szCs w:val="24"/>
          <w:u w:val="none" w:color="auto"/>
        </w:rPr>
        <w:t>减少其产生量，其产生量约为1</w:t>
      </w:r>
      <w:r>
        <w:rPr>
          <w:rFonts w:hint="default" w:ascii="Times New Roman" w:hAnsi="Times New Roman" w:eastAsia="宋体" w:cs="Times New Roman"/>
          <w:snapToGrid w:val="0"/>
          <w:color w:val="auto"/>
          <w:kern w:val="0"/>
          <w:sz w:val="24"/>
          <w:szCs w:val="24"/>
          <w:u w:val="none" w:color="auto"/>
        </w:rPr>
        <w:t>t</w:t>
      </w:r>
      <w:r>
        <w:rPr>
          <w:rFonts w:hint="default" w:ascii="Times New Roman" w:hAnsi="Times New Roman" w:eastAsia="宋体" w:cs="Times New Roman"/>
          <w:snapToGrid w:val="0"/>
          <w:color w:val="auto"/>
          <w:spacing w:val="2"/>
          <w:kern w:val="0"/>
          <w:sz w:val="24"/>
          <w:szCs w:val="24"/>
          <w:u w:val="none" w:color="auto"/>
        </w:rPr>
        <w:t>，即1</w:t>
      </w:r>
      <w:r>
        <w:rPr>
          <w:rFonts w:hint="default" w:ascii="Times New Roman" w:hAnsi="Times New Roman" w:eastAsia="宋体" w:cs="Times New Roman"/>
          <w:snapToGrid w:val="0"/>
          <w:color w:val="auto"/>
          <w:kern w:val="0"/>
          <w:sz w:val="24"/>
          <w:szCs w:val="24"/>
          <w:u w:val="none" w:color="auto"/>
        </w:rPr>
        <w:t>t</w:t>
      </w:r>
      <w:r>
        <w:rPr>
          <w:rFonts w:hint="default" w:ascii="Times New Roman" w:hAnsi="Times New Roman" w:eastAsia="宋体" w:cs="Times New Roman"/>
          <w:snapToGrid w:val="0"/>
          <w:color w:val="auto"/>
          <w:spacing w:val="2"/>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a</w:t>
      </w:r>
      <w:r>
        <w:rPr>
          <w:rFonts w:hint="default" w:ascii="Times New Roman" w:hAnsi="Times New Roman" w:eastAsia="宋体" w:cs="Times New Roman"/>
          <w:snapToGrid w:val="0"/>
          <w:color w:val="auto"/>
          <w:spacing w:val="2"/>
          <w:kern w:val="0"/>
          <w:sz w:val="24"/>
          <w:szCs w:val="24"/>
          <w:u w:val="none" w:color="auto"/>
        </w:rPr>
        <w:t>，废矿物油这部</w:t>
      </w:r>
      <w:r>
        <w:rPr>
          <w:rFonts w:hint="default" w:ascii="Times New Roman" w:hAnsi="Times New Roman" w:eastAsia="宋体" w:cs="Times New Roman"/>
          <w:snapToGrid w:val="0"/>
          <w:color w:val="auto"/>
          <w:spacing w:val="1"/>
          <w:kern w:val="0"/>
          <w:sz w:val="24"/>
          <w:szCs w:val="24"/>
          <w:u w:val="none" w:color="auto"/>
        </w:rPr>
        <w:t>分废物属于危险固废的</w:t>
      </w:r>
      <w:r>
        <w:rPr>
          <w:rFonts w:hint="default" w:ascii="Times New Roman" w:hAnsi="Times New Roman" w:eastAsia="宋体" w:cs="Times New Roman"/>
          <w:snapToGrid w:val="0"/>
          <w:color w:val="auto"/>
          <w:spacing w:val="11"/>
          <w:kern w:val="0"/>
          <w:sz w:val="24"/>
          <w:szCs w:val="24"/>
          <w:u w:val="none" w:color="auto"/>
        </w:rPr>
        <w:t>范围，按《国家危险废物名录》(2021年版)，分类编号为</w:t>
      </w:r>
      <w:r>
        <w:rPr>
          <w:rFonts w:hint="default" w:ascii="Times New Roman" w:hAnsi="Times New Roman" w:eastAsia="宋体" w:cs="Times New Roman"/>
          <w:snapToGrid w:val="0"/>
          <w:color w:val="auto"/>
          <w:kern w:val="0"/>
          <w:sz w:val="24"/>
          <w:szCs w:val="24"/>
          <w:u w:val="none" w:color="auto"/>
        </w:rPr>
        <w:t>HW</w:t>
      </w:r>
      <w:r>
        <w:rPr>
          <w:rFonts w:hint="default" w:ascii="Times New Roman" w:hAnsi="Times New Roman" w:eastAsia="宋体" w:cs="Times New Roman"/>
          <w:snapToGrid w:val="0"/>
          <w:color w:val="auto"/>
          <w:spacing w:val="11"/>
          <w:kern w:val="0"/>
          <w:sz w:val="24"/>
          <w:szCs w:val="24"/>
          <w:u w:val="none" w:color="auto"/>
        </w:rPr>
        <w:t>08，代码</w:t>
      </w:r>
      <w:r>
        <w:rPr>
          <w:rFonts w:hint="default" w:ascii="Times New Roman" w:hAnsi="Times New Roman" w:eastAsia="宋体" w:cs="Times New Roman"/>
          <w:snapToGrid w:val="0"/>
          <w:color w:val="auto"/>
          <w:spacing w:val="7"/>
          <w:kern w:val="0"/>
          <w:sz w:val="24"/>
          <w:szCs w:val="24"/>
          <w:u w:val="none" w:color="auto"/>
        </w:rPr>
        <w:t>为</w:t>
      </w:r>
      <w:r>
        <w:rPr>
          <w:rFonts w:hint="default" w:ascii="Times New Roman" w:hAnsi="Times New Roman" w:eastAsia="宋体" w:cs="Times New Roman"/>
          <w:snapToGrid w:val="0"/>
          <w:color w:val="auto"/>
          <w:spacing w:val="8"/>
          <w:kern w:val="0"/>
          <w:sz w:val="24"/>
          <w:szCs w:val="24"/>
          <w:u w:val="none" w:color="auto"/>
        </w:rPr>
        <w:t>9</w:t>
      </w:r>
      <w:r>
        <w:rPr>
          <w:rFonts w:hint="default" w:ascii="Times New Roman" w:hAnsi="Times New Roman" w:eastAsia="宋体" w:cs="Times New Roman"/>
          <w:snapToGrid w:val="0"/>
          <w:color w:val="auto"/>
          <w:spacing w:val="6"/>
          <w:kern w:val="0"/>
          <w:sz w:val="24"/>
          <w:szCs w:val="24"/>
          <w:u w:val="none" w:color="auto"/>
        </w:rPr>
        <w:t>00-214-08。收集后暂存于危废暂存间，定期委托有资质单位处置。</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70" w:firstLineChars="200"/>
        <w:jc w:val="left"/>
        <w:textAlignment w:val="baseline"/>
        <w:outlineLvl w:val="2"/>
        <w:rPr>
          <w:rFonts w:hint="default" w:ascii="Times New Roman" w:hAnsi="Times New Roman" w:eastAsia="宋体" w:cs="Times New Roman"/>
          <w:b/>
          <w:bCs/>
          <w:snapToGrid w:val="0"/>
          <w:color w:val="auto"/>
          <w:spacing w:val="11"/>
          <w:kern w:val="0"/>
          <w:sz w:val="24"/>
          <w:szCs w:val="24"/>
          <w:u w:val="none" w:color="auto"/>
        </w:rPr>
      </w:pPr>
      <w:bookmarkStart w:id="156" w:name="_Toc4950"/>
      <w:r>
        <w:rPr>
          <w:rFonts w:hint="eastAsia" w:ascii="Times New Roman" w:hAnsi="Times New Roman" w:eastAsia="宋体" w:cs="Times New Roman"/>
          <w:b/>
          <w:bCs/>
          <w:snapToGrid w:val="0"/>
          <w:color w:val="auto"/>
          <w:spacing w:val="22"/>
          <w:kern w:val="0"/>
          <w:sz w:val="24"/>
          <w:szCs w:val="24"/>
          <w:u w:val="none" w:color="auto"/>
          <w:lang w:eastAsia="zh-CN"/>
        </w:rPr>
        <w:t>（</w:t>
      </w:r>
      <w:r>
        <w:rPr>
          <w:rFonts w:hint="eastAsia" w:ascii="Times New Roman" w:hAnsi="Times New Roman" w:eastAsia="宋体" w:cs="Times New Roman"/>
          <w:b/>
          <w:bCs/>
          <w:snapToGrid w:val="0"/>
          <w:color w:val="auto"/>
          <w:spacing w:val="22"/>
          <w:kern w:val="0"/>
          <w:sz w:val="24"/>
          <w:szCs w:val="24"/>
          <w:u w:val="none" w:color="auto"/>
          <w:lang w:val="en-US" w:eastAsia="zh-CN"/>
        </w:rPr>
        <w:t>3</w:t>
      </w:r>
      <w:r>
        <w:rPr>
          <w:rFonts w:hint="eastAsia" w:ascii="Times New Roman" w:hAnsi="Times New Roman" w:eastAsia="宋体" w:cs="Times New Roman"/>
          <w:b/>
          <w:bCs/>
          <w:snapToGrid w:val="0"/>
          <w:color w:val="auto"/>
          <w:spacing w:val="22"/>
          <w:kern w:val="0"/>
          <w:sz w:val="24"/>
          <w:szCs w:val="24"/>
          <w:u w:val="none" w:color="auto"/>
          <w:lang w:eastAsia="zh-CN"/>
        </w:rPr>
        <w:t>）</w:t>
      </w:r>
      <w:r>
        <w:rPr>
          <w:rFonts w:hint="default" w:ascii="Times New Roman" w:hAnsi="Times New Roman" w:eastAsia="宋体" w:cs="Times New Roman"/>
          <w:b/>
          <w:bCs/>
          <w:snapToGrid w:val="0"/>
          <w:color w:val="auto"/>
          <w:spacing w:val="11"/>
          <w:kern w:val="0"/>
          <w:sz w:val="24"/>
          <w:szCs w:val="24"/>
          <w:u w:val="none" w:color="auto"/>
        </w:rPr>
        <w:t>生活垃圾</w:t>
      </w:r>
      <w:bookmarkEnd w:id="156"/>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4" w:firstLineChars="200"/>
        <w:jc w:val="left"/>
        <w:textAlignment w:val="baseline"/>
        <w:rPr>
          <w:rFonts w:hint="eastAsia" w:ascii="Times New Roman" w:hAnsi="Times New Roman" w:eastAsia="宋体" w:cs="Times New Roman"/>
          <w:snapToGrid w:val="0"/>
          <w:color w:val="auto"/>
          <w:kern w:val="0"/>
          <w:sz w:val="24"/>
          <w:szCs w:val="24"/>
          <w:u w:val="none" w:color="auto"/>
          <w:lang w:eastAsia="zh-CN"/>
        </w:rPr>
      </w:pPr>
      <w:r>
        <w:rPr>
          <w:rFonts w:hint="default" w:ascii="Times New Roman" w:hAnsi="Times New Roman" w:eastAsia="宋体" w:cs="Times New Roman"/>
          <w:snapToGrid w:val="0"/>
          <w:color w:val="auto"/>
          <w:spacing w:val="11"/>
          <w:kern w:val="0"/>
          <w:sz w:val="24"/>
          <w:szCs w:val="24"/>
          <w:u w:val="none" w:color="auto"/>
        </w:rPr>
        <w:t>本项目劳动定员</w:t>
      </w:r>
      <w:r>
        <w:rPr>
          <w:rFonts w:hint="default" w:ascii="Times New Roman" w:hAnsi="Times New Roman" w:eastAsia="宋体" w:cs="Times New Roman"/>
          <w:snapToGrid w:val="0"/>
          <w:color w:val="auto"/>
          <w:spacing w:val="11"/>
          <w:kern w:val="0"/>
          <w:sz w:val="24"/>
          <w:szCs w:val="24"/>
          <w:u w:val="none" w:color="auto"/>
          <w:lang w:val="en-US" w:eastAsia="zh-CN"/>
        </w:rPr>
        <w:t>400</w:t>
      </w:r>
      <w:r>
        <w:rPr>
          <w:rFonts w:hint="default" w:ascii="Times New Roman" w:hAnsi="Times New Roman" w:eastAsia="宋体" w:cs="Times New Roman"/>
          <w:snapToGrid w:val="0"/>
          <w:color w:val="auto"/>
          <w:spacing w:val="11"/>
          <w:kern w:val="0"/>
          <w:sz w:val="24"/>
          <w:szCs w:val="24"/>
          <w:u w:val="none" w:color="auto"/>
        </w:rPr>
        <w:t>人，年工作天数为300天，在生产营</w:t>
      </w:r>
      <w:r>
        <w:rPr>
          <w:rFonts w:hint="default" w:ascii="Times New Roman" w:hAnsi="Times New Roman" w:eastAsia="宋体" w:cs="Times New Roman"/>
          <w:snapToGrid w:val="0"/>
          <w:color w:val="auto"/>
          <w:spacing w:val="3"/>
          <w:kern w:val="0"/>
          <w:sz w:val="24"/>
          <w:szCs w:val="24"/>
          <w:u w:val="none" w:color="auto"/>
        </w:rPr>
        <w:t>运期间生活垃圾产生系数取0.5</w:t>
      </w:r>
      <w:r>
        <w:rPr>
          <w:rFonts w:hint="default" w:ascii="Times New Roman" w:hAnsi="Times New Roman" w:eastAsia="宋体" w:cs="Times New Roman"/>
          <w:snapToGrid w:val="0"/>
          <w:color w:val="auto"/>
          <w:kern w:val="0"/>
          <w:sz w:val="24"/>
          <w:szCs w:val="24"/>
          <w:u w:val="none" w:color="auto"/>
        </w:rPr>
        <w:t>kg</w:t>
      </w:r>
      <w:r>
        <w:rPr>
          <w:rFonts w:hint="default" w:ascii="Times New Roman" w:hAnsi="Times New Roman" w:eastAsia="宋体" w:cs="Times New Roman"/>
          <w:snapToGrid w:val="0"/>
          <w:color w:val="auto"/>
          <w:spacing w:val="3"/>
          <w:kern w:val="0"/>
          <w:sz w:val="24"/>
          <w:szCs w:val="24"/>
          <w:u w:val="none" w:color="auto"/>
        </w:rPr>
        <w:t>/人•天，因此，项目生活垃圾产生量为</w:t>
      </w:r>
      <w:r>
        <w:rPr>
          <w:rFonts w:hint="default" w:ascii="Times New Roman" w:hAnsi="Times New Roman" w:eastAsia="宋体" w:cs="Times New Roman"/>
          <w:snapToGrid w:val="0"/>
          <w:color w:val="auto"/>
          <w:spacing w:val="3"/>
          <w:kern w:val="0"/>
          <w:sz w:val="24"/>
          <w:szCs w:val="24"/>
          <w:u w:val="none" w:color="auto"/>
          <w:lang w:val="en-US" w:eastAsia="zh-CN"/>
        </w:rPr>
        <w:t>200</w:t>
      </w:r>
      <w:r>
        <w:rPr>
          <w:rFonts w:hint="default" w:ascii="Times New Roman" w:hAnsi="Times New Roman" w:eastAsia="宋体" w:cs="Times New Roman"/>
          <w:snapToGrid w:val="0"/>
          <w:color w:val="auto"/>
          <w:kern w:val="0"/>
          <w:sz w:val="24"/>
          <w:szCs w:val="24"/>
          <w:u w:val="none" w:color="auto"/>
        </w:rPr>
        <w:t>kg</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d</w:t>
      </w:r>
      <w:r>
        <w:rPr>
          <w:rFonts w:hint="default" w:ascii="Times New Roman" w:hAnsi="Times New Roman" w:eastAsia="宋体" w:cs="Times New Roman"/>
          <w:snapToGrid w:val="0"/>
          <w:color w:val="auto"/>
          <w:spacing w:val="1"/>
          <w:kern w:val="0"/>
          <w:sz w:val="24"/>
          <w:szCs w:val="24"/>
          <w:u w:val="none" w:color="auto"/>
        </w:rPr>
        <w:t>、</w:t>
      </w:r>
      <w:r>
        <w:rPr>
          <w:rFonts w:hint="default" w:ascii="Times New Roman" w:hAnsi="Times New Roman" w:eastAsia="宋体" w:cs="Times New Roman"/>
          <w:snapToGrid w:val="0"/>
          <w:color w:val="auto"/>
          <w:spacing w:val="3"/>
          <w:kern w:val="0"/>
          <w:sz w:val="24"/>
          <w:szCs w:val="24"/>
          <w:u w:val="none" w:color="auto"/>
          <w:lang w:val="en-US" w:eastAsia="zh-CN"/>
        </w:rPr>
        <w:t>60</w:t>
      </w:r>
      <w:r>
        <w:rPr>
          <w:rFonts w:hint="default" w:ascii="Times New Roman" w:hAnsi="Times New Roman" w:eastAsia="宋体" w:cs="Times New Roman"/>
          <w:snapToGrid w:val="0"/>
          <w:color w:val="auto"/>
          <w:kern w:val="0"/>
          <w:sz w:val="24"/>
          <w:szCs w:val="24"/>
          <w:u w:val="none" w:color="auto"/>
        </w:rPr>
        <w:t>t</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a</w:t>
      </w:r>
      <w:r>
        <w:rPr>
          <w:rFonts w:hint="eastAsia" w:ascii="Times New Roman" w:hAnsi="Times New Roman" w:eastAsia="宋体" w:cs="Times New Roman"/>
          <w:snapToGrid w:val="0"/>
          <w:color w:val="auto"/>
          <w:kern w:val="0"/>
          <w:sz w:val="24"/>
          <w:szCs w:val="24"/>
          <w:u w:val="none" w:color="auto"/>
          <w:lang w:eastAsia="zh-CN"/>
        </w:rPr>
        <w:t>。</w:t>
      </w:r>
    </w:p>
    <w:p>
      <w:pPr>
        <w:pageBreakBefore w:val="0"/>
        <w:kinsoku/>
        <w:wordWrap/>
        <w:overflowPunct w:val="0"/>
        <w:topLinePunct/>
        <w:autoSpaceDE w:val="0"/>
        <w:autoSpaceDN w:val="0"/>
        <w:bidi w:val="0"/>
        <w:spacing w:line="360" w:lineRule="auto"/>
        <w:ind w:left="0" w:leftChars="0" w:right="0" w:rightChars="0" w:firstLine="0" w:firstLineChars="0"/>
        <w:jc w:val="center"/>
        <w:outlineLvl w:val="9"/>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b/>
          <w:bCs/>
          <w:color w:val="auto"/>
          <w:kern w:val="2"/>
          <w:sz w:val="24"/>
          <w:szCs w:val="20"/>
          <w:highlight w:val="none"/>
          <w:u w:val="none" w:color="auto"/>
          <w:lang w:val="en-US" w:eastAsia="zh-CN" w:bidi="ar-SA"/>
        </w:rPr>
        <w:t>表3.</w:t>
      </w:r>
      <w:r>
        <w:rPr>
          <w:rFonts w:hint="eastAsia" w:ascii="Times New Roman" w:hAnsi="Times New Roman" w:eastAsia="宋体" w:cs="Times New Roman"/>
          <w:b/>
          <w:bCs/>
          <w:color w:val="auto"/>
          <w:kern w:val="2"/>
          <w:sz w:val="24"/>
          <w:szCs w:val="20"/>
          <w:highlight w:val="none"/>
          <w:u w:val="none" w:color="auto"/>
          <w:lang w:val="en-US" w:eastAsia="zh-CN" w:bidi="ar-SA"/>
        </w:rPr>
        <w:t>6-11</w:t>
      </w:r>
      <w:r>
        <w:rPr>
          <w:rFonts w:hint="default" w:ascii="Times New Roman" w:hAnsi="Times New Roman" w:eastAsia="宋体" w:cs="Times New Roman"/>
          <w:b/>
          <w:bCs/>
          <w:color w:val="auto"/>
          <w:kern w:val="2"/>
          <w:sz w:val="24"/>
          <w:szCs w:val="20"/>
          <w:highlight w:val="none"/>
          <w:u w:val="none" w:color="auto"/>
          <w:lang w:val="en-US" w:eastAsia="zh-CN" w:bidi="ar-SA"/>
        </w:rPr>
        <w:t>项目固体废物源强统计表</w:t>
      </w:r>
    </w:p>
    <w:tbl>
      <w:tblPr>
        <w:tblStyle w:val="204"/>
        <w:tblW w:w="8521"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19"/>
        <w:gridCol w:w="1716"/>
        <w:gridCol w:w="2409"/>
        <w:gridCol w:w="1282"/>
        <w:gridCol w:w="23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固废名称</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属性类别</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排放量(t/a)</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生活垃圾</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环卫部门清运处置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镁熔渣及不能回用废料</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一般固废</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1835.7</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spacing w:val="7"/>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废边角料及残次品</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一般固废</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6615</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回用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含油滤料及含油污泥</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危险废物(编号HW</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8，代码900-210-08</w:t>
            </w:r>
            <w:r>
              <w:rPr>
                <w:rFonts w:hint="eastAsia" w:ascii="Times New Roman" w:hAnsi="Times New Roman" w:cs="Times New Roman"/>
                <w:color w:val="auto"/>
                <w:sz w:val="21"/>
                <w:szCs w:val="21"/>
                <w:vertAlign w:val="baseline"/>
                <w:lang w:val="en-US" w:eastAsia="zh-CN"/>
              </w:rPr>
              <w:t>）</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2.16</w:t>
            </w:r>
          </w:p>
        </w:tc>
        <w:tc>
          <w:tcPr>
            <w:tcW w:w="239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暂存于危废暂存间，交由有资质的单位处理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废活性炭</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危险废物(编号HW49，代码900-039-49)</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239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废矿物油</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危险废物(编号HW08，代码900-214-08)</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39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pageBreakBefore w:val="0"/>
        <w:widowControl/>
        <w:kinsoku/>
        <w:wordWrap/>
        <w:overflowPunct w:val="0"/>
        <w:topLinePunct/>
        <w:autoSpaceDE w:val="0"/>
        <w:autoSpaceDN w:val="0"/>
        <w:bidi w:val="0"/>
        <w:adjustRightInd w:val="0"/>
        <w:snapToGrid w:val="0"/>
        <w:spacing w:before="35" w:line="227" w:lineRule="auto"/>
        <w:ind w:left="61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6"/>
          <w:kern w:val="0"/>
          <w:sz w:val="24"/>
          <w:szCs w:val="24"/>
          <w:u w:val="none" w:color="auto"/>
        </w:rPr>
        <w:t>本</w:t>
      </w:r>
      <w:r>
        <w:rPr>
          <w:rFonts w:hint="default" w:ascii="Times New Roman" w:hAnsi="Times New Roman" w:eastAsia="宋体" w:cs="Times New Roman"/>
          <w:snapToGrid w:val="0"/>
          <w:color w:val="auto"/>
          <w:spacing w:val="9"/>
          <w:kern w:val="0"/>
          <w:sz w:val="24"/>
          <w:szCs w:val="24"/>
          <w:u w:val="none" w:color="auto"/>
        </w:rPr>
        <w:t>项</w:t>
      </w:r>
      <w:r>
        <w:rPr>
          <w:rFonts w:hint="default" w:ascii="Times New Roman" w:hAnsi="Times New Roman" w:eastAsia="宋体" w:cs="Times New Roman"/>
          <w:snapToGrid w:val="0"/>
          <w:color w:val="auto"/>
          <w:spacing w:val="8"/>
          <w:kern w:val="0"/>
          <w:sz w:val="24"/>
          <w:szCs w:val="24"/>
          <w:u w:val="none" w:color="auto"/>
        </w:rPr>
        <w:t>目危险废物基本情况见下表。</w:t>
      </w:r>
    </w:p>
    <w:p>
      <w:pPr>
        <w:pageBreakBefore w:val="0"/>
        <w:kinsoku/>
        <w:wordWrap/>
        <w:overflowPunct w:val="0"/>
        <w:topLinePunct/>
        <w:autoSpaceDE w:val="0"/>
        <w:autoSpaceDN w:val="0"/>
        <w:bidi w:val="0"/>
        <w:rPr>
          <w:rFonts w:hint="default" w:ascii="Times New Roman" w:hAnsi="Times New Roman" w:eastAsia="宋体" w:cs="Times New Roman"/>
          <w:color w:val="auto"/>
          <w:sz w:val="24"/>
          <w:szCs w:val="24"/>
          <w:u w:val="none" w:color="auto"/>
        </w:rPr>
        <w:sectPr>
          <w:headerReference r:id="rId12" w:type="default"/>
          <w:footerReference r:id="rId13" w:type="default"/>
          <w:pgSz w:w="11906" w:h="16839"/>
          <w:pgMar w:top="1132" w:right="1679" w:bottom="1181" w:left="1679" w:header="882" w:footer="994" w:gutter="0"/>
          <w:pgBorders>
            <w:top w:val="none" w:sz="0" w:space="0"/>
            <w:left w:val="none" w:sz="0" w:space="0"/>
            <w:bottom w:val="none" w:sz="0" w:space="0"/>
            <w:right w:val="none" w:sz="0" w:space="0"/>
          </w:pgBorders>
          <w:pgNumType w:fmt="decimal"/>
          <w:cols w:space="720" w:num="1"/>
        </w:sectPr>
      </w:pPr>
    </w:p>
    <w:p>
      <w:pPr>
        <w:pageBreakBefore w:val="0"/>
        <w:widowControl/>
        <w:kinsoku/>
        <w:wordWrap/>
        <w:overflowPunct w:val="0"/>
        <w:topLinePunct/>
        <w:autoSpaceDE w:val="0"/>
        <w:autoSpaceDN w:val="0"/>
        <w:bidi w:val="0"/>
        <w:adjustRightInd w:val="0"/>
        <w:snapToGrid w:val="0"/>
        <w:spacing w:line="271" w:lineRule="auto"/>
        <w:jc w:val="left"/>
        <w:textAlignment w:val="baseline"/>
        <w:rPr>
          <w:rFonts w:hint="default" w:ascii="Times New Roman" w:hAnsi="Times New Roman" w:eastAsia="宋体" w:cs="Times New Roman"/>
          <w:snapToGrid w:val="0"/>
          <w:color w:val="auto"/>
          <w:kern w:val="0"/>
          <w:sz w:val="21"/>
          <w:szCs w:val="21"/>
          <w:u w:val="none" w:color="auto"/>
        </w:rPr>
      </w:pPr>
    </w:p>
    <w:p>
      <w:pPr>
        <w:pageBreakBefore w:val="0"/>
        <w:kinsoku/>
        <w:wordWrap/>
        <w:overflowPunct w:val="0"/>
        <w:topLinePunct/>
        <w:autoSpaceDE w:val="0"/>
        <w:autoSpaceDN w:val="0"/>
        <w:bidi w:val="0"/>
        <w:spacing w:line="360" w:lineRule="auto"/>
        <w:ind w:left="0" w:leftChars="0" w:right="0" w:rightChars="0" w:firstLine="0" w:firstLineChars="0"/>
        <w:jc w:val="center"/>
        <w:outlineLvl w:val="9"/>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b/>
          <w:bCs/>
          <w:color w:val="auto"/>
          <w:kern w:val="2"/>
          <w:sz w:val="24"/>
          <w:szCs w:val="20"/>
          <w:highlight w:val="none"/>
          <w:u w:val="none" w:color="auto"/>
          <w:lang w:val="en-US" w:eastAsia="zh-CN" w:bidi="ar-SA"/>
        </w:rPr>
        <w:t>表3.</w:t>
      </w:r>
      <w:r>
        <w:rPr>
          <w:rFonts w:hint="eastAsia" w:ascii="Times New Roman" w:hAnsi="Times New Roman" w:eastAsia="宋体" w:cs="Times New Roman"/>
          <w:b/>
          <w:bCs/>
          <w:color w:val="auto"/>
          <w:kern w:val="2"/>
          <w:sz w:val="24"/>
          <w:szCs w:val="20"/>
          <w:highlight w:val="none"/>
          <w:u w:val="none" w:color="auto"/>
          <w:lang w:val="en-US" w:eastAsia="zh-CN" w:bidi="ar-SA"/>
        </w:rPr>
        <w:t>6-12</w:t>
      </w:r>
      <w:r>
        <w:rPr>
          <w:rFonts w:hint="default" w:ascii="Times New Roman" w:hAnsi="Times New Roman" w:eastAsia="宋体" w:cs="Times New Roman"/>
          <w:b/>
          <w:bCs/>
          <w:color w:val="auto"/>
          <w:kern w:val="2"/>
          <w:sz w:val="24"/>
          <w:szCs w:val="20"/>
          <w:highlight w:val="none"/>
          <w:u w:val="none" w:color="auto"/>
          <w:lang w:val="en-US" w:eastAsia="zh-CN" w:bidi="ar-SA"/>
        </w:rPr>
        <w:t>危险废物汇总表</w:t>
      </w:r>
    </w:p>
    <w:tbl>
      <w:tblPr>
        <w:tblStyle w:val="204"/>
        <w:tblW w:w="503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2"/>
        <w:gridCol w:w="687"/>
        <w:gridCol w:w="687"/>
        <w:gridCol w:w="998"/>
        <w:gridCol w:w="690"/>
        <w:gridCol w:w="690"/>
        <w:gridCol w:w="690"/>
        <w:gridCol w:w="690"/>
        <w:gridCol w:w="690"/>
        <w:gridCol w:w="690"/>
        <w:gridCol w:w="691"/>
        <w:gridCol w:w="7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07" w:type="pct"/>
            <w:tcBorders>
              <w:top w:val="single" w:color="000000" w:sz="12"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398"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w:t>
            </w:r>
          </w:p>
        </w:tc>
        <w:tc>
          <w:tcPr>
            <w:tcW w:w="398"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危险废物类别</w:t>
            </w:r>
          </w:p>
        </w:tc>
        <w:tc>
          <w:tcPr>
            <w:tcW w:w="578"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危险废物代码</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产生量(t/a)</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产生工</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序及装</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置</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形态</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主要成分</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有害成分</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产废周期</w:t>
            </w:r>
          </w:p>
        </w:tc>
        <w:tc>
          <w:tcPr>
            <w:tcW w:w="400" w:type="pct"/>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危险特性</w:t>
            </w:r>
          </w:p>
        </w:tc>
        <w:tc>
          <w:tcPr>
            <w:tcW w:w="413" w:type="pct"/>
            <w:tcBorders>
              <w:top w:val="single" w:color="000000" w:sz="12"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污染防治措施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07" w:type="pct"/>
            <w:tcBorders>
              <w:top w:val="single" w:color="000000" w:sz="4"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39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含油滤料及含油污泥</w:t>
            </w:r>
          </w:p>
        </w:tc>
        <w:tc>
          <w:tcPr>
            <w:tcW w:w="39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8</w:t>
            </w:r>
          </w:p>
        </w:tc>
        <w:tc>
          <w:tcPr>
            <w:tcW w:w="57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900-210-08</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2.16</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废水处理</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固态</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矿物油</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矿物油</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T、I</w:t>
            </w:r>
          </w:p>
        </w:tc>
        <w:tc>
          <w:tcPr>
            <w:tcW w:w="413" w:type="pct"/>
            <w:vMerge w:val="restart"/>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暂存于危废暂存间后委托有资质单位处置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07" w:type="pct"/>
            <w:tcBorders>
              <w:top w:val="single" w:color="000000" w:sz="4"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39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废活性炭</w:t>
            </w:r>
          </w:p>
        </w:tc>
        <w:tc>
          <w:tcPr>
            <w:tcW w:w="39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HW49</w:t>
            </w:r>
          </w:p>
        </w:tc>
        <w:tc>
          <w:tcPr>
            <w:tcW w:w="57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900-03</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9-49</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废气处理</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固态</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活性炭</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VOCs</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T、I</w:t>
            </w:r>
          </w:p>
        </w:tc>
        <w:tc>
          <w:tcPr>
            <w:tcW w:w="413" w:type="pct"/>
            <w:vMerge w:val="continue"/>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07" w:type="pct"/>
            <w:tcBorders>
              <w:top w:val="single" w:color="000000" w:sz="4"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39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废矿物油</w:t>
            </w:r>
          </w:p>
        </w:tc>
        <w:tc>
          <w:tcPr>
            <w:tcW w:w="39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HW08</w:t>
            </w:r>
          </w:p>
        </w:tc>
        <w:tc>
          <w:tcPr>
            <w:tcW w:w="578"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900-21</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4-08</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设备维护</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液态</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矿物油</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矿物油</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w:t>
            </w:r>
          </w:p>
        </w:tc>
        <w:tc>
          <w:tcPr>
            <w:tcW w:w="400"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T、I</w:t>
            </w:r>
          </w:p>
        </w:tc>
        <w:tc>
          <w:tcPr>
            <w:tcW w:w="413" w:type="pct"/>
            <w:vMerge w:val="continue"/>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pageBreakBefore w:val="0"/>
        <w:widowControl/>
        <w:kinsoku/>
        <w:wordWrap/>
        <w:overflowPunct w:val="0"/>
        <w:topLinePunct/>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u w:val="none" w:color="auto"/>
        </w:rPr>
      </w:pPr>
    </w:p>
    <w:p>
      <w:pPr>
        <w:pageBreakBefore w:val="0"/>
        <w:kinsoku/>
        <w:wordWrap/>
        <w:overflowPunct w:val="0"/>
        <w:topLinePunct/>
        <w:autoSpaceDE w:val="0"/>
        <w:autoSpaceDN w:val="0"/>
        <w:bidi w:val="0"/>
        <w:rPr>
          <w:rFonts w:hint="default" w:ascii="Times New Roman" w:hAnsi="Times New Roman" w:eastAsia="宋体" w:cs="Times New Roman"/>
          <w:color w:val="auto"/>
          <w:u w:val="none" w:color="auto"/>
        </w:rPr>
        <w:sectPr>
          <w:headerReference r:id="rId14" w:type="default"/>
          <w:footerReference r:id="rId15" w:type="default"/>
          <w:pgSz w:w="11906" w:h="16839"/>
          <w:pgMar w:top="1132" w:right="1686" w:bottom="1181" w:left="1686" w:header="882" w:footer="994" w:gutter="0"/>
          <w:pgBorders>
            <w:top w:val="none" w:sz="0" w:space="0"/>
            <w:left w:val="none" w:sz="0" w:space="0"/>
            <w:bottom w:val="none" w:sz="0" w:space="0"/>
            <w:right w:val="none" w:sz="0" w:space="0"/>
          </w:pgBorders>
          <w:pgNumType w:fmt="decimal"/>
          <w:cols w:space="720" w:num="1"/>
        </w:sectPr>
      </w:pPr>
    </w:p>
    <w:p>
      <w:pPr>
        <w:pStyle w:val="6"/>
        <w:bidi w:val="0"/>
        <w:rPr>
          <w:rFonts w:hint="default"/>
          <w:color w:val="auto"/>
        </w:rPr>
      </w:pPr>
      <w:bookmarkStart w:id="157" w:name="_bookmark64"/>
      <w:bookmarkEnd w:id="157"/>
      <w:bookmarkStart w:id="158" w:name="_Toc20570"/>
      <w:r>
        <w:rPr>
          <w:rFonts w:hint="default"/>
          <w:color w:val="auto"/>
        </w:rPr>
        <w:t>3.6污染物排放量汇总</w:t>
      </w:r>
      <w:bookmarkEnd w:id="158"/>
    </w:p>
    <w:p>
      <w:pPr>
        <w:pageBreakBefore w:val="0"/>
        <w:widowControl/>
        <w:kinsoku/>
        <w:wordWrap/>
        <w:overflowPunct w:val="0"/>
        <w:topLinePunct/>
        <w:autoSpaceDE w:val="0"/>
        <w:autoSpaceDN w:val="0"/>
        <w:bidi w:val="0"/>
        <w:adjustRightInd w:val="0"/>
        <w:snapToGrid w:val="0"/>
        <w:spacing w:before="216" w:line="228" w:lineRule="auto"/>
        <w:ind w:left="573"/>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通</w:t>
      </w:r>
      <w:r>
        <w:rPr>
          <w:rFonts w:hint="default" w:ascii="Times New Roman" w:hAnsi="Times New Roman" w:eastAsia="宋体" w:cs="Times New Roman"/>
          <w:snapToGrid w:val="0"/>
          <w:color w:val="auto"/>
          <w:spacing w:val="9"/>
          <w:kern w:val="0"/>
          <w:sz w:val="24"/>
          <w:szCs w:val="24"/>
          <w:u w:val="none" w:color="auto"/>
        </w:rPr>
        <w:t>过上述工程分析，本项目污染物排放量汇总见下表。</w:t>
      </w:r>
    </w:p>
    <w:p>
      <w:pPr>
        <w:pageBreakBefore w:val="0"/>
        <w:kinsoku/>
        <w:wordWrap/>
        <w:overflowPunct w:val="0"/>
        <w:topLinePunct/>
        <w:autoSpaceDE w:val="0"/>
        <w:autoSpaceDN w:val="0"/>
        <w:bidi w:val="0"/>
        <w:spacing w:line="360" w:lineRule="auto"/>
        <w:ind w:left="0" w:leftChars="0" w:right="0" w:rightChars="0" w:firstLine="0" w:firstLineChars="0"/>
        <w:jc w:val="center"/>
        <w:outlineLvl w:val="9"/>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b/>
          <w:bCs/>
          <w:color w:val="auto"/>
          <w:kern w:val="2"/>
          <w:sz w:val="24"/>
          <w:szCs w:val="24"/>
          <w:highlight w:val="none"/>
          <w:u w:val="none" w:color="auto"/>
          <w:lang w:val="en-US" w:eastAsia="zh-CN" w:bidi="ar-SA"/>
        </w:rPr>
        <w:t>表3.6-</w:t>
      </w:r>
      <w:r>
        <w:rPr>
          <w:rFonts w:hint="eastAsia" w:ascii="Times New Roman" w:hAnsi="Times New Roman" w:eastAsia="宋体" w:cs="Times New Roman"/>
          <w:b/>
          <w:bCs/>
          <w:color w:val="auto"/>
          <w:kern w:val="2"/>
          <w:sz w:val="24"/>
          <w:szCs w:val="24"/>
          <w:highlight w:val="none"/>
          <w:u w:val="none" w:color="auto"/>
          <w:lang w:val="en-US" w:eastAsia="zh-CN" w:bidi="ar-SA"/>
        </w:rPr>
        <w:t>13</w:t>
      </w:r>
      <w:r>
        <w:rPr>
          <w:rFonts w:hint="default" w:ascii="Times New Roman" w:hAnsi="Times New Roman" w:eastAsia="宋体" w:cs="Times New Roman"/>
          <w:b/>
          <w:bCs/>
          <w:color w:val="auto"/>
          <w:kern w:val="2"/>
          <w:sz w:val="24"/>
          <w:szCs w:val="24"/>
          <w:highlight w:val="none"/>
          <w:u w:val="none" w:color="auto"/>
          <w:lang w:val="en-US" w:eastAsia="zh-CN" w:bidi="ar-SA"/>
        </w:rPr>
        <w:t>项目污染物产生及排放情况汇总表</w:t>
      </w:r>
    </w:p>
    <w:tbl>
      <w:tblPr>
        <w:tblStyle w:val="204"/>
        <w:tblW w:w="1410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320"/>
        <w:gridCol w:w="1221"/>
        <w:gridCol w:w="880"/>
        <w:gridCol w:w="1061"/>
        <w:gridCol w:w="645"/>
        <w:gridCol w:w="488"/>
        <w:gridCol w:w="1167"/>
        <w:gridCol w:w="867"/>
        <w:gridCol w:w="933"/>
        <w:gridCol w:w="238"/>
        <w:gridCol w:w="1144"/>
        <w:gridCol w:w="34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w:t>
            </w: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废水类型</w:t>
            </w:r>
          </w:p>
        </w:tc>
        <w:tc>
          <w:tcPr>
            <w:tcW w:w="2101" w:type="dxa"/>
            <w:gridSpan w:val="2"/>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产生情况</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厂区排放情况</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治理措施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产生浓度(mg/L)</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产生量(t/a)</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排放浓度(mg/L)</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排放量(t/a)</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生活污水</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15660</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15660</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经隔油池处理后排入湖南三峡环境临港水质净化厂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350</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5.48</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350</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5.48</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氨氮</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35</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0.55</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35</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直接</w:t>
            </w:r>
            <w:r>
              <w:rPr>
                <w:rFonts w:hint="default" w:ascii="Times New Roman" w:hAnsi="Times New Roman" w:cs="Times New Roman"/>
                <w:color w:val="auto"/>
                <w:sz w:val="21"/>
                <w:szCs w:val="21"/>
                <w:vertAlign w:val="baseline"/>
                <w:lang w:val="en-US" w:eastAsia="zh-CN"/>
              </w:rPr>
              <w:t>冷却循环水</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720</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720</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循环使用，定期补充损耗，</w:t>
            </w:r>
            <w:r>
              <w:rPr>
                <w:rFonts w:hint="eastAsia" w:ascii="Times New Roman" w:hAnsi="Times New Roman" w:cs="Times New Roman"/>
                <w:color w:val="auto"/>
                <w:sz w:val="21"/>
                <w:szCs w:val="21"/>
                <w:vertAlign w:val="baseline"/>
                <w:lang w:val="en-US" w:eastAsia="zh-CN"/>
              </w:rPr>
              <w:t>少量含油排污水经过预处理后排放至</w:t>
            </w:r>
            <w:r>
              <w:rPr>
                <w:rFonts w:hint="default" w:ascii="Times New Roman" w:hAnsi="Times New Roman" w:cs="Times New Roman"/>
                <w:color w:val="auto"/>
                <w:sz w:val="21"/>
                <w:szCs w:val="21"/>
                <w:vertAlign w:val="baseline"/>
                <w:lang w:val="en-US" w:eastAsia="zh-CN"/>
              </w:rPr>
              <w:t>湖南三峡环境临港水质净化厂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color w:val="auto"/>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color w:val="auto"/>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1500</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1.08</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150</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0.11</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石油类</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250</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0.18</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12.5</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间接冷却水</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84000</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84000</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碱液喷淋水</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废水量</w:t>
            </w:r>
          </w:p>
        </w:tc>
        <w:tc>
          <w:tcPr>
            <w:tcW w:w="1706"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655"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800"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82"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循环使用，定期补充损耗</w:t>
            </w:r>
            <w:r>
              <w:rPr>
                <w:rFonts w:hint="eastAsia" w:ascii="Times New Roman" w:hAnsi="Times New Roman" w:cs="Times New Roman"/>
                <w:color w:val="auto"/>
                <w:sz w:val="21"/>
                <w:szCs w:val="21"/>
                <w:vertAlign w:val="baseline"/>
                <w:lang w:val="en-US" w:eastAsia="zh-CN"/>
              </w:rPr>
              <w:t>，不外排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类型</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产生浓度mg/m3</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产生速率kg/h</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产生量t/a</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排放浓度mg/m3</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排放速率kg/h</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排放量t/a</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治理措施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熔炼和铸造废气</w:t>
            </w: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94.07</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2.82</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20.32</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0.89</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0.027</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0.193</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布袋除尘器+碱液喷淋塔</w:t>
            </w:r>
            <w:r>
              <w:rPr>
                <w:rFonts w:hint="eastAsia" w:ascii="Times New Roman" w:hAnsi="Times New Roman" w:cs="Times New Roman"/>
                <w:color w:val="auto"/>
                <w:sz w:val="21"/>
                <w:szCs w:val="21"/>
                <w:vertAlign w:val="baseline"/>
                <w:lang w:val="en-US" w:eastAsia="zh-CN"/>
              </w:rPr>
              <w:t>+20m排气筒（</w:t>
            </w:r>
            <w:r>
              <w:rPr>
                <w:rFonts w:hint="default" w:ascii="Times New Roman" w:hAnsi="Times New Roman" w:cs="Times New Roman"/>
                <w:color w:val="auto"/>
                <w:sz w:val="21"/>
                <w:szCs w:val="21"/>
                <w:vertAlign w:val="baseline"/>
                <w:lang w:val="en-US" w:eastAsia="zh-CN"/>
              </w:rPr>
              <w:t>DA001</w:t>
            </w:r>
            <w:r>
              <w:rPr>
                <w:rFonts w:hint="eastAsia" w:ascii="Times New Roman" w:hAnsi="Times New Roman" w:cs="Times New Roman"/>
                <w:color w:val="auto"/>
                <w:sz w:val="21"/>
                <w:szCs w:val="21"/>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0.14</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rPr>
              <w:t>1.016</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0.14</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rPr>
              <w:t>1.016</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氯化氢</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10.19</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0.31</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1.53</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0.046</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0.33</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rPr>
              <w:t>0.01</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rPr>
              <w:t>0.11</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rPr>
              <w:t>0.01</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rPr>
              <w:t>0.11</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氟化物</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1.62</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0.05</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0.23</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0.007</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0.002</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.017</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0.002</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.017</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天然气燃烧废气</w:t>
            </w:r>
          </w:p>
        </w:tc>
        <w:tc>
          <w:tcPr>
            <w:tcW w:w="122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3.82</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0.22</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3.82</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0.22</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低氮燃烧器+25m排气筒（</w:t>
            </w:r>
            <w:r>
              <w:rPr>
                <w:rFonts w:hint="default" w:ascii="Times New Roman" w:hAnsi="Times New Roman" w:cs="Times New Roman"/>
                <w:color w:val="auto"/>
                <w:sz w:val="21"/>
                <w:szCs w:val="21"/>
                <w:vertAlign w:val="baseline"/>
                <w:lang w:val="en-US" w:eastAsia="zh-CN"/>
              </w:rPr>
              <w:t>DA00</w:t>
            </w:r>
            <w:r>
              <w:rPr>
                <w:rFonts w:hint="eastAsia" w:ascii="Times New Roman" w:hAnsi="Times New Roman" w:cs="Times New Roman"/>
                <w:color w:val="auto"/>
                <w:sz w:val="21"/>
                <w:szCs w:val="21"/>
                <w:vertAlign w:val="baseli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二氧化硫</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2.69</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0.02</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0.16</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2.69</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0.02</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0.16</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氮氧化物</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12.59</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0.21</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12.59</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0.21</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镁板轧机废气</w:t>
            </w: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VOCs</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10.42</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8.54</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0.25</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活性炭吸附+20m排气筒</w:t>
            </w:r>
            <w:r>
              <w:rPr>
                <w:rFonts w:hint="default" w:ascii="Times New Roman" w:hAnsi="Times New Roman" w:cs="Times New Roman"/>
                <w:color w:val="auto"/>
                <w:sz w:val="21"/>
                <w:szCs w:val="21"/>
                <w:vertAlign w:val="baseline"/>
                <w:lang w:val="en-US" w:eastAsia="zh-CN"/>
              </w:rPr>
              <w:t>（DA0</w:t>
            </w:r>
            <w:r>
              <w:rPr>
                <w:rFonts w:hint="eastAsia" w:ascii="Times New Roman" w:hAnsi="Times New Roman" w:cs="Times New Roman"/>
                <w:color w:val="auto"/>
                <w:sz w:val="21"/>
                <w:szCs w:val="21"/>
                <w:vertAlign w:val="baseline"/>
                <w:lang w:val="en-US" w:eastAsia="zh-CN"/>
              </w:rPr>
              <w:t>03</w:t>
            </w: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0.002</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0.002</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等离子喷涂</w:t>
            </w:r>
            <w:r>
              <w:rPr>
                <w:rFonts w:hint="eastAsia" w:ascii="Times New Roman" w:hAnsi="Times New Roman" w:cs="Times New Roman"/>
                <w:color w:val="auto"/>
                <w:sz w:val="21"/>
                <w:szCs w:val="21"/>
                <w:vertAlign w:val="baseline"/>
                <w:lang w:val="en-US" w:eastAsia="zh-CN"/>
              </w:rPr>
              <w:t>废气</w:t>
            </w: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395.83</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2.08</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19.79</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0.09</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0.71</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布袋除尘器+20m排气筒</w:t>
            </w:r>
            <w:r>
              <w:rPr>
                <w:rFonts w:hint="default" w:ascii="Times New Roman" w:hAnsi="Times New Roman" w:cs="Times New Roman"/>
                <w:color w:val="auto"/>
                <w:sz w:val="21"/>
                <w:szCs w:val="21"/>
                <w:vertAlign w:val="baseline"/>
                <w:lang w:val="en-US" w:eastAsia="zh-CN"/>
              </w:rPr>
              <w:t>（DA0</w:t>
            </w:r>
            <w:r>
              <w:rPr>
                <w:rFonts w:hint="eastAsia" w:ascii="Times New Roman" w:hAnsi="Times New Roman" w:cs="Times New Roman"/>
                <w:color w:val="auto"/>
                <w:sz w:val="21"/>
                <w:szCs w:val="21"/>
                <w:vertAlign w:val="baseline"/>
                <w:lang w:val="en-US" w:eastAsia="zh-CN"/>
              </w:rPr>
              <w:t>03</w:t>
            </w: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0.75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0.75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喷漆和烘干废气</w:t>
            </w: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6.65</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0.92</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92.36</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1.84</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0.018</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0.133</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水帘+干式过滤</w:t>
            </w:r>
            <w:r>
              <w:rPr>
                <w:rFonts w:hint="eastAsia" w:ascii="Times New Roman" w:hAnsi="Times New Roman" w:cs="Times New Roman"/>
                <w:color w:val="auto"/>
                <w:sz w:val="21"/>
                <w:szCs w:val="21"/>
                <w:vertAlign w:val="baseline"/>
                <w:lang w:val="en-US" w:eastAsia="zh-CN"/>
              </w:rPr>
              <w:t>+活性炭吸附+20m排气筒</w:t>
            </w:r>
            <w:r>
              <w:rPr>
                <w:rFonts w:hint="default" w:ascii="Times New Roman" w:hAnsi="Times New Roman" w:cs="Times New Roman"/>
                <w:color w:val="auto"/>
                <w:sz w:val="21"/>
                <w:szCs w:val="21"/>
                <w:vertAlign w:val="baseline"/>
                <w:lang w:val="en-US" w:eastAsia="zh-CN"/>
              </w:rPr>
              <w:t>（DA</w:t>
            </w:r>
            <w:r>
              <w:rPr>
                <w:rFonts w:hint="eastAsia" w:ascii="Times New Roman" w:hAnsi="Times New Roman" w:cs="Times New Roman"/>
                <w:color w:val="auto"/>
                <w:sz w:val="21"/>
                <w:szCs w:val="21"/>
                <w:vertAlign w:val="baseline"/>
                <w:lang w:val="en-US" w:eastAsia="zh-CN"/>
              </w:rPr>
              <w:t>003</w:t>
            </w: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p>
        </w:tc>
        <w:tc>
          <w:tcPr>
            <w:tcW w:w="1221"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VOCs</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2.85</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0.39</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39.58</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32.45</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0.05</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0.39</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221"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2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食堂</w:t>
            </w:r>
          </w:p>
        </w:tc>
        <w:tc>
          <w:tcPr>
            <w:tcW w:w="88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油烟</w:t>
            </w:r>
          </w:p>
        </w:tc>
        <w:tc>
          <w:tcPr>
            <w:tcW w:w="106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5.83</w:t>
            </w:r>
          </w:p>
        </w:tc>
        <w:tc>
          <w:tcPr>
            <w:tcW w:w="1133"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p>
        </w:tc>
        <w:tc>
          <w:tcPr>
            <w:tcW w:w="11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0.042</w:t>
            </w:r>
          </w:p>
        </w:tc>
        <w:tc>
          <w:tcPr>
            <w:tcW w:w="867"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w:t>
            </w:r>
          </w:p>
        </w:tc>
        <w:tc>
          <w:tcPr>
            <w:tcW w:w="117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p>
        </w:tc>
        <w:tc>
          <w:tcPr>
            <w:tcW w:w="11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0.0105</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油烟净化器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固废种类</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固废名称</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产生量(t/a)</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排放量(t/a)</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处置措施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员工生活</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环卫部门清运处置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一般工业固废</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镁熔渣</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49.9</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收集后外售废旧资源利用公司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废边角料及金属碎屑</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144.5</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341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返回熔铸车间重熔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w:t>
            </w: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含油滤料及含油污泥</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2.16</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341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暂存于危废暂存间，交由有资质的单位处理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废活性炭</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2101" w:type="dxa"/>
            <w:gridSpan w:val="2"/>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废矿物油</w:t>
            </w:r>
          </w:p>
        </w:tc>
        <w:tc>
          <w:tcPr>
            <w:tcW w:w="3361"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182" w:type="dxa"/>
            <w:gridSpan w:val="4"/>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341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2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3421" w:type="dxa"/>
            <w:gridSpan w:val="3"/>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设备噪声</w:t>
            </w:r>
          </w:p>
        </w:tc>
        <w:tc>
          <w:tcPr>
            <w:tcW w:w="9958" w:type="dxa"/>
            <w:gridSpan w:val="9"/>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厂界达到《工业企业厂界环境噪声排放标准》(GB12348-2008)3类标准</w:t>
            </w:r>
          </w:p>
        </w:tc>
      </w:tr>
    </w:tbl>
    <w:p>
      <w:pPr>
        <w:pStyle w:val="7"/>
        <w:pageBreakBefore w:val="0"/>
        <w:kinsoku/>
        <w:wordWrap/>
        <w:overflowPunct w:val="0"/>
        <w:topLinePunct/>
        <w:autoSpaceDE w:val="0"/>
        <w:autoSpaceDN w:val="0"/>
        <w:bidi w:val="0"/>
        <w:outlineLvl w:val="9"/>
        <w:rPr>
          <w:rFonts w:hint="default" w:ascii="Times New Roman" w:hAnsi="Times New Roman" w:eastAsia="宋体" w:cs="Times New Roman"/>
          <w:color w:val="auto"/>
          <w:u w:val="none" w:color="auto"/>
        </w:rPr>
      </w:pPr>
    </w:p>
    <w:bookmarkEnd w:id="139"/>
    <w:bookmarkEnd w:id="143"/>
    <w:p>
      <w:pPr>
        <w:pStyle w:val="5"/>
        <w:pageBreakBefore w:val="0"/>
        <w:kinsoku/>
        <w:wordWrap/>
        <w:overflowPunct w:val="0"/>
        <w:topLinePunct/>
        <w:autoSpaceDE w:val="0"/>
        <w:autoSpaceDN w:val="0"/>
        <w:bidi w:val="0"/>
        <w:outlineLvl w:val="9"/>
        <w:rPr>
          <w:rFonts w:hint="default" w:ascii="Times New Roman" w:hAnsi="Times New Roman" w:eastAsia="宋体" w:cs="Times New Roman"/>
          <w:color w:val="auto"/>
          <w:highlight w:val="none"/>
          <w:u w:val="none" w:color="auto"/>
        </w:rPr>
        <w:sectPr>
          <w:headerReference r:id="rId16" w:type="default"/>
          <w:footerReference r:id="rId17" w:type="default"/>
          <w:pgSz w:w="16840" w:h="11907" w:orient="landscape"/>
          <w:pgMar w:top="1640" w:right="1132" w:bottom="1358" w:left="1322" w:header="882" w:footer="1135" w:gutter="0"/>
          <w:pgBorders>
            <w:top w:val="none" w:sz="0" w:space="0"/>
            <w:left w:val="none" w:sz="0" w:space="0"/>
            <w:bottom w:val="none" w:sz="0" w:space="0"/>
            <w:right w:val="none" w:sz="0" w:space="0"/>
          </w:pgBorders>
          <w:pgNumType w:fmt="decimal"/>
          <w:cols w:space="720" w:num="1"/>
        </w:sectPr>
      </w:pPr>
      <w:bookmarkStart w:id="159" w:name="_Toc15593"/>
      <w:bookmarkStart w:id="160" w:name="_Toc19377"/>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161" w:name="_Toc15668"/>
      <w:r>
        <w:rPr>
          <w:rFonts w:hint="default" w:ascii="Times New Roman" w:hAnsi="Times New Roman" w:eastAsia="宋体" w:cs="Times New Roman"/>
          <w:color w:val="auto"/>
          <w:highlight w:val="none"/>
          <w:u w:val="none" w:color="auto"/>
        </w:rPr>
        <w:t>第4章环境现状调查与评价</w:t>
      </w:r>
      <w:bookmarkEnd w:id="159"/>
      <w:bookmarkEnd w:id="160"/>
      <w:bookmarkEnd w:id="161"/>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162" w:name="_Toc32139"/>
      <w:bookmarkStart w:id="163" w:name="_Toc15527"/>
      <w:bookmarkStart w:id="164" w:name="_Toc31712"/>
      <w:r>
        <w:rPr>
          <w:rFonts w:hint="default" w:ascii="Times New Roman" w:hAnsi="Times New Roman" w:eastAsia="宋体" w:cs="Times New Roman"/>
          <w:color w:val="auto"/>
          <w:highlight w:val="none"/>
          <w:u w:val="none" w:color="auto"/>
        </w:rPr>
        <w:t>4.1自然环境概况</w:t>
      </w:r>
      <w:bookmarkEnd w:id="162"/>
      <w:bookmarkEnd w:id="163"/>
      <w:bookmarkEnd w:id="164"/>
    </w:p>
    <w:p>
      <w:pPr>
        <w:pStyle w:val="7"/>
        <w:bidi w:val="0"/>
        <w:rPr>
          <w:rFonts w:hint="default"/>
          <w:color w:val="auto"/>
          <w:lang w:val="en-US" w:eastAsia="zh-CN"/>
        </w:rPr>
      </w:pPr>
      <w:bookmarkStart w:id="165" w:name="_Toc7521"/>
      <w:bookmarkStart w:id="166" w:name="_Toc7377"/>
      <w:bookmarkStart w:id="167" w:name="_Toc23854"/>
      <w:r>
        <w:rPr>
          <w:rFonts w:hint="default"/>
          <w:color w:val="auto"/>
          <w:lang w:val="en-US" w:eastAsia="zh-CN"/>
        </w:rPr>
        <w:t>4.1.1地理位置</w:t>
      </w:r>
      <w:bookmarkEnd w:id="165"/>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岳阳市位于湖南省的东北部，素称“湘北门户”。地处东经112°18′31″~114°9′6″，北纬28°25′33″~29°51′00″之间。东邻江西省铜鼓、修水县和湖南省通城县；南抵湖南省浏阳市、长沙县、望城县；西接湖南省南县、安乡县、沅江市；北界湖北省赤壁、洪湖、监利、石首县（市）。全市东西横跨177.84km，南北纵长157.87km。土地总面积14898km</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，占全省总面积的7.05%。城市规划区面积845km</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，其中市区建成区面积83.73km</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项目拟建于中国(湖南)自由贸易试验区岳阳片区长江大道与兴港路交汇处（东经113.186251°，北纬29.463674°）交通便捷地形地貌。具体地理位置见附图。</w:t>
      </w:r>
    </w:p>
    <w:p>
      <w:pPr>
        <w:pStyle w:val="7"/>
        <w:bidi w:val="0"/>
        <w:rPr>
          <w:rFonts w:hint="default" w:ascii="Times New Roman" w:hAnsi="Times New Roman" w:eastAsia="宋体"/>
          <w:color w:val="auto"/>
          <w:lang w:val="en-US" w:eastAsia="zh-CN"/>
        </w:rPr>
      </w:pPr>
      <w:bookmarkStart w:id="168" w:name="_Toc6340"/>
      <w:r>
        <w:rPr>
          <w:rFonts w:hint="default" w:ascii="Times New Roman" w:hAnsi="Times New Roman" w:eastAsia="宋体"/>
          <w:color w:val="auto"/>
          <w:lang w:val="en-US" w:eastAsia="zh-CN"/>
        </w:rPr>
        <w:t>4.1.2地质地貌</w:t>
      </w:r>
      <w:bookmarkEnd w:id="168"/>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岳阳城区境内山丘起伏，湖汊纵横，地形自东南向西北倾斜。海拔一般在30～60m之间，具有良好的空间环境。建成区以东茅岭至五里牌为界，南北两面呈马鞍形分别向东风湖和南湖延伸。</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临港产业新区地貌西北部属滨湖平原，东部及南部属丘陵地貌，海拔一般在25~35m之间。西部由于长期受长江及其支流的堆积，致使沙洲、河滩不断扩大，地面逐渐增高，形成深厚的河积和湖积层，地势低平开阔，微向江湖倾斜，海拔一般在25~35m之间；南部的芭蕉湖地段、北部的松阳湖地段及东部地段为丘陵地貌，海拔在30~60m之间。区内沟渠纵横，湖泊众多，河湖相连，水域广阔。整个地势由东南向西北倾斜，区内最高海拔点为芭蕉湖北岸的云溪乡上清溪村峡山岭，海拔92.29m；最低海拔点松阳湖湖汊之陈子湖，海拔21.4m。</w:t>
      </w:r>
    </w:p>
    <w:p>
      <w:pPr>
        <w:pStyle w:val="7"/>
        <w:bidi w:val="0"/>
        <w:rPr>
          <w:rFonts w:hint="default" w:ascii="Times New Roman" w:hAnsi="Times New Roman" w:eastAsia="宋体"/>
          <w:color w:val="auto"/>
          <w:lang w:val="en-US" w:eastAsia="zh-CN"/>
        </w:rPr>
      </w:pPr>
      <w:bookmarkStart w:id="169" w:name="_Toc23961"/>
      <w:r>
        <w:rPr>
          <w:rFonts w:hint="default" w:ascii="Times New Roman" w:hAnsi="Times New Roman" w:eastAsia="宋体"/>
          <w:color w:val="auto"/>
          <w:lang w:val="en-US" w:eastAsia="zh-CN"/>
        </w:rPr>
        <w:t>4.1.3气象气候</w:t>
      </w:r>
      <w:bookmarkEnd w:id="169"/>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岳阳市属从中亚热带向北亚热带过渡的湿润的大陆性季风气候，其主要特征：温暖湿润，四季分明，季节性强；热量丰富，严寒期短、无霜期长，春温多变，盛夏酷热；雨水充沛，雨季明显，降水集中；湖区气候均一，山地气候悬殊。多年平均降水量为1439.1毫米，呈春夏多、秋冬少，东部多、西部少的格局，春夏雨量约占全年的70％，降雨年际分布不均，面上年平均降雨最多达2191.4毫米（1954年），降雨最少的年份只有945.7毫米（2011年）。年平均气温在16.5～17.2℃之间，极端最高气温为39.3～40.8℃，极端最低气温为-18.1～-11.4℃。城区年平均气温偏高，为17.0℃。年日照时数为1590.2～1722.3小时，呈北部比南部多、西部比东部多的格局。年无霜期256～285天。市境主导风向为北风和东北偏北风，年平均风速为2.0～2.7m/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常年主导风向：北、北东</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瞬时最高风速：23m/s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极端最高气温：39.3℃</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极端最低气温：-11.8℃</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历年平均气温：17℃</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历年平均相对湿度：79％</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历年最大相对湿度：100％</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历年最小相对湿度：12％</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历年平均气温压：100.7KPa</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年平均降雨量：1302.4mm</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年最大降雨量：2336.5mm</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年最小降雨量：787.4mm</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最大积雪深度：230mm</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年平均蒸发量：142.2mm</w:t>
      </w:r>
    </w:p>
    <w:p>
      <w:pPr>
        <w:pStyle w:val="7"/>
        <w:bidi w:val="0"/>
        <w:rPr>
          <w:rFonts w:hint="default" w:ascii="Times New Roman" w:hAnsi="Times New Roman" w:eastAsia="宋体"/>
          <w:color w:val="auto"/>
          <w:lang w:val="en-US" w:eastAsia="zh-CN"/>
        </w:rPr>
      </w:pPr>
      <w:bookmarkStart w:id="170" w:name="_Toc9741"/>
      <w:r>
        <w:rPr>
          <w:rFonts w:hint="default" w:ascii="Times New Roman" w:hAnsi="Times New Roman" w:eastAsia="宋体"/>
          <w:color w:val="auto"/>
          <w:lang w:val="en-US" w:eastAsia="zh-CN"/>
        </w:rPr>
        <w:t>4.1.4水文</w:t>
      </w:r>
      <w:bookmarkEnd w:id="170"/>
    </w:p>
    <w:p>
      <w:pPr>
        <w:keepNext/>
        <w:keepLines/>
        <w:pageBreakBefore w:val="0"/>
        <w:widowControl w:val="0"/>
        <w:numPr>
          <w:ilvl w:val="0"/>
          <w:numId w:val="0"/>
        </w:numPr>
        <w:tabs>
          <w:tab w:val="left" w:pos="0"/>
        </w:tabs>
        <w:kinsoku/>
        <w:wordWrap/>
        <w:overflowPunct w:val="0"/>
        <w:topLinePunct/>
        <w:autoSpaceDE w:val="0"/>
        <w:autoSpaceDN w:val="0"/>
        <w:bidi w:val="0"/>
        <w:spacing w:line="360" w:lineRule="auto"/>
        <w:ind w:leftChars="0"/>
        <w:jc w:val="both"/>
        <w:outlineLvl w:val="9"/>
        <w:rPr>
          <w:rFonts w:hint="default" w:ascii="Times New Roman" w:hAnsi="Times New Roman" w:eastAsia="宋体" w:cs="Times New Roman"/>
          <w:b/>
          <w:bCs/>
          <w:color w:val="auto"/>
          <w:kern w:val="0"/>
          <w:sz w:val="24"/>
          <w:szCs w:val="20"/>
          <w:u w:val="none" w:color="auto"/>
          <w:lang w:val="en-US" w:eastAsia="zh-CN" w:bidi="ar-SA"/>
        </w:rPr>
      </w:pPr>
      <w:r>
        <w:rPr>
          <w:rFonts w:hint="default" w:ascii="Times New Roman" w:hAnsi="Times New Roman" w:eastAsia="宋体" w:cs="Times New Roman"/>
          <w:b/>
          <w:bCs/>
          <w:color w:val="auto"/>
          <w:kern w:val="0"/>
          <w:sz w:val="24"/>
          <w:szCs w:val="20"/>
          <w:u w:val="none" w:color="auto"/>
          <w:lang w:val="en-US" w:eastAsia="zh-CN" w:bidi="ar-SA"/>
        </w:rPr>
        <w:t>（1）地表水</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w:t>
      </w:r>
      <w:r>
        <w:rPr>
          <w:rFonts w:hint="default" w:ascii="Times New Roman" w:hAnsi="Times New Roman" w:eastAsia="宋体" w:cs="Times New Roman"/>
          <w:color w:val="auto"/>
          <w:sz w:val="24"/>
          <w:u w:val="none" w:color="auto"/>
          <w:lang w:eastAsia="zh-CN"/>
        </w:rPr>
        <w:t>区域</w:t>
      </w:r>
      <w:r>
        <w:rPr>
          <w:rFonts w:hint="default" w:ascii="Times New Roman" w:hAnsi="Times New Roman" w:eastAsia="宋体" w:cs="Times New Roman"/>
          <w:color w:val="auto"/>
          <w:sz w:val="24"/>
          <w:u w:val="none" w:color="auto"/>
        </w:rPr>
        <w:t>已建设有市政雨污水管网，其中污水经市政污水管网进入进入临港产业新区污水处理厂，最终经象骨港排入长江；雨水经管网收集后进入</w:t>
      </w:r>
      <w:r>
        <w:rPr>
          <w:rFonts w:hint="default" w:ascii="Times New Roman" w:hAnsi="Times New Roman" w:eastAsia="宋体" w:cs="Times New Roman"/>
          <w:color w:val="auto"/>
          <w:sz w:val="24"/>
          <w:u w:val="none" w:color="auto"/>
          <w:lang w:eastAsia="zh-CN"/>
        </w:rPr>
        <w:t>松杨湖</w:t>
      </w:r>
      <w:r>
        <w:rPr>
          <w:rFonts w:hint="default" w:ascii="Times New Roman" w:hAnsi="Times New Roman" w:eastAsia="宋体" w:cs="Times New Roman"/>
          <w:color w:val="auto"/>
          <w:sz w:val="24"/>
          <w:u w:val="none" w:color="auto"/>
        </w:rPr>
        <w:t>。</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所在区域的城陵矶是长江中游第一矶，属“长江八大良港”之一，是长江中游水陆联运、干支联系的综合枢纽港口；湖南省水路第一门户，是湖南惟一的国家一类口岸。其地表水体发育，池塘星罗棋布，较大的地表水为长江、东洞庭湖等。由于矶头滨临江岸，南北介于东风、芭蕉两湖之间，面朝荆江，成为二面临水的岛矶。城陵矶突出江湖汇口，具有抗冲和挑流作用，是地处Y字形水道南侧的洞庭湖口节点。附近七里山，过水断面1000m，历年最高水位32.75m，是四水、四口入湖水经调蓄再度入江的唯一出口。又为江湖之间洄游性和半洄游性经济鱼类来往的通道。城陵矶是湘北内联四水、外通江海的第一港。洞庭湖四水常年有300～500吨级船队及千吨级顶推船队经此出入长江，长江干流船舶亦可于此停靠，年吞吐量约430万吨。港口有专线通京广铁路，便于水陆联运。</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（1）洞庭湖</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洞庭湖地处长江中游，是我国吞吐水量最大的淡水湖泊、长江中游最重要的集水湖盆与调洪湖泊。城陵矶站水位33.5米时，洞庭湖面积2625平方公里，总容积167亿立米。根据自然形态，洞庭湖分成东洞庭湖、南洞庭湖、西洞庭湖（由目平湖、七里湖组成），对应面积分别为1313平方公里、905平方公里、407平方公里。东洞庭湖是洞庭湖泊群落中最大、保存最完好的天然季节性湖泊，东临岳阳市区、岳阳县和汨罗市，北抵长江，西靠大通湖大圈和钱粮湖大圈，南连南洞庭湖，现有水面面积1313平方公里，占洞庭湖总水面面积的50%；现有容量119亿立方米，占洞庭湖总容量的71%。我市境内洞庭湖面积1312平方公里，其中东洞庭湖920平方公里、南洞庭湖392平方公里。洞庭湖集三湖四水汇入长江，是岳阳市最主要的水系之一。</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（2）长江</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长江全长6300余公里，总集雨面积180万平方公里，从江源到宜昌约4500公里为上游，集雨面积约100万平方公里；宜昌至九江湖口长约955公里为中游，集雨面积约68万平方公里；湖口至海口长约938公里为下游，集雨面积约12万平方公里。荆江是长江中游的一个河段</w:t>
      </w:r>
      <w:r>
        <w:rPr>
          <w:rFonts w:hint="eastAsia"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上起枝城</w:t>
      </w:r>
      <w:r>
        <w:rPr>
          <w:rFonts w:hint="eastAsia"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下至城陵矶，全长339公里，南岸有分泄长江水流的松滋、太平、藕池、调弦四口和洞庭湖吐洪入江的总出口城陵矶与洞庭湖通连。江北岸的荆江大堤上起枣林岗，下至监利城南，全长182.35公里，是江汉平原的屏障，荆江河段以藕池口为界分为上下荆江，上荆江长175.5公里，下荆江163.5公里。长江流经湖南163公里，全部在岳阳市境内（自华容县五马口至临湘市铁山咀），其中长江干堤142公里，以城陵矶（三江口）为界分成上下两段，上段由华容县五马口至君山区穆湖铺，长76.8公里，下段自莲花塘至临湘市黄盖湖铁山咀，长65.2公里。</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根据长江螺山水文站水文数据，长江在该段主要水文参数如下：</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流量：多年平均流量20300m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历年最大流量61200m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历年最小流量4190m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流速：多年平均流速1.45m/s；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含砂量：多年平均值0.683kg/m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输砂量：多年平均输砂量13.7t/s；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历年最大输砂量177t/s；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历年最小输砂量0.59t/s；</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水位：多年平均水位23.19m(吴淞高程)；</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历年最高水位33.14m；</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历年最低水位15.99m；</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（2）象骨港</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发源于云溪乡东风村，河长约12km，流域面积21.0km</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，其中位于象骨港河上游的黄泥沟水系流域面积7.92km</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，其径流汇入黄泥沟湖后，经黄泥沟节制闸入象骨港。</w:t>
      </w:r>
    </w:p>
    <w:p>
      <w:pPr>
        <w:keepNext/>
        <w:keepLines/>
        <w:pageBreakBefore w:val="0"/>
        <w:widowControl w:val="0"/>
        <w:numPr>
          <w:ilvl w:val="0"/>
          <w:numId w:val="0"/>
        </w:numPr>
        <w:tabs>
          <w:tab w:val="left" w:pos="0"/>
        </w:tabs>
        <w:kinsoku/>
        <w:wordWrap/>
        <w:overflowPunct w:val="0"/>
        <w:topLinePunct/>
        <w:autoSpaceDE w:val="0"/>
        <w:autoSpaceDN w:val="0"/>
        <w:bidi w:val="0"/>
        <w:spacing w:line="360" w:lineRule="auto"/>
        <w:ind w:leftChars="0"/>
        <w:jc w:val="both"/>
        <w:outlineLvl w:val="9"/>
        <w:rPr>
          <w:rFonts w:hint="default" w:ascii="Times New Roman" w:hAnsi="Times New Roman" w:eastAsia="宋体" w:cs="Times New Roman"/>
          <w:b/>
          <w:bCs/>
          <w:color w:val="auto"/>
          <w:kern w:val="0"/>
          <w:sz w:val="24"/>
          <w:szCs w:val="20"/>
          <w:u w:val="none" w:color="auto"/>
          <w:lang w:val="en-US" w:eastAsia="zh-CN" w:bidi="ar-SA"/>
        </w:rPr>
      </w:pPr>
      <w:r>
        <w:rPr>
          <w:rFonts w:hint="default" w:ascii="Times New Roman" w:hAnsi="Times New Roman" w:eastAsia="宋体" w:cs="Times New Roman"/>
          <w:b/>
          <w:bCs/>
          <w:color w:val="auto"/>
          <w:kern w:val="0"/>
          <w:sz w:val="24"/>
          <w:szCs w:val="20"/>
          <w:u w:val="none" w:color="auto"/>
          <w:lang w:val="en-US" w:eastAsia="zh-CN" w:bidi="ar-SA"/>
        </w:rPr>
        <w:t>（2）地下水</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区内地下水类型可分为基岩裂隙水和第四系松散地层孔隙水。前者水量贫乏，后者可分为孔隙潜水和孔隙承压水两类，孔隙潜水分布较广，主要富集于第四系松散层中，与地表水呈季节性互补关系，受江湖水位影响，动态变化大，水位一般1～5m，水量不丰富。孔隙承压水主要分布在中更新统Q2al下部透水性较强的含砾粘土及沙砾石层中，含水层厚3～8m，顶板高程一般16～19m，低于湖水位2～6m，略具承压性。根据对两组水的抽样分析，地下水位重碳酸、硫酸钾钠钙型低矿化度软水和重碳酸钾钙型低矿化度软水，对砼无侵蚀性。</w:t>
      </w:r>
    </w:p>
    <w:p>
      <w:pPr>
        <w:pStyle w:val="7"/>
        <w:bidi w:val="0"/>
        <w:rPr>
          <w:rFonts w:hint="default"/>
          <w:color w:val="auto"/>
          <w:lang w:val="en-US" w:eastAsia="zh-CN"/>
        </w:rPr>
      </w:pPr>
      <w:bookmarkStart w:id="171" w:name="_Toc5122"/>
      <w:r>
        <w:rPr>
          <w:rFonts w:hint="default"/>
          <w:color w:val="auto"/>
          <w:lang w:val="en-US" w:eastAsia="zh-CN"/>
        </w:rPr>
        <w:t>4.1.5土壤</w:t>
      </w:r>
      <w:bookmarkEnd w:id="171"/>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岳阳市总国土面积15019平方公里，耕地面积32.10千公顷，其中水田面积17.33千公顷。区域表土为受长江和洞庭湖控制的冲积土，表层以粘土为主，夹少量砂土，厚度在0.4-12.64m，呈红褐色、黄褐色、深绿色和紫红色等类型；自然土壤以湖土和红壤为主，农耕以水稻土和菜园土为主。</w:t>
      </w:r>
    </w:p>
    <w:p>
      <w:pPr>
        <w:pStyle w:val="7"/>
        <w:bidi w:val="0"/>
        <w:rPr>
          <w:rFonts w:hint="default"/>
          <w:color w:val="auto"/>
          <w:lang w:val="en-US" w:eastAsia="zh-CN"/>
        </w:rPr>
      </w:pPr>
      <w:bookmarkStart w:id="172" w:name="_Toc4005"/>
      <w:r>
        <w:rPr>
          <w:rFonts w:hint="default"/>
          <w:color w:val="auto"/>
          <w:lang w:val="en-US" w:eastAsia="zh-CN"/>
        </w:rPr>
        <w:t>4.1.6地震</w:t>
      </w:r>
      <w:bookmarkEnd w:id="172"/>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中国地震动参数区划图》(GB18306-2015)，本项目场地的设计基本地震加速度值为0.10g，设计特征周期值为0.35s，设计地震分组为第一组，抗震设防烈度为Ⅶ度；根据《建筑抗震设计规范》(GB50011-2012)拟建场地位于长江一级阶地，场地内表层分布填筑土、粉质黏土及卵石为主，场地属对建筑抗震不利地段，场地土的类型划分为中软场地土，场地类别为Ⅱ类，对建筑物应按相关规范要求设防。</w:t>
      </w:r>
    </w:p>
    <w:p>
      <w:pPr>
        <w:pStyle w:val="7"/>
        <w:bidi w:val="0"/>
        <w:rPr>
          <w:rFonts w:hint="default"/>
          <w:color w:val="auto"/>
          <w:lang w:val="en-US" w:eastAsia="zh-CN"/>
        </w:rPr>
      </w:pPr>
      <w:bookmarkStart w:id="173" w:name="_Toc14828"/>
      <w:bookmarkStart w:id="174" w:name="_Toc85548495"/>
      <w:r>
        <w:rPr>
          <w:rFonts w:hint="default"/>
          <w:color w:val="auto"/>
          <w:lang w:val="en-US" w:eastAsia="zh-CN"/>
        </w:rPr>
        <w:t>4.1.7生态环境现状调查</w:t>
      </w:r>
      <w:bookmarkEnd w:id="173"/>
      <w:bookmarkEnd w:id="174"/>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岳阳市土地富饶，拥有丰富的自然资源。岳阳是国家重要的粮、棉、猪、鱼等优质农产品基地，有四个县（市）进入全国粮、棉、猪百强县行列，有机茶、无公害蔬菜、优质水果、长江蟹、洞庭青虾等农副产品市场十分畅销。岳阳水资源充沛，淡水面积达31万公顷，在全国独一无二，有利于种植业、淡水鱼业和水运业的发展，还为大耗水、大运量的造纸等现代工业提供了良好的基础条件。岳阳生物资源多种多样，境内有木本植物1118种，药用植物1224种，水生植物131种，家畜家禽10多种，水生动物116种，野生动物266种。岳阳矿产资源多样，境内蕴藏矿种60余种，已探明大型矿床27处、中型28处、小型45处，可供开采矿点200多处，主要矿种有金、银、铅等金属矿产10余种，有白云石、花岗岩、高岭土等非金属矿产20余种，此外，还有铌、钽、铍等稀有及稀土金属矿产和地下矿泉水等资源。</w:t>
      </w:r>
    </w:p>
    <w:p>
      <w:pPr>
        <w:pStyle w:val="6"/>
        <w:bidi w:val="0"/>
        <w:rPr>
          <w:rFonts w:hint="default"/>
          <w:color w:val="auto"/>
          <w:lang w:val="en-US" w:eastAsia="zh-CN"/>
        </w:rPr>
      </w:pPr>
      <w:bookmarkStart w:id="175" w:name="_Toc23155"/>
      <w:r>
        <w:rPr>
          <w:rFonts w:hint="default"/>
          <w:color w:val="auto"/>
          <w:lang w:val="en-US" w:eastAsia="zh-CN"/>
        </w:rPr>
        <w:t>4.2湖南城陵矶临港产业新区概况</w:t>
      </w:r>
      <w:bookmarkEnd w:id="175"/>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2012年9月18日湖南省环保厅以湘环评[2012]293号文对《湖南城陵矶临港产业新区产业核心区环境影响报告书》进行了批复；湖南城陵矶临港产业新区产业核心区于2021年10月25日取得湖南省生态环境厅《关于岳阳临港高新技术产业开发区环境影响评价工作意见的函》（湘环评[2021]33号文）。</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kern w:val="0"/>
          <w:sz w:val="24"/>
          <w:u w:val="none" w:color="auto"/>
          <w:lang w:bidi="ar"/>
        </w:rPr>
        <w:t>湖南城陵矶临港产业新区产业核心区规划用地行政隶属云溪区永济乡、云溪乡，规划范围东起随岳高速公路西侧，西抵长江干堤道路西侧，南临规划擂鼓台路、煤灰湖路、兴港路及疏港大道，北至规划环湖路、松阳湖路及其局部所设防涝堤挡水一侧，总用地面积为23.68km</w:t>
      </w:r>
      <w:r>
        <w:rPr>
          <w:rFonts w:hint="default" w:ascii="Times New Roman" w:hAnsi="Times New Roman" w:eastAsia="宋体" w:cs="Times New Roman"/>
          <w:color w:val="auto"/>
          <w:kern w:val="0"/>
          <w:sz w:val="24"/>
          <w:u w:val="none" w:color="auto"/>
          <w:vertAlign w:val="superscript"/>
          <w:lang w:bidi="ar"/>
        </w:rPr>
        <w:t>2</w:t>
      </w:r>
      <w:r>
        <w:rPr>
          <w:rFonts w:hint="default" w:ascii="Times New Roman" w:hAnsi="Times New Roman" w:eastAsia="宋体" w:cs="Times New Roman"/>
          <w:color w:val="auto"/>
          <w:kern w:val="0"/>
          <w:sz w:val="24"/>
          <w:u w:val="none" w:color="auto"/>
          <w:lang w:bidi="ar"/>
        </w:rPr>
        <w:t>，核心区规划工业用地面积940.49公顷，占城市建设用地的39.71%（其中一类工业用地面积为442.64公顷，主要布局在云港路南侧，兴港路北侧；二类工业用地面积为317.85公顷，主要布局在云港路及欣园东路北侧，松阳湖南侧；三类工业用地面积为180公顷，主要布在欣园西路及松阳湖路以北）；仓储用地总面积300.82公顷，占城市建设用地的12.7%，主要布置在沿江路与长江大道之间，紧邻港口陆域；居住用地总面积83.53公顷占3.5%；公共设施用地总面积为52.43公顷占2.2%；对外交通用地总面积391公顷占16.5%；道路广场用地总面积107.71公顷，占4.5%；市政公用设施用地24.31公顷占1%；绿地面积467.98公顷，占19.8%核心区依托区位航运交通及岳阳市现有石化工业基础的优势；拟重点发展新材料、高技术服务、高端装备制造和电子信息四大产业。其中：在规划区西北部布设新材料产业区，结合现有产业基础，差异化发展化工新材料，积极培育先进储能材料和复合材料产业；在长江大道以东、连城路以西、松阳湖以南、兴港路以北区域规划布置高端装备制造区，重点发展港口机械装备工程建筑装备、化工机械装备和交通运输装备等制造产业，带动相关配套零部件制造产业发展；在枯园路及云欣路以东、兴港路以北、向阳路以西、松阳湖路以南的地段布置电子信息产业区积极发展LED产业和新型电子元器件产业；在规划区西部临长江陆域区以及高端装备制造产业区和电子信息产业区包夹的中间区域布置高技术服务产业区，重点发展集装箱、石油化工储运大宗散货件杂货配送、大宗农产品及粮油物流、城陵矶港保税物流等六大物流中心，积极发展服务外包和电子商务物流产业。</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kern w:val="0"/>
          <w:sz w:val="24"/>
          <w:u w:val="none" w:color="auto"/>
          <w:lang w:bidi="ar"/>
        </w:rPr>
        <w:t>临港产业新区区位、交通优势明显，地处湘、鄂、赣三省中心交汇点，依长江、衔洞庭、带四水，是长江流域经济带和京广铁路经济带的投资宝地，是长三角经济带和珠三角经济带西进北上的战略要地，也是长株潭城市圈和武汉城市圈的中心腹地，区内城陵矶新港是全国28个内河主枢纽港之一，国家对外贸易一类开放港口，湖南省长江干线上唯一口岸，长江航运和湘江航运重要的中转站，枯水期5000吨级船舶可进港作业。随岳高速、京珠高速、107国道、S201、S301等公路，以及京广铁路、岳沙铁路、武广高速伴区或穿境而过。区内有进港路、通港路、支线铁路与上述公路、铁路连通，构成纵横交错的交通网络。</w:t>
      </w:r>
    </w:p>
    <w:bookmarkEnd w:id="166"/>
    <w:bookmarkEnd w:id="167"/>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176" w:name="_Toc21891"/>
      <w:bookmarkStart w:id="177" w:name="_Toc23187"/>
      <w:bookmarkStart w:id="178" w:name="_Toc16543"/>
      <w:r>
        <w:rPr>
          <w:rFonts w:hint="default" w:ascii="Times New Roman" w:hAnsi="Times New Roman" w:eastAsia="宋体" w:cs="Times New Roman"/>
          <w:color w:val="auto"/>
          <w:highlight w:val="none"/>
          <w:u w:val="none" w:color="auto"/>
        </w:rPr>
        <w:t>4.</w:t>
      </w:r>
      <w:r>
        <w:rPr>
          <w:rFonts w:hint="eastAsia"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区域环境质量现状调查与评价</w:t>
      </w:r>
      <w:bookmarkEnd w:id="176"/>
      <w:bookmarkEnd w:id="177"/>
      <w:bookmarkEnd w:id="178"/>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179" w:name="_Toc1052"/>
      <w:bookmarkStart w:id="180" w:name="_Toc26544"/>
      <w:bookmarkStart w:id="181" w:name="_Toc15356"/>
      <w:r>
        <w:rPr>
          <w:rFonts w:hint="default" w:ascii="Times New Roman" w:hAnsi="Times New Roman" w:eastAsia="宋体" w:cs="Times New Roman"/>
          <w:color w:val="auto"/>
          <w:highlight w:val="none"/>
          <w:u w:val="none" w:color="auto"/>
        </w:rPr>
        <w:t>4.</w:t>
      </w:r>
      <w:r>
        <w:rPr>
          <w:rFonts w:hint="eastAsia"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.1环境空气质量现状调查与评价</w:t>
      </w:r>
      <w:bookmarkEnd w:id="179"/>
      <w:bookmarkEnd w:id="180"/>
      <w:bookmarkEnd w:id="181"/>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（1）空气质量达标区判定</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rPr>
      </w:pPr>
      <w:bookmarkStart w:id="182" w:name="_Toc29258"/>
      <w:r>
        <w:rPr>
          <w:rFonts w:hint="default" w:ascii="Times New Roman" w:hAnsi="Times New Roman" w:eastAsia="宋体" w:cs="Times New Roman"/>
          <w:color w:val="auto"/>
          <w:sz w:val="24"/>
          <w:u w:val="none" w:color="auto"/>
        </w:rPr>
        <w:t>《环境影响评价技术导则大气环境》(HJ2.2-2018)“5.5评价基准年筛选依据评价所需环境空气质量现状、气象资料等数据的可获得性、数据质量、代表性等因素，选择近3年中数据相对完整的1个日历年作为评价基准年”。“6.2数据来，采用评价范围内国家或地方环境空气质量监测网中评价基准年连续1年的监测数据，或采用生态环境主管部门公开发布的环境空气质量现状数据”。依据上述新版大气导则要求，为了解本项目周边环境空气质量状况，本项目位于岳阳市城陵矶临港产业新区，项目所在区域达标区判定引用202</w:t>
      </w:r>
      <w:r>
        <w:rPr>
          <w:rFonts w:hint="eastAsia" w:ascii="Times New Roman" w:hAnsi="Times New Roman" w:eastAsia="宋体" w:cs="Times New Roman"/>
          <w:color w:val="auto"/>
          <w:sz w:val="24"/>
          <w:u w:val="none" w:color="auto"/>
          <w:lang w:val="en-US" w:eastAsia="zh-CN"/>
        </w:rPr>
        <w:t>2</w:t>
      </w:r>
      <w:r>
        <w:rPr>
          <w:rFonts w:hint="default" w:ascii="Times New Roman" w:hAnsi="Times New Roman" w:eastAsia="宋体" w:cs="Times New Roman"/>
          <w:color w:val="auto"/>
          <w:sz w:val="24"/>
          <w:u w:val="none" w:color="auto"/>
        </w:rPr>
        <w:t>年岳阳市城陵矶常规自动在线监测点位的数据评价。详见下表：</w:t>
      </w:r>
    </w:p>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w:t>
      </w:r>
      <w:r>
        <w:rPr>
          <w:rFonts w:hint="eastAsia" w:ascii="Times New Roman" w:hAnsi="Times New Roman" w:eastAsia="宋体" w:cs="Times New Roman"/>
          <w:b/>
          <w:bCs/>
          <w:color w:val="auto"/>
          <w:sz w:val="24"/>
          <w:u w:val="none" w:color="auto"/>
          <w:lang w:val="en-US" w:eastAsia="zh-CN" w:bidi="ar-SA"/>
        </w:rPr>
        <w:t>4.3</w:t>
      </w:r>
      <w:r>
        <w:rPr>
          <w:rFonts w:hint="default" w:ascii="Times New Roman" w:hAnsi="Times New Roman" w:eastAsia="宋体" w:cs="Times New Roman"/>
          <w:b/>
          <w:bCs/>
          <w:color w:val="auto"/>
          <w:sz w:val="24"/>
          <w:u w:val="none" w:color="auto"/>
          <w:lang w:val="en-US" w:eastAsia="zh-CN" w:bidi="ar-SA"/>
        </w:rPr>
        <w:t>-1岳阳市城陵矶空气质量现状评价表</w:t>
      </w:r>
    </w:p>
    <w:tbl>
      <w:tblPr>
        <w:tblStyle w:val="40"/>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38"/>
        <w:gridCol w:w="849"/>
        <w:gridCol w:w="1407"/>
        <w:gridCol w:w="948"/>
        <w:gridCol w:w="1226"/>
        <w:gridCol w:w="1094"/>
        <w:gridCol w:w="978"/>
        <w:gridCol w:w="7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5" w:hRule="atLeast"/>
          <w:jc w:val="center"/>
        </w:trPr>
        <w:tc>
          <w:tcPr>
            <w:tcW w:w="72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点位名称</w:t>
            </w: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污染物</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年评价指标</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单位</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现状浓度</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评价标准</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最大浓度占标率</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达标情况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6" w:type="pct"/>
            <w:vMerge w:val="restar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国家环境空气质量监测网城陵矶站</w:t>
            </w: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SO</w:t>
            </w:r>
            <w:r>
              <w:rPr>
                <w:rFonts w:hint="default" w:ascii="Times New Roman" w:hAnsi="Times New Roman" w:eastAsia="宋体" w:cs="Times New Roman"/>
                <w:color w:val="auto"/>
                <w:sz w:val="21"/>
                <w:szCs w:val="21"/>
                <w:u w:val="none" w:color="auto"/>
                <w:vertAlign w:val="subscript"/>
                <w:lang w:val="en-US" w:eastAsia="zh-CN" w:bidi="ar-SA"/>
              </w:rPr>
              <w:t>2</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年平均浓度</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zh-CN" w:bidi="ar-SA"/>
              </w:rPr>
              <w:t>μg/m</w:t>
            </w:r>
            <w:r>
              <w:rPr>
                <w:rFonts w:hint="default" w:ascii="Times New Roman" w:hAnsi="Times New Roman" w:eastAsia="宋体" w:cs="Times New Roman"/>
                <w:color w:val="auto"/>
                <w:sz w:val="21"/>
                <w:szCs w:val="21"/>
                <w:u w:val="none" w:color="auto"/>
                <w:vertAlign w:val="superscript"/>
                <w:lang w:val="en-US" w:eastAsia="zh-CN" w:bidi="ar-SA"/>
              </w:rPr>
              <w:t>3</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11</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60</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18.33%</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6" w:type="pct"/>
            <w:vMerge w:val="continue"/>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NO</w:t>
            </w:r>
            <w:r>
              <w:rPr>
                <w:rFonts w:hint="default" w:ascii="Times New Roman" w:hAnsi="Times New Roman" w:eastAsia="宋体" w:cs="Times New Roman"/>
                <w:color w:val="auto"/>
                <w:sz w:val="21"/>
                <w:szCs w:val="21"/>
                <w:u w:val="none" w:color="auto"/>
                <w:vertAlign w:val="subscript"/>
                <w:lang w:val="en-US" w:eastAsia="zh-CN" w:bidi="ar-SA"/>
              </w:rPr>
              <w:t>2</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年平均浓度</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zh-CN" w:bidi="ar-SA"/>
              </w:rPr>
              <w:t>μg/m</w:t>
            </w:r>
            <w:r>
              <w:rPr>
                <w:rFonts w:hint="default" w:ascii="Times New Roman" w:hAnsi="Times New Roman" w:eastAsia="宋体" w:cs="Times New Roman"/>
                <w:color w:val="auto"/>
                <w:sz w:val="21"/>
                <w:szCs w:val="21"/>
                <w:u w:val="none" w:color="auto"/>
                <w:vertAlign w:val="superscript"/>
                <w:lang w:val="en-US" w:eastAsia="zh-CN" w:bidi="ar-SA"/>
              </w:rPr>
              <w:t>3</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30</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40</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75.00%</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6" w:type="pct"/>
            <w:vMerge w:val="continue"/>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PM</w:t>
            </w:r>
            <w:r>
              <w:rPr>
                <w:rFonts w:hint="default" w:ascii="Times New Roman" w:hAnsi="Times New Roman" w:eastAsia="宋体" w:cs="Times New Roman"/>
                <w:color w:val="auto"/>
                <w:sz w:val="21"/>
                <w:szCs w:val="21"/>
                <w:u w:val="none" w:color="auto"/>
                <w:vertAlign w:val="subscript"/>
                <w:lang w:val="en-US" w:eastAsia="zh-CN" w:bidi="ar-SA"/>
              </w:rPr>
              <w:t>10</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年平均浓度</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zh-CN" w:bidi="ar-SA"/>
              </w:rPr>
              <w:t>μg/m</w:t>
            </w:r>
            <w:r>
              <w:rPr>
                <w:rFonts w:hint="default" w:ascii="Times New Roman" w:hAnsi="Times New Roman" w:eastAsia="宋体" w:cs="Times New Roman"/>
                <w:color w:val="auto"/>
                <w:sz w:val="21"/>
                <w:szCs w:val="21"/>
                <w:u w:val="none" w:color="auto"/>
                <w:vertAlign w:val="superscript"/>
                <w:lang w:val="en-US" w:eastAsia="zh-CN" w:bidi="ar-SA"/>
              </w:rPr>
              <w:t>3</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56</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70</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80.00%</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6" w:type="pct"/>
            <w:vMerge w:val="continue"/>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PM</w:t>
            </w:r>
            <w:r>
              <w:rPr>
                <w:rFonts w:hint="default" w:ascii="Times New Roman" w:hAnsi="Times New Roman" w:eastAsia="宋体" w:cs="Times New Roman"/>
                <w:color w:val="auto"/>
                <w:sz w:val="21"/>
                <w:szCs w:val="21"/>
                <w:u w:val="none" w:color="auto"/>
                <w:vertAlign w:val="subscript"/>
                <w:lang w:val="en-US" w:eastAsia="zh-CN" w:bidi="ar-SA"/>
              </w:rPr>
              <w:t>2.5</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年平均浓度</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zh-CN" w:bidi="ar-SA"/>
              </w:rPr>
              <w:t>μg/m</w:t>
            </w:r>
            <w:r>
              <w:rPr>
                <w:rFonts w:hint="default" w:ascii="Times New Roman" w:hAnsi="Times New Roman" w:eastAsia="宋体" w:cs="Times New Roman"/>
                <w:color w:val="auto"/>
                <w:sz w:val="21"/>
                <w:szCs w:val="21"/>
                <w:u w:val="none" w:color="auto"/>
                <w:vertAlign w:val="superscript"/>
                <w:lang w:val="en-US" w:eastAsia="zh-CN" w:bidi="ar-SA"/>
              </w:rPr>
              <w:t>3</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34</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35</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97.14%</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eastAsia" w:ascii="Times New Roman" w:hAnsi="Times New Roman" w:eastAsia="宋体" w:cs="Times New Roman"/>
                <w:color w:val="auto"/>
                <w:sz w:val="21"/>
                <w:szCs w:val="21"/>
                <w:u w:val="none" w:color="auto"/>
                <w:lang w:val="en-US" w:eastAsia="zh-CN" w:bidi="ar-SA"/>
              </w:rPr>
              <w:t>达</w:t>
            </w:r>
            <w:r>
              <w:rPr>
                <w:rFonts w:hint="default" w:ascii="Times New Roman" w:hAnsi="Times New Roman" w:eastAsia="宋体" w:cs="Times New Roman"/>
                <w:color w:val="auto"/>
                <w:sz w:val="21"/>
                <w:szCs w:val="21"/>
                <w:u w:val="none" w:color="auto"/>
                <w:lang w:val="en-US" w:eastAsia="en-US" w:bidi="ar-SA"/>
              </w:rPr>
              <w:t>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6" w:type="pct"/>
            <w:vMerge w:val="continue"/>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CO</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第95百分位数日平均浓度</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m</w:t>
            </w:r>
            <w:r>
              <w:rPr>
                <w:rFonts w:hint="default" w:ascii="Times New Roman" w:hAnsi="Times New Roman" w:eastAsia="宋体" w:cs="Times New Roman"/>
                <w:color w:val="auto"/>
                <w:sz w:val="21"/>
                <w:szCs w:val="21"/>
                <w:u w:val="none" w:color="auto"/>
                <w:lang w:val="en-US" w:eastAsia="zh-CN" w:bidi="ar-SA"/>
              </w:rPr>
              <w:t>g/m</w:t>
            </w:r>
            <w:r>
              <w:rPr>
                <w:rFonts w:hint="default" w:ascii="Times New Roman" w:hAnsi="Times New Roman" w:eastAsia="宋体" w:cs="Times New Roman"/>
                <w:color w:val="auto"/>
                <w:sz w:val="21"/>
                <w:szCs w:val="21"/>
                <w:u w:val="none" w:color="auto"/>
                <w:vertAlign w:val="superscript"/>
                <w:lang w:val="en-US" w:eastAsia="zh-CN" w:bidi="ar-SA"/>
              </w:rPr>
              <w:t>3</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1</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4</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eastAsia" w:ascii="Times New Roman" w:hAnsi="Times New Roman" w:eastAsia="宋体" w:cs="Times New Roman"/>
                <w:color w:val="auto"/>
                <w:sz w:val="21"/>
                <w:szCs w:val="21"/>
                <w:u w:val="none" w:color="auto"/>
                <w:lang w:val="en-US" w:eastAsia="zh-CN" w:bidi="ar-SA"/>
              </w:rPr>
              <w:t>25.00%</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6" w:type="pct"/>
            <w:vMerge w:val="continue"/>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p>
        </w:tc>
        <w:tc>
          <w:tcPr>
            <w:tcW w:w="49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en-US" w:bidi="ar-SA"/>
              </w:rPr>
            </w:pPr>
            <w:r>
              <w:rPr>
                <w:rFonts w:hint="default" w:ascii="Times New Roman" w:hAnsi="Times New Roman" w:eastAsia="宋体" w:cs="Times New Roman"/>
                <w:color w:val="auto"/>
                <w:sz w:val="21"/>
                <w:szCs w:val="21"/>
                <w:u w:val="none" w:color="auto"/>
                <w:lang w:val="en-US" w:eastAsia="en-US" w:bidi="ar-SA"/>
              </w:rPr>
              <w:t>O</w:t>
            </w:r>
            <w:r>
              <w:rPr>
                <w:rFonts w:hint="default" w:ascii="Times New Roman" w:hAnsi="Times New Roman" w:eastAsia="宋体" w:cs="Times New Roman"/>
                <w:color w:val="auto"/>
                <w:sz w:val="21"/>
                <w:szCs w:val="21"/>
                <w:u w:val="none" w:color="auto"/>
                <w:vertAlign w:val="subscript"/>
                <w:lang w:val="en-US" w:eastAsia="en-US" w:bidi="ar-SA"/>
              </w:rPr>
              <w:t>3</w:t>
            </w:r>
          </w:p>
        </w:tc>
        <w:tc>
          <w:tcPr>
            <w:tcW w:w="825"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第90百分位数最大8h平均浓度</w:t>
            </w:r>
          </w:p>
        </w:tc>
        <w:tc>
          <w:tcPr>
            <w:tcW w:w="556"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μg/m</w:t>
            </w:r>
            <w:r>
              <w:rPr>
                <w:rFonts w:hint="default" w:ascii="Times New Roman" w:hAnsi="Times New Roman" w:eastAsia="宋体" w:cs="Times New Roman"/>
                <w:color w:val="auto"/>
                <w:sz w:val="21"/>
                <w:szCs w:val="21"/>
                <w:u w:val="none" w:color="auto"/>
                <w:vertAlign w:val="superscript"/>
                <w:lang w:val="en-US" w:eastAsia="zh-CN" w:bidi="ar-SA"/>
              </w:rPr>
              <w:t>3</w:t>
            </w:r>
          </w:p>
        </w:tc>
        <w:tc>
          <w:tcPr>
            <w:tcW w:w="7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142</w:t>
            </w:r>
          </w:p>
        </w:tc>
        <w:tc>
          <w:tcPr>
            <w:tcW w:w="64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160</w:t>
            </w:r>
          </w:p>
        </w:tc>
        <w:tc>
          <w:tcPr>
            <w:tcW w:w="573"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88.75%</w:t>
            </w:r>
          </w:p>
        </w:tc>
        <w:tc>
          <w:tcPr>
            <w:tcW w:w="45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达标</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根据202</w:t>
      </w:r>
      <w:r>
        <w:rPr>
          <w:rFonts w:hint="eastAsia"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年岳阳市城陵矶常规自动在线监测点位已公布的年评价指标中的平均浓度可知，SO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、NO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、CO、PM</w:t>
      </w:r>
      <w:r>
        <w:rPr>
          <w:rFonts w:hint="default" w:ascii="Times New Roman" w:hAnsi="Times New Roman" w:eastAsia="宋体" w:cs="Times New Roman"/>
          <w:color w:val="auto"/>
          <w:sz w:val="24"/>
          <w:szCs w:val="24"/>
          <w:u w:val="none" w:color="auto"/>
          <w:vertAlign w:val="subscript"/>
        </w:rPr>
        <w:t>10</w:t>
      </w:r>
      <w:r>
        <w:rPr>
          <w:rFonts w:hint="default" w:ascii="Times New Roman" w:hAnsi="Times New Roman" w:eastAsia="宋体" w:cs="Times New Roman"/>
          <w:color w:val="auto"/>
          <w:sz w:val="24"/>
          <w:szCs w:val="24"/>
          <w:u w:val="none" w:color="auto"/>
        </w:rPr>
        <w:t>、PM</w:t>
      </w:r>
      <w:r>
        <w:rPr>
          <w:rFonts w:hint="default" w:ascii="Times New Roman" w:hAnsi="Times New Roman" w:eastAsia="宋体" w:cs="Times New Roman"/>
          <w:color w:val="auto"/>
          <w:sz w:val="24"/>
          <w:szCs w:val="24"/>
          <w:u w:val="none" w:color="auto"/>
          <w:vertAlign w:val="subscript"/>
        </w:rPr>
        <w:t>2.5</w:t>
      </w:r>
      <w:r>
        <w:rPr>
          <w:rFonts w:hint="default" w:ascii="Times New Roman" w:hAnsi="Times New Roman" w:eastAsia="宋体" w:cs="Times New Roman"/>
          <w:color w:val="auto"/>
          <w:sz w:val="24"/>
          <w:szCs w:val="24"/>
          <w:u w:val="none" w:color="auto"/>
        </w:rPr>
        <w:t>、O</w:t>
      </w:r>
      <w:r>
        <w:rPr>
          <w:rFonts w:hint="default" w:ascii="Times New Roman" w:hAnsi="Times New Roman" w:eastAsia="宋体" w:cs="Times New Roman"/>
          <w:color w:val="auto"/>
          <w:sz w:val="24"/>
          <w:szCs w:val="24"/>
          <w:u w:val="none" w:color="auto"/>
          <w:vertAlign w:val="subscript"/>
        </w:rPr>
        <w:t>3</w:t>
      </w:r>
      <w:r>
        <w:rPr>
          <w:rFonts w:hint="default" w:ascii="Times New Roman" w:hAnsi="Times New Roman" w:eastAsia="宋体" w:cs="Times New Roman"/>
          <w:color w:val="auto"/>
          <w:sz w:val="24"/>
          <w:szCs w:val="24"/>
          <w:u w:val="none" w:color="auto"/>
        </w:rPr>
        <w:t>的年平均质量浓度和其百分位数日平均质量浓度均可达到《环境空气质量标准》(GB3095-2012)中二级标准限值要求。判定本项目所在区域为达标区。</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（2）其它污染物环境质量现状评价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12"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8"/>
          <w:sz w:val="24"/>
          <w:szCs w:val="24"/>
          <w:u w:val="none" w:color="auto"/>
        </w:rPr>
        <w:t>根</w:t>
      </w:r>
      <w:r>
        <w:rPr>
          <w:rFonts w:hint="default" w:ascii="Times New Roman" w:hAnsi="Times New Roman" w:eastAsia="宋体" w:cs="Times New Roman"/>
          <w:color w:val="auto"/>
          <w:spacing w:val="5"/>
          <w:sz w:val="24"/>
          <w:szCs w:val="24"/>
          <w:u w:val="none" w:color="auto"/>
        </w:rPr>
        <w:t>据《环境影响评价技术导则大气环境》(</w:t>
      </w:r>
      <w:r>
        <w:rPr>
          <w:rFonts w:hint="default" w:ascii="Times New Roman" w:hAnsi="Times New Roman" w:eastAsia="宋体" w:cs="Times New Roman"/>
          <w:color w:val="auto"/>
          <w:sz w:val="24"/>
          <w:szCs w:val="24"/>
          <w:u w:val="none" w:color="auto"/>
        </w:rPr>
        <w:t>HJ</w:t>
      </w:r>
      <w:r>
        <w:rPr>
          <w:rFonts w:hint="default" w:ascii="Times New Roman" w:hAnsi="Times New Roman" w:eastAsia="宋体" w:cs="Times New Roman"/>
          <w:color w:val="auto"/>
          <w:spacing w:val="5"/>
          <w:sz w:val="24"/>
          <w:szCs w:val="24"/>
          <w:u w:val="none" w:color="auto"/>
        </w:rPr>
        <w:t>2.2-2018)中“6.2.2”相关内容。本</w:t>
      </w:r>
      <w:r>
        <w:rPr>
          <w:rFonts w:hint="default" w:ascii="Times New Roman" w:hAnsi="Times New Roman" w:eastAsia="宋体" w:cs="Times New Roman"/>
          <w:color w:val="auto"/>
          <w:spacing w:val="10"/>
          <w:sz w:val="24"/>
          <w:szCs w:val="24"/>
          <w:u w:val="none" w:color="auto"/>
        </w:rPr>
        <w:t>项目其他</w:t>
      </w:r>
      <w:r>
        <w:rPr>
          <w:rFonts w:hint="default" w:ascii="Times New Roman" w:hAnsi="Times New Roman" w:eastAsia="宋体" w:cs="Times New Roman"/>
          <w:color w:val="auto"/>
          <w:spacing w:val="9"/>
          <w:sz w:val="24"/>
          <w:szCs w:val="24"/>
          <w:u w:val="none" w:color="auto"/>
        </w:rPr>
        <w:t>污</w:t>
      </w:r>
      <w:r>
        <w:rPr>
          <w:rFonts w:hint="default" w:ascii="Times New Roman" w:hAnsi="Times New Roman" w:eastAsia="宋体" w:cs="Times New Roman"/>
          <w:color w:val="auto"/>
          <w:spacing w:val="5"/>
          <w:sz w:val="24"/>
          <w:szCs w:val="24"/>
          <w:u w:val="none" w:color="auto"/>
        </w:rPr>
        <w:t>染物</w:t>
      </w:r>
      <w:r>
        <w:rPr>
          <w:rFonts w:hint="default" w:ascii="Times New Roman" w:hAnsi="Times New Roman" w:eastAsia="宋体" w:cs="Times New Roman"/>
          <w:color w:val="auto"/>
          <w:sz w:val="24"/>
          <w:szCs w:val="24"/>
          <w:u w:val="none" w:color="auto"/>
        </w:rPr>
        <w:t>TSP</w:t>
      </w:r>
      <w:r>
        <w:rPr>
          <w:rFonts w:hint="default" w:ascii="Times New Roman" w:hAnsi="Times New Roman" w:eastAsia="宋体" w:cs="Times New Roman"/>
          <w:color w:val="auto"/>
          <w:spacing w:val="5"/>
          <w:sz w:val="24"/>
          <w:szCs w:val="24"/>
          <w:u w:val="none" w:color="auto"/>
        </w:rPr>
        <w:t>、</w:t>
      </w:r>
      <w:r>
        <w:rPr>
          <w:rFonts w:hint="eastAsia" w:ascii="Times New Roman" w:hAnsi="Times New Roman" w:eastAsia="宋体" w:cs="Times New Roman"/>
          <w:color w:val="auto"/>
          <w:spacing w:val="5"/>
          <w:sz w:val="24"/>
          <w:szCs w:val="24"/>
          <w:u w:val="none" w:color="auto"/>
          <w:lang w:val="en-US" w:eastAsia="zh-CN"/>
        </w:rPr>
        <w:t>NOx、</w:t>
      </w:r>
      <w:r>
        <w:rPr>
          <w:rFonts w:hint="default" w:ascii="Times New Roman" w:hAnsi="Times New Roman" w:eastAsia="宋体" w:cs="Times New Roman"/>
          <w:color w:val="auto"/>
          <w:spacing w:val="5"/>
          <w:sz w:val="24"/>
          <w:szCs w:val="24"/>
          <w:u w:val="none" w:color="auto"/>
        </w:rPr>
        <w:t>氯化氢、</w:t>
      </w:r>
      <w:r>
        <w:rPr>
          <w:rFonts w:hint="eastAsia" w:ascii="Times New Roman" w:hAnsi="Times New Roman" w:eastAsia="宋体" w:cs="Times New Roman"/>
          <w:color w:val="auto"/>
          <w:spacing w:val="5"/>
          <w:sz w:val="24"/>
          <w:szCs w:val="24"/>
          <w:u w:val="none" w:color="auto"/>
          <w:lang w:val="en-US" w:eastAsia="zh-CN"/>
        </w:rPr>
        <w:t>TVOC</w:t>
      </w:r>
      <w:r>
        <w:rPr>
          <w:rFonts w:hint="default" w:ascii="Times New Roman" w:hAnsi="Times New Roman" w:eastAsia="宋体" w:cs="Times New Roman"/>
          <w:color w:val="auto"/>
          <w:spacing w:val="7"/>
          <w:sz w:val="24"/>
          <w:szCs w:val="24"/>
          <w:u w:val="none" w:color="auto"/>
        </w:rPr>
        <w:t>委托湖南昌源环境科技有限公司于</w:t>
      </w:r>
      <w:r>
        <w:rPr>
          <w:rFonts w:hint="default" w:ascii="Times New Roman" w:hAnsi="Times New Roman" w:eastAsia="宋体" w:cs="Times New Roman"/>
          <w:color w:val="auto"/>
          <w:spacing w:val="3"/>
          <w:sz w:val="24"/>
          <w:szCs w:val="24"/>
          <w:u w:val="none" w:color="auto"/>
        </w:rPr>
        <w:t>2022年</w:t>
      </w:r>
      <w:r>
        <w:rPr>
          <w:rFonts w:hint="eastAsia" w:ascii="Times New Roman" w:hAnsi="Times New Roman" w:eastAsia="宋体" w:cs="Times New Roman"/>
          <w:color w:val="auto"/>
          <w:spacing w:val="3"/>
          <w:sz w:val="24"/>
          <w:szCs w:val="24"/>
          <w:u w:val="none" w:color="auto"/>
          <w:lang w:val="en-US" w:eastAsia="zh-CN"/>
        </w:rPr>
        <w:t>3</w:t>
      </w:r>
      <w:r>
        <w:rPr>
          <w:rFonts w:hint="default" w:ascii="Times New Roman" w:hAnsi="Times New Roman" w:eastAsia="宋体" w:cs="Times New Roman"/>
          <w:color w:val="auto"/>
          <w:spacing w:val="3"/>
          <w:sz w:val="24"/>
          <w:szCs w:val="24"/>
          <w:u w:val="none" w:color="auto"/>
        </w:rPr>
        <w:t>月</w:t>
      </w:r>
      <w:r>
        <w:rPr>
          <w:rFonts w:hint="eastAsia" w:ascii="Times New Roman" w:hAnsi="Times New Roman" w:eastAsia="宋体" w:cs="Times New Roman"/>
          <w:color w:val="auto"/>
          <w:spacing w:val="3"/>
          <w:sz w:val="24"/>
          <w:szCs w:val="24"/>
          <w:u w:val="none" w:color="auto"/>
          <w:lang w:val="en-US" w:eastAsia="zh-CN"/>
        </w:rPr>
        <w:t>27</w:t>
      </w:r>
      <w:r>
        <w:rPr>
          <w:rFonts w:hint="default" w:ascii="Times New Roman" w:hAnsi="Times New Roman" w:eastAsia="宋体" w:cs="Times New Roman"/>
          <w:color w:val="auto"/>
          <w:spacing w:val="3"/>
          <w:sz w:val="24"/>
          <w:szCs w:val="24"/>
          <w:u w:val="none" w:color="auto"/>
        </w:rPr>
        <w:t>日~</w:t>
      </w:r>
      <w:r>
        <w:rPr>
          <w:rFonts w:hint="eastAsia" w:ascii="Times New Roman" w:hAnsi="Times New Roman" w:eastAsia="宋体" w:cs="Times New Roman"/>
          <w:color w:val="auto"/>
          <w:spacing w:val="3"/>
          <w:sz w:val="24"/>
          <w:szCs w:val="24"/>
          <w:u w:val="none" w:color="auto"/>
          <w:lang w:val="en-US" w:eastAsia="zh-CN"/>
        </w:rPr>
        <w:t>4月2</w:t>
      </w:r>
      <w:r>
        <w:rPr>
          <w:rFonts w:hint="default" w:ascii="Times New Roman" w:hAnsi="Times New Roman" w:eastAsia="宋体" w:cs="Times New Roman"/>
          <w:color w:val="auto"/>
          <w:spacing w:val="3"/>
          <w:sz w:val="24"/>
          <w:szCs w:val="24"/>
          <w:u w:val="none" w:color="auto"/>
        </w:rPr>
        <w:t>日连续7天现场监测；本项目大气监测点位具体情况如下。</w:t>
      </w:r>
      <w:r>
        <w:rPr>
          <w:rFonts w:hint="default" w:ascii="Times New Roman" w:hAnsi="Times New Roman" w:eastAsia="宋体" w:cs="Times New Roman"/>
          <w:color w:val="auto"/>
          <w:spacing w:val="8"/>
          <w:sz w:val="24"/>
          <w:szCs w:val="24"/>
          <w:u w:val="none" w:color="auto"/>
        </w:rPr>
        <w:t>根据大气导则6</w:t>
      </w:r>
      <w:r>
        <w:rPr>
          <w:rFonts w:hint="default" w:ascii="Times New Roman" w:hAnsi="Times New Roman" w:eastAsia="宋体" w:cs="Times New Roman"/>
          <w:color w:val="auto"/>
          <w:spacing w:val="5"/>
          <w:sz w:val="24"/>
          <w:szCs w:val="24"/>
          <w:u w:val="none" w:color="auto"/>
        </w:rPr>
        <w:t>.</w:t>
      </w:r>
      <w:r>
        <w:rPr>
          <w:rFonts w:hint="default" w:ascii="Times New Roman" w:hAnsi="Times New Roman" w:eastAsia="宋体" w:cs="Times New Roman"/>
          <w:color w:val="auto"/>
          <w:spacing w:val="4"/>
          <w:sz w:val="24"/>
          <w:szCs w:val="24"/>
          <w:u w:val="none" w:color="auto"/>
        </w:rPr>
        <w:t>3.2监测布点：以近20年统计的当地主导风向为轴向，在厂址及主</w:t>
      </w:r>
      <w:r>
        <w:rPr>
          <w:rFonts w:hint="default" w:ascii="Times New Roman" w:hAnsi="Times New Roman" w:eastAsia="宋体" w:cs="Times New Roman"/>
          <w:color w:val="auto"/>
          <w:spacing w:val="12"/>
          <w:sz w:val="24"/>
          <w:szCs w:val="24"/>
          <w:u w:val="none" w:color="auto"/>
        </w:rPr>
        <w:t>导风向</w:t>
      </w:r>
      <w:r>
        <w:rPr>
          <w:rFonts w:hint="default" w:ascii="Times New Roman" w:hAnsi="Times New Roman" w:eastAsia="宋体" w:cs="Times New Roman"/>
          <w:color w:val="auto"/>
          <w:spacing w:val="6"/>
          <w:sz w:val="24"/>
          <w:szCs w:val="24"/>
          <w:u w:val="none" w:color="auto"/>
        </w:rPr>
        <w:t>下风向5</w:t>
      </w:r>
      <w:r>
        <w:rPr>
          <w:rFonts w:hint="default" w:ascii="Times New Roman" w:hAnsi="Times New Roman" w:eastAsia="宋体" w:cs="Times New Roman"/>
          <w:color w:val="auto"/>
          <w:sz w:val="24"/>
          <w:szCs w:val="24"/>
          <w:u w:val="none" w:color="auto"/>
        </w:rPr>
        <w:t>km</w:t>
      </w:r>
      <w:r>
        <w:rPr>
          <w:rFonts w:hint="default" w:ascii="Times New Roman" w:hAnsi="Times New Roman" w:eastAsia="宋体" w:cs="Times New Roman"/>
          <w:color w:val="auto"/>
          <w:spacing w:val="6"/>
          <w:sz w:val="24"/>
          <w:szCs w:val="24"/>
          <w:u w:val="none" w:color="auto"/>
        </w:rPr>
        <w:t>范围内设置1~2个监测点。如需在一类区进行补充监测，监测点</w:t>
      </w:r>
      <w:r>
        <w:rPr>
          <w:rFonts w:hint="default" w:ascii="Times New Roman" w:hAnsi="Times New Roman" w:eastAsia="宋体" w:cs="Times New Roman"/>
          <w:color w:val="auto"/>
          <w:spacing w:val="12"/>
          <w:sz w:val="24"/>
          <w:szCs w:val="24"/>
          <w:u w:val="none" w:color="auto"/>
        </w:rPr>
        <w:t>应</w:t>
      </w:r>
      <w:r>
        <w:rPr>
          <w:rFonts w:hint="default" w:ascii="Times New Roman" w:hAnsi="Times New Roman" w:eastAsia="宋体" w:cs="Times New Roman"/>
          <w:color w:val="auto"/>
          <w:spacing w:val="7"/>
          <w:sz w:val="24"/>
          <w:szCs w:val="24"/>
          <w:u w:val="none" w:color="auto"/>
        </w:rPr>
        <w:t>设置在不受人为活动影响的区域。本次监测点位设置于厂界西南侧50m(主导风向下</w:t>
      </w:r>
      <w:r>
        <w:rPr>
          <w:rFonts w:hint="default" w:ascii="Times New Roman" w:hAnsi="Times New Roman" w:eastAsia="宋体" w:cs="Times New Roman"/>
          <w:color w:val="auto"/>
          <w:spacing w:val="12"/>
          <w:sz w:val="24"/>
          <w:szCs w:val="24"/>
          <w:u w:val="none" w:color="auto"/>
        </w:rPr>
        <w:t>风</w:t>
      </w:r>
      <w:r>
        <w:rPr>
          <w:rFonts w:hint="default" w:ascii="Times New Roman" w:hAnsi="Times New Roman" w:eastAsia="宋体" w:cs="Times New Roman"/>
          <w:color w:val="auto"/>
          <w:spacing w:val="8"/>
          <w:sz w:val="24"/>
          <w:szCs w:val="24"/>
          <w:u w:val="none" w:color="auto"/>
        </w:rPr>
        <w:t>向)，可满足大气导则要求。</w:t>
      </w:r>
    </w:p>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表4.</w:t>
      </w:r>
      <w:r>
        <w:rPr>
          <w:rFonts w:hint="eastAsia" w:ascii="Times New Roman" w:hAnsi="Times New Roman" w:eastAsia="宋体" w:cs="Times New Roman"/>
          <w:b/>
          <w:bCs/>
          <w:color w:val="auto"/>
          <w:sz w:val="24"/>
          <w:u w:val="none" w:color="auto"/>
          <w:lang w:val="en-US" w:eastAsia="zh-CN" w:bidi="ar-SA"/>
        </w:rPr>
        <w:t>3-2</w:t>
      </w:r>
      <w:r>
        <w:rPr>
          <w:rFonts w:hint="default" w:ascii="Times New Roman" w:hAnsi="Times New Roman" w:eastAsia="宋体" w:cs="Times New Roman"/>
          <w:b/>
          <w:bCs/>
          <w:color w:val="auto"/>
          <w:sz w:val="24"/>
          <w:u w:val="none" w:color="auto"/>
          <w:lang w:val="en-US" w:eastAsia="zh-CN" w:bidi="ar-SA"/>
        </w:rPr>
        <w:t>环境空气质量现状监测点一览表</w:t>
      </w:r>
    </w:p>
    <w:tbl>
      <w:tblPr>
        <w:tblStyle w:val="204"/>
        <w:tblW w:w="501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03"/>
        <w:gridCol w:w="1959"/>
        <w:gridCol w:w="2523"/>
        <w:gridCol w:w="18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1170"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507"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平均时间</w:t>
            </w:r>
          </w:p>
        </w:tc>
        <w:tc>
          <w:tcPr>
            <w:tcW w:w="1126"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监测天数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pacing w:val="3"/>
                <w:sz w:val="21"/>
                <w:szCs w:val="21"/>
              </w:rPr>
              <w:t>1</w:t>
            </w:r>
            <w:r>
              <w:rPr>
                <w:rFonts w:hint="default" w:ascii="Times New Roman" w:hAnsi="Times New Roman" w:eastAsia="宋体" w:cs="Times New Roman"/>
                <w:color w:val="auto"/>
                <w:spacing w:val="8"/>
                <w:sz w:val="21"/>
                <w:szCs w:val="21"/>
                <w:lang w:eastAsia="zh-CN"/>
              </w:rPr>
              <w:t>厂界西</w:t>
            </w:r>
            <w:r>
              <w:rPr>
                <w:rFonts w:hint="default" w:ascii="Times New Roman" w:hAnsi="Times New Roman" w:eastAsia="宋体" w:cs="Times New Roman"/>
                <w:color w:val="auto"/>
                <w:spacing w:val="8"/>
                <w:sz w:val="21"/>
                <w:szCs w:val="21"/>
              </w:rPr>
              <w:t>南侧</w:t>
            </w:r>
            <w:r>
              <w:rPr>
                <w:rFonts w:hint="default" w:ascii="Times New Roman" w:hAnsi="Times New Roman" w:eastAsia="宋体" w:cs="Times New Roman"/>
                <w:color w:val="auto"/>
                <w:spacing w:val="8"/>
                <w:sz w:val="21"/>
                <w:szCs w:val="21"/>
                <w:lang w:val="en-US" w:eastAsia="zh-CN"/>
              </w:rPr>
              <w:t>50m</w:t>
            </w:r>
          </w:p>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4"/>
                <w:sz w:val="21"/>
                <w:szCs w:val="21"/>
              </w:rPr>
              <w:t>(</w:t>
            </w:r>
            <w:r>
              <w:rPr>
                <w:rFonts w:hint="default" w:ascii="Times New Roman" w:hAnsi="Times New Roman" w:eastAsia="宋体" w:cs="Times New Roman"/>
                <w:color w:val="auto"/>
                <w:spacing w:val="21"/>
                <w:sz w:val="21"/>
                <w:szCs w:val="21"/>
              </w:rPr>
              <w:t>主导风向下风</w:t>
            </w:r>
            <w:r>
              <w:rPr>
                <w:rFonts w:hint="default" w:ascii="Times New Roman" w:hAnsi="Times New Roman" w:eastAsia="宋体" w:cs="Times New Roman"/>
                <w:color w:val="auto"/>
                <w:spacing w:val="-11"/>
                <w:sz w:val="21"/>
                <w:szCs w:val="21"/>
              </w:rPr>
              <w:t>向</w:t>
            </w:r>
            <w:r>
              <w:rPr>
                <w:rFonts w:hint="default" w:ascii="Times New Roman" w:hAnsi="Times New Roman" w:eastAsia="宋体" w:cs="Times New Roman"/>
                <w:color w:val="auto"/>
                <w:spacing w:val="-10"/>
                <w:sz w:val="21"/>
                <w:szCs w:val="21"/>
              </w:rPr>
              <w:t>)</w:t>
            </w:r>
          </w:p>
        </w:tc>
        <w:tc>
          <w:tcPr>
            <w:tcW w:w="1170"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T</w:t>
            </w:r>
            <w:r>
              <w:rPr>
                <w:rFonts w:hint="default" w:ascii="Times New Roman" w:hAnsi="Times New Roman" w:eastAsia="宋体" w:cs="Times New Roman"/>
                <w:color w:val="auto"/>
                <w:spacing w:val="2"/>
                <w:sz w:val="21"/>
                <w:szCs w:val="21"/>
              </w:rPr>
              <w:t>SP</w:t>
            </w:r>
          </w:p>
        </w:tc>
        <w:tc>
          <w:tcPr>
            <w:tcW w:w="15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2</w:t>
            </w:r>
            <w:r>
              <w:rPr>
                <w:rFonts w:hint="default" w:ascii="Times New Roman" w:hAnsi="Times New Roman" w:eastAsia="宋体" w:cs="Times New Roman"/>
                <w:color w:val="auto"/>
                <w:spacing w:val="6"/>
                <w:sz w:val="21"/>
                <w:szCs w:val="21"/>
              </w:rPr>
              <w:t>4小时平均</w:t>
            </w:r>
          </w:p>
        </w:tc>
        <w:tc>
          <w:tcPr>
            <w:tcW w:w="1126"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rPr>
              <w:t>7</w:t>
            </w:r>
            <w:r>
              <w:rPr>
                <w:rFonts w:hint="default" w:ascii="Times New Roman" w:hAnsi="Times New Roman" w:eastAsia="宋体" w:cs="Times New Roman"/>
                <w:color w:val="auto"/>
                <w:position w:val="1"/>
                <w:sz w:val="21"/>
                <w:szCs w:val="21"/>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170"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7"/>
                <w:sz w:val="21"/>
                <w:szCs w:val="21"/>
                <w:lang w:val="en-US" w:eastAsia="zh-CN"/>
              </w:rPr>
              <w:t>NOx</w:t>
            </w:r>
          </w:p>
        </w:tc>
        <w:tc>
          <w:tcPr>
            <w:tcW w:w="15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小时平均</w:t>
            </w:r>
          </w:p>
        </w:tc>
        <w:tc>
          <w:tcPr>
            <w:tcW w:w="1126"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2"/>
                <w:sz w:val="21"/>
                <w:szCs w:val="21"/>
              </w:rPr>
              <w:t>7</w:t>
            </w:r>
            <w:r>
              <w:rPr>
                <w:rFonts w:hint="default" w:ascii="Times New Roman" w:hAnsi="Times New Roman" w:eastAsia="宋体" w:cs="Times New Roman"/>
                <w:color w:val="auto"/>
                <w:position w:val="2"/>
                <w:sz w:val="21"/>
                <w:szCs w:val="21"/>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170"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5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2</w:t>
            </w:r>
            <w:r>
              <w:rPr>
                <w:rFonts w:hint="default" w:ascii="Times New Roman" w:hAnsi="Times New Roman" w:eastAsia="宋体" w:cs="Times New Roman"/>
                <w:color w:val="auto"/>
                <w:spacing w:val="6"/>
                <w:sz w:val="21"/>
                <w:szCs w:val="21"/>
              </w:rPr>
              <w:t>4小时平均</w:t>
            </w:r>
          </w:p>
        </w:tc>
        <w:tc>
          <w:tcPr>
            <w:tcW w:w="1126"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2"/>
                <w:sz w:val="21"/>
                <w:szCs w:val="21"/>
              </w:rPr>
              <w:t>7</w:t>
            </w:r>
            <w:r>
              <w:rPr>
                <w:rFonts w:hint="default" w:ascii="Times New Roman" w:hAnsi="Times New Roman" w:eastAsia="宋体" w:cs="Times New Roman"/>
                <w:color w:val="auto"/>
                <w:position w:val="2"/>
                <w:sz w:val="21"/>
                <w:szCs w:val="21"/>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170"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氯化</w:t>
            </w:r>
            <w:r>
              <w:rPr>
                <w:rFonts w:hint="default" w:ascii="Times New Roman" w:hAnsi="Times New Roman" w:eastAsia="宋体" w:cs="Times New Roman"/>
                <w:color w:val="auto"/>
                <w:spacing w:val="5"/>
                <w:sz w:val="21"/>
                <w:szCs w:val="21"/>
              </w:rPr>
              <w:t>氢</w:t>
            </w:r>
          </w:p>
        </w:tc>
        <w:tc>
          <w:tcPr>
            <w:tcW w:w="15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小时平均</w:t>
            </w:r>
          </w:p>
        </w:tc>
        <w:tc>
          <w:tcPr>
            <w:tcW w:w="1126"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2"/>
                <w:sz w:val="21"/>
                <w:szCs w:val="21"/>
              </w:rPr>
              <w:t>7</w:t>
            </w:r>
            <w:r>
              <w:rPr>
                <w:rFonts w:hint="default" w:ascii="Times New Roman" w:hAnsi="Times New Roman" w:eastAsia="宋体" w:cs="Times New Roman"/>
                <w:color w:val="auto"/>
                <w:position w:val="2"/>
                <w:sz w:val="21"/>
                <w:szCs w:val="21"/>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170"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5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2</w:t>
            </w:r>
            <w:r>
              <w:rPr>
                <w:rFonts w:hint="default" w:ascii="Times New Roman" w:hAnsi="Times New Roman" w:eastAsia="宋体" w:cs="Times New Roman"/>
                <w:color w:val="auto"/>
                <w:spacing w:val="6"/>
                <w:sz w:val="21"/>
                <w:szCs w:val="21"/>
              </w:rPr>
              <w:t>4小时平均</w:t>
            </w:r>
          </w:p>
        </w:tc>
        <w:tc>
          <w:tcPr>
            <w:tcW w:w="1126"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2"/>
                <w:sz w:val="21"/>
                <w:szCs w:val="21"/>
              </w:rPr>
              <w:t>7</w:t>
            </w:r>
            <w:r>
              <w:rPr>
                <w:rFonts w:hint="default" w:ascii="Times New Roman" w:hAnsi="Times New Roman" w:eastAsia="宋体" w:cs="Times New Roman"/>
                <w:color w:val="auto"/>
                <w:position w:val="2"/>
                <w:sz w:val="21"/>
                <w:szCs w:val="21"/>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6"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170"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rPr>
              <w:t>VOC</w:t>
            </w:r>
          </w:p>
        </w:tc>
        <w:tc>
          <w:tcPr>
            <w:tcW w:w="15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8小时平均</w:t>
            </w:r>
          </w:p>
        </w:tc>
        <w:tc>
          <w:tcPr>
            <w:tcW w:w="1126"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pacing w:val="2"/>
                <w:position w:val="2"/>
                <w:sz w:val="21"/>
                <w:szCs w:val="21"/>
              </w:rPr>
            </w:pPr>
            <w:r>
              <w:rPr>
                <w:rFonts w:hint="default" w:ascii="Times New Roman" w:hAnsi="Times New Roman" w:eastAsia="宋体" w:cs="Times New Roman"/>
                <w:color w:val="auto"/>
                <w:spacing w:val="2"/>
                <w:position w:val="2"/>
                <w:sz w:val="21"/>
                <w:szCs w:val="21"/>
              </w:rPr>
              <w:t>7</w:t>
            </w:r>
            <w:r>
              <w:rPr>
                <w:rFonts w:hint="default" w:ascii="Times New Roman" w:hAnsi="Times New Roman" w:eastAsia="宋体" w:cs="Times New Roman"/>
                <w:color w:val="auto"/>
                <w:position w:val="2"/>
                <w:sz w:val="21"/>
                <w:szCs w:val="21"/>
              </w:rPr>
              <w:t>d</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采样方法及分析方法：采样方法按《环境空气质量自动监测技术规范》</w:t>
      </w:r>
      <w:r>
        <w:rPr>
          <w:rFonts w:hint="default" w:ascii="Times New Roman" w:hAnsi="Times New Roman" w:eastAsia="宋体" w:cs="Times New Roman"/>
          <w:color w:val="auto"/>
          <w:spacing w:val="10"/>
          <w:sz w:val="24"/>
          <w:szCs w:val="24"/>
          <w:u w:val="none" w:color="auto"/>
        </w:rPr>
        <w:t>(</w:t>
      </w:r>
      <w:r>
        <w:rPr>
          <w:rFonts w:hint="default" w:ascii="Times New Roman" w:hAnsi="Times New Roman" w:eastAsia="宋体" w:cs="Times New Roman"/>
          <w:color w:val="auto"/>
          <w:sz w:val="24"/>
          <w:szCs w:val="24"/>
          <w:u w:val="none" w:color="auto"/>
        </w:rPr>
        <w:t>HIJ</w:t>
      </w:r>
      <w:r>
        <w:rPr>
          <w:rFonts w:hint="default" w:ascii="Times New Roman" w:hAnsi="Times New Roman" w:eastAsia="宋体" w:cs="Times New Roman"/>
          <w:color w:val="auto"/>
          <w:spacing w:val="10"/>
          <w:sz w:val="24"/>
          <w:szCs w:val="24"/>
          <w:u w:val="none" w:color="auto"/>
        </w:rPr>
        <w:t>/</w:t>
      </w:r>
      <w:r>
        <w:rPr>
          <w:rFonts w:hint="default" w:ascii="Times New Roman" w:hAnsi="Times New Roman" w:eastAsia="宋体" w:cs="Times New Roman"/>
          <w:color w:val="auto"/>
          <w:sz w:val="24"/>
          <w:szCs w:val="24"/>
          <w:u w:val="none" w:color="auto"/>
        </w:rPr>
        <w:t>T</w:t>
      </w:r>
      <w:r>
        <w:rPr>
          <w:rFonts w:hint="default" w:ascii="Times New Roman" w:hAnsi="Times New Roman" w:eastAsia="宋体" w:cs="Times New Roman"/>
          <w:color w:val="auto"/>
          <w:spacing w:val="10"/>
          <w:sz w:val="24"/>
          <w:szCs w:val="24"/>
          <w:u w:val="none" w:color="auto"/>
        </w:rPr>
        <w:t>193-2</w:t>
      </w:r>
      <w:r>
        <w:rPr>
          <w:rFonts w:hint="default" w:ascii="Times New Roman" w:hAnsi="Times New Roman" w:eastAsia="宋体" w:cs="Times New Roman"/>
          <w:color w:val="auto"/>
          <w:spacing w:val="5"/>
          <w:sz w:val="24"/>
          <w:szCs w:val="24"/>
          <w:u w:val="none" w:color="auto"/>
        </w:rPr>
        <w:t>005)规定执行。项目分析方法按《环境空气质量标准》(</w:t>
      </w:r>
      <w:r>
        <w:rPr>
          <w:rFonts w:hint="default" w:ascii="Times New Roman" w:hAnsi="Times New Roman" w:eastAsia="宋体" w:cs="Times New Roman"/>
          <w:color w:val="auto"/>
          <w:sz w:val="24"/>
          <w:szCs w:val="24"/>
          <w:u w:val="none" w:color="auto"/>
        </w:rPr>
        <w:t>GB</w:t>
      </w:r>
      <w:r>
        <w:rPr>
          <w:rFonts w:hint="default" w:ascii="Times New Roman" w:hAnsi="Times New Roman" w:eastAsia="宋体" w:cs="Times New Roman"/>
          <w:color w:val="auto"/>
          <w:spacing w:val="5"/>
          <w:sz w:val="24"/>
          <w:szCs w:val="24"/>
          <w:u w:val="none" w:color="auto"/>
        </w:rPr>
        <w:t>3095-2012)</w:t>
      </w:r>
      <w:r>
        <w:rPr>
          <w:rFonts w:hint="default" w:ascii="Times New Roman" w:hAnsi="Times New Roman" w:eastAsia="宋体" w:cs="Times New Roman"/>
          <w:color w:val="auto"/>
          <w:spacing w:val="7"/>
          <w:sz w:val="24"/>
          <w:szCs w:val="24"/>
          <w:u w:val="none" w:color="auto"/>
        </w:rPr>
        <w:t>表2规定以及《空气和废气监测分析方法(第四版)》中的相关规定执行</w:t>
      </w:r>
      <w:r>
        <w:rPr>
          <w:rFonts w:hint="default" w:ascii="Times New Roman" w:hAnsi="Times New Roman" w:eastAsia="宋体" w:cs="Times New Roman"/>
          <w:color w:val="auto"/>
          <w:spacing w:val="2"/>
          <w:sz w:val="24"/>
          <w:szCs w:val="24"/>
          <w:u w:val="none" w:color="auto"/>
        </w:rPr>
        <w:t>。</w:t>
      </w:r>
    </w:p>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表4.</w:t>
      </w:r>
      <w:r>
        <w:rPr>
          <w:rFonts w:hint="eastAsia" w:ascii="Times New Roman" w:hAnsi="Times New Roman" w:eastAsia="宋体" w:cs="Times New Roman"/>
          <w:b/>
          <w:bCs/>
          <w:color w:val="auto"/>
          <w:sz w:val="24"/>
          <w:u w:val="none" w:color="auto"/>
          <w:lang w:val="en-US" w:eastAsia="zh-CN" w:bidi="ar-SA"/>
        </w:rPr>
        <w:t>3-3</w:t>
      </w:r>
      <w:r>
        <w:rPr>
          <w:rFonts w:hint="default" w:ascii="Times New Roman" w:hAnsi="Times New Roman" w:eastAsia="宋体" w:cs="Times New Roman"/>
          <w:b/>
          <w:bCs/>
          <w:color w:val="auto"/>
          <w:sz w:val="24"/>
          <w:u w:val="none" w:color="auto"/>
          <w:lang w:val="en-US" w:eastAsia="zh-CN" w:bidi="ar-SA"/>
        </w:rPr>
        <w:t>环境空气质量现状监测结果一览表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70"/>
        <w:gridCol w:w="1064"/>
        <w:gridCol w:w="1196"/>
        <w:gridCol w:w="1195"/>
        <w:gridCol w:w="1085"/>
        <w:gridCol w:w="1121"/>
        <w:gridCol w:w="1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596" w:type="dxa"/>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kern w:val="2"/>
                <w:sz w:val="21"/>
                <w:szCs w:val="21"/>
                <w:lang w:eastAsia="zh-CN"/>
              </w:rPr>
              <w:t>检测</w:t>
            </w:r>
            <w:r>
              <w:rPr>
                <w:rFonts w:hint="eastAsia" w:ascii="Times New Roman" w:hAnsi="Times New Roman" w:cs="Times New Roman"/>
                <w:b w:val="0"/>
                <w:bCs w:val="0"/>
                <w:color w:val="auto"/>
                <w:kern w:val="2"/>
                <w:sz w:val="21"/>
                <w:szCs w:val="21"/>
                <w:lang w:val="en-US" w:eastAsia="zh-CN"/>
              </w:rPr>
              <w:t>点位</w:t>
            </w:r>
          </w:p>
        </w:tc>
        <w:tc>
          <w:tcPr>
            <w:tcW w:w="1635" w:type="dxa"/>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kern w:val="2"/>
                <w:sz w:val="21"/>
                <w:szCs w:val="21"/>
              </w:rPr>
              <w:t>采样时间</w:t>
            </w:r>
          </w:p>
        </w:tc>
        <w:tc>
          <w:tcPr>
            <w:tcW w:w="1710" w:type="dxa"/>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TSP</w:t>
            </w:r>
          </w:p>
        </w:tc>
        <w:tc>
          <w:tcPr>
            <w:tcW w:w="4320" w:type="dxa"/>
            <w:gridSpan w:val="2"/>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氟化物</w:t>
            </w:r>
          </w:p>
        </w:tc>
        <w:tc>
          <w:tcPr>
            <w:tcW w:w="1950" w:type="dxa"/>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氯化氢</w:t>
            </w:r>
          </w:p>
        </w:tc>
        <w:tc>
          <w:tcPr>
            <w:tcW w:w="1695" w:type="dxa"/>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TVOC</w:t>
            </w:r>
          </w:p>
        </w:tc>
        <w:tc>
          <w:tcPr>
            <w:tcW w:w="1495" w:type="dxa"/>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计量单位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596" w:type="dxa"/>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lang w:eastAsia="zh-CN"/>
              </w:rPr>
            </w:pPr>
          </w:p>
        </w:tc>
        <w:tc>
          <w:tcPr>
            <w:tcW w:w="1635" w:type="dxa"/>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710" w:type="dxa"/>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日均值</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1小时均值</w:t>
            </w:r>
          </w:p>
        </w:tc>
        <w:tc>
          <w:tcPr>
            <w:tcW w:w="1950" w:type="dxa"/>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p>
        </w:tc>
        <w:tc>
          <w:tcPr>
            <w:tcW w:w="1695" w:type="dxa"/>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p>
        </w:tc>
        <w:tc>
          <w:tcPr>
            <w:tcW w:w="1495" w:type="dxa"/>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G1厂界西南侧50m处</w:t>
            </w:r>
          </w:p>
        </w:tc>
        <w:tc>
          <w:tcPr>
            <w:tcW w:w="163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3月27日</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0.022</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0.03</w:t>
            </w:r>
          </w:p>
        </w:tc>
        <w:tc>
          <w:tcPr>
            <w:tcW w:w="169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0.07</w:t>
            </w:r>
          </w:p>
        </w:tc>
        <w:tc>
          <w:tcPr>
            <w:tcW w:w="1495" w:type="dxa"/>
            <w:tcBorders>
              <w:tl2br w:val="nil"/>
              <w:tr2bl w:val="nil"/>
            </w:tcBorders>
            <w:noWrap w:val="0"/>
            <w:vAlign w:val="center"/>
          </w:tcPr>
          <w:p>
            <w:pPr>
              <w:keepNext w:val="0"/>
              <w:keepLines w:val="0"/>
              <w:pageBreakBefore w:val="0"/>
              <w:widowControl/>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cs="Times New Roman"/>
                <w:b w:val="0"/>
                <w:bCs w:val="0"/>
                <w:color w:val="auto"/>
                <w:kern w:val="2"/>
                <w:sz w:val="21"/>
                <w:szCs w:val="21"/>
                <w:vertAlign w:val="baseline"/>
                <w:lang w:val="en-US" w:eastAsia="zh-CN" w:bidi="ar-SA"/>
              </w:rPr>
            </w:pPr>
          </w:p>
        </w:tc>
        <w:tc>
          <w:tcPr>
            <w:tcW w:w="163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3月28日</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0.025</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w:t>
            </w:r>
          </w:p>
        </w:tc>
        <w:tc>
          <w:tcPr>
            <w:tcW w:w="169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0.06</w:t>
            </w:r>
          </w:p>
        </w:tc>
        <w:tc>
          <w:tcPr>
            <w:tcW w:w="1495" w:type="dxa"/>
            <w:tcBorders>
              <w:tl2br w:val="nil"/>
              <w:tr2bl w:val="nil"/>
            </w:tcBorders>
            <w:noWrap w:val="0"/>
            <w:vAlign w:val="center"/>
          </w:tcPr>
          <w:p>
            <w:pPr>
              <w:keepNext w:val="0"/>
              <w:keepLines w:val="0"/>
              <w:pageBreakBefore w:val="0"/>
              <w:widowControl/>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cs="Times New Roman"/>
                <w:b w:val="0"/>
                <w:bCs w:val="0"/>
                <w:color w:val="auto"/>
                <w:kern w:val="2"/>
                <w:sz w:val="21"/>
                <w:szCs w:val="21"/>
                <w:vertAlign w:val="baseline"/>
                <w:lang w:val="en-US" w:eastAsia="zh-CN" w:bidi="ar-SA"/>
              </w:rPr>
            </w:pPr>
          </w:p>
        </w:tc>
        <w:tc>
          <w:tcPr>
            <w:tcW w:w="163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3月29日</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0.028</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0.03</w:t>
            </w:r>
          </w:p>
        </w:tc>
        <w:tc>
          <w:tcPr>
            <w:tcW w:w="169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0.06</w:t>
            </w:r>
          </w:p>
        </w:tc>
        <w:tc>
          <w:tcPr>
            <w:tcW w:w="1495" w:type="dxa"/>
            <w:tcBorders>
              <w:tl2br w:val="nil"/>
              <w:tr2bl w:val="nil"/>
            </w:tcBorders>
            <w:noWrap w:val="0"/>
            <w:vAlign w:val="center"/>
          </w:tcPr>
          <w:p>
            <w:pPr>
              <w:keepNext w:val="0"/>
              <w:keepLines w:val="0"/>
              <w:pageBreakBefore w:val="0"/>
              <w:widowControl/>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cs="Times New Roman"/>
                <w:b w:val="0"/>
                <w:bCs w:val="0"/>
                <w:color w:val="auto"/>
                <w:kern w:val="2"/>
                <w:sz w:val="21"/>
                <w:szCs w:val="21"/>
                <w:vertAlign w:val="baseline"/>
                <w:lang w:val="en-US" w:eastAsia="zh-CN" w:bidi="ar-SA"/>
              </w:rPr>
            </w:pPr>
          </w:p>
        </w:tc>
        <w:tc>
          <w:tcPr>
            <w:tcW w:w="163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3月30日</w:t>
            </w:r>
          </w:p>
        </w:tc>
        <w:tc>
          <w:tcPr>
            <w:tcW w:w="1710"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0.029</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0.04</w:t>
            </w:r>
          </w:p>
        </w:tc>
        <w:tc>
          <w:tcPr>
            <w:tcW w:w="16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0.08</w:t>
            </w:r>
          </w:p>
        </w:tc>
        <w:tc>
          <w:tcPr>
            <w:tcW w:w="1495" w:type="dxa"/>
            <w:tcBorders>
              <w:tl2br w:val="nil"/>
              <w:tr2bl w:val="nil"/>
            </w:tcBorders>
            <w:noWrap w:val="0"/>
            <w:vAlign w:val="center"/>
          </w:tcPr>
          <w:p>
            <w:pPr>
              <w:keepNext w:val="0"/>
              <w:keepLines w:val="0"/>
              <w:pageBreakBefore w:val="0"/>
              <w:widowControl/>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cs="Times New Roman"/>
                <w:b w:val="0"/>
                <w:bCs w:val="0"/>
                <w:color w:val="auto"/>
                <w:kern w:val="2"/>
                <w:sz w:val="21"/>
                <w:szCs w:val="21"/>
                <w:vertAlign w:val="baseline"/>
                <w:lang w:val="en-US" w:eastAsia="zh-CN" w:bidi="ar-SA"/>
              </w:rPr>
            </w:pPr>
          </w:p>
        </w:tc>
        <w:tc>
          <w:tcPr>
            <w:tcW w:w="163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3月31日</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0.026</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0.05</w:t>
            </w:r>
          </w:p>
        </w:tc>
        <w:tc>
          <w:tcPr>
            <w:tcW w:w="169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0.06</w:t>
            </w:r>
          </w:p>
        </w:tc>
        <w:tc>
          <w:tcPr>
            <w:tcW w:w="14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cs="Times New Roman"/>
                <w:b w:val="0"/>
                <w:bCs w:val="0"/>
                <w:color w:val="auto"/>
                <w:kern w:val="2"/>
                <w:sz w:val="21"/>
                <w:szCs w:val="21"/>
                <w:vertAlign w:val="baseline"/>
                <w:lang w:val="en-US" w:eastAsia="zh-CN" w:bidi="ar-SA"/>
              </w:rPr>
            </w:pPr>
          </w:p>
        </w:tc>
        <w:tc>
          <w:tcPr>
            <w:tcW w:w="1635"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val="0"/>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4月1日</w:t>
            </w:r>
          </w:p>
        </w:tc>
        <w:tc>
          <w:tcPr>
            <w:tcW w:w="1710"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0.029</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0.03</w:t>
            </w:r>
          </w:p>
        </w:tc>
        <w:tc>
          <w:tcPr>
            <w:tcW w:w="16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0.08</w:t>
            </w:r>
          </w:p>
        </w:tc>
        <w:tc>
          <w:tcPr>
            <w:tcW w:w="14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6"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0" w:leftChars="0" w:right="0" w:rightChars="0" w:firstLine="0" w:firstLineChars="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63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4月2日</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0.028</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9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ND</w:t>
            </w:r>
          </w:p>
        </w:tc>
        <w:tc>
          <w:tcPr>
            <w:tcW w:w="169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0.05</w:t>
            </w:r>
          </w:p>
        </w:tc>
        <w:tc>
          <w:tcPr>
            <w:tcW w:w="14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31" w:type="dxa"/>
            <w:gridSpan w:val="2"/>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标准限值</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0.3</w:t>
            </w:r>
          </w:p>
        </w:tc>
        <w:tc>
          <w:tcPr>
            <w:tcW w:w="207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0.007</w:t>
            </w:r>
          </w:p>
        </w:tc>
        <w:tc>
          <w:tcPr>
            <w:tcW w:w="22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0.02</w:t>
            </w:r>
          </w:p>
        </w:tc>
        <w:tc>
          <w:tcPr>
            <w:tcW w:w="195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0.05</w:t>
            </w:r>
          </w:p>
        </w:tc>
        <w:tc>
          <w:tcPr>
            <w:tcW w:w="1695"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0.6</w:t>
            </w:r>
          </w:p>
        </w:tc>
        <w:tc>
          <w:tcPr>
            <w:tcW w:w="14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mg/m</w:t>
            </w:r>
            <w:r>
              <w:rPr>
                <w:rFonts w:hint="eastAsia" w:ascii="Times New Roman" w:hAnsi="Times New Roman" w:eastAsia="宋体" w:cs="Times New Roman"/>
                <w:b w:val="0"/>
                <w:bCs w:val="0"/>
                <w:color w:val="auto"/>
                <w:kern w:val="2"/>
                <w:sz w:val="21"/>
                <w:szCs w:val="21"/>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31" w:type="dxa"/>
            <w:gridSpan w:val="2"/>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达标情况</w:t>
            </w:r>
          </w:p>
        </w:tc>
        <w:tc>
          <w:tcPr>
            <w:tcW w:w="1710" w:type="dxa"/>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w:t>
            </w:r>
          </w:p>
        </w:tc>
        <w:tc>
          <w:tcPr>
            <w:tcW w:w="2070"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w:t>
            </w:r>
          </w:p>
        </w:tc>
        <w:tc>
          <w:tcPr>
            <w:tcW w:w="2250"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w:t>
            </w:r>
          </w:p>
        </w:tc>
        <w:tc>
          <w:tcPr>
            <w:tcW w:w="1950"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w:t>
            </w:r>
          </w:p>
        </w:tc>
        <w:tc>
          <w:tcPr>
            <w:tcW w:w="1695"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w:t>
            </w:r>
          </w:p>
        </w:tc>
        <w:tc>
          <w:tcPr>
            <w:tcW w:w="149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snapToGrid w:val="0"/>
              <w:ind w:left="0" w:leftChars="0" w:right="0" w:rightChars="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达标</w:t>
            </w:r>
          </w:p>
        </w:tc>
      </w:tr>
    </w:tbl>
    <w:p>
      <w:pPr>
        <w:pageBreakBefore w:val="0"/>
        <w:kinsoku/>
        <w:wordWrap/>
        <w:overflowPunct w:val="0"/>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b w:val="0"/>
          <w:color w:val="auto"/>
          <w:kern w:val="2"/>
          <w:sz w:val="24"/>
          <w:szCs w:val="24"/>
          <w:lang w:val="en-US" w:eastAsia="zh-CN" w:bidi="ar-SA"/>
        </w:rPr>
      </w:pPr>
      <w:bookmarkStart w:id="183" w:name="_bookmark78"/>
      <w:bookmarkEnd w:id="183"/>
      <w:bookmarkStart w:id="184" w:name="_Toc3058"/>
      <w:r>
        <w:rPr>
          <w:rFonts w:hint="default" w:ascii="Times New Roman" w:hAnsi="Times New Roman" w:cs="Times New Roman"/>
          <w:b w:val="0"/>
          <w:bCs w:val="0"/>
          <w:color w:val="auto"/>
          <w:kern w:val="2"/>
          <w:sz w:val="24"/>
          <w:szCs w:val="24"/>
          <w:vertAlign w:val="baseline"/>
          <w:lang w:val="en-US" w:eastAsia="zh-CN" w:bidi="ar-SA"/>
        </w:rPr>
        <w:t>根据监测项目厂界下风向，TSP、NOx</w:t>
      </w:r>
      <w:r>
        <w:rPr>
          <w:rFonts w:hint="default" w:ascii="Times New Roman" w:hAnsi="Times New Roman" w:eastAsia="宋体" w:cs="Times New Roman"/>
          <w:b w:val="0"/>
          <w:color w:val="auto"/>
          <w:kern w:val="2"/>
          <w:sz w:val="24"/>
          <w:szCs w:val="24"/>
          <w:lang w:val="en-US" w:eastAsia="zh-CN" w:bidi="ar-SA"/>
        </w:rPr>
        <w:t>满足《环境空气质量标准》(GB3095-2012)</w:t>
      </w:r>
      <w:r>
        <w:rPr>
          <w:rFonts w:hint="default" w:ascii="Times New Roman" w:hAnsi="Times New Roman" w:cs="Times New Roman"/>
          <w:b w:val="0"/>
          <w:color w:val="auto"/>
          <w:kern w:val="2"/>
          <w:sz w:val="24"/>
          <w:szCs w:val="24"/>
          <w:lang w:val="en-US" w:eastAsia="zh-CN" w:bidi="ar-SA"/>
        </w:rPr>
        <w:t>要求</w:t>
      </w:r>
      <w:r>
        <w:rPr>
          <w:rFonts w:hint="default" w:ascii="Times New Roman" w:hAnsi="Times New Roman" w:eastAsia="宋体" w:cs="Times New Roman"/>
          <w:b w:val="0"/>
          <w:color w:val="auto"/>
          <w:kern w:val="2"/>
          <w:sz w:val="24"/>
          <w:szCs w:val="24"/>
          <w:lang w:val="en-US" w:eastAsia="zh-CN" w:bidi="ar-SA"/>
        </w:rPr>
        <w:t>，TVOC、HCl满足《环境影响评价技术导则 大气环境》（HJ2.2-2018）</w:t>
      </w:r>
      <w:r>
        <w:rPr>
          <w:rFonts w:hint="default" w:ascii="Times New Roman" w:hAnsi="Times New Roman" w:cs="Times New Roman"/>
          <w:b w:val="0"/>
          <w:color w:val="auto"/>
          <w:kern w:val="2"/>
          <w:sz w:val="24"/>
          <w:szCs w:val="24"/>
          <w:lang w:val="en-US" w:eastAsia="zh-CN" w:bidi="ar-SA"/>
        </w:rPr>
        <w:t>附录D</w:t>
      </w:r>
      <w:r>
        <w:rPr>
          <w:rFonts w:hint="default" w:ascii="Times New Roman" w:hAnsi="Times New Roman" w:eastAsia="宋体" w:cs="Times New Roman"/>
          <w:b w:val="0"/>
          <w:color w:val="auto"/>
          <w:kern w:val="2"/>
          <w:sz w:val="24"/>
          <w:szCs w:val="24"/>
          <w:lang w:val="en-US" w:eastAsia="zh-CN" w:bidi="ar-SA"/>
        </w:rPr>
        <w:t>中限值要求。</w:t>
      </w:r>
    </w:p>
    <w:p>
      <w:pPr>
        <w:pStyle w:val="7"/>
        <w:bidi w:val="0"/>
        <w:rPr>
          <w:rFonts w:hint="default"/>
          <w:color w:val="auto"/>
        </w:rPr>
      </w:pPr>
      <w:r>
        <w:rPr>
          <w:rFonts w:hint="default"/>
          <w:color w:val="auto"/>
        </w:rPr>
        <w:t>4.</w:t>
      </w:r>
      <w:r>
        <w:rPr>
          <w:rFonts w:hint="eastAsia"/>
          <w:color w:val="auto"/>
          <w:lang w:val="en-US" w:eastAsia="zh-CN"/>
        </w:rPr>
        <w:t>3</w:t>
      </w:r>
      <w:r>
        <w:rPr>
          <w:rFonts w:hint="default"/>
          <w:color w:val="auto"/>
        </w:rPr>
        <w:t>.2地表水环境质量现状调查与评价</w:t>
      </w:r>
      <w:bookmarkEnd w:id="184"/>
    </w:p>
    <w:p>
      <w:pPr>
        <w:pageBreakBefore w:val="0"/>
        <w:kinsoku/>
        <w:wordWrap/>
        <w:overflowPunct w:val="0"/>
        <w:topLinePunct/>
        <w:autoSpaceDE w:val="0"/>
        <w:autoSpaceDN w:val="0"/>
        <w:bidi w:val="0"/>
        <w:adjustRightInd w:val="0"/>
        <w:snapToGrid w:val="0"/>
        <w:spacing w:line="360" w:lineRule="auto"/>
        <w:ind w:firstLine="480" w:firstLineChars="200"/>
        <w:rPr>
          <w:rFonts w:ascii="Times New Roman" w:hAnsi="Times New Roman" w:eastAsia="宋体" w:cs="Times New Roman"/>
          <w:color w:val="auto"/>
          <w:sz w:val="24"/>
        </w:rPr>
      </w:pPr>
      <w:bookmarkStart w:id="185" w:name="_bookmark79"/>
      <w:bookmarkEnd w:id="185"/>
      <w:r>
        <w:rPr>
          <w:rFonts w:ascii="Times New Roman" w:hAnsi="Times New Roman" w:eastAsia="宋体" w:cs="Times New Roman"/>
          <w:color w:val="auto"/>
          <w:sz w:val="24"/>
        </w:rPr>
        <w:t>本项目污水经预处理后进入临港产业新区污水处理厂处理达标后排入象骨港最终进入长江，即项目受纳水体为长江。根据《岳阳市水环境功能区划》的划分：长江塔市驿（湖北省流入湖南省断面）至黄盖湖（湖南省流入湖北省断面）水域功能区类型为一般渔业用水区，执行《地表水环境质量标准》（GB3838-2002）中Ⅲ类水质标准。</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本次评价收集了岳阳市环境监测站</w:t>
      </w:r>
      <w:r>
        <w:rPr>
          <w:rFonts w:hint="eastAsia" w:ascii="Times New Roman" w:hAnsi="Times New Roman" w:eastAsia="宋体" w:cs="Times New Roman"/>
          <w:color w:val="auto"/>
          <w:sz w:val="24"/>
        </w:rPr>
        <w:t>2020</w:t>
      </w:r>
      <w:r>
        <w:rPr>
          <w:rFonts w:ascii="Times New Roman" w:hAnsi="Times New Roman" w:eastAsia="宋体" w:cs="Times New Roman"/>
          <w:color w:val="auto"/>
          <w:sz w:val="24"/>
        </w:rPr>
        <w:t>年对</w:t>
      </w:r>
      <w:r>
        <w:rPr>
          <w:rFonts w:hint="eastAsia" w:ascii="Times New Roman" w:hAnsi="Times New Roman" w:eastAsia="宋体" w:cs="Times New Roman"/>
          <w:color w:val="auto"/>
          <w:sz w:val="24"/>
        </w:rPr>
        <w:t>城陵矶断面</w:t>
      </w:r>
      <w:r>
        <w:rPr>
          <w:rFonts w:ascii="Times New Roman" w:hAnsi="Times New Roman" w:eastAsia="宋体" w:cs="Times New Roman"/>
          <w:color w:val="auto"/>
          <w:sz w:val="24"/>
        </w:rPr>
        <w:t>、陆城断面进行的地表水环境常规监测的数据，监测结果见下表。</w:t>
      </w:r>
    </w:p>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w:t>
      </w:r>
      <w:r>
        <w:rPr>
          <w:rFonts w:hint="eastAsia" w:ascii="Times New Roman" w:hAnsi="Times New Roman" w:eastAsia="宋体" w:cs="Times New Roman"/>
          <w:b/>
          <w:bCs/>
          <w:color w:val="auto"/>
          <w:sz w:val="24"/>
          <w:u w:val="none" w:color="auto"/>
          <w:lang w:val="en-US" w:eastAsia="zh-CN" w:bidi="ar-SA"/>
        </w:rPr>
        <w:t>4.3</w:t>
      </w:r>
      <w:r>
        <w:rPr>
          <w:rFonts w:hint="default" w:ascii="Times New Roman" w:hAnsi="Times New Roman" w:eastAsia="宋体" w:cs="Times New Roman"/>
          <w:b/>
          <w:bCs/>
          <w:color w:val="auto"/>
          <w:sz w:val="24"/>
          <w:u w:val="none" w:color="auto"/>
          <w:lang w:val="en-US" w:eastAsia="zh-CN" w:bidi="ar-SA"/>
        </w:rPr>
        <w:t>-4长江陆城、城陵矶断面水质监测结果统计表单位mg/L</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12"/>
        <w:gridCol w:w="3180"/>
        <w:gridCol w:w="26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监测时间</w:t>
            </w:r>
          </w:p>
        </w:tc>
        <w:tc>
          <w:tcPr>
            <w:tcW w:w="1864"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城陵矶断面水质类别</w:t>
            </w:r>
          </w:p>
        </w:tc>
        <w:tc>
          <w:tcPr>
            <w:tcW w:w="1544"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长江陆城水质类别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2022-01</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2022-02</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2022-03</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2022-04</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2022-05</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2022-06</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Ⅲ类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2022-07</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Ⅲ类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2022-08</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2022-09</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2022-10</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2022-11</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2022-12</w:t>
            </w:r>
          </w:p>
        </w:tc>
        <w:tc>
          <w:tcPr>
            <w:tcW w:w="186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c>
          <w:tcPr>
            <w:tcW w:w="154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Ⅱ类</w:t>
            </w:r>
          </w:p>
        </w:tc>
      </w:tr>
    </w:tbl>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szCs w:val="22"/>
        </w:rPr>
      </w:pPr>
      <w:r>
        <w:rPr>
          <w:rFonts w:ascii="Times New Roman" w:hAnsi="Times New Roman" w:eastAsia="宋体" w:cs="Times New Roman"/>
          <w:color w:val="auto"/>
          <w:sz w:val="24"/>
        </w:rPr>
        <w:t>根据监测</w:t>
      </w:r>
      <w:r>
        <w:rPr>
          <w:rFonts w:hint="eastAsia" w:ascii="Times New Roman" w:hAnsi="Times New Roman" w:eastAsia="宋体" w:cs="Times New Roman"/>
          <w:color w:val="auto"/>
          <w:sz w:val="24"/>
          <w:lang w:eastAsia="zh-CN"/>
        </w:rPr>
        <w:t>统计数据</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长江</w:t>
      </w:r>
      <w:r>
        <w:rPr>
          <w:rFonts w:hint="eastAsia" w:ascii="Times New Roman" w:hAnsi="Times New Roman" w:eastAsia="宋体" w:cs="Times New Roman"/>
          <w:color w:val="auto"/>
          <w:sz w:val="24"/>
        </w:rPr>
        <w:t>城陵矶断面</w:t>
      </w:r>
      <w:r>
        <w:rPr>
          <w:rFonts w:ascii="Times New Roman" w:hAnsi="Times New Roman" w:eastAsia="宋体" w:cs="Times New Roman"/>
          <w:color w:val="auto"/>
          <w:sz w:val="24"/>
        </w:rPr>
        <w:t>、陆城断面</w:t>
      </w:r>
      <w:r>
        <w:rPr>
          <w:rFonts w:hint="eastAsia" w:ascii="Times New Roman" w:hAnsi="Times New Roman" w:eastAsia="宋体" w:cs="Times New Roman"/>
          <w:color w:val="auto"/>
          <w:sz w:val="24"/>
          <w:lang w:eastAsia="zh-CN"/>
        </w:rPr>
        <w:t>水质类别均</w:t>
      </w:r>
      <w:r>
        <w:rPr>
          <w:rFonts w:ascii="Times New Roman" w:hAnsi="Times New Roman" w:eastAsia="宋体" w:cs="Times New Roman"/>
          <w:color w:val="auto"/>
          <w:sz w:val="24"/>
        </w:rPr>
        <w:t>能满足《地表水环境质量标准》（GB3838-2002）中的Ⅲ类标准要求</w:t>
      </w:r>
      <w:r>
        <w:rPr>
          <w:rFonts w:ascii="Times New Roman" w:hAnsi="Times New Roman" w:eastAsia="宋体" w:cs="Times New Roman"/>
          <w:color w:val="auto"/>
          <w:sz w:val="24"/>
          <w:szCs w:val="22"/>
        </w:rPr>
        <w:t>。</w:t>
      </w:r>
    </w:p>
    <w:p>
      <w:pPr>
        <w:pageBreakBefore w:val="0"/>
        <w:kinsoku/>
        <w:wordWrap/>
        <w:overflowPunct w:val="0"/>
        <w:topLinePunct/>
        <w:autoSpaceDE w:val="0"/>
        <w:autoSpaceDN w:val="0"/>
        <w:bidi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为了解附近水体水质状况，委托</w:t>
      </w:r>
      <w:r>
        <w:rPr>
          <w:rFonts w:hint="default" w:ascii="Times New Roman" w:hAnsi="Times New Roman" w:eastAsia="宋体" w:cs="Times New Roman"/>
          <w:color w:val="auto"/>
          <w:sz w:val="24"/>
          <w:lang w:val="en-US" w:eastAsia="zh-CN"/>
        </w:rPr>
        <w:t>湖南昌源环境科技有限公司</w:t>
      </w:r>
      <w:r>
        <w:rPr>
          <w:rFonts w:hint="eastAsia" w:ascii="Times New Roman" w:hAnsi="Times New Roman" w:eastAsia="宋体" w:cs="Times New Roman"/>
          <w:color w:val="auto"/>
          <w:sz w:val="24"/>
          <w:lang w:val="en-US" w:eastAsia="zh-CN"/>
        </w:rPr>
        <w:t>2023年3月27日-28日对附近松杨湖和桑泥湖进行了一期水质监测，监测结果如下：</w:t>
      </w:r>
    </w:p>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w:t>
      </w:r>
      <w:r>
        <w:rPr>
          <w:rFonts w:hint="eastAsia" w:ascii="Times New Roman" w:hAnsi="Times New Roman" w:eastAsia="宋体" w:cs="Times New Roman"/>
          <w:b/>
          <w:bCs/>
          <w:color w:val="auto"/>
          <w:sz w:val="24"/>
          <w:u w:val="none" w:color="auto"/>
          <w:lang w:val="en-US" w:eastAsia="zh-CN" w:bidi="ar-SA"/>
        </w:rPr>
        <w:t>4.3-5松阳湖、桑泥湖</w:t>
      </w:r>
      <w:r>
        <w:rPr>
          <w:rFonts w:hint="default" w:ascii="Times New Roman" w:hAnsi="Times New Roman" w:eastAsia="宋体" w:cs="Times New Roman"/>
          <w:b/>
          <w:bCs/>
          <w:color w:val="auto"/>
          <w:sz w:val="24"/>
          <w:u w:val="none" w:color="auto"/>
          <w:lang w:val="en-US" w:eastAsia="zh-CN" w:bidi="ar-SA"/>
        </w:rPr>
        <w:t>水质监测结果统计表单位mg/L</w:t>
      </w:r>
    </w:p>
    <w:tbl>
      <w:tblPr>
        <w:tblStyle w:val="4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2"/>
        <w:gridCol w:w="1710"/>
        <w:gridCol w:w="1703"/>
        <w:gridCol w:w="1273"/>
        <w:gridCol w:w="1249"/>
        <w:gridCol w:w="1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7" w:type="pct"/>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r>
              <w:rPr>
                <w:rFonts w:hint="default" w:ascii="Times New Roman" w:hAnsi="Times New Roman" w:cs="Times New Roman"/>
                <w:color w:val="auto"/>
                <w:kern w:val="2"/>
                <w:sz w:val="21"/>
                <w:szCs w:val="21"/>
                <w:lang w:eastAsia="zh-CN"/>
              </w:rPr>
              <w:t>检测项目</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val="0"/>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W2桑泥湖</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val="0"/>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W2桑泥湖</w:t>
            </w:r>
          </w:p>
        </w:tc>
        <w:tc>
          <w:tcPr>
            <w:tcW w:w="746"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Ⅲ类</w:t>
            </w:r>
          </w:p>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标准限值</w:t>
            </w:r>
          </w:p>
        </w:tc>
        <w:tc>
          <w:tcPr>
            <w:tcW w:w="732"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rPr>
              <w:t>计量</w:t>
            </w:r>
            <w:r>
              <w:rPr>
                <w:rFonts w:hint="default" w:ascii="Times New Roman" w:hAnsi="Times New Roman" w:eastAsia="宋体" w:cs="Times New Roman"/>
                <w:b w:val="0"/>
                <w:bCs w:val="0"/>
                <w:color w:val="auto"/>
                <w:kern w:val="2"/>
                <w:sz w:val="21"/>
                <w:szCs w:val="21"/>
                <w:vertAlign w:val="baseline"/>
                <w:lang w:eastAsia="zh-CN"/>
              </w:rPr>
              <w:t>单位</w:t>
            </w:r>
          </w:p>
        </w:tc>
        <w:tc>
          <w:tcPr>
            <w:tcW w:w="732"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eastAsia" w:ascii="Times New Roman" w:hAnsi="Times New Roman" w:cs="Times New Roman"/>
                <w:b w:val="0"/>
                <w:bCs w:val="0"/>
                <w:color w:val="auto"/>
                <w:kern w:val="2"/>
                <w:sz w:val="21"/>
                <w:szCs w:val="21"/>
                <w:vertAlign w:val="baseline"/>
                <w:lang w:val="en-US" w:eastAsia="zh-CN"/>
              </w:rPr>
            </w:pPr>
            <w:r>
              <w:rPr>
                <w:rFonts w:hint="eastAsia" w:ascii="Times New Roman" w:hAnsi="Times New Roman" w:cs="Times New Roman"/>
                <w:b w:val="0"/>
                <w:bCs w:val="0"/>
                <w:color w:val="auto"/>
                <w:kern w:val="2"/>
                <w:sz w:val="21"/>
                <w:szCs w:val="21"/>
                <w:vertAlign w:val="baseli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87" w:type="pct"/>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3月27日</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3月28日</w:t>
            </w:r>
          </w:p>
        </w:tc>
        <w:tc>
          <w:tcPr>
            <w:tcW w:w="746" w:type="pct"/>
            <w:vMerge w:val="continue"/>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p>
        </w:tc>
        <w:tc>
          <w:tcPr>
            <w:tcW w:w="732"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p>
        </w:tc>
        <w:tc>
          <w:tcPr>
            <w:tcW w:w="732"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lang w:val="en-US" w:eastAsia="zh-CN"/>
              </w:rPr>
              <w:t>pH值</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7.25</w:t>
            </w:r>
          </w:p>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（水温：15.2℃）</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7.07</w:t>
            </w:r>
          </w:p>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（水温：15.6℃）</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6-9</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无岗量</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化学需氧量</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45</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44</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20</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五日生化需氧量</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eastAsia" w:ascii="Times New Roman" w:hAnsi="Times New Roman" w:eastAsia="宋体" w:cs="Times New Roman"/>
                <w:b/>
                <w:bCs/>
                <w:color w:val="auto"/>
                <w:kern w:val="2"/>
                <w:sz w:val="21"/>
                <w:szCs w:val="21"/>
                <w:highlight w:val="none"/>
                <w:shd w:val="clear" w:color="auto" w:fill="auto"/>
                <w:lang w:val="en-US" w:eastAsia="zh-CN" w:bidi="ar-SA"/>
              </w:rPr>
              <w:t>18.9</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eastAsia" w:ascii="Times New Roman" w:hAnsi="Times New Roman" w:eastAsia="宋体" w:cs="Times New Roman"/>
                <w:b/>
                <w:bCs/>
                <w:color w:val="auto"/>
                <w:kern w:val="2"/>
                <w:sz w:val="21"/>
                <w:szCs w:val="21"/>
                <w:highlight w:val="none"/>
                <w:shd w:val="clear" w:color="auto" w:fill="auto"/>
                <w:lang w:val="en-US" w:eastAsia="zh-CN" w:bidi="ar-SA"/>
              </w:rPr>
              <w:t>17.5</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氨氮</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1.37</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2.68</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总磷</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0.56</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0.58</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铜</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锌</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氟化物</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0.311</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0.262</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1.0</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硒</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0.01</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砷</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2.0×10</w:t>
            </w:r>
            <w:r>
              <w:rPr>
                <w:rFonts w:hint="default" w:ascii="Times New Roman" w:hAnsi="Times New Roman" w:eastAsia="宋体" w:cs="Times New Roman"/>
                <w:b w:val="0"/>
                <w:color w:val="auto"/>
                <w:kern w:val="2"/>
                <w:sz w:val="21"/>
                <w:szCs w:val="21"/>
                <w:vertAlign w:val="superscript"/>
                <w:lang w:val="en-US" w:eastAsia="zh-CN" w:bidi="ar-SA"/>
              </w:rPr>
              <w:t>-3</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2.1</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-3</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汞</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0.0001</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镉</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六价铬</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0.016</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0.017</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铅</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挥发酚</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0.0015</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0.0012</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石油类</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阴离子表面活性剂</w:t>
            </w:r>
          </w:p>
        </w:tc>
        <w:tc>
          <w:tcPr>
            <w:tcW w:w="100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0.06</w:t>
            </w:r>
          </w:p>
        </w:tc>
        <w:tc>
          <w:tcPr>
            <w:tcW w:w="99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0.06</w:t>
            </w:r>
          </w:p>
        </w:tc>
        <w:tc>
          <w:tcPr>
            <w:tcW w:w="1273" w:type="dxa"/>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0.2</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MPN/L</w:t>
            </w:r>
          </w:p>
        </w:tc>
        <w:tc>
          <w:tcPr>
            <w:tcW w:w="73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bl>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w:t>
      </w:r>
      <w:r>
        <w:rPr>
          <w:rFonts w:hint="eastAsia" w:ascii="Times New Roman" w:hAnsi="Times New Roman" w:eastAsia="宋体" w:cs="Times New Roman"/>
          <w:b/>
          <w:bCs/>
          <w:color w:val="auto"/>
          <w:sz w:val="24"/>
          <w:u w:val="none" w:color="auto"/>
          <w:lang w:val="en-US" w:eastAsia="zh-CN" w:bidi="ar-SA"/>
        </w:rPr>
        <w:t>4.3-5松阳湖</w:t>
      </w:r>
      <w:r>
        <w:rPr>
          <w:rFonts w:hint="default" w:ascii="Times New Roman" w:hAnsi="Times New Roman" w:eastAsia="宋体" w:cs="Times New Roman"/>
          <w:b/>
          <w:bCs/>
          <w:color w:val="auto"/>
          <w:sz w:val="24"/>
          <w:u w:val="none" w:color="auto"/>
          <w:lang w:val="en-US" w:eastAsia="zh-CN" w:bidi="ar-SA"/>
        </w:rPr>
        <w:t>水质监测结果统计表单位mg/L</w:t>
      </w:r>
    </w:p>
    <w:tbl>
      <w:tblPr>
        <w:tblStyle w:val="4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704"/>
        <w:gridCol w:w="1704"/>
        <w:gridCol w:w="1273"/>
        <w:gridCol w:w="1251"/>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7" w:type="pct"/>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r>
              <w:rPr>
                <w:rFonts w:hint="default" w:ascii="Times New Roman" w:hAnsi="Times New Roman" w:cs="Times New Roman"/>
                <w:color w:val="auto"/>
                <w:kern w:val="2"/>
                <w:sz w:val="21"/>
                <w:szCs w:val="21"/>
                <w:lang w:eastAsia="zh-CN"/>
              </w:rPr>
              <w:t>检测项目</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val="0"/>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W1松阳湖</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val="0"/>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W2桑泥湖</w:t>
            </w:r>
          </w:p>
        </w:tc>
        <w:tc>
          <w:tcPr>
            <w:tcW w:w="746"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Ⅳ类</w:t>
            </w:r>
          </w:p>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标准限值</w:t>
            </w:r>
          </w:p>
        </w:tc>
        <w:tc>
          <w:tcPr>
            <w:tcW w:w="733"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rPr>
              <w:t>计量</w:t>
            </w:r>
            <w:r>
              <w:rPr>
                <w:rFonts w:hint="default" w:ascii="Times New Roman" w:hAnsi="Times New Roman" w:eastAsia="宋体" w:cs="Times New Roman"/>
                <w:b w:val="0"/>
                <w:bCs w:val="0"/>
                <w:color w:val="auto"/>
                <w:kern w:val="2"/>
                <w:sz w:val="21"/>
                <w:szCs w:val="21"/>
                <w:vertAlign w:val="baseline"/>
                <w:lang w:eastAsia="zh-CN"/>
              </w:rPr>
              <w:t>单位</w:t>
            </w:r>
          </w:p>
        </w:tc>
        <w:tc>
          <w:tcPr>
            <w:tcW w:w="733"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eastAsia" w:ascii="Times New Roman" w:hAnsi="Times New Roman" w:cs="Times New Roman"/>
                <w:b w:val="0"/>
                <w:bCs w:val="0"/>
                <w:color w:val="auto"/>
                <w:kern w:val="2"/>
                <w:sz w:val="21"/>
                <w:szCs w:val="21"/>
                <w:vertAlign w:val="baseline"/>
                <w:lang w:val="en-US" w:eastAsia="zh-CN"/>
              </w:rPr>
            </w:pPr>
            <w:r>
              <w:rPr>
                <w:rFonts w:hint="eastAsia" w:ascii="Times New Roman" w:hAnsi="Times New Roman" w:cs="Times New Roman"/>
                <w:b w:val="0"/>
                <w:bCs w:val="0"/>
                <w:color w:val="auto"/>
                <w:kern w:val="2"/>
                <w:sz w:val="21"/>
                <w:szCs w:val="21"/>
                <w:vertAlign w:val="baseli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87" w:type="pct"/>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kern w:val="2"/>
                <w:sz w:val="21"/>
                <w:szCs w:val="21"/>
                <w:vertAlign w:val="baseline"/>
                <w:lang w:val="en-US" w:eastAsia="zh-CN" w:bidi="ar-SA"/>
              </w:rPr>
            </w:pPr>
            <w:r>
              <w:rPr>
                <w:rFonts w:hint="eastAsia" w:ascii="Times New Roman" w:hAnsi="Times New Roman" w:cs="Times New Roman"/>
                <w:b w:val="0"/>
                <w:bCs/>
                <w:color w:val="auto"/>
                <w:kern w:val="2"/>
                <w:sz w:val="21"/>
                <w:szCs w:val="21"/>
                <w:vertAlign w:val="baseline"/>
                <w:lang w:val="en-US" w:eastAsia="zh-CN" w:bidi="ar-SA"/>
              </w:rPr>
              <w:t>3月27日</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3月28日</w:t>
            </w:r>
          </w:p>
        </w:tc>
        <w:tc>
          <w:tcPr>
            <w:tcW w:w="746" w:type="pct"/>
            <w:vMerge w:val="continue"/>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p>
        </w:tc>
        <w:tc>
          <w:tcPr>
            <w:tcW w:w="733"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p>
        </w:tc>
        <w:tc>
          <w:tcPr>
            <w:tcW w:w="733"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lang w:val="en-US" w:eastAsia="zh-CN"/>
              </w:rPr>
              <w:t>pH值</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7.13</w:t>
            </w:r>
          </w:p>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（水温：15.6℃）</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7.11</w:t>
            </w:r>
          </w:p>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（水温：15.0℃）</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6-9</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无岗量</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化学需氧量</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21</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5"/>
                <w:sz w:val="21"/>
                <w:szCs w:val="21"/>
                <w:u w:val="none" w:color="auto"/>
                <w:lang w:val="en-US" w:eastAsia="zh-CN"/>
              </w:rPr>
              <w:t>30</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五日生化需氧量</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eastAsia" w:ascii="Times New Roman" w:hAnsi="Times New Roman" w:eastAsia="宋体" w:cs="Times New Roman"/>
                <w:b/>
                <w:bCs/>
                <w:color w:val="auto"/>
                <w:kern w:val="2"/>
                <w:sz w:val="21"/>
                <w:szCs w:val="21"/>
                <w:highlight w:val="none"/>
                <w:shd w:val="clear" w:color="auto" w:fill="auto"/>
                <w:lang w:val="en-US" w:eastAsia="zh-CN" w:bidi="ar-SA"/>
              </w:rPr>
              <w:t>8.2</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eastAsia" w:ascii="Times New Roman" w:hAnsi="Times New Roman" w:eastAsia="宋体" w:cs="Times New Roman"/>
                <w:b/>
                <w:bCs/>
                <w:color w:val="auto"/>
                <w:kern w:val="2"/>
                <w:sz w:val="21"/>
                <w:szCs w:val="21"/>
                <w:highlight w:val="none"/>
                <w:shd w:val="clear" w:color="auto" w:fill="auto"/>
                <w:lang w:val="en-US" w:eastAsia="zh-CN" w:bidi="ar-SA"/>
              </w:rPr>
              <w:t>8.6</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5"/>
                <w:sz w:val="21"/>
                <w:szCs w:val="21"/>
                <w:u w:val="none" w:color="auto"/>
                <w:lang w:val="en-US" w:eastAsia="zh-CN"/>
              </w:rPr>
              <w:t>6</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氨氮</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1.06</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1.18</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spacing w:val="5"/>
                <w:sz w:val="21"/>
                <w:szCs w:val="21"/>
                <w:u w:val="none" w:color="auto"/>
                <w:lang w:val="en-US" w:eastAsia="zh-CN"/>
              </w:rPr>
              <w:t>1.5</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总磷</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0.04</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0.05</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0.1</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铜</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1.0</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锌</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2.0</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氟化物</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0.401</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0.332</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1.5</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硒</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0.02</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砷</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0.1</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汞</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0.001</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镉</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4</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4</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0.005</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六价铬</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0.015</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0.015</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0.05</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铅</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0.001</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1×10</w:t>
            </w:r>
            <w:r>
              <w:rPr>
                <w:rFonts w:hint="default" w:ascii="Times New Roman" w:hAnsi="Times New Roman" w:eastAsia="宋体" w:cs="Times New Roman"/>
                <w:b w:val="0"/>
                <w:color w:val="auto"/>
                <w:kern w:val="2"/>
                <w:sz w:val="21"/>
                <w:szCs w:val="21"/>
                <w:vertAlign w:val="superscript"/>
                <w:lang w:val="en-US" w:eastAsia="zh-CN" w:bidi="ar-SA"/>
              </w:rPr>
              <w:t>-3</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0.05</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挥发酚</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0.0010</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0.0007</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0.01</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石油类</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0.09</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0.5</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mg/L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阴离子表面活性剂</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999"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74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pacing w:val="5"/>
                <w:sz w:val="21"/>
                <w:szCs w:val="21"/>
                <w:u w:val="none" w:color="auto"/>
                <w:lang w:val="en-US" w:eastAsia="zh-CN"/>
              </w:rPr>
              <w:t>0.3</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MPN/L</w:t>
            </w:r>
          </w:p>
        </w:tc>
        <w:tc>
          <w:tcPr>
            <w:tcW w:w="733"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达标</w:t>
            </w:r>
          </w:p>
        </w:tc>
      </w:tr>
    </w:tbl>
    <w:p>
      <w:pPr>
        <w:pStyle w:val="2"/>
        <w:rPr>
          <w:rFonts w:hint="default"/>
          <w:lang w:val="en-US" w:eastAsia="zh-CN"/>
        </w:rPr>
      </w:pP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监测结果表</w:t>
      </w:r>
      <w:r>
        <w:rPr>
          <w:rFonts w:hint="eastAsia" w:ascii="Times New Roman" w:hAnsi="Times New Roman" w:eastAsia="宋体" w:cs="Times New Roman"/>
          <w:color w:val="auto"/>
          <w:spacing w:val="16"/>
          <w:sz w:val="24"/>
          <w:szCs w:val="24"/>
          <w:lang w:val="en-US" w:eastAsia="zh-CN"/>
        </w:rPr>
        <w:t>明</w:t>
      </w:r>
      <w:r>
        <w:rPr>
          <w:rFonts w:hint="default" w:ascii="Times New Roman" w:hAnsi="Times New Roman" w:eastAsia="宋体" w:cs="Times New Roman"/>
          <w:color w:val="auto"/>
          <w:spacing w:val="16"/>
          <w:sz w:val="24"/>
          <w:szCs w:val="24"/>
          <w:lang w:val="en-US" w:eastAsia="zh-CN"/>
        </w:rPr>
        <w:t>，项目附近水体松阳湖</w:t>
      </w:r>
      <w:r>
        <w:rPr>
          <w:rFonts w:hint="eastAsia" w:ascii="Times New Roman" w:hAnsi="Times New Roman" w:eastAsia="宋体" w:cs="Times New Roman"/>
          <w:color w:val="auto"/>
          <w:spacing w:val="16"/>
          <w:sz w:val="24"/>
          <w:szCs w:val="24"/>
          <w:lang w:val="en-US" w:eastAsia="zh-CN"/>
        </w:rPr>
        <w:t>BOD</w:t>
      </w:r>
      <w:r>
        <w:rPr>
          <w:rFonts w:hint="eastAsia" w:ascii="Times New Roman" w:hAnsi="Times New Roman" w:eastAsia="宋体" w:cs="Times New Roman"/>
          <w:color w:val="auto"/>
          <w:spacing w:val="16"/>
          <w:sz w:val="24"/>
          <w:szCs w:val="24"/>
          <w:vertAlign w:val="subscript"/>
          <w:lang w:val="en-US" w:eastAsia="zh-CN"/>
        </w:rPr>
        <w:t>5</w:t>
      </w:r>
      <w:r>
        <w:rPr>
          <w:rFonts w:hint="eastAsia" w:ascii="Times New Roman" w:hAnsi="Times New Roman" w:eastAsia="宋体" w:cs="Times New Roman"/>
          <w:color w:val="auto"/>
          <w:spacing w:val="16"/>
          <w:sz w:val="24"/>
          <w:szCs w:val="24"/>
          <w:lang w:val="en-US" w:eastAsia="zh-CN"/>
        </w:rPr>
        <w:t>超过</w:t>
      </w:r>
      <w:r>
        <w:rPr>
          <w:rFonts w:hint="default" w:ascii="Times New Roman" w:hAnsi="Times New Roman" w:eastAsia="宋体" w:cs="Times New Roman"/>
          <w:color w:val="auto"/>
          <w:spacing w:val="16"/>
          <w:sz w:val="24"/>
          <w:szCs w:val="24"/>
        </w:rPr>
        <w:t>《地表水环境质量标准》（GB3838-2002）中的Ⅳ类标准要求</w:t>
      </w:r>
      <w:r>
        <w:rPr>
          <w:rFonts w:hint="eastAsia" w:ascii="Times New Roman" w:hAnsi="Times New Roman" w:eastAsia="宋体" w:cs="Times New Roman"/>
          <w:color w:val="auto"/>
          <w:spacing w:val="16"/>
          <w:sz w:val="24"/>
          <w:szCs w:val="24"/>
          <w:lang w:eastAsia="zh-CN"/>
        </w:rPr>
        <w:t>，其余监测因子满足</w:t>
      </w:r>
      <w:r>
        <w:rPr>
          <w:rFonts w:hint="default" w:ascii="Times New Roman" w:hAnsi="Times New Roman" w:eastAsia="宋体" w:cs="Times New Roman"/>
          <w:color w:val="auto"/>
          <w:spacing w:val="16"/>
          <w:sz w:val="24"/>
          <w:szCs w:val="24"/>
        </w:rPr>
        <w:t>《地表水环境质量标准》（GB3838-2002）中的Ⅳ类标准要求</w:t>
      </w:r>
      <w:r>
        <w:rPr>
          <w:rFonts w:hint="eastAsia" w:ascii="Times New Roman" w:hAnsi="Times New Roman" w:eastAsia="宋体" w:cs="Times New Roman"/>
          <w:color w:val="auto"/>
          <w:spacing w:val="16"/>
          <w:sz w:val="24"/>
          <w:szCs w:val="24"/>
          <w:lang w:eastAsia="zh-CN"/>
        </w:rPr>
        <w:t>，</w:t>
      </w:r>
      <w:r>
        <w:rPr>
          <w:rFonts w:hint="eastAsia" w:ascii="Times New Roman" w:hAnsi="Times New Roman" w:eastAsia="宋体" w:cs="Times New Roman"/>
          <w:b/>
          <w:bCs/>
          <w:color w:val="auto"/>
          <w:sz w:val="24"/>
          <w:u w:val="none" w:color="auto"/>
          <w:lang w:val="en-US" w:eastAsia="zh-CN" w:bidi="ar-SA"/>
        </w:rPr>
        <w:t>桑泥湖</w:t>
      </w:r>
      <w:r>
        <w:rPr>
          <w:rFonts w:hint="default" w:ascii="Times New Roman" w:hAnsi="Times New Roman" w:eastAsia="宋体" w:cs="Times New Roman"/>
          <w:color w:val="auto"/>
          <w:spacing w:val="16"/>
          <w:sz w:val="24"/>
          <w:szCs w:val="24"/>
          <w:lang w:val="en-US" w:eastAsia="zh-CN"/>
        </w:rPr>
        <w:t>COD</w:t>
      </w:r>
      <w:r>
        <w:rPr>
          <w:rFonts w:hint="eastAsia" w:ascii="Times New Roman" w:hAnsi="Times New Roman" w:eastAsia="宋体" w:cs="Times New Roman"/>
          <w:color w:val="auto"/>
          <w:spacing w:val="16"/>
          <w:sz w:val="24"/>
          <w:szCs w:val="24"/>
          <w:lang w:val="en-US" w:eastAsia="zh-CN"/>
        </w:rPr>
        <w:t>、</w:t>
      </w:r>
      <w:r>
        <w:rPr>
          <w:rFonts w:hint="default" w:ascii="Times New Roman" w:hAnsi="Times New Roman" w:eastAsia="宋体" w:cs="Times New Roman"/>
          <w:color w:val="auto"/>
          <w:spacing w:val="16"/>
          <w:sz w:val="24"/>
          <w:szCs w:val="24"/>
          <w:lang w:val="en-US" w:eastAsia="zh-CN"/>
        </w:rPr>
        <w:t>BOD</w:t>
      </w:r>
      <w:r>
        <w:rPr>
          <w:rFonts w:hint="default" w:ascii="Times New Roman" w:hAnsi="Times New Roman" w:eastAsia="宋体" w:cs="Times New Roman"/>
          <w:color w:val="auto"/>
          <w:spacing w:val="16"/>
          <w:sz w:val="24"/>
          <w:szCs w:val="24"/>
          <w:vertAlign w:val="subscript"/>
          <w:lang w:val="en-US" w:eastAsia="zh-CN"/>
        </w:rPr>
        <w:t>5</w:t>
      </w:r>
      <w:r>
        <w:rPr>
          <w:rFonts w:hint="default" w:ascii="Times New Roman" w:hAnsi="Times New Roman" w:eastAsia="宋体" w:cs="Times New Roman"/>
          <w:color w:val="auto"/>
          <w:spacing w:val="16"/>
          <w:sz w:val="24"/>
          <w:szCs w:val="24"/>
          <w:lang w:val="en-US" w:eastAsia="zh-CN"/>
        </w:rPr>
        <w:t>、氨氮</w:t>
      </w:r>
      <w:r>
        <w:rPr>
          <w:rFonts w:hint="eastAsia" w:ascii="Times New Roman" w:hAnsi="Times New Roman" w:eastAsia="宋体" w:cs="Times New Roman"/>
          <w:color w:val="auto"/>
          <w:spacing w:val="16"/>
          <w:sz w:val="24"/>
          <w:szCs w:val="24"/>
          <w:lang w:val="en-US" w:eastAsia="zh-CN"/>
        </w:rPr>
        <w:t>、总磷超过</w:t>
      </w:r>
      <w:r>
        <w:rPr>
          <w:rFonts w:hint="default" w:ascii="Times New Roman" w:hAnsi="Times New Roman" w:eastAsia="宋体" w:cs="Times New Roman"/>
          <w:color w:val="auto"/>
          <w:spacing w:val="16"/>
          <w:sz w:val="24"/>
          <w:szCs w:val="24"/>
        </w:rPr>
        <w:t>《地表水环境质量标准》（GB3838-2002）中的Ⅲ类标准要求</w:t>
      </w:r>
      <w:r>
        <w:rPr>
          <w:rFonts w:hint="default" w:ascii="Times New Roman" w:hAnsi="Times New Roman" w:eastAsia="宋体" w:cs="Times New Roman"/>
          <w:color w:val="auto"/>
          <w:spacing w:val="16"/>
          <w:sz w:val="24"/>
          <w:szCs w:val="24"/>
          <w:lang w:val="en-US" w:eastAsia="zh-CN"/>
        </w:rPr>
        <w:t>，</w:t>
      </w:r>
      <w:r>
        <w:rPr>
          <w:rFonts w:hint="eastAsia" w:ascii="Times New Roman" w:hAnsi="Times New Roman" w:eastAsia="宋体" w:cs="Times New Roman"/>
          <w:color w:val="auto"/>
          <w:spacing w:val="16"/>
          <w:sz w:val="24"/>
          <w:szCs w:val="24"/>
          <w:lang w:eastAsia="zh-CN"/>
        </w:rPr>
        <w:t>其余监测因子满足</w:t>
      </w:r>
      <w:r>
        <w:rPr>
          <w:rFonts w:hint="default" w:ascii="Times New Roman" w:hAnsi="Times New Roman" w:eastAsia="宋体" w:cs="Times New Roman"/>
          <w:color w:val="auto"/>
          <w:spacing w:val="16"/>
          <w:sz w:val="24"/>
          <w:szCs w:val="24"/>
        </w:rPr>
        <w:t>《地表水环境质量标准》（GB3838-2002）中的Ⅲ类标准要求</w:t>
      </w:r>
      <w:r>
        <w:rPr>
          <w:rFonts w:hint="eastAsia" w:ascii="Times New Roman" w:hAnsi="Times New Roman" w:eastAsia="宋体" w:cs="Times New Roman"/>
          <w:color w:val="auto"/>
          <w:spacing w:val="16"/>
          <w:sz w:val="24"/>
          <w:szCs w:val="24"/>
          <w:lang w:eastAsia="zh-CN"/>
        </w:rPr>
        <w:t>。</w:t>
      </w:r>
      <w:r>
        <w:rPr>
          <w:rFonts w:hint="default" w:ascii="Times New Roman" w:hAnsi="Times New Roman" w:eastAsia="宋体" w:cs="Times New Roman"/>
          <w:color w:val="auto"/>
          <w:spacing w:val="16"/>
          <w:sz w:val="24"/>
          <w:szCs w:val="24"/>
          <w:lang w:eastAsia="zh-CN"/>
        </w:rPr>
        <w:t>超标原因可能为附近农业生活污水截流不彻底，部分生活污水排入湖泊所致。</w:t>
      </w:r>
    </w:p>
    <w:p>
      <w:pPr>
        <w:pStyle w:val="7"/>
        <w:bidi w:val="0"/>
        <w:rPr>
          <w:rFonts w:hint="default"/>
          <w:color w:val="auto"/>
        </w:rPr>
      </w:pPr>
      <w:bookmarkStart w:id="186" w:name="_Toc6573"/>
      <w:r>
        <w:rPr>
          <w:rFonts w:hint="default"/>
          <w:color w:val="auto"/>
        </w:rPr>
        <w:t>4.</w:t>
      </w:r>
      <w:r>
        <w:rPr>
          <w:rFonts w:hint="eastAsia"/>
          <w:color w:val="auto"/>
          <w:lang w:val="en-US" w:eastAsia="zh-CN"/>
        </w:rPr>
        <w:t>3</w:t>
      </w:r>
      <w:r>
        <w:rPr>
          <w:rFonts w:hint="default"/>
          <w:color w:val="auto"/>
        </w:rPr>
        <w:t>.3地下水环境质量现状调查与评价</w:t>
      </w:r>
      <w:bookmarkEnd w:id="186"/>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1、监测点位及监测因子</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为了了解本项目地下水评价范围内地下水水质情况，本次评价委托湖南昌源环境科技有限公司于2022年</w:t>
      </w:r>
      <w:r>
        <w:rPr>
          <w:rFonts w:hint="eastAsia" w:ascii="Times New Roman" w:hAnsi="Times New Roman" w:eastAsia="宋体" w:cs="Times New Roman"/>
          <w:color w:val="auto"/>
          <w:spacing w:val="16"/>
          <w:sz w:val="24"/>
          <w:szCs w:val="24"/>
          <w:lang w:val="en-US" w:eastAsia="zh-CN"/>
        </w:rPr>
        <w:t>3</w:t>
      </w:r>
      <w:r>
        <w:rPr>
          <w:rFonts w:hint="default" w:ascii="Times New Roman" w:hAnsi="Times New Roman" w:eastAsia="宋体" w:cs="Times New Roman"/>
          <w:color w:val="auto"/>
          <w:spacing w:val="16"/>
          <w:sz w:val="24"/>
          <w:szCs w:val="24"/>
          <w:lang w:val="en-US" w:eastAsia="zh-CN"/>
        </w:rPr>
        <w:t>月</w:t>
      </w:r>
      <w:r>
        <w:rPr>
          <w:rFonts w:hint="eastAsia" w:ascii="Times New Roman" w:hAnsi="Times New Roman" w:eastAsia="宋体" w:cs="Times New Roman"/>
          <w:color w:val="auto"/>
          <w:spacing w:val="16"/>
          <w:sz w:val="24"/>
          <w:szCs w:val="24"/>
          <w:lang w:val="en-US" w:eastAsia="zh-CN"/>
        </w:rPr>
        <w:t>27</w:t>
      </w:r>
      <w:r>
        <w:rPr>
          <w:rFonts w:hint="default" w:ascii="Times New Roman" w:hAnsi="Times New Roman" w:eastAsia="宋体" w:cs="Times New Roman"/>
          <w:color w:val="auto"/>
          <w:spacing w:val="16"/>
          <w:sz w:val="24"/>
          <w:szCs w:val="24"/>
          <w:lang w:val="en-US" w:eastAsia="zh-CN"/>
        </w:rPr>
        <w:t>日~</w:t>
      </w:r>
      <w:r>
        <w:rPr>
          <w:rFonts w:hint="eastAsia" w:ascii="Times New Roman" w:hAnsi="Times New Roman" w:eastAsia="宋体" w:cs="Times New Roman"/>
          <w:color w:val="auto"/>
          <w:spacing w:val="16"/>
          <w:sz w:val="24"/>
          <w:szCs w:val="24"/>
          <w:lang w:val="en-US" w:eastAsia="zh-CN"/>
        </w:rPr>
        <w:t>29日</w:t>
      </w:r>
      <w:r>
        <w:rPr>
          <w:rFonts w:hint="default" w:ascii="Times New Roman" w:hAnsi="Times New Roman" w:eastAsia="宋体" w:cs="Times New Roman"/>
          <w:color w:val="auto"/>
          <w:spacing w:val="16"/>
          <w:sz w:val="24"/>
          <w:szCs w:val="24"/>
          <w:lang w:val="en-US" w:eastAsia="zh-CN"/>
        </w:rPr>
        <w:t>连续3天对项目所在区域地下水进行现状监测。地下水监测点位详见下表。</w:t>
      </w:r>
    </w:p>
    <w:p>
      <w:pPr>
        <w:pageBreakBefore w:val="0"/>
        <w:tabs>
          <w:tab w:val="left" w:pos="0"/>
        </w:tabs>
        <w:kinsoku/>
        <w:wordWrap/>
        <w:overflowPunct w:val="0"/>
        <w:topLinePunct/>
        <w:autoSpaceDE w:val="0"/>
        <w:autoSpaceDN w:val="0"/>
        <w:bidi w:val="0"/>
        <w:spacing w:line="360" w:lineRule="auto"/>
        <w:jc w:val="center"/>
        <w:rPr>
          <w:rFonts w:hint="default" w:ascii="Times New Roman" w:hAnsi="Times New Roman" w:eastAsia="宋体" w:cs="Times New Roman"/>
          <w:b/>
          <w:bCs/>
          <w:color w:val="auto"/>
          <w:sz w:val="24"/>
          <w:u w:val="none" w:color="auto"/>
          <w:lang w:val="en-US" w:eastAsia="zh-CN" w:bidi="ar-SA"/>
        </w:rPr>
      </w:pPr>
      <w:r>
        <w:rPr>
          <w:rFonts w:hint="default" w:ascii="Times New Roman" w:hAnsi="Times New Roman" w:eastAsia="宋体" w:cs="Times New Roman"/>
          <w:b/>
          <w:bCs/>
          <w:color w:val="auto"/>
          <w:sz w:val="24"/>
          <w:u w:val="none" w:color="auto"/>
          <w:lang w:val="en-US" w:eastAsia="zh-CN" w:bidi="ar-SA"/>
        </w:rPr>
        <w:t>表</w:t>
      </w:r>
      <w:r>
        <w:rPr>
          <w:rFonts w:hint="eastAsia" w:ascii="Times New Roman" w:hAnsi="Times New Roman" w:eastAsia="宋体" w:cs="Times New Roman"/>
          <w:b/>
          <w:bCs/>
          <w:color w:val="auto"/>
          <w:sz w:val="24"/>
          <w:u w:val="none" w:color="auto"/>
          <w:lang w:val="en-US" w:eastAsia="zh-CN" w:bidi="ar-SA"/>
        </w:rPr>
        <w:t>4.3-6</w:t>
      </w:r>
      <w:r>
        <w:rPr>
          <w:rFonts w:hint="default" w:ascii="Times New Roman" w:hAnsi="Times New Roman" w:eastAsia="宋体" w:cs="Times New Roman"/>
          <w:b/>
          <w:bCs/>
          <w:color w:val="auto"/>
          <w:sz w:val="24"/>
          <w:u w:val="none" w:color="auto"/>
          <w:lang w:val="en-US" w:eastAsia="zh-CN" w:bidi="ar-SA"/>
        </w:rPr>
        <w:t>地下水环境质量现状监测布点信息表</w:t>
      </w:r>
    </w:p>
    <w:tbl>
      <w:tblPr>
        <w:tblStyle w:val="20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05"/>
        <w:gridCol w:w="2836"/>
        <w:gridCol w:w="2265"/>
        <w:gridCol w:w="1123"/>
        <w:gridCol w:w="17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编号</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监测点位置</w:t>
            </w:r>
          </w:p>
        </w:tc>
        <w:tc>
          <w:tcPr>
            <w:tcW w:w="1521"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监测因子</w:t>
            </w:r>
          </w:p>
        </w:tc>
        <w:tc>
          <w:tcPr>
            <w:tcW w:w="83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监测时间及频次</w:t>
            </w: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本项目相对位置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w:t>
            </w:r>
            <w:r>
              <w:rPr>
                <w:rFonts w:hint="default" w:ascii="Times New Roman" w:hAnsi="Times New Roman" w:eastAsia="Times New Roman" w:cs="Times New Roman"/>
                <w:color w:val="auto"/>
                <w:spacing w:val="7"/>
                <w:sz w:val="21"/>
                <w:szCs w:val="21"/>
              </w:rPr>
              <w:t>1</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N29°31.379138'E113°13.087872'</w:t>
            </w:r>
          </w:p>
        </w:tc>
        <w:tc>
          <w:tcPr>
            <w:tcW w:w="1521"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Times New Roman" w:cs="Times New Roman"/>
                <w:color w:val="auto"/>
                <w:spacing w:val="-1"/>
                <w:position w:val="-3"/>
                <w:sz w:val="21"/>
                <w:szCs w:val="21"/>
              </w:rPr>
              <w:t>K</w:t>
            </w:r>
            <w:r>
              <w:rPr>
                <w:rFonts w:hint="eastAsia" w:ascii="Times New Roman" w:hAnsi="Times New Roman" w:eastAsia="宋体" w:cs="Times New Roman"/>
                <w:color w:val="auto"/>
                <w:spacing w:val="-1"/>
                <w:position w:val="-3"/>
                <w:sz w:val="21"/>
                <w:szCs w:val="21"/>
                <w:vertAlign w:val="superscript"/>
                <w:lang w:val="en-US" w:eastAsia="zh-CN"/>
              </w:rPr>
              <w:t>+</w:t>
            </w:r>
            <w:r>
              <w:rPr>
                <w:rFonts w:hint="default" w:ascii="Times New Roman" w:hAnsi="Times New Roman" w:eastAsia="宋体" w:cs="Times New Roman"/>
                <w:color w:val="auto"/>
                <w:spacing w:val="-1"/>
                <w:position w:val="-3"/>
                <w:sz w:val="21"/>
                <w:szCs w:val="21"/>
              </w:rPr>
              <w:t>、</w:t>
            </w:r>
            <w:r>
              <w:rPr>
                <w:rFonts w:hint="default" w:ascii="Times New Roman" w:hAnsi="Times New Roman" w:eastAsia="Times New Roman" w:cs="Times New Roman"/>
                <w:color w:val="auto"/>
                <w:spacing w:val="-1"/>
                <w:position w:val="-3"/>
                <w:sz w:val="21"/>
                <w:szCs w:val="21"/>
              </w:rPr>
              <w:t>Na</w:t>
            </w:r>
            <w:r>
              <w:rPr>
                <w:rFonts w:hint="eastAsia" w:ascii="Times New Roman" w:hAnsi="Times New Roman" w:eastAsia="宋体" w:cs="Times New Roman"/>
                <w:color w:val="auto"/>
                <w:spacing w:val="-1"/>
                <w:position w:val="-3"/>
                <w:sz w:val="21"/>
                <w:szCs w:val="21"/>
                <w:vertAlign w:val="superscript"/>
                <w:lang w:val="en-US" w:eastAsia="zh-CN"/>
              </w:rPr>
              <w:t>+</w:t>
            </w:r>
            <w:r>
              <w:rPr>
                <w:rFonts w:hint="default" w:ascii="Times New Roman" w:hAnsi="Times New Roman" w:eastAsia="宋体" w:cs="Times New Roman"/>
                <w:color w:val="auto"/>
                <w:spacing w:val="-1"/>
                <w:position w:val="-3"/>
                <w:sz w:val="21"/>
                <w:szCs w:val="21"/>
              </w:rPr>
              <w:t>、</w:t>
            </w:r>
            <w:r>
              <w:rPr>
                <w:rFonts w:hint="default" w:ascii="Times New Roman" w:hAnsi="Times New Roman" w:eastAsia="Times New Roman" w:cs="Times New Roman"/>
                <w:color w:val="auto"/>
                <w:spacing w:val="-1"/>
                <w:position w:val="-3"/>
                <w:sz w:val="21"/>
                <w:szCs w:val="21"/>
              </w:rPr>
              <w:t>C</w:t>
            </w:r>
            <w:r>
              <w:rPr>
                <w:rFonts w:hint="default" w:ascii="Times New Roman" w:hAnsi="Times New Roman" w:eastAsia="Times New Roman" w:cs="Times New Roman"/>
                <w:color w:val="auto"/>
                <w:position w:val="-3"/>
                <w:sz w:val="21"/>
                <w:szCs w:val="21"/>
              </w:rPr>
              <w:t>a</w:t>
            </w:r>
            <w:r>
              <w:rPr>
                <w:rFonts w:hint="eastAsia" w:ascii="Times New Roman" w:hAnsi="Times New Roman" w:eastAsia="宋体" w:cs="Times New Roman"/>
                <w:color w:val="auto"/>
                <w:spacing w:val="-1"/>
                <w:position w:val="3"/>
                <w:sz w:val="21"/>
                <w:szCs w:val="21"/>
                <w:vertAlign w:val="superscript"/>
                <w:lang w:val="en-US" w:eastAsia="zh-CN"/>
              </w:rPr>
              <w:t>2+</w:t>
            </w:r>
            <w:r>
              <w:rPr>
                <w:rFonts w:hint="default" w:ascii="Times New Roman" w:hAnsi="Times New Roman" w:eastAsia="宋体" w:cs="Times New Roman"/>
                <w:color w:val="auto"/>
                <w:spacing w:val="-1"/>
                <w:position w:val="-3"/>
                <w:sz w:val="21"/>
                <w:szCs w:val="21"/>
              </w:rPr>
              <w:t>、</w:t>
            </w:r>
            <w:r>
              <w:rPr>
                <w:rFonts w:hint="default" w:ascii="Times New Roman" w:hAnsi="Times New Roman" w:eastAsia="Times New Roman" w:cs="Times New Roman"/>
                <w:color w:val="auto"/>
                <w:position w:val="-3"/>
                <w:sz w:val="21"/>
                <w:szCs w:val="21"/>
              </w:rPr>
              <w:t>Mg</w:t>
            </w:r>
            <w:r>
              <w:rPr>
                <w:rFonts w:hint="eastAsia" w:ascii="Times New Roman" w:hAnsi="Times New Roman" w:eastAsia="宋体" w:cs="Times New Roman"/>
                <w:color w:val="auto"/>
                <w:position w:val="-3"/>
                <w:sz w:val="21"/>
                <w:szCs w:val="21"/>
                <w:vertAlign w:val="superscript"/>
                <w:lang w:val="en-US" w:eastAsia="zh-CN"/>
              </w:rPr>
              <w:t>2+</w:t>
            </w:r>
            <w:r>
              <w:rPr>
                <w:rFonts w:hint="default" w:ascii="Times New Roman" w:hAnsi="Times New Roman" w:eastAsia="宋体" w:cs="Times New Roman"/>
                <w:color w:val="auto"/>
                <w:spacing w:val="-1"/>
                <w:position w:val="-3"/>
                <w:sz w:val="21"/>
                <w:szCs w:val="21"/>
              </w:rPr>
              <w:t>、</w:t>
            </w:r>
            <w:r>
              <w:rPr>
                <w:rFonts w:hint="default" w:ascii="Times New Roman" w:hAnsi="Times New Roman" w:eastAsia="Times New Roman" w:cs="Times New Roman"/>
                <w:color w:val="auto"/>
                <w:spacing w:val="-7"/>
                <w:sz w:val="21"/>
                <w:szCs w:val="21"/>
              </w:rPr>
              <w:t>CO</w:t>
            </w:r>
            <w:r>
              <w:rPr>
                <w:rFonts w:hint="eastAsia" w:ascii="Times New Roman" w:hAnsi="Times New Roman" w:eastAsia="宋体" w:cs="Times New Roman"/>
                <w:color w:val="auto"/>
                <w:spacing w:val="-7"/>
                <w:sz w:val="21"/>
                <w:szCs w:val="21"/>
                <w:vertAlign w:val="subscript"/>
                <w:lang w:val="en-US" w:eastAsia="zh-CN"/>
              </w:rPr>
              <w:t>3</w:t>
            </w:r>
            <w:r>
              <w:rPr>
                <w:rFonts w:hint="eastAsia" w:ascii="Times New Roman" w:hAnsi="Times New Roman" w:eastAsia="宋体" w:cs="Times New Roman"/>
                <w:color w:val="auto"/>
                <w:spacing w:val="-7"/>
                <w:sz w:val="21"/>
                <w:szCs w:val="21"/>
                <w:vertAlign w:val="superscript"/>
                <w:lang w:val="en-US" w:eastAsia="zh-CN"/>
              </w:rPr>
              <w:t>2-</w:t>
            </w:r>
            <w:r>
              <w:rPr>
                <w:rFonts w:hint="default" w:ascii="Times New Roman" w:hAnsi="Times New Roman" w:eastAsia="宋体" w:cs="Times New Roman"/>
                <w:color w:val="auto"/>
                <w:spacing w:val="-7"/>
                <w:sz w:val="21"/>
                <w:szCs w:val="21"/>
              </w:rPr>
              <w:t>、</w:t>
            </w:r>
            <w:r>
              <w:rPr>
                <w:rFonts w:hint="default" w:ascii="Times New Roman" w:hAnsi="Times New Roman" w:eastAsia="Times New Roman" w:cs="Times New Roman"/>
                <w:color w:val="auto"/>
                <w:spacing w:val="-7"/>
                <w:sz w:val="21"/>
                <w:szCs w:val="21"/>
              </w:rPr>
              <w:t>HCO</w:t>
            </w:r>
            <w:r>
              <w:rPr>
                <w:rFonts w:hint="eastAsia" w:ascii="Times New Roman" w:hAnsi="Times New Roman" w:eastAsia="宋体" w:cs="Times New Roman"/>
                <w:color w:val="auto"/>
                <w:spacing w:val="-7"/>
                <w:sz w:val="21"/>
                <w:szCs w:val="21"/>
                <w:vertAlign w:val="subscript"/>
                <w:lang w:val="en-US" w:eastAsia="zh-CN"/>
              </w:rPr>
              <w:t>3</w:t>
            </w:r>
            <w:r>
              <w:rPr>
                <w:rFonts w:hint="eastAsia" w:ascii="Times New Roman" w:hAnsi="Times New Roman" w:eastAsia="宋体" w:cs="Times New Roman"/>
                <w:color w:val="auto"/>
                <w:spacing w:val="-7"/>
                <w:sz w:val="21"/>
                <w:szCs w:val="21"/>
                <w:vertAlign w:val="superscript"/>
                <w:lang w:val="en-US" w:eastAsia="zh-CN"/>
              </w:rPr>
              <w:t>-</w:t>
            </w:r>
            <w:r>
              <w:rPr>
                <w:rFonts w:hint="default" w:ascii="Times New Roman" w:hAnsi="Times New Roman" w:eastAsia="宋体" w:cs="Times New Roman"/>
                <w:color w:val="auto"/>
                <w:spacing w:val="-7"/>
                <w:sz w:val="21"/>
                <w:szCs w:val="21"/>
              </w:rPr>
              <w:t>、</w:t>
            </w:r>
            <w:r>
              <w:rPr>
                <w:rFonts w:hint="default" w:ascii="Times New Roman" w:hAnsi="Times New Roman" w:eastAsia="Times New Roman" w:cs="Times New Roman"/>
                <w:color w:val="auto"/>
                <w:spacing w:val="-7"/>
                <w:sz w:val="21"/>
                <w:szCs w:val="21"/>
              </w:rPr>
              <w:t>Cl</w:t>
            </w:r>
            <w:r>
              <w:rPr>
                <w:rFonts w:hint="default" w:ascii="Times New Roman" w:hAnsi="Times New Roman" w:eastAsia="Times New Roman" w:cs="Times New Roman"/>
                <w:color w:val="auto"/>
                <w:spacing w:val="-7"/>
                <w:position w:val="6"/>
                <w:sz w:val="21"/>
                <w:szCs w:val="21"/>
              </w:rPr>
              <w:t>-</w:t>
            </w:r>
            <w:r>
              <w:rPr>
                <w:rFonts w:hint="default" w:ascii="Times New Roman" w:hAnsi="Times New Roman" w:eastAsia="宋体" w:cs="Times New Roman"/>
                <w:color w:val="auto"/>
                <w:spacing w:val="-7"/>
                <w:sz w:val="21"/>
                <w:szCs w:val="21"/>
              </w:rPr>
              <w:t>、</w:t>
            </w:r>
            <w:r>
              <w:rPr>
                <w:rFonts w:hint="default" w:ascii="Times New Roman" w:hAnsi="Times New Roman" w:eastAsia="Times New Roman" w:cs="Times New Roman"/>
                <w:color w:val="auto"/>
                <w:spacing w:val="-7"/>
                <w:sz w:val="21"/>
                <w:szCs w:val="21"/>
              </w:rPr>
              <w:t>SO</w:t>
            </w:r>
            <w:r>
              <w:rPr>
                <w:rFonts w:hint="eastAsia" w:ascii="Times New Roman" w:hAnsi="Times New Roman" w:eastAsia="宋体" w:cs="Times New Roman"/>
                <w:color w:val="auto"/>
                <w:spacing w:val="-7"/>
                <w:position w:val="-1"/>
                <w:sz w:val="21"/>
                <w:szCs w:val="21"/>
                <w:vertAlign w:val="subscript"/>
                <w:lang w:val="en-US" w:eastAsia="zh-CN"/>
              </w:rPr>
              <w:t>4</w:t>
            </w:r>
            <w:r>
              <w:rPr>
                <w:rFonts w:hint="default" w:ascii="Times New Roman" w:hAnsi="Times New Roman" w:eastAsia="Times New Roman" w:cs="Times New Roman"/>
                <w:color w:val="auto"/>
                <w:spacing w:val="-7"/>
                <w:position w:val="6"/>
                <w:sz w:val="21"/>
                <w:szCs w:val="21"/>
                <w:vertAlign w:val="superscript"/>
              </w:rPr>
              <w:t>2-</w:t>
            </w:r>
            <w:r>
              <w:rPr>
                <w:rFonts w:hint="default" w:ascii="Times New Roman" w:hAnsi="Times New Roman" w:eastAsia="宋体" w:cs="Times New Roman"/>
                <w:color w:val="auto"/>
                <w:spacing w:val="-7"/>
                <w:sz w:val="21"/>
                <w:szCs w:val="21"/>
              </w:rPr>
              <w:t>；</w:t>
            </w:r>
            <w:r>
              <w:rPr>
                <w:rFonts w:hint="default" w:ascii="Times New Roman" w:hAnsi="Times New Roman" w:eastAsia="Times New Roman" w:cs="Times New Roman"/>
                <w:color w:val="auto"/>
                <w:sz w:val="21"/>
                <w:szCs w:val="21"/>
              </w:rPr>
              <w:t>pH</w:t>
            </w:r>
            <w:r>
              <w:rPr>
                <w:rFonts w:hint="default" w:ascii="Times New Roman" w:hAnsi="Times New Roman" w:eastAsia="宋体" w:cs="Times New Roman"/>
                <w:color w:val="auto"/>
                <w:spacing w:val="8"/>
                <w:sz w:val="21"/>
                <w:szCs w:val="21"/>
              </w:rPr>
              <w:t>、氨氮、硝酸盐、亚</w:t>
            </w:r>
            <w:r>
              <w:rPr>
                <w:rFonts w:hint="default" w:ascii="Times New Roman" w:hAnsi="Times New Roman" w:eastAsia="宋体" w:cs="Times New Roman"/>
                <w:color w:val="auto"/>
                <w:spacing w:val="2"/>
                <w:sz w:val="21"/>
                <w:szCs w:val="21"/>
              </w:rPr>
              <w:t>硝酸盐、挥发性酚类、</w:t>
            </w:r>
            <w:r>
              <w:rPr>
                <w:rFonts w:hint="default" w:ascii="Times New Roman" w:hAnsi="Times New Roman" w:eastAsia="宋体" w:cs="Times New Roman"/>
                <w:color w:val="auto"/>
                <w:sz w:val="21"/>
                <w:szCs w:val="21"/>
              </w:rPr>
              <w:t>氰</w:t>
            </w:r>
            <w:r>
              <w:rPr>
                <w:rFonts w:hint="default" w:ascii="Times New Roman" w:hAnsi="Times New Roman" w:eastAsia="宋体" w:cs="Times New Roman"/>
                <w:color w:val="auto"/>
                <w:spacing w:val="-6"/>
                <w:sz w:val="21"/>
                <w:szCs w:val="21"/>
              </w:rPr>
              <w:t>化物</w:t>
            </w:r>
            <w:r>
              <w:rPr>
                <w:rFonts w:hint="default" w:ascii="Times New Roman" w:hAnsi="Times New Roman" w:eastAsia="宋体" w:cs="Times New Roman"/>
                <w:color w:val="auto"/>
                <w:spacing w:val="-3"/>
                <w:sz w:val="21"/>
                <w:szCs w:val="21"/>
              </w:rPr>
              <w:t>、砷、汞、铬</w:t>
            </w:r>
            <w:r>
              <w:rPr>
                <w:rFonts w:hint="default" w:ascii="Times New Roman" w:hAnsi="Times New Roman" w:eastAsia="Times New Roman" w:cs="Times New Roman"/>
                <w:color w:val="auto"/>
                <w:spacing w:val="-3"/>
                <w:sz w:val="21"/>
                <w:szCs w:val="21"/>
              </w:rPr>
              <w:t>(</w:t>
            </w:r>
            <w:r>
              <w:rPr>
                <w:rFonts w:hint="default" w:ascii="Times New Roman" w:hAnsi="Times New Roman" w:eastAsia="宋体" w:cs="Times New Roman"/>
                <w:color w:val="auto"/>
                <w:spacing w:val="-3"/>
                <w:sz w:val="21"/>
                <w:szCs w:val="21"/>
              </w:rPr>
              <w:t>六价</w:t>
            </w:r>
            <w:r>
              <w:rPr>
                <w:rFonts w:hint="default" w:ascii="Times New Roman" w:hAnsi="Times New Roman" w:eastAsia="Times New Roman" w:cs="Times New Roman"/>
                <w:color w:val="auto"/>
                <w:spacing w:val="-3"/>
                <w:sz w:val="21"/>
                <w:szCs w:val="21"/>
              </w:rPr>
              <w:t>)</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13"/>
                <w:sz w:val="21"/>
                <w:szCs w:val="21"/>
              </w:rPr>
              <w:t>总</w:t>
            </w:r>
            <w:r>
              <w:rPr>
                <w:rFonts w:hint="default" w:ascii="Times New Roman" w:hAnsi="Times New Roman" w:eastAsia="宋体" w:cs="Times New Roman"/>
                <w:color w:val="auto"/>
                <w:spacing w:val="-9"/>
                <w:sz w:val="21"/>
                <w:szCs w:val="21"/>
              </w:rPr>
              <w:t>硬度、铅、氟化物、镉、</w:t>
            </w:r>
            <w:r>
              <w:rPr>
                <w:rFonts w:hint="default" w:ascii="Times New Roman" w:hAnsi="Times New Roman" w:eastAsia="宋体" w:cs="Times New Roman"/>
                <w:color w:val="auto"/>
                <w:spacing w:val="8"/>
                <w:sz w:val="21"/>
                <w:szCs w:val="21"/>
              </w:rPr>
              <w:t>铁、锰、溶解性总固体、</w:t>
            </w:r>
            <w:r>
              <w:rPr>
                <w:rFonts w:hint="default" w:ascii="Times New Roman" w:hAnsi="Times New Roman" w:eastAsia="宋体" w:cs="Times New Roman"/>
                <w:color w:val="auto"/>
                <w:spacing w:val="-13"/>
                <w:sz w:val="21"/>
                <w:szCs w:val="21"/>
              </w:rPr>
              <w:t>耗</w:t>
            </w:r>
            <w:r>
              <w:rPr>
                <w:rFonts w:hint="default" w:ascii="Times New Roman" w:hAnsi="Times New Roman" w:eastAsia="宋体" w:cs="Times New Roman"/>
                <w:color w:val="auto"/>
                <w:spacing w:val="-9"/>
                <w:sz w:val="21"/>
                <w:szCs w:val="21"/>
              </w:rPr>
              <w:t>氧量、硫酸盐、氯化物、</w:t>
            </w:r>
            <w:r>
              <w:rPr>
                <w:rFonts w:hint="default" w:ascii="Times New Roman" w:hAnsi="Times New Roman" w:eastAsia="宋体" w:cs="Times New Roman"/>
                <w:color w:val="auto"/>
                <w:spacing w:val="8"/>
                <w:sz w:val="21"/>
                <w:szCs w:val="21"/>
              </w:rPr>
              <w:t>总大肠菌群、细菌总数、</w:t>
            </w:r>
            <w:r>
              <w:rPr>
                <w:rFonts w:hint="default" w:ascii="Times New Roman" w:hAnsi="Times New Roman" w:eastAsia="宋体" w:cs="Times New Roman"/>
                <w:color w:val="auto"/>
                <w:spacing w:val="2"/>
                <w:sz w:val="21"/>
                <w:szCs w:val="21"/>
              </w:rPr>
              <w:t>锌、铜、铝；</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同步监测</w:t>
            </w:r>
            <w:r>
              <w:rPr>
                <w:rFonts w:hint="default" w:ascii="Times New Roman" w:hAnsi="Times New Roman" w:eastAsia="宋体" w:cs="Times New Roman"/>
                <w:color w:val="auto"/>
                <w:spacing w:val="8"/>
                <w:sz w:val="21"/>
                <w:szCs w:val="21"/>
              </w:rPr>
              <w:t>地下</w:t>
            </w:r>
            <w:r>
              <w:rPr>
                <w:rFonts w:hint="eastAsia" w:ascii="Times New Roman" w:hAnsi="Times New Roman" w:eastAsia="宋体" w:cs="Times New Roman"/>
                <w:color w:val="auto"/>
                <w:spacing w:val="8"/>
                <w:sz w:val="21"/>
                <w:szCs w:val="21"/>
                <w:lang w:eastAsia="zh-CN"/>
              </w:rPr>
              <w:t>水</w:t>
            </w:r>
            <w:r>
              <w:rPr>
                <w:rFonts w:hint="default" w:ascii="Times New Roman" w:hAnsi="Times New Roman" w:eastAsia="宋体" w:cs="Times New Roman"/>
                <w:color w:val="auto"/>
                <w:spacing w:val="1"/>
                <w:sz w:val="21"/>
                <w:szCs w:val="21"/>
              </w:rPr>
              <w:t>水</w:t>
            </w:r>
            <w:r>
              <w:rPr>
                <w:rFonts w:hint="default" w:ascii="Times New Roman" w:hAnsi="Times New Roman" w:eastAsia="宋体" w:cs="Times New Roman"/>
                <w:color w:val="auto"/>
                <w:sz w:val="21"/>
                <w:szCs w:val="21"/>
              </w:rPr>
              <w:t>位</w:t>
            </w:r>
          </w:p>
        </w:tc>
        <w:tc>
          <w:tcPr>
            <w:tcW w:w="837"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监测三天，每天一次</w:t>
            </w: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0"/>
                <w:sz w:val="21"/>
                <w:szCs w:val="21"/>
              </w:rPr>
              <w:t>厂</w:t>
            </w:r>
            <w:r>
              <w:rPr>
                <w:rFonts w:hint="default" w:ascii="Times New Roman" w:hAnsi="Times New Roman" w:eastAsia="宋体" w:cs="Times New Roman"/>
                <w:color w:val="auto"/>
                <w:spacing w:val="7"/>
                <w:sz w:val="21"/>
                <w:szCs w:val="21"/>
              </w:rPr>
              <w:t>区外北侧</w:t>
            </w:r>
            <w:r>
              <w:rPr>
                <w:rFonts w:hint="eastAsia" w:ascii="Times New Roman" w:hAnsi="Times New Roman" w:eastAsia="宋体" w:cs="Times New Roman"/>
                <w:color w:val="auto"/>
                <w:spacing w:val="3"/>
                <w:sz w:val="21"/>
                <w:szCs w:val="21"/>
                <w:lang w:val="en-US" w:eastAsia="zh-CN"/>
              </w:rPr>
              <w:t>150m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w:t>
            </w:r>
            <w:r>
              <w:rPr>
                <w:rFonts w:hint="default" w:ascii="Times New Roman" w:hAnsi="Times New Roman" w:eastAsia="Times New Roman" w:cs="Times New Roman"/>
                <w:color w:val="auto"/>
                <w:spacing w:val="7"/>
                <w:sz w:val="21"/>
                <w:szCs w:val="21"/>
              </w:rPr>
              <w:t>2</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N29°31.155075'E113°12.799481'</w:t>
            </w:r>
          </w:p>
        </w:tc>
        <w:tc>
          <w:tcPr>
            <w:tcW w:w="1521"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83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1"/>
                <w:sz w:val="21"/>
                <w:szCs w:val="21"/>
              </w:rPr>
              <w:t>厂</w:t>
            </w:r>
            <w:r>
              <w:rPr>
                <w:rFonts w:hint="default" w:ascii="Times New Roman" w:hAnsi="Times New Roman" w:eastAsia="宋体" w:cs="Times New Roman"/>
                <w:color w:val="auto"/>
                <w:spacing w:val="8"/>
                <w:sz w:val="21"/>
                <w:szCs w:val="21"/>
              </w:rPr>
              <w:t>区外</w:t>
            </w:r>
            <w:r>
              <w:rPr>
                <w:rFonts w:hint="eastAsia" w:ascii="Times New Roman" w:hAnsi="Times New Roman" w:eastAsia="宋体" w:cs="Times New Roman"/>
                <w:color w:val="auto"/>
                <w:spacing w:val="8"/>
                <w:sz w:val="21"/>
                <w:szCs w:val="21"/>
                <w:lang w:eastAsia="zh-CN"/>
              </w:rPr>
              <w:t>西侧</w:t>
            </w:r>
            <w:r>
              <w:rPr>
                <w:rFonts w:hint="eastAsia" w:ascii="Times New Roman" w:hAnsi="Times New Roman" w:eastAsia="宋体" w:cs="Times New Roman"/>
                <w:color w:val="auto"/>
                <w:spacing w:val="8"/>
                <w:sz w:val="21"/>
                <w:szCs w:val="21"/>
                <w:lang w:val="en-US" w:eastAsia="zh-CN"/>
              </w:rPr>
              <w:t>100m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w:t>
            </w:r>
            <w:r>
              <w:rPr>
                <w:rFonts w:hint="default" w:ascii="Times New Roman" w:hAnsi="Times New Roman" w:eastAsia="Times New Roman" w:cs="Times New Roman"/>
                <w:color w:val="auto"/>
                <w:spacing w:val="7"/>
                <w:sz w:val="21"/>
                <w:szCs w:val="21"/>
              </w:rPr>
              <w:t>3</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N29°30.920743'E113°12.775455'</w:t>
            </w:r>
          </w:p>
        </w:tc>
        <w:tc>
          <w:tcPr>
            <w:tcW w:w="1521"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83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pacing w:val="11"/>
                <w:sz w:val="21"/>
                <w:szCs w:val="21"/>
              </w:rPr>
              <w:t>厂</w:t>
            </w:r>
            <w:r>
              <w:rPr>
                <w:rFonts w:hint="default" w:ascii="Times New Roman" w:hAnsi="Times New Roman" w:eastAsia="宋体" w:cs="Times New Roman"/>
                <w:color w:val="auto"/>
                <w:spacing w:val="8"/>
                <w:sz w:val="21"/>
                <w:szCs w:val="21"/>
              </w:rPr>
              <w:t>区外</w:t>
            </w:r>
            <w:r>
              <w:rPr>
                <w:rFonts w:hint="eastAsia" w:ascii="Times New Roman" w:hAnsi="Times New Roman" w:eastAsia="宋体" w:cs="Times New Roman"/>
                <w:color w:val="auto"/>
                <w:spacing w:val="8"/>
                <w:sz w:val="21"/>
                <w:szCs w:val="21"/>
                <w:lang w:eastAsia="zh-CN"/>
              </w:rPr>
              <w:t>南侧</w:t>
            </w:r>
            <w:r>
              <w:rPr>
                <w:rFonts w:hint="eastAsia" w:ascii="Times New Roman" w:hAnsi="Times New Roman" w:eastAsia="宋体" w:cs="Times New Roman"/>
                <w:color w:val="auto"/>
                <w:spacing w:val="8"/>
                <w:sz w:val="21"/>
                <w:szCs w:val="21"/>
                <w:lang w:val="en-US" w:eastAsia="zh-CN"/>
              </w:rPr>
              <w:t>100m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w:t>
            </w:r>
            <w:r>
              <w:rPr>
                <w:rFonts w:hint="default" w:ascii="Times New Roman" w:hAnsi="Times New Roman" w:eastAsia="Times New Roman" w:cs="Times New Roman"/>
                <w:color w:val="auto"/>
                <w:spacing w:val="7"/>
                <w:sz w:val="21"/>
                <w:szCs w:val="21"/>
              </w:rPr>
              <w:t>4</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N29°31.286536'E113°13.281427'</w:t>
            </w:r>
          </w:p>
        </w:tc>
        <w:tc>
          <w:tcPr>
            <w:tcW w:w="1521"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监测地下</w:t>
            </w:r>
            <w:r>
              <w:rPr>
                <w:rFonts w:hint="eastAsia" w:ascii="Times New Roman" w:hAnsi="Times New Roman" w:eastAsia="宋体" w:cs="Times New Roman"/>
                <w:color w:val="auto"/>
                <w:spacing w:val="8"/>
                <w:sz w:val="21"/>
                <w:szCs w:val="21"/>
                <w:lang w:eastAsia="zh-CN"/>
              </w:rPr>
              <w:t>水</w:t>
            </w:r>
            <w:r>
              <w:rPr>
                <w:rFonts w:hint="default" w:ascii="Times New Roman" w:hAnsi="Times New Roman" w:eastAsia="宋体" w:cs="Times New Roman"/>
                <w:color w:val="auto"/>
                <w:spacing w:val="8"/>
                <w:sz w:val="21"/>
                <w:szCs w:val="21"/>
              </w:rPr>
              <w:t>水位</w:t>
            </w:r>
          </w:p>
        </w:tc>
        <w:tc>
          <w:tcPr>
            <w:tcW w:w="83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pacing w:val="11"/>
                <w:sz w:val="21"/>
                <w:szCs w:val="21"/>
              </w:rPr>
              <w:t>厂</w:t>
            </w:r>
            <w:r>
              <w:rPr>
                <w:rFonts w:hint="default" w:ascii="Times New Roman" w:hAnsi="Times New Roman" w:eastAsia="宋体" w:cs="Times New Roman"/>
                <w:color w:val="auto"/>
                <w:spacing w:val="8"/>
                <w:sz w:val="21"/>
                <w:szCs w:val="21"/>
              </w:rPr>
              <w:t>区外</w:t>
            </w:r>
            <w:r>
              <w:rPr>
                <w:rFonts w:hint="eastAsia" w:ascii="Times New Roman" w:hAnsi="Times New Roman" w:eastAsia="宋体" w:cs="Times New Roman"/>
                <w:color w:val="auto"/>
                <w:spacing w:val="8"/>
                <w:sz w:val="21"/>
                <w:szCs w:val="21"/>
                <w:lang w:eastAsia="zh-CN"/>
              </w:rPr>
              <w:t>东北侧</w:t>
            </w:r>
            <w:r>
              <w:rPr>
                <w:rFonts w:hint="eastAsia" w:ascii="Times New Roman" w:hAnsi="Times New Roman" w:eastAsia="宋体" w:cs="Times New Roman"/>
                <w:color w:val="auto"/>
                <w:spacing w:val="8"/>
                <w:sz w:val="21"/>
                <w:szCs w:val="21"/>
                <w:lang w:val="en-US" w:eastAsia="zh-CN"/>
              </w:rPr>
              <w:t>250m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w:t>
            </w:r>
            <w:r>
              <w:rPr>
                <w:rFonts w:hint="default" w:ascii="Times New Roman" w:hAnsi="Times New Roman" w:eastAsia="Times New Roman" w:cs="Times New Roman"/>
                <w:color w:val="auto"/>
                <w:spacing w:val="7"/>
                <w:sz w:val="21"/>
                <w:szCs w:val="21"/>
              </w:rPr>
              <w:t>5</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N29°30.916822'E113°13.038097'</w:t>
            </w:r>
          </w:p>
        </w:tc>
        <w:tc>
          <w:tcPr>
            <w:tcW w:w="1521"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83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pacing w:val="11"/>
                <w:sz w:val="21"/>
                <w:szCs w:val="21"/>
              </w:rPr>
              <w:t>厂</w:t>
            </w:r>
            <w:r>
              <w:rPr>
                <w:rFonts w:hint="default" w:ascii="Times New Roman" w:hAnsi="Times New Roman" w:eastAsia="宋体" w:cs="Times New Roman"/>
                <w:color w:val="auto"/>
                <w:spacing w:val="8"/>
                <w:sz w:val="21"/>
                <w:szCs w:val="21"/>
              </w:rPr>
              <w:t>区外</w:t>
            </w:r>
            <w:r>
              <w:rPr>
                <w:rFonts w:hint="eastAsia" w:ascii="Times New Roman" w:hAnsi="Times New Roman" w:eastAsia="宋体" w:cs="Times New Roman"/>
                <w:color w:val="auto"/>
                <w:spacing w:val="8"/>
                <w:sz w:val="21"/>
                <w:szCs w:val="21"/>
                <w:lang w:eastAsia="zh-CN"/>
              </w:rPr>
              <w:t>东北侧</w:t>
            </w:r>
            <w:r>
              <w:rPr>
                <w:rFonts w:hint="eastAsia" w:ascii="Times New Roman" w:hAnsi="Times New Roman" w:eastAsia="宋体" w:cs="Times New Roman"/>
                <w:color w:val="auto"/>
                <w:spacing w:val="8"/>
                <w:sz w:val="21"/>
                <w:szCs w:val="21"/>
                <w:lang w:val="en-US" w:eastAsia="zh-CN"/>
              </w:rPr>
              <w:t>240m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7"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w:t>
            </w:r>
            <w:r>
              <w:rPr>
                <w:rFonts w:hint="default" w:ascii="Times New Roman" w:hAnsi="Times New Roman" w:eastAsia="Times New Roman" w:cs="Times New Roman"/>
                <w:color w:val="auto"/>
                <w:spacing w:val="7"/>
                <w:sz w:val="21"/>
                <w:szCs w:val="21"/>
              </w:rPr>
              <w:t>6</w:t>
            </w:r>
          </w:p>
        </w:tc>
        <w:tc>
          <w:tcPr>
            <w:tcW w:w="104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N29°31.001690'E113°12.647513'</w:t>
            </w:r>
          </w:p>
        </w:tc>
        <w:tc>
          <w:tcPr>
            <w:tcW w:w="1521"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83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1189"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pacing w:val="11"/>
                <w:sz w:val="21"/>
                <w:szCs w:val="21"/>
              </w:rPr>
              <w:t>厂</w:t>
            </w:r>
            <w:r>
              <w:rPr>
                <w:rFonts w:hint="default" w:ascii="Times New Roman" w:hAnsi="Times New Roman" w:eastAsia="宋体" w:cs="Times New Roman"/>
                <w:color w:val="auto"/>
                <w:spacing w:val="8"/>
                <w:sz w:val="21"/>
                <w:szCs w:val="21"/>
              </w:rPr>
              <w:t>区外西</w:t>
            </w:r>
            <w:r>
              <w:rPr>
                <w:rFonts w:hint="eastAsia" w:ascii="Times New Roman" w:hAnsi="Times New Roman" w:eastAsia="宋体" w:cs="Times New Roman"/>
                <w:color w:val="auto"/>
                <w:spacing w:val="8"/>
                <w:sz w:val="21"/>
                <w:szCs w:val="21"/>
                <w:lang w:eastAsia="zh-CN"/>
              </w:rPr>
              <w:t>南</w:t>
            </w:r>
            <w:r>
              <w:rPr>
                <w:rFonts w:hint="default" w:ascii="Times New Roman" w:hAnsi="Times New Roman" w:eastAsia="宋体" w:cs="Times New Roman"/>
                <w:color w:val="auto"/>
                <w:spacing w:val="8"/>
                <w:sz w:val="21"/>
                <w:szCs w:val="21"/>
              </w:rPr>
              <w:t>侧</w:t>
            </w:r>
            <w:r>
              <w:rPr>
                <w:rFonts w:hint="eastAsia" w:ascii="Times New Roman" w:hAnsi="Times New Roman" w:eastAsia="宋体" w:cs="Times New Roman"/>
                <w:color w:val="auto"/>
                <w:spacing w:val="8"/>
                <w:sz w:val="21"/>
                <w:szCs w:val="21"/>
                <w:lang w:val="en-US" w:eastAsia="zh-CN"/>
              </w:rPr>
              <w:t>190</w:t>
            </w:r>
            <w:r>
              <w:rPr>
                <w:rFonts w:hint="default" w:ascii="Times New Roman" w:hAnsi="Times New Roman" w:eastAsia="Times New Roman" w:cs="Times New Roman"/>
                <w:color w:val="auto"/>
                <w:spacing w:val="-2"/>
                <w:sz w:val="21"/>
                <w:szCs w:val="21"/>
              </w:rPr>
              <w:t>km</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2、评价标准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项目区地下水评价采用《地下水环境质量标准》(GB/T14848-2017)中Ⅲ类标准。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3、评价方法</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本项目地下水质量现状评价采用单因子标准指数法。各单项水质参数评价模式</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如下：</w:t>
      </w:r>
    </w:p>
    <w:p>
      <w:pPr>
        <w:pageBreakBefore w:val="0"/>
        <w:kinsoku/>
        <w:wordWrap/>
        <w:overflowPunct w:val="0"/>
        <w:topLinePunct/>
        <w:autoSpaceDE w:val="0"/>
        <w:autoSpaceDN w:val="0"/>
        <w:bidi w:val="0"/>
        <w:spacing w:before="137"/>
        <w:ind w:left="3968"/>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S</w:t>
      </w:r>
      <w:r>
        <w:rPr>
          <w:rFonts w:hint="default" w:ascii="Times New Roman" w:hAnsi="Times New Roman" w:eastAsia="宋体" w:cs="Times New Roman"/>
          <w:color w:val="auto"/>
          <w:spacing w:val="-4"/>
          <w:position w:val="-2"/>
          <w:sz w:val="24"/>
          <w:szCs w:val="24"/>
          <w:u w:val="none" w:color="auto"/>
        </w:rPr>
        <w:t>i</w:t>
      </w:r>
      <w:r>
        <w:rPr>
          <w:rFonts w:hint="default" w:ascii="Times New Roman" w:hAnsi="Times New Roman" w:eastAsia="宋体" w:cs="Times New Roman"/>
          <w:color w:val="auto"/>
          <w:spacing w:val="-8"/>
          <w:position w:val="-3"/>
          <w:sz w:val="24"/>
          <w:szCs w:val="24"/>
          <w:u w:val="none" w:color="auto"/>
        </w:rPr>
        <w:t>，</w:t>
      </w:r>
      <w:r>
        <w:rPr>
          <w:rFonts w:hint="default" w:ascii="Times New Roman" w:hAnsi="Times New Roman" w:eastAsia="宋体" w:cs="Times New Roman"/>
          <w:color w:val="auto"/>
          <w:spacing w:val="-4"/>
          <w:position w:val="-2"/>
          <w:sz w:val="24"/>
          <w:szCs w:val="24"/>
          <w:u w:val="none" w:color="auto"/>
        </w:rPr>
        <w:t>j</w:t>
      </w:r>
      <w:r>
        <w:rPr>
          <w:rFonts w:hint="default" w:ascii="Times New Roman" w:hAnsi="Times New Roman" w:eastAsia="宋体" w:cs="Times New Roman"/>
          <w:i/>
          <w:iCs/>
          <w:color w:val="auto"/>
          <w:spacing w:val="-7"/>
          <w:sz w:val="24"/>
          <w:szCs w:val="24"/>
          <w:u w:val="none" w:color="auto"/>
        </w:rPr>
        <w:t>=</w:t>
      </w:r>
      <w:r>
        <w:rPr>
          <w:rFonts w:hint="default" w:ascii="Times New Roman" w:hAnsi="Times New Roman" w:eastAsia="宋体" w:cs="Times New Roman"/>
          <w:color w:val="auto"/>
          <w:spacing w:val="-4"/>
          <w:sz w:val="24"/>
          <w:szCs w:val="24"/>
          <w:u w:val="none" w:color="auto"/>
        </w:rPr>
        <w:t>S</w:t>
      </w:r>
      <w:r>
        <w:rPr>
          <w:rFonts w:hint="default" w:ascii="Times New Roman" w:hAnsi="Times New Roman" w:eastAsia="宋体" w:cs="Times New Roman"/>
          <w:color w:val="auto"/>
          <w:spacing w:val="-4"/>
          <w:position w:val="-2"/>
          <w:sz w:val="24"/>
          <w:szCs w:val="24"/>
          <w:u w:val="none" w:color="auto"/>
        </w:rPr>
        <w:t>i</w:t>
      </w:r>
      <w:r>
        <w:rPr>
          <w:rFonts w:hint="default" w:ascii="Times New Roman" w:hAnsi="Times New Roman" w:eastAsia="宋体" w:cs="Times New Roman"/>
          <w:color w:val="auto"/>
          <w:spacing w:val="-4"/>
          <w:position w:val="-3"/>
          <w:sz w:val="24"/>
          <w:szCs w:val="24"/>
          <w:u w:val="none" w:color="auto"/>
        </w:rPr>
        <w:t>，</w:t>
      </w:r>
      <w:r>
        <w:rPr>
          <w:rFonts w:hint="default" w:ascii="Times New Roman" w:hAnsi="Times New Roman" w:eastAsia="宋体" w:cs="Times New Roman"/>
          <w:color w:val="auto"/>
          <w:spacing w:val="-4"/>
          <w:position w:val="-2"/>
          <w:sz w:val="24"/>
          <w:szCs w:val="24"/>
          <w:u w:val="none" w:color="auto"/>
        </w:rPr>
        <w:t>j</w:t>
      </w:r>
      <w:r>
        <w:rPr>
          <w:rFonts w:hint="default" w:ascii="Times New Roman" w:hAnsi="Times New Roman" w:eastAsia="宋体" w:cs="Times New Roman"/>
          <w:i/>
          <w:iCs/>
          <w:color w:val="auto"/>
          <w:spacing w:val="-4"/>
          <w:sz w:val="24"/>
          <w:szCs w:val="24"/>
          <w:u w:val="none" w:color="auto"/>
        </w:rPr>
        <w:t>=</w:t>
      </w:r>
      <w:r>
        <w:rPr>
          <w:rFonts w:hint="default" w:ascii="Times New Roman" w:hAnsi="Times New Roman" w:eastAsia="宋体" w:cs="Times New Roman"/>
          <w:color w:val="auto"/>
          <w:position w:val="-26"/>
          <w:sz w:val="24"/>
          <w:szCs w:val="24"/>
          <w:u w:val="none" w:color="auto"/>
        </w:rPr>
        <w:drawing>
          <wp:inline distT="0" distB="0" distL="0" distR="0">
            <wp:extent cx="293370" cy="401955"/>
            <wp:effectExtent l="0" t="0" r="11430" b="10160"/>
            <wp:docPr id="111" name="IM 28"/>
            <wp:cNvGraphicFramePr/>
            <a:graphic xmlns:a="http://schemas.openxmlformats.org/drawingml/2006/main">
              <a:graphicData uri="http://schemas.openxmlformats.org/drawingml/2006/picture">
                <pic:pic xmlns:pic="http://schemas.openxmlformats.org/drawingml/2006/picture">
                  <pic:nvPicPr>
                    <pic:cNvPr id="111" name="IM 28"/>
                    <pic:cNvPicPr/>
                  </pic:nvPicPr>
                  <pic:blipFill>
                    <a:blip r:embed="rId53"/>
                    <a:stretch>
                      <a:fillRect/>
                    </a:stretch>
                  </pic:blipFill>
                  <pic:spPr>
                    <a:xfrm>
                      <a:off x="0" y="0"/>
                      <a:ext cx="293954" cy="402527"/>
                    </a:xfrm>
                    <a:prstGeom prst="rect">
                      <a:avLst/>
                    </a:prstGeom>
                  </pic:spPr>
                </pic:pic>
              </a:graphicData>
            </a:graphic>
          </wp:inline>
        </w:drawing>
      </w:r>
    </w:p>
    <w:p>
      <w:pPr>
        <w:pageBreakBefore w:val="0"/>
        <w:kinsoku/>
        <w:wordWrap/>
        <w:overflowPunct w:val="0"/>
        <w:topLinePunct/>
        <w:autoSpaceDE w:val="0"/>
        <w:autoSpaceDN w:val="0"/>
        <w:bidi w:val="0"/>
        <w:spacing w:before="125" w:line="323" w:lineRule="exact"/>
        <w:ind w:left="658"/>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position w:val="3"/>
          <w:sz w:val="24"/>
          <w:szCs w:val="24"/>
          <w:u w:val="none" w:color="auto"/>
        </w:rPr>
        <w:t>式中：</w:t>
      </w:r>
      <w:r>
        <w:rPr>
          <w:rFonts w:hint="default" w:ascii="Times New Roman" w:hAnsi="Times New Roman" w:eastAsia="宋体" w:cs="Times New Roman"/>
          <w:color w:val="auto"/>
          <w:position w:val="3"/>
          <w:sz w:val="24"/>
          <w:szCs w:val="24"/>
          <w:u w:val="none" w:color="auto"/>
        </w:rPr>
        <w:t>S</w:t>
      </w:r>
      <w:r>
        <w:rPr>
          <w:rFonts w:hint="default" w:ascii="Times New Roman" w:hAnsi="Times New Roman" w:eastAsia="宋体" w:cs="Times New Roman"/>
          <w:color w:val="auto"/>
          <w:position w:val="2"/>
          <w:sz w:val="24"/>
          <w:szCs w:val="24"/>
          <w:u w:val="none" w:color="auto"/>
        </w:rPr>
        <w:t>i</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position w:val="2"/>
          <w:sz w:val="24"/>
          <w:szCs w:val="24"/>
          <w:u w:val="none" w:color="auto"/>
        </w:rPr>
        <w:t>j</w:t>
      </w:r>
      <w:r>
        <w:rPr>
          <w:rFonts w:hint="default" w:ascii="Times New Roman" w:hAnsi="Times New Roman" w:eastAsia="宋体" w:cs="Times New Roman"/>
          <w:color w:val="auto"/>
          <w:spacing w:val="3"/>
          <w:position w:val="3"/>
          <w:sz w:val="24"/>
          <w:szCs w:val="24"/>
          <w:u w:val="none" w:color="auto"/>
        </w:rPr>
        <w:t>——单项水质参数</w:t>
      </w:r>
      <w:r>
        <w:rPr>
          <w:rFonts w:hint="default" w:ascii="Times New Roman" w:hAnsi="Times New Roman" w:eastAsia="宋体" w:cs="Times New Roman"/>
          <w:color w:val="auto"/>
          <w:position w:val="3"/>
          <w:sz w:val="24"/>
          <w:szCs w:val="24"/>
          <w:u w:val="none" w:color="auto"/>
        </w:rPr>
        <w:t>i</w:t>
      </w:r>
      <w:r>
        <w:rPr>
          <w:rFonts w:hint="default" w:ascii="Times New Roman" w:hAnsi="Times New Roman" w:eastAsia="宋体" w:cs="Times New Roman"/>
          <w:color w:val="auto"/>
          <w:spacing w:val="3"/>
          <w:position w:val="3"/>
          <w:sz w:val="24"/>
          <w:szCs w:val="24"/>
          <w:u w:val="none" w:color="auto"/>
        </w:rPr>
        <w:t>在</w:t>
      </w:r>
      <w:r>
        <w:rPr>
          <w:rFonts w:hint="default" w:ascii="Times New Roman" w:hAnsi="Times New Roman" w:eastAsia="宋体" w:cs="Times New Roman"/>
          <w:color w:val="auto"/>
          <w:position w:val="3"/>
          <w:sz w:val="24"/>
          <w:szCs w:val="24"/>
          <w:u w:val="none" w:color="auto"/>
        </w:rPr>
        <w:t>j</w:t>
      </w:r>
      <w:r>
        <w:rPr>
          <w:rFonts w:hint="default" w:ascii="Times New Roman" w:hAnsi="Times New Roman" w:eastAsia="宋体" w:cs="Times New Roman"/>
          <w:color w:val="auto"/>
          <w:spacing w:val="3"/>
          <w:position w:val="3"/>
          <w:sz w:val="24"/>
          <w:szCs w:val="24"/>
          <w:u w:val="none" w:color="auto"/>
        </w:rPr>
        <w:t>点的标准指数；</w:t>
      </w:r>
    </w:p>
    <w:p>
      <w:pPr>
        <w:pageBreakBefore w:val="0"/>
        <w:kinsoku/>
        <w:wordWrap/>
        <w:overflowPunct w:val="0"/>
        <w:topLinePunct/>
        <w:autoSpaceDE w:val="0"/>
        <w:autoSpaceDN w:val="0"/>
        <w:bidi w:val="0"/>
        <w:spacing w:before="145" w:line="323" w:lineRule="exact"/>
        <w:ind w:left="1449"/>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3"/>
          <w:sz w:val="24"/>
          <w:szCs w:val="24"/>
          <w:u w:val="none" w:color="auto"/>
        </w:rPr>
        <w:t>C</w:t>
      </w:r>
      <w:r>
        <w:rPr>
          <w:rFonts w:hint="default" w:ascii="Times New Roman" w:hAnsi="Times New Roman" w:eastAsia="宋体" w:cs="Times New Roman"/>
          <w:color w:val="auto"/>
          <w:position w:val="2"/>
          <w:sz w:val="24"/>
          <w:szCs w:val="24"/>
          <w:u w:val="none" w:color="auto"/>
        </w:rPr>
        <w:t>i</w:t>
      </w:r>
      <w:r>
        <w:rPr>
          <w:rFonts w:hint="default" w:ascii="Times New Roman" w:hAnsi="Times New Roman" w:eastAsia="宋体" w:cs="Times New Roman"/>
          <w:color w:val="auto"/>
          <w:spacing w:val="11"/>
          <w:sz w:val="24"/>
          <w:szCs w:val="24"/>
          <w:u w:val="none" w:color="auto"/>
        </w:rPr>
        <w:t>，</w:t>
      </w:r>
      <w:r>
        <w:rPr>
          <w:rFonts w:hint="default" w:ascii="Times New Roman" w:hAnsi="Times New Roman" w:eastAsia="宋体" w:cs="Times New Roman"/>
          <w:color w:val="auto"/>
          <w:position w:val="2"/>
          <w:sz w:val="24"/>
          <w:szCs w:val="24"/>
          <w:u w:val="none" w:color="auto"/>
        </w:rPr>
        <w:t>j</w:t>
      </w:r>
      <w:r>
        <w:rPr>
          <w:rFonts w:hint="default" w:ascii="Times New Roman" w:hAnsi="Times New Roman" w:eastAsia="宋体" w:cs="Times New Roman"/>
          <w:color w:val="auto"/>
          <w:spacing w:val="9"/>
          <w:position w:val="3"/>
          <w:sz w:val="24"/>
          <w:szCs w:val="24"/>
          <w:u w:val="none" w:color="auto"/>
        </w:rPr>
        <w:t>——污染物</w:t>
      </w:r>
      <w:r>
        <w:rPr>
          <w:rFonts w:hint="default" w:ascii="Times New Roman" w:hAnsi="Times New Roman" w:eastAsia="宋体" w:cs="Times New Roman"/>
          <w:color w:val="auto"/>
          <w:position w:val="3"/>
          <w:sz w:val="24"/>
          <w:szCs w:val="24"/>
          <w:u w:val="none" w:color="auto"/>
        </w:rPr>
        <w:t>i</w:t>
      </w:r>
      <w:r>
        <w:rPr>
          <w:rFonts w:hint="default" w:ascii="Times New Roman" w:hAnsi="Times New Roman" w:eastAsia="宋体" w:cs="Times New Roman"/>
          <w:color w:val="auto"/>
          <w:spacing w:val="9"/>
          <w:position w:val="3"/>
          <w:sz w:val="24"/>
          <w:szCs w:val="24"/>
          <w:u w:val="none" w:color="auto"/>
        </w:rPr>
        <w:t>在监测点</w:t>
      </w:r>
      <w:r>
        <w:rPr>
          <w:rFonts w:hint="default" w:ascii="Times New Roman" w:hAnsi="Times New Roman" w:eastAsia="宋体" w:cs="Times New Roman"/>
          <w:color w:val="auto"/>
          <w:position w:val="3"/>
          <w:sz w:val="24"/>
          <w:szCs w:val="24"/>
          <w:u w:val="none" w:color="auto"/>
        </w:rPr>
        <w:t>j</w:t>
      </w:r>
      <w:r>
        <w:rPr>
          <w:rFonts w:hint="default" w:ascii="Times New Roman" w:hAnsi="Times New Roman" w:eastAsia="宋体" w:cs="Times New Roman"/>
          <w:color w:val="auto"/>
          <w:spacing w:val="9"/>
          <w:position w:val="3"/>
          <w:sz w:val="24"/>
          <w:szCs w:val="24"/>
          <w:u w:val="none" w:color="auto"/>
        </w:rPr>
        <w:t>的浓度值，</w:t>
      </w:r>
      <w:r>
        <w:rPr>
          <w:rFonts w:hint="default" w:ascii="Times New Roman" w:hAnsi="Times New Roman" w:eastAsia="宋体" w:cs="Times New Roman"/>
          <w:color w:val="auto"/>
          <w:position w:val="3"/>
          <w:sz w:val="24"/>
          <w:szCs w:val="24"/>
          <w:u w:val="none" w:color="auto"/>
        </w:rPr>
        <w:t>mg</w:t>
      </w:r>
      <w:r>
        <w:rPr>
          <w:rFonts w:hint="default" w:ascii="Times New Roman" w:hAnsi="Times New Roman" w:eastAsia="宋体" w:cs="Times New Roman"/>
          <w:color w:val="auto"/>
          <w:spacing w:val="9"/>
          <w:position w:val="3"/>
          <w:sz w:val="24"/>
          <w:szCs w:val="24"/>
          <w:u w:val="none" w:color="auto"/>
        </w:rPr>
        <w:t>/</w:t>
      </w:r>
      <w:r>
        <w:rPr>
          <w:rFonts w:hint="default" w:ascii="Times New Roman" w:hAnsi="Times New Roman" w:eastAsia="宋体" w:cs="Times New Roman"/>
          <w:color w:val="auto"/>
          <w:position w:val="3"/>
          <w:sz w:val="24"/>
          <w:szCs w:val="24"/>
          <w:u w:val="none" w:color="auto"/>
        </w:rPr>
        <w:t>l</w:t>
      </w:r>
      <w:r>
        <w:rPr>
          <w:rFonts w:hint="default" w:ascii="Times New Roman" w:hAnsi="Times New Roman" w:eastAsia="宋体" w:cs="Times New Roman"/>
          <w:color w:val="auto"/>
          <w:spacing w:val="9"/>
          <w:position w:val="3"/>
          <w:sz w:val="24"/>
          <w:szCs w:val="24"/>
          <w:u w:val="none" w:color="auto"/>
        </w:rPr>
        <w:t>；</w:t>
      </w:r>
    </w:p>
    <w:p>
      <w:pPr>
        <w:pageBreakBefore w:val="0"/>
        <w:kinsoku/>
        <w:wordWrap/>
        <w:overflowPunct w:val="0"/>
        <w:topLinePunct/>
        <w:autoSpaceDE w:val="0"/>
        <w:autoSpaceDN w:val="0"/>
        <w:bidi w:val="0"/>
        <w:spacing w:before="143" w:line="511" w:lineRule="exact"/>
        <w:ind w:left="1449"/>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18"/>
          <w:sz w:val="24"/>
          <w:szCs w:val="24"/>
          <w:u w:val="none" w:color="auto"/>
        </w:rPr>
        <w:t>C</w:t>
      </w:r>
      <w:r>
        <w:rPr>
          <w:rFonts w:hint="default" w:ascii="Times New Roman" w:hAnsi="Times New Roman" w:eastAsia="宋体" w:cs="Times New Roman"/>
          <w:color w:val="auto"/>
          <w:position w:val="17"/>
          <w:sz w:val="24"/>
          <w:szCs w:val="24"/>
          <w:u w:val="none" w:color="auto"/>
        </w:rPr>
        <w:t>si</w:t>
      </w:r>
      <w:r>
        <w:rPr>
          <w:rFonts w:hint="default" w:ascii="Times New Roman" w:hAnsi="Times New Roman" w:eastAsia="宋体" w:cs="Times New Roman"/>
          <w:color w:val="auto"/>
          <w:spacing w:val="24"/>
          <w:position w:val="18"/>
          <w:sz w:val="24"/>
          <w:szCs w:val="24"/>
          <w:u w:val="none" w:color="auto"/>
        </w:rPr>
        <w:t>—</w:t>
      </w:r>
      <w:r>
        <w:rPr>
          <w:rFonts w:hint="default" w:ascii="Times New Roman" w:hAnsi="Times New Roman" w:eastAsia="宋体" w:cs="Times New Roman"/>
          <w:color w:val="auto"/>
          <w:spacing w:val="14"/>
          <w:position w:val="18"/>
          <w:sz w:val="24"/>
          <w:szCs w:val="24"/>
          <w:u w:val="none" w:color="auto"/>
        </w:rPr>
        <w:t>—</w:t>
      </w:r>
      <w:r>
        <w:rPr>
          <w:rFonts w:hint="default" w:ascii="Times New Roman" w:hAnsi="Times New Roman" w:eastAsia="宋体" w:cs="Times New Roman"/>
          <w:color w:val="auto"/>
          <w:spacing w:val="12"/>
          <w:position w:val="18"/>
          <w:sz w:val="24"/>
          <w:szCs w:val="24"/>
          <w:u w:val="none" w:color="auto"/>
        </w:rPr>
        <w:t>水质参数</w:t>
      </w:r>
      <w:r>
        <w:rPr>
          <w:rFonts w:hint="default" w:ascii="Times New Roman" w:hAnsi="Times New Roman" w:eastAsia="宋体" w:cs="Times New Roman"/>
          <w:color w:val="auto"/>
          <w:position w:val="18"/>
          <w:sz w:val="24"/>
          <w:szCs w:val="24"/>
          <w:u w:val="none" w:color="auto"/>
        </w:rPr>
        <w:t>i</w:t>
      </w:r>
      <w:r>
        <w:rPr>
          <w:rFonts w:hint="default" w:ascii="Times New Roman" w:hAnsi="Times New Roman" w:eastAsia="宋体" w:cs="Times New Roman"/>
          <w:color w:val="auto"/>
          <w:spacing w:val="12"/>
          <w:position w:val="18"/>
          <w:sz w:val="24"/>
          <w:szCs w:val="24"/>
          <w:u w:val="none" w:color="auto"/>
        </w:rPr>
        <w:t>的地面水水质标准值，</w:t>
      </w:r>
      <w:r>
        <w:rPr>
          <w:rFonts w:hint="default" w:ascii="Times New Roman" w:hAnsi="Times New Roman" w:eastAsia="宋体" w:cs="Times New Roman"/>
          <w:color w:val="auto"/>
          <w:position w:val="18"/>
          <w:sz w:val="24"/>
          <w:szCs w:val="24"/>
          <w:u w:val="none" w:color="auto"/>
        </w:rPr>
        <w:t>mg</w:t>
      </w:r>
      <w:r>
        <w:rPr>
          <w:rFonts w:hint="default" w:ascii="Times New Roman" w:hAnsi="Times New Roman" w:eastAsia="宋体" w:cs="Times New Roman"/>
          <w:color w:val="auto"/>
          <w:spacing w:val="12"/>
          <w:position w:val="18"/>
          <w:sz w:val="24"/>
          <w:szCs w:val="24"/>
          <w:u w:val="none" w:color="auto"/>
        </w:rPr>
        <w:t>/</w:t>
      </w:r>
      <w:r>
        <w:rPr>
          <w:rFonts w:hint="default" w:ascii="Times New Roman" w:hAnsi="Times New Roman" w:eastAsia="宋体" w:cs="Times New Roman"/>
          <w:color w:val="auto"/>
          <w:position w:val="18"/>
          <w:sz w:val="24"/>
          <w:szCs w:val="24"/>
          <w:u w:val="none" w:color="auto"/>
        </w:rPr>
        <w:t>l</w:t>
      </w:r>
      <w:r>
        <w:rPr>
          <w:rFonts w:hint="default" w:ascii="Times New Roman" w:hAnsi="Times New Roman" w:eastAsia="宋体" w:cs="Times New Roman"/>
          <w:color w:val="auto"/>
          <w:spacing w:val="12"/>
          <w:position w:val="18"/>
          <w:sz w:val="24"/>
          <w:szCs w:val="24"/>
          <w:u w:val="none" w:color="auto"/>
        </w:rPr>
        <w:t>。</w:t>
      </w:r>
    </w:p>
    <w:p>
      <w:pPr>
        <w:pageBreakBefore w:val="0"/>
        <w:kinsoku/>
        <w:wordWrap/>
        <w:overflowPunct w:val="0"/>
        <w:topLinePunct/>
        <w:autoSpaceDE w:val="0"/>
        <w:autoSpaceDN w:val="0"/>
        <w:bidi w:val="0"/>
        <w:spacing w:before="1" w:line="220" w:lineRule="auto"/>
        <w:ind w:left="326"/>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pH</w:t>
      </w:r>
      <w:r>
        <w:rPr>
          <w:rFonts w:hint="default" w:ascii="Times New Roman" w:hAnsi="Times New Roman" w:eastAsia="宋体" w:cs="Times New Roman"/>
          <w:color w:val="auto"/>
          <w:spacing w:val="9"/>
          <w:sz w:val="24"/>
          <w:szCs w:val="24"/>
          <w:u w:val="none" w:color="auto"/>
        </w:rPr>
        <w:t>值标准指数的计算可用下式：</w:t>
      </w:r>
    </w:p>
    <w:p>
      <w:pPr>
        <w:pageBreakBefore w:val="0"/>
        <w:kinsoku/>
        <w:wordWrap/>
        <w:overflowPunct w:val="0"/>
        <w:topLinePunct/>
        <w:autoSpaceDE w:val="0"/>
        <w:autoSpaceDN w:val="0"/>
        <w:bidi w:val="0"/>
        <w:spacing w:before="148" w:line="322" w:lineRule="exact"/>
        <w:ind w:left="2488"/>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3"/>
          <w:sz w:val="24"/>
          <w:szCs w:val="24"/>
          <w:u w:val="none" w:color="auto"/>
        </w:rPr>
        <w:t>S</w:t>
      </w:r>
      <w:r>
        <w:rPr>
          <w:rFonts w:hint="default" w:ascii="Times New Roman" w:hAnsi="Times New Roman" w:eastAsia="宋体" w:cs="Times New Roman"/>
          <w:color w:val="auto"/>
          <w:position w:val="2"/>
          <w:sz w:val="24"/>
          <w:szCs w:val="24"/>
          <w:u w:val="none" w:color="auto"/>
        </w:rPr>
        <w:t>pHj</w:t>
      </w:r>
      <w:r>
        <w:rPr>
          <w:rFonts w:hint="default" w:ascii="Times New Roman" w:hAnsi="Times New Roman" w:eastAsia="宋体" w:cs="Times New Roman"/>
          <w:color w:val="auto"/>
          <w:spacing w:val="10"/>
          <w:position w:val="3"/>
          <w:sz w:val="24"/>
          <w:szCs w:val="24"/>
          <w:u w:val="none" w:color="auto"/>
        </w:rPr>
        <w:t>=(</w:t>
      </w:r>
      <w:r>
        <w:rPr>
          <w:rFonts w:hint="default" w:ascii="Times New Roman" w:hAnsi="Times New Roman" w:eastAsia="宋体" w:cs="Times New Roman"/>
          <w:color w:val="auto"/>
          <w:spacing w:val="5"/>
          <w:position w:val="3"/>
          <w:sz w:val="24"/>
          <w:szCs w:val="24"/>
          <w:u w:val="none" w:color="auto"/>
        </w:rPr>
        <w:t>7.0–</w:t>
      </w:r>
      <w:r>
        <w:rPr>
          <w:rFonts w:hint="default" w:ascii="Times New Roman" w:hAnsi="Times New Roman" w:eastAsia="宋体" w:cs="Times New Roman"/>
          <w:color w:val="auto"/>
          <w:position w:val="3"/>
          <w:sz w:val="24"/>
          <w:szCs w:val="24"/>
          <w:u w:val="none" w:color="auto"/>
        </w:rPr>
        <w:t>pH</w:t>
      </w:r>
      <w:r>
        <w:rPr>
          <w:rFonts w:hint="default" w:ascii="Times New Roman" w:hAnsi="Times New Roman" w:eastAsia="宋体" w:cs="Times New Roman"/>
          <w:color w:val="auto"/>
          <w:position w:val="2"/>
          <w:sz w:val="24"/>
          <w:szCs w:val="24"/>
          <w:u w:val="none" w:color="auto"/>
        </w:rPr>
        <w:t>j</w:t>
      </w:r>
      <w:r>
        <w:rPr>
          <w:rFonts w:hint="default" w:ascii="Times New Roman" w:hAnsi="Times New Roman" w:eastAsia="宋体" w:cs="Times New Roman"/>
          <w:color w:val="auto"/>
          <w:spacing w:val="5"/>
          <w:position w:val="3"/>
          <w:sz w:val="24"/>
          <w:szCs w:val="24"/>
          <w:u w:val="none" w:color="auto"/>
        </w:rPr>
        <w:t>)/(7.0–</w:t>
      </w:r>
      <w:r>
        <w:rPr>
          <w:rFonts w:hint="default" w:ascii="Times New Roman" w:hAnsi="Times New Roman" w:eastAsia="宋体" w:cs="Times New Roman"/>
          <w:color w:val="auto"/>
          <w:position w:val="3"/>
          <w:sz w:val="24"/>
          <w:szCs w:val="24"/>
          <w:u w:val="none" w:color="auto"/>
        </w:rPr>
        <w:t>pH</w:t>
      </w:r>
      <w:r>
        <w:rPr>
          <w:rFonts w:hint="default" w:ascii="Times New Roman" w:hAnsi="Times New Roman" w:eastAsia="宋体" w:cs="Times New Roman"/>
          <w:color w:val="auto"/>
          <w:position w:val="2"/>
          <w:sz w:val="24"/>
          <w:szCs w:val="24"/>
          <w:u w:val="none" w:color="auto"/>
        </w:rPr>
        <w:t>sd</w:t>
      </w:r>
      <w:r>
        <w:rPr>
          <w:rFonts w:hint="default" w:ascii="Times New Roman" w:hAnsi="Times New Roman" w:eastAsia="宋体" w:cs="Times New Roman"/>
          <w:color w:val="auto"/>
          <w:spacing w:val="5"/>
          <w:position w:val="3"/>
          <w:sz w:val="24"/>
          <w:szCs w:val="24"/>
          <w:u w:val="none" w:color="auto"/>
        </w:rPr>
        <w:t>)(</w:t>
      </w:r>
      <w:r>
        <w:rPr>
          <w:rFonts w:hint="default" w:ascii="Times New Roman" w:hAnsi="Times New Roman" w:eastAsia="宋体" w:cs="Times New Roman"/>
          <w:color w:val="auto"/>
          <w:position w:val="3"/>
          <w:sz w:val="24"/>
          <w:szCs w:val="24"/>
          <w:u w:val="none" w:color="auto"/>
        </w:rPr>
        <w:t>pH</w:t>
      </w:r>
      <w:r>
        <w:rPr>
          <w:rFonts w:hint="default" w:ascii="Times New Roman" w:hAnsi="Times New Roman" w:eastAsia="宋体" w:cs="Times New Roman"/>
          <w:color w:val="auto"/>
          <w:position w:val="2"/>
          <w:sz w:val="24"/>
          <w:szCs w:val="24"/>
          <w:u w:val="none" w:color="auto"/>
        </w:rPr>
        <w:t>j</w:t>
      </w:r>
      <w:r>
        <w:rPr>
          <w:rFonts w:hint="default" w:ascii="Times New Roman" w:hAnsi="Times New Roman" w:eastAsia="宋体" w:cs="Times New Roman"/>
          <w:color w:val="auto"/>
          <w:spacing w:val="5"/>
          <w:position w:val="3"/>
          <w:sz w:val="24"/>
          <w:szCs w:val="24"/>
          <w:u w:val="none" w:color="auto"/>
        </w:rPr>
        <w:t>≤7.0时)</w:t>
      </w:r>
    </w:p>
    <w:p>
      <w:pPr>
        <w:pageBreakBefore w:val="0"/>
        <w:kinsoku/>
        <w:wordWrap/>
        <w:overflowPunct w:val="0"/>
        <w:topLinePunct/>
        <w:autoSpaceDE w:val="0"/>
        <w:autoSpaceDN w:val="0"/>
        <w:bidi w:val="0"/>
        <w:spacing w:before="277" w:line="466" w:lineRule="exact"/>
        <w:ind w:left="2425"/>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14"/>
          <w:sz w:val="24"/>
          <w:szCs w:val="24"/>
          <w:u w:val="none" w:color="auto"/>
        </w:rPr>
        <w:t>S</w:t>
      </w:r>
      <w:r>
        <w:rPr>
          <w:rFonts w:hint="default" w:ascii="Times New Roman" w:hAnsi="Times New Roman" w:eastAsia="宋体" w:cs="Times New Roman"/>
          <w:color w:val="auto"/>
          <w:position w:val="13"/>
          <w:sz w:val="24"/>
          <w:szCs w:val="24"/>
          <w:u w:val="none" w:color="auto"/>
        </w:rPr>
        <w:t>pHj</w:t>
      </w:r>
      <w:r>
        <w:rPr>
          <w:rFonts w:hint="default" w:ascii="Times New Roman" w:hAnsi="Times New Roman" w:eastAsia="宋体" w:cs="Times New Roman"/>
          <w:color w:val="auto"/>
          <w:spacing w:val="5"/>
          <w:position w:val="14"/>
          <w:sz w:val="24"/>
          <w:szCs w:val="24"/>
          <w:u w:val="none" w:color="auto"/>
        </w:rPr>
        <w:t>=(</w:t>
      </w:r>
      <w:r>
        <w:rPr>
          <w:rFonts w:hint="default" w:ascii="Times New Roman" w:hAnsi="Times New Roman" w:eastAsia="宋体" w:cs="Times New Roman"/>
          <w:color w:val="auto"/>
          <w:position w:val="14"/>
          <w:sz w:val="24"/>
          <w:szCs w:val="24"/>
          <w:u w:val="none" w:color="auto"/>
        </w:rPr>
        <w:t>pH</w:t>
      </w:r>
      <w:r>
        <w:rPr>
          <w:rFonts w:hint="default" w:ascii="Times New Roman" w:hAnsi="Times New Roman" w:eastAsia="宋体" w:cs="Times New Roman"/>
          <w:color w:val="auto"/>
          <w:position w:val="13"/>
          <w:sz w:val="24"/>
          <w:szCs w:val="24"/>
          <w:u w:val="none" w:color="auto"/>
        </w:rPr>
        <w:t>j</w:t>
      </w:r>
      <w:r>
        <w:rPr>
          <w:rFonts w:hint="default" w:ascii="Times New Roman" w:hAnsi="Times New Roman" w:eastAsia="宋体" w:cs="Times New Roman"/>
          <w:color w:val="auto"/>
          <w:spacing w:val="5"/>
          <w:position w:val="14"/>
          <w:sz w:val="24"/>
          <w:szCs w:val="24"/>
          <w:u w:val="none" w:color="auto"/>
        </w:rPr>
        <w:t>–7.0)/(</w:t>
      </w:r>
      <w:r>
        <w:rPr>
          <w:rFonts w:hint="default" w:ascii="Times New Roman" w:hAnsi="Times New Roman" w:eastAsia="宋体" w:cs="Times New Roman"/>
          <w:color w:val="auto"/>
          <w:position w:val="14"/>
          <w:sz w:val="24"/>
          <w:szCs w:val="24"/>
          <w:u w:val="none" w:color="auto"/>
        </w:rPr>
        <w:t>pH</w:t>
      </w:r>
      <w:r>
        <w:rPr>
          <w:rFonts w:hint="default" w:ascii="Times New Roman" w:hAnsi="Times New Roman" w:eastAsia="宋体" w:cs="Times New Roman"/>
          <w:color w:val="auto"/>
          <w:position w:val="13"/>
          <w:sz w:val="24"/>
          <w:szCs w:val="24"/>
          <w:u w:val="none" w:color="auto"/>
        </w:rPr>
        <w:t>su</w:t>
      </w:r>
      <w:r>
        <w:rPr>
          <w:rFonts w:hint="default" w:ascii="Times New Roman" w:hAnsi="Times New Roman" w:eastAsia="宋体" w:cs="Times New Roman"/>
          <w:color w:val="auto"/>
          <w:spacing w:val="5"/>
          <w:position w:val="14"/>
          <w:sz w:val="24"/>
          <w:szCs w:val="24"/>
          <w:u w:val="none" w:color="auto"/>
        </w:rPr>
        <w:t>–7.0)(</w:t>
      </w:r>
      <w:r>
        <w:rPr>
          <w:rFonts w:hint="default" w:ascii="Times New Roman" w:hAnsi="Times New Roman" w:eastAsia="宋体" w:cs="Times New Roman"/>
          <w:color w:val="auto"/>
          <w:position w:val="14"/>
          <w:sz w:val="24"/>
          <w:szCs w:val="24"/>
          <w:u w:val="none" w:color="auto"/>
        </w:rPr>
        <w:t>pH</w:t>
      </w:r>
      <w:r>
        <w:rPr>
          <w:rFonts w:hint="default" w:ascii="Times New Roman" w:hAnsi="Times New Roman" w:eastAsia="宋体" w:cs="Times New Roman"/>
          <w:color w:val="auto"/>
          <w:position w:val="13"/>
          <w:sz w:val="24"/>
          <w:szCs w:val="24"/>
          <w:u w:val="none" w:color="auto"/>
        </w:rPr>
        <w:t>j</w:t>
      </w:r>
      <w:r>
        <w:rPr>
          <w:rFonts w:hint="default" w:ascii="Times New Roman" w:hAnsi="Times New Roman" w:eastAsia="宋体" w:cs="Times New Roman"/>
          <w:color w:val="auto"/>
          <w:spacing w:val="5"/>
          <w:position w:val="14"/>
          <w:sz w:val="24"/>
          <w:szCs w:val="24"/>
          <w:u w:val="none" w:color="auto"/>
        </w:rPr>
        <w:t>&gt;7.0时</w:t>
      </w:r>
      <w:r>
        <w:rPr>
          <w:rFonts w:hint="default" w:ascii="Times New Roman" w:hAnsi="Times New Roman" w:eastAsia="宋体" w:cs="Times New Roman"/>
          <w:color w:val="auto"/>
          <w:position w:val="14"/>
          <w:sz w:val="24"/>
          <w:szCs w:val="24"/>
          <w:u w:val="none" w:color="auto"/>
        </w:rPr>
        <w:t>)</w:t>
      </w:r>
    </w:p>
    <w:p>
      <w:pPr>
        <w:pageBreakBefore w:val="0"/>
        <w:kinsoku/>
        <w:wordWrap/>
        <w:overflowPunct w:val="0"/>
        <w:topLinePunct/>
        <w:autoSpaceDE w:val="0"/>
        <w:autoSpaceDN w:val="0"/>
        <w:bidi w:val="0"/>
        <w:spacing w:line="322" w:lineRule="exact"/>
        <w:ind w:left="494"/>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4"/>
          <w:position w:val="3"/>
          <w:sz w:val="24"/>
          <w:szCs w:val="24"/>
          <w:u w:val="none" w:color="auto"/>
        </w:rPr>
        <w:t>式</w:t>
      </w:r>
      <w:r>
        <w:rPr>
          <w:rFonts w:hint="default" w:ascii="Times New Roman" w:hAnsi="Times New Roman" w:eastAsia="宋体" w:cs="Times New Roman"/>
          <w:color w:val="auto"/>
          <w:spacing w:val="9"/>
          <w:position w:val="3"/>
          <w:sz w:val="24"/>
          <w:szCs w:val="24"/>
          <w:u w:val="none" w:color="auto"/>
        </w:rPr>
        <w:t>中：</w:t>
      </w:r>
      <w:r>
        <w:rPr>
          <w:rFonts w:hint="default" w:ascii="Times New Roman" w:hAnsi="Times New Roman" w:eastAsia="宋体" w:cs="Times New Roman"/>
          <w:color w:val="auto"/>
          <w:position w:val="3"/>
          <w:sz w:val="24"/>
          <w:szCs w:val="24"/>
          <w:u w:val="none" w:color="auto"/>
        </w:rPr>
        <w:t>S</w:t>
      </w:r>
      <w:r>
        <w:rPr>
          <w:rFonts w:hint="default" w:ascii="Times New Roman" w:hAnsi="Times New Roman" w:eastAsia="宋体" w:cs="Times New Roman"/>
          <w:color w:val="auto"/>
          <w:position w:val="2"/>
          <w:sz w:val="24"/>
          <w:szCs w:val="24"/>
          <w:u w:val="none" w:color="auto"/>
        </w:rPr>
        <w:t>pHj</w:t>
      </w:r>
      <w:r>
        <w:rPr>
          <w:rFonts w:hint="default" w:ascii="Times New Roman" w:hAnsi="Times New Roman" w:eastAsia="宋体" w:cs="Times New Roman"/>
          <w:color w:val="auto"/>
          <w:spacing w:val="9"/>
          <w:position w:val="3"/>
          <w:sz w:val="24"/>
          <w:szCs w:val="24"/>
          <w:u w:val="none" w:color="auto"/>
        </w:rPr>
        <w:t>——单项水质参数</w:t>
      </w:r>
      <w:r>
        <w:rPr>
          <w:rFonts w:hint="default" w:ascii="Times New Roman" w:hAnsi="Times New Roman" w:eastAsia="宋体" w:cs="Times New Roman"/>
          <w:color w:val="auto"/>
          <w:position w:val="3"/>
          <w:sz w:val="24"/>
          <w:szCs w:val="24"/>
          <w:u w:val="none" w:color="auto"/>
        </w:rPr>
        <w:t>pH</w:t>
      </w:r>
      <w:r>
        <w:rPr>
          <w:rFonts w:hint="default" w:ascii="Times New Roman" w:hAnsi="Times New Roman" w:eastAsia="宋体" w:cs="Times New Roman"/>
          <w:color w:val="auto"/>
          <w:spacing w:val="9"/>
          <w:position w:val="3"/>
          <w:sz w:val="24"/>
          <w:szCs w:val="24"/>
          <w:u w:val="none" w:color="auto"/>
        </w:rPr>
        <w:t>在第</w:t>
      </w:r>
      <w:r>
        <w:rPr>
          <w:rFonts w:hint="default" w:ascii="Times New Roman" w:hAnsi="Times New Roman" w:eastAsia="宋体" w:cs="Times New Roman"/>
          <w:color w:val="auto"/>
          <w:position w:val="3"/>
          <w:sz w:val="24"/>
          <w:szCs w:val="24"/>
          <w:u w:val="none" w:color="auto"/>
        </w:rPr>
        <w:t>j</w:t>
      </w:r>
      <w:r>
        <w:rPr>
          <w:rFonts w:hint="default" w:ascii="Times New Roman" w:hAnsi="Times New Roman" w:eastAsia="宋体" w:cs="Times New Roman"/>
          <w:color w:val="auto"/>
          <w:spacing w:val="9"/>
          <w:position w:val="3"/>
          <w:sz w:val="24"/>
          <w:szCs w:val="24"/>
          <w:u w:val="none" w:color="auto"/>
        </w:rPr>
        <w:t>点的标准指数；</w:t>
      </w:r>
    </w:p>
    <w:p>
      <w:pPr>
        <w:pageBreakBefore w:val="0"/>
        <w:kinsoku/>
        <w:wordWrap/>
        <w:overflowPunct w:val="0"/>
        <w:topLinePunct/>
        <w:autoSpaceDE w:val="0"/>
        <w:autoSpaceDN w:val="0"/>
        <w:bidi w:val="0"/>
        <w:spacing w:before="145" w:line="511" w:lineRule="exact"/>
        <w:ind w:left="1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18"/>
          <w:sz w:val="24"/>
          <w:szCs w:val="24"/>
          <w:u w:val="none" w:color="auto"/>
        </w:rPr>
        <w:t>pH</w:t>
      </w:r>
      <w:r>
        <w:rPr>
          <w:rFonts w:hint="default" w:ascii="Times New Roman" w:hAnsi="Times New Roman" w:eastAsia="宋体" w:cs="Times New Roman"/>
          <w:color w:val="auto"/>
          <w:position w:val="17"/>
          <w:sz w:val="24"/>
          <w:szCs w:val="24"/>
          <w:u w:val="none" w:color="auto"/>
        </w:rPr>
        <w:t>j</w:t>
      </w:r>
      <w:r>
        <w:rPr>
          <w:rFonts w:hint="default" w:ascii="Times New Roman" w:hAnsi="Times New Roman" w:eastAsia="宋体" w:cs="Times New Roman"/>
          <w:color w:val="auto"/>
          <w:spacing w:val="16"/>
          <w:position w:val="17"/>
          <w:sz w:val="24"/>
          <w:szCs w:val="24"/>
          <w:u w:val="none" w:color="auto"/>
        </w:rPr>
        <w:t>—</w:t>
      </w:r>
      <w:r>
        <w:rPr>
          <w:rFonts w:hint="default" w:ascii="Times New Roman" w:hAnsi="Times New Roman" w:eastAsia="宋体" w:cs="Times New Roman"/>
          <w:color w:val="auto"/>
          <w:spacing w:val="13"/>
          <w:position w:val="17"/>
          <w:sz w:val="24"/>
          <w:szCs w:val="24"/>
          <w:u w:val="none" w:color="auto"/>
        </w:rPr>
        <w:t>—</w:t>
      </w:r>
      <w:r>
        <w:rPr>
          <w:rFonts w:hint="default" w:ascii="Times New Roman" w:hAnsi="Times New Roman" w:eastAsia="宋体" w:cs="Times New Roman"/>
          <w:color w:val="auto"/>
          <w:spacing w:val="8"/>
          <w:position w:val="17"/>
          <w:sz w:val="24"/>
          <w:szCs w:val="24"/>
          <w:u w:val="none" w:color="auto"/>
        </w:rPr>
        <w:t>——</w:t>
      </w:r>
      <w:r>
        <w:rPr>
          <w:rFonts w:hint="default" w:ascii="Times New Roman" w:hAnsi="Times New Roman" w:eastAsia="宋体" w:cs="Times New Roman"/>
          <w:color w:val="auto"/>
          <w:spacing w:val="8"/>
          <w:position w:val="18"/>
          <w:sz w:val="24"/>
          <w:szCs w:val="24"/>
          <w:u w:val="none" w:color="auto"/>
        </w:rPr>
        <w:t>水质参数</w:t>
      </w:r>
      <w:r>
        <w:rPr>
          <w:rFonts w:hint="default" w:ascii="Times New Roman" w:hAnsi="Times New Roman" w:eastAsia="宋体" w:cs="Times New Roman"/>
          <w:color w:val="auto"/>
          <w:position w:val="18"/>
          <w:sz w:val="24"/>
          <w:szCs w:val="24"/>
          <w:u w:val="none" w:color="auto"/>
        </w:rPr>
        <w:t>pH</w:t>
      </w:r>
      <w:r>
        <w:rPr>
          <w:rFonts w:hint="default" w:ascii="Times New Roman" w:hAnsi="Times New Roman" w:eastAsia="宋体" w:cs="Times New Roman"/>
          <w:color w:val="auto"/>
          <w:spacing w:val="8"/>
          <w:position w:val="18"/>
          <w:sz w:val="24"/>
          <w:szCs w:val="24"/>
          <w:u w:val="none" w:color="auto"/>
        </w:rPr>
        <w:t>在第</w:t>
      </w:r>
      <w:r>
        <w:rPr>
          <w:rFonts w:hint="default" w:ascii="Times New Roman" w:hAnsi="Times New Roman" w:eastAsia="宋体" w:cs="Times New Roman"/>
          <w:color w:val="auto"/>
          <w:position w:val="18"/>
          <w:sz w:val="24"/>
          <w:szCs w:val="24"/>
          <w:u w:val="none" w:color="auto"/>
        </w:rPr>
        <w:t>j</w:t>
      </w:r>
      <w:r>
        <w:rPr>
          <w:rFonts w:hint="default" w:ascii="Times New Roman" w:hAnsi="Times New Roman" w:eastAsia="宋体" w:cs="Times New Roman"/>
          <w:color w:val="auto"/>
          <w:spacing w:val="8"/>
          <w:position w:val="18"/>
          <w:sz w:val="24"/>
          <w:szCs w:val="24"/>
          <w:u w:val="none" w:color="auto"/>
        </w:rPr>
        <w:t>点的数值；</w:t>
      </w:r>
    </w:p>
    <w:p>
      <w:pPr>
        <w:pageBreakBefore w:val="0"/>
        <w:kinsoku/>
        <w:wordWrap/>
        <w:overflowPunct w:val="0"/>
        <w:topLinePunct/>
        <w:autoSpaceDE w:val="0"/>
        <w:autoSpaceDN w:val="0"/>
        <w:bidi w:val="0"/>
        <w:spacing w:line="218" w:lineRule="auto"/>
        <w:ind w:left="1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pH</w:t>
      </w:r>
      <w:r>
        <w:rPr>
          <w:rFonts w:hint="default" w:ascii="Times New Roman" w:hAnsi="Times New Roman" w:eastAsia="宋体" w:cs="Times New Roman"/>
          <w:color w:val="auto"/>
          <w:position w:val="-1"/>
          <w:sz w:val="24"/>
          <w:szCs w:val="24"/>
          <w:u w:val="none" w:color="auto"/>
        </w:rPr>
        <w:t>su</w:t>
      </w:r>
      <w:r>
        <w:rPr>
          <w:rFonts w:hint="default" w:ascii="Times New Roman" w:hAnsi="Times New Roman" w:eastAsia="宋体" w:cs="Times New Roman"/>
          <w:color w:val="auto"/>
          <w:spacing w:val="8"/>
          <w:sz w:val="24"/>
          <w:szCs w:val="24"/>
          <w:u w:val="none" w:color="auto"/>
        </w:rPr>
        <w:t>—</w:t>
      </w:r>
      <w:r>
        <w:rPr>
          <w:rFonts w:hint="default" w:ascii="Times New Roman" w:hAnsi="Times New Roman" w:eastAsia="宋体" w:cs="Times New Roman"/>
          <w:color w:val="auto"/>
          <w:spacing w:val="7"/>
          <w:sz w:val="24"/>
          <w:szCs w:val="24"/>
          <w:u w:val="none" w:color="auto"/>
        </w:rPr>
        <w:t>—地面水水质标准中规定的</w:t>
      </w:r>
      <w:r>
        <w:rPr>
          <w:rFonts w:hint="default" w:ascii="Times New Roman" w:hAnsi="Times New Roman" w:eastAsia="宋体" w:cs="Times New Roman"/>
          <w:color w:val="auto"/>
          <w:sz w:val="24"/>
          <w:szCs w:val="24"/>
          <w:u w:val="none" w:color="auto"/>
        </w:rPr>
        <w:t>pH</w:t>
      </w:r>
      <w:r>
        <w:rPr>
          <w:rFonts w:hint="default" w:ascii="Times New Roman" w:hAnsi="Times New Roman" w:eastAsia="宋体" w:cs="Times New Roman"/>
          <w:color w:val="auto"/>
          <w:spacing w:val="7"/>
          <w:sz w:val="24"/>
          <w:szCs w:val="24"/>
          <w:u w:val="none" w:color="auto"/>
        </w:rPr>
        <w:t>值下限；</w:t>
      </w:r>
    </w:p>
    <w:p>
      <w:pPr>
        <w:pageBreakBefore w:val="0"/>
        <w:kinsoku/>
        <w:wordWrap/>
        <w:overflowPunct w:val="0"/>
        <w:topLinePunct/>
        <w:autoSpaceDE w:val="0"/>
        <w:autoSpaceDN w:val="0"/>
        <w:bidi w:val="0"/>
        <w:spacing w:before="193" w:line="231" w:lineRule="auto"/>
        <w:ind w:left="1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pH</w:t>
      </w:r>
      <w:r>
        <w:rPr>
          <w:rFonts w:hint="default" w:ascii="Times New Roman" w:hAnsi="Times New Roman" w:eastAsia="宋体" w:cs="Times New Roman"/>
          <w:color w:val="auto"/>
          <w:position w:val="-1"/>
          <w:sz w:val="24"/>
          <w:szCs w:val="24"/>
          <w:u w:val="none" w:color="auto"/>
        </w:rPr>
        <w:t>sd</w:t>
      </w:r>
      <w:r>
        <w:rPr>
          <w:rFonts w:hint="default" w:ascii="Times New Roman" w:hAnsi="Times New Roman" w:eastAsia="宋体" w:cs="Times New Roman"/>
          <w:color w:val="auto"/>
          <w:spacing w:val="8"/>
          <w:sz w:val="24"/>
          <w:szCs w:val="24"/>
          <w:u w:val="none" w:color="auto"/>
        </w:rPr>
        <w:t>—</w:t>
      </w:r>
      <w:r>
        <w:rPr>
          <w:rFonts w:hint="default" w:ascii="Times New Roman" w:hAnsi="Times New Roman" w:eastAsia="宋体" w:cs="Times New Roman"/>
          <w:color w:val="auto"/>
          <w:spacing w:val="7"/>
          <w:sz w:val="24"/>
          <w:szCs w:val="24"/>
          <w:u w:val="none" w:color="auto"/>
        </w:rPr>
        <w:t>—地面水水质标准中规定的</w:t>
      </w:r>
      <w:r>
        <w:rPr>
          <w:rFonts w:hint="default" w:ascii="Times New Roman" w:hAnsi="Times New Roman" w:eastAsia="宋体" w:cs="Times New Roman"/>
          <w:color w:val="auto"/>
          <w:sz w:val="24"/>
          <w:szCs w:val="24"/>
          <w:u w:val="none" w:color="auto"/>
        </w:rPr>
        <w:t>pH</w:t>
      </w:r>
      <w:r>
        <w:rPr>
          <w:rFonts w:hint="default" w:ascii="Times New Roman" w:hAnsi="Times New Roman" w:eastAsia="宋体" w:cs="Times New Roman"/>
          <w:color w:val="auto"/>
          <w:spacing w:val="7"/>
          <w:sz w:val="24"/>
          <w:szCs w:val="24"/>
          <w:u w:val="none" w:color="auto"/>
        </w:rPr>
        <w:t>值上限。</w:t>
      </w:r>
    </w:p>
    <w:p>
      <w:pPr>
        <w:pageBreakBefore w:val="0"/>
        <w:kinsoku/>
        <w:wordWrap/>
        <w:overflowPunct w:val="0"/>
        <w:topLinePunct/>
        <w:autoSpaceDE w:val="0"/>
        <w:autoSpaceDN w:val="0"/>
        <w:bidi w:val="0"/>
        <w:spacing w:before="179" w:line="360" w:lineRule="auto"/>
        <w:ind w:left="13" w:right="1" w:firstLine="476"/>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9"/>
          <w:sz w:val="24"/>
          <w:szCs w:val="24"/>
          <w:u w:val="none" w:color="auto"/>
        </w:rPr>
        <w:t>计</w:t>
      </w:r>
      <w:r>
        <w:rPr>
          <w:rFonts w:hint="default" w:ascii="Times New Roman" w:hAnsi="Times New Roman" w:eastAsia="宋体" w:cs="Times New Roman"/>
          <w:color w:val="auto"/>
          <w:spacing w:val="5"/>
          <w:sz w:val="24"/>
          <w:szCs w:val="24"/>
          <w:u w:val="none" w:color="auto"/>
        </w:rPr>
        <w:t>算所得的指数大于1时，表明该水质参数超过了规定的标准，即水体已经受到</w:t>
      </w:r>
      <w:r>
        <w:rPr>
          <w:rFonts w:hint="default" w:ascii="Times New Roman" w:hAnsi="Times New Roman" w:eastAsia="宋体" w:cs="Times New Roman"/>
          <w:color w:val="auto"/>
          <w:spacing w:val="12"/>
          <w:sz w:val="24"/>
          <w:szCs w:val="24"/>
          <w:u w:val="none" w:color="auto"/>
        </w:rPr>
        <w:t>该</w:t>
      </w:r>
      <w:r>
        <w:rPr>
          <w:rFonts w:hint="default" w:ascii="Times New Roman" w:hAnsi="Times New Roman" w:eastAsia="宋体" w:cs="Times New Roman"/>
          <w:color w:val="auto"/>
          <w:spacing w:val="9"/>
          <w:sz w:val="24"/>
          <w:szCs w:val="24"/>
          <w:u w:val="none" w:color="auto"/>
        </w:rPr>
        <w:t>水质参数所表征的污染物污染，指数越大，污染程度越重。</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4、监测与评价结果</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pacing w:val="16"/>
          <w:sz w:val="24"/>
          <w:szCs w:val="24"/>
          <w:lang w:val="en-US" w:eastAsia="zh-CN"/>
        </w:rPr>
      </w:pPr>
      <w:r>
        <w:rPr>
          <w:rFonts w:hint="default" w:ascii="Times New Roman" w:hAnsi="Times New Roman" w:eastAsia="宋体" w:cs="Times New Roman"/>
          <w:color w:val="auto"/>
          <w:spacing w:val="16"/>
          <w:sz w:val="24"/>
          <w:szCs w:val="24"/>
          <w:lang w:val="en-US" w:eastAsia="zh-CN"/>
        </w:rPr>
        <w:t>项目区地下水监测结果见下表。</w:t>
      </w:r>
    </w:p>
    <w:p>
      <w:pPr>
        <w:pageBreakBefore w:val="0"/>
        <w:kinsoku/>
        <w:wordWrap/>
        <w:overflowPunct w:val="0"/>
        <w:topLinePunct/>
        <w:autoSpaceDE w:val="0"/>
        <w:autoSpaceDN w:val="0"/>
        <w:bidi w:val="0"/>
        <w:spacing w:line="360" w:lineRule="auto"/>
        <w:ind w:left="0" w:leftChars="0" w:right="0" w:rightChars="0" w:firstLine="0" w:firstLineChars="0"/>
        <w:jc w:val="center"/>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eastAsia="zh-CN"/>
        </w:rPr>
        <w:t>表</w:t>
      </w:r>
      <w:r>
        <w:rPr>
          <w:rFonts w:hint="eastAsia" w:ascii="Times New Roman" w:hAnsi="Times New Roman" w:eastAsia="宋体" w:cs="Times New Roman"/>
          <w:b/>
          <w:bCs/>
          <w:color w:val="auto"/>
          <w:sz w:val="24"/>
          <w:szCs w:val="24"/>
          <w:u w:val="none" w:color="auto"/>
          <w:lang w:val="en-US" w:eastAsia="zh-CN"/>
        </w:rPr>
        <w:t>4.3-7</w:t>
      </w:r>
      <w:r>
        <w:rPr>
          <w:rFonts w:hint="eastAsia" w:ascii="Times New Roman" w:hAnsi="Times New Roman" w:eastAsia="宋体" w:cs="Times New Roman"/>
          <w:b/>
          <w:bCs/>
          <w:color w:val="auto"/>
          <w:sz w:val="24"/>
          <w:szCs w:val="24"/>
          <w:u w:val="none" w:color="auto"/>
          <w:lang w:eastAsia="zh-CN"/>
        </w:rPr>
        <w:t>水位监测井监测结果</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60"/>
        <w:gridCol w:w="682"/>
        <w:gridCol w:w="61"/>
        <w:gridCol w:w="744"/>
        <w:gridCol w:w="38"/>
        <w:gridCol w:w="708"/>
        <w:gridCol w:w="140"/>
        <w:gridCol w:w="607"/>
        <w:gridCol w:w="235"/>
        <w:gridCol w:w="508"/>
        <w:gridCol w:w="334"/>
        <w:gridCol w:w="409"/>
        <w:gridCol w:w="437"/>
        <w:gridCol w:w="310"/>
        <w:gridCol w:w="532"/>
        <w:gridCol w:w="212"/>
        <w:gridCol w:w="631"/>
        <w:gridCol w:w="115"/>
        <w:gridCol w:w="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0"/>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样品信息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vertAlign w:val="baseline"/>
                <w:lang w:val="en-US" w:eastAsia="zh-CN"/>
              </w:rPr>
              <w:t>采样</w:t>
            </w:r>
            <w:r>
              <w:rPr>
                <w:rFonts w:hint="eastAsia" w:ascii="Times New Roman" w:hAnsi="Times New Roman" w:eastAsia="宋体" w:cs="Times New Roman"/>
                <w:color w:val="auto"/>
                <w:kern w:val="2"/>
                <w:sz w:val="21"/>
                <w:szCs w:val="21"/>
                <w:lang w:val="en-US" w:eastAsia="zh-CN" w:bidi="ar-SA"/>
              </w:rPr>
              <w:t>点位</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D4厂区外东北侧250m</w:t>
            </w:r>
          </w:p>
        </w:tc>
        <w:tc>
          <w:tcPr>
            <w:tcW w:w="494" w:type="pct"/>
            <w:gridSpan w:val="3"/>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厂区外东北侧240m</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厂区外西南侧190m</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D4厂区外东北侧250m</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厂区外东北侧240m</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厂区外西南侧190m</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D4厂区外东北侧250m</w:t>
            </w:r>
          </w:p>
        </w:tc>
        <w:tc>
          <w:tcPr>
            <w:tcW w:w="494"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厂区外东北侧240m</w:t>
            </w:r>
          </w:p>
        </w:tc>
        <w:tc>
          <w:tcPr>
            <w:tcW w:w="498"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厂区外西南侧190m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采样</w:t>
            </w:r>
            <w:r>
              <w:rPr>
                <w:rFonts w:hint="eastAsia" w:ascii="Times New Roman" w:hAnsi="Times New Roman" w:eastAsia="宋体" w:cs="Times New Roman"/>
                <w:color w:val="auto"/>
                <w:kern w:val="2"/>
                <w:sz w:val="21"/>
                <w:szCs w:val="21"/>
                <w:lang w:val="en-US" w:eastAsia="zh-CN" w:bidi="ar-SA"/>
              </w:rPr>
              <w:t>日期</w:t>
            </w:r>
          </w:p>
        </w:tc>
        <w:tc>
          <w:tcPr>
            <w:tcW w:w="1484" w:type="pct"/>
            <w:gridSpan w:val="7"/>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Cs w:val="0"/>
                <w:color w:val="auto"/>
                <w:kern w:val="2"/>
                <w:sz w:val="21"/>
                <w:szCs w:val="21"/>
                <w:vertAlign w:val="baseline"/>
                <w:lang w:val="en-US" w:eastAsia="zh-CN"/>
              </w:rPr>
            </w:pPr>
            <w:r>
              <w:rPr>
                <w:rFonts w:hint="eastAsia" w:ascii="Times New Roman" w:hAnsi="Times New Roman" w:cs="Times New Roman"/>
                <w:bCs w:val="0"/>
                <w:color w:val="auto"/>
                <w:kern w:val="2"/>
                <w:sz w:val="21"/>
                <w:szCs w:val="21"/>
                <w:vertAlign w:val="baseline"/>
                <w:lang w:val="en-US" w:eastAsia="zh-CN"/>
              </w:rPr>
              <w:t>3月27日</w:t>
            </w:r>
          </w:p>
        </w:tc>
        <w:tc>
          <w:tcPr>
            <w:tcW w:w="1484" w:type="pct"/>
            <w:gridSpan w:val="6"/>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Cs w:val="0"/>
                <w:color w:val="auto"/>
                <w:kern w:val="2"/>
                <w:sz w:val="21"/>
                <w:szCs w:val="21"/>
                <w:vertAlign w:val="baseline"/>
                <w:lang w:val="en-US" w:eastAsia="zh-CN"/>
              </w:rPr>
            </w:pPr>
            <w:r>
              <w:rPr>
                <w:rFonts w:hint="eastAsia" w:ascii="Times New Roman" w:hAnsi="Times New Roman" w:cs="Times New Roman"/>
                <w:bCs w:val="0"/>
                <w:color w:val="auto"/>
                <w:kern w:val="2"/>
                <w:sz w:val="21"/>
                <w:szCs w:val="21"/>
                <w:vertAlign w:val="baseline"/>
                <w:lang w:val="en-US" w:eastAsia="zh-CN"/>
              </w:rPr>
              <w:t>3月28日</w:t>
            </w:r>
          </w:p>
        </w:tc>
        <w:tc>
          <w:tcPr>
            <w:tcW w:w="1488" w:type="pct"/>
            <w:gridSpan w:val="6"/>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Cs w:val="0"/>
                <w:color w:val="auto"/>
                <w:kern w:val="2"/>
                <w:sz w:val="21"/>
                <w:szCs w:val="21"/>
                <w:vertAlign w:val="baseline"/>
                <w:lang w:val="en-US" w:eastAsia="zh-CN"/>
              </w:rPr>
            </w:pPr>
            <w:r>
              <w:rPr>
                <w:rFonts w:hint="eastAsia" w:ascii="Times New Roman" w:hAnsi="Times New Roman" w:cs="Times New Roman"/>
                <w:bCs w:val="0"/>
                <w:color w:val="auto"/>
                <w:kern w:val="2"/>
                <w:sz w:val="21"/>
                <w:szCs w:val="21"/>
                <w:vertAlign w:val="baseline"/>
                <w:lang w:val="en-US" w:eastAsia="zh-CN"/>
              </w:rPr>
              <w:t>3月29日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0"/>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gridSpan w:val="2"/>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r>
              <w:rPr>
                <w:rFonts w:hint="default" w:ascii="Times New Roman" w:hAnsi="Times New Roman" w:cs="Times New Roman"/>
                <w:color w:val="auto"/>
                <w:kern w:val="2"/>
                <w:sz w:val="21"/>
                <w:szCs w:val="21"/>
                <w:lang w:eastAsia="zh-CN"/>
              </w:rPr>
              <w:t>检测项目</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D4</w:t>
            </w:r>
          </w:p>
        </w:tc>
        <w:tc>
          <w:tcPr>
            <w:tcW w:w="436" w:type="pct"/>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D5</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D6</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D4</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D5</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D6</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D4</w:t>
            </w:r>
          </w:p>
        </w:tc>
        <w:tc>
          <w:tcPr>
            <w:tcW w:w="436"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D5</w:t>
            </w:r>
          </w:p>
        </w:tc>
        <w:tc>
          <w:tcPr>
            <w:tcW w:w="437"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D6</w:t>
            </w:r>
          </w:p>
        </w:tc>
        <w:tc>
          <w:tcPr>
            <w:tcW w:w="433"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计量单位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gridSpan w:val="2"/>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color w:val="auto"/>
                <w:kern w:val="2"/>
                <w:sz w:val="21"/>
                <w:szCs w:val="21"/>
                <w:lang w:eastAsia="zh-CN"/>
              </w:rPr>
            </w:pPr>
          </w:p>
        </w:tc>
        <w:tc>
          <w:tcPr>
            <w:tcW w:w="1309" w:type="pct"/>
            <w:gridSpan w:val="5"/>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val="0"/>
                <w:color w:val="auto"/>
                <w:kern w:val="2"/>
                <w:sz w:val="21"/>
                <w:szCs w:val="21"/>
                <w:vertAlign w:val="baseline"/>
                <w:lang w:val="en-US" w:eastAsia="zh-CN" w:bidi="ar-SA"/>
              </w:rPr>
            </w:pPr>
            <w:r>
              <w:rPr>
                <w:rFonts w:hint="eastAsia" w:ascii="Times New Roman" w:hAnsi="Times New Roman" w:cs="Times New Roman"/>
                <w:bCs w:val="0"/>
                <w:color w:val="auto"/>
                <w:kern w:val="2"/>
                <w:sz w:val="21"/>
                <w:szCs w:val="21"/>
                <w:vertAlign w:val="baseline"/>
                <w:lang w:val="en-US" w:eastAsia="zh-CN"/>
              </w:rPr>
              <w:t>3月27日</w:t>
            </w:r>
          </w:p>
        </w:tc>
        <w:tc>
          <w:tcPr>
            <w:tcW w:w="1309" w:type="pct"/>
            <w:gridSpan w:val="6"/>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val="0"/>
                <w:color w:val="auto"/>
                <w:kern w:val="2"/>
                <w:sz w:val="21"/>
                <w:szCs w:val="21"/>
                <w:vertAlign w:val="baseline"/>
                <w:lang w:val="en-US" w:eastAsia="zh-CN" w:bidi="ar-SA"/>
              </w:rPr>
            </w:pPr>
            <w:r>
              <w:rPr>
                <w:rFonts w:hint="eastAsia" w:ascii="Times New Roman" w:hAnsi="Times New Roman" w:cs="Times New Roman"/>
                <w:bCs w:val="0"/>
                <w:color w:val="auto"/>
                <w:kern w:val="2"/>
                <w:sz w:val="21"/>
                <w:szCs w:val="21"/>
                <w:vertAlign w:val="baseline"/>
                <w:lang w:val="en-US" w:eastAsia="zh-CN"/>
              </w:rPr>
              <w:t>3月28日</w:t>
            </w:r>
          </w:p>
        </w:tc>
        <w:tc>
          <w:tcPr>
            <w:tcW w:w="1310" w:type="pct"/>
            <w:gridSpan w:val="6"/>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val="0"/>
                <w:color w:val="auto"/>
                <w:kern w:val="2"/>
                <w:sz w:val="21"/>
                <w:szCs w:val="21"/>
                <w:vertAlign w:val="baseline"/>
                <w:lang w:val="en-US" w:eastAsia="zh-CN" w:bidi="ar-SA"/>
              </w:rPr>
            </w:pPr>
            <w:r>
              <w:rPr>
                <w:rFonts w:hint="eastAsia" w:ascii="Times New Roman" w:hAnsi="Times New Roman" w:cs="Times New Roman"/>
                <w:bCs w:val="0"/>
                <w:color w:val="auto"/>
                <w:kern w:val="2"/>
                <w:sz w:val="21"/>
                <w:szCs w:val="21"/>
                <w:vertAlign w:val="baseline"/>
                <w:lang w:val="en-US" w:eastAsia="zh-CN"/>
              </w:rPr>
              <w:t>3月29日</w:t>
            </w:r>
          </w:p>
        </w:tc>
        <w:tc>
          <w:tcPr>
            <w:tcW w:w="433"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eastAsia" w:ascii="Times New Roman" w:hAnsi="Times New Roman" w:cs="Times New Roman"/>
                <w:b w:val="0"/>
                <w:bCs w:val="0"/>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gridSpan w:val="2"/>
            <w:tcBorders>
              <w:tl2br w:val="nil"/>
              <w:tr2bl w:val="nil"/>
            </w:tcBorders>
            <w:noWrap w:val="0"/>
            <w:vAlign w:val="center"/>
          </w:tcPr>
          <w:p>
            <w:pPr>
              <w:pStyle w:val="147"/>
              <w:pageBreakBefore w:val="0"/>
              <w:kinsoku/>
              <w:wordWrap/>
              <w:overflowPunct w:val="0"/>
              <w:topLinePunct/>
              <w:autoSpaceDE w:val="0"/>
              <w:autoSpaceDN w:val="0"/>
              <w:bidi w:val="0"/>
              <w:snapToGrid w:val="0"/>
              <w:spacing w:line="240" w:lineRule="auto"/>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lang w:val="en-US" w:eastAsia="zh-CN" w:bidi="ar-SA"/>
              </w:rPr>
              <w:t>水位</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6</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w:t>
            </w:r>
          </w:p>
        </w:tc>
        <w:tc>
          <w:tcPr>
            <w:tcW w:w="436"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w:t>
            </w:r>
          </w:p>
        </w:tc>
        <w:tc>
          <w:tcPr>
            <w:tcW w:w="437"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w:t>
            </w:r>
          </w:p>
        </w:tc>
        <w:tc>
          <w:tcPr>
            <w:tcW w:w="43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m</w:t>
            </w:r>
          </w:p>
        </w:tc>
      </w:tr>
    </w:tbl>
    <w:p>
      <w:pPr>
        <w:pageBreakBefore w:val="0"/>
        <w:kinsoku/>
        <w:wordWrap/>
        <w:overflowPunct w:val="0"/>
        <w:topLinePunct/>
        <w:autoSpaceDE w:val="0"/>
        <w:autoSpaceDN w:val="0"/>
        <w:bidi w:val="0"/>
        <w:spacing w:line="360" w:lineRule="auto"/>
        <w:ind w:left="0" w:leftChars="0" w:right="0" w:rightChars="0" w:firstLine="0" w:firstLineChars="0"/>
        <w:jc w:val="center"/>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eastAsia="zh-CN"/>
        </w:rPr>
        <w:t>表</w:t>
      </w:r>
      <w:r>
        <w:rPr>
          <w:rFonts w:hint="eastAsia" w:ascii="Times New Roman" w:hAnsi="Times New Roman" w:eastAsia="宋体" w:cs="Times New Roman"/>
          <w:b/>
          <w:bCs/>
          <w:color w:val="auto"/>
          <w:sz w:val="24"/>
          <w:szCs w:val="24"/>
          <w:u w:val="none" w:color="auto"/>
          <w:lang w:val="en-US" w:eastAsia="zh-CN"/>
        </w:rPr>
        <w:t>4.3-8地下水</w:t>
      </w:r>
      <w:r>
        <w:rPr>
          <w:rFonts w:hint="eastAsia" w:ascii="Times New Roman" w:hAnsi="Times New Roman" w:eastAsia="宋体" w:cs="Times New Roman"/>
          <w:b/>
          <w:bCs/>
          <w:color w:val="auto"/>
          <w:sz w:val="24"/>
          <w:szCs w:val="24"/>
          <w:u w:val="none" w:color="auto"/>
          <w:lang w:eastAsia="zh-CN"/>
        </w:rPr>
        <w:t>水质监测情况</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633"/>
        <w:gridCol w:w="694"/>
        <w:gridCol w:w="745"/>
        <w:gridCol w:w="694"/>
        <w:gridCol w:w="670"/>
        <w:gridCol w:w="758"/>
        <w:gridCol w:w="594"/>
        <w:gridCol w:w="820"/>
        <w:gridCol w:w="720"/>
        <w:gridCol w:w="659"/>
        <w:gridCol w:w="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1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监测</w:t>
            </w:r>
            <w:r>
              <w:rPr>
                <w:rFonts w:hint="default" w:ascii="Times New Roman" w:hAnsi="Times New Roman" w:eastAsia="宋体" w:cs="Times New Roman"/>
                <w:b/>
                <w:bCs/>
                <w:color w:val="auto"/>
                <w:kern w:val="2"/>
                <w:sz w:val="21"/>
                <w:szCs w:val="21"/>
                <w:highlight w:val="none"/>
                <w:lang w:val="en-US" w:eastAsia="zh-CN" w:bidi="ar-SA"/>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r>
              <w:rPr>
                <w:rFonts w:hint="eastAsia" w:cs="Times New Roman"/>
                <w:color w:val="auto"/>
                <w:kern w:val="2"/>
                <w:sz w:val="21"/>
                <w:szCs w:val="21"/>
                <w:lang w:eastAsia="zh-CN"/>
              </w:rPr>
              <w:t>监测</w:t>
            </w:r>
            <w:r>
              <w:rPr>
                <w:rFonts w:hint="default" w:ascii="Times New Roman" w:hAnsi="Times New Roman" w:cs="Times New Roman"/>
                <w:color w:val="auto"/>
                <w:kern w:val="2"/>
                <w:sz w:val="21"/>
                <w:szCs w:val="21"/>
                <w:lang w:eastAsia="zh-CN"/>
              </w:rPr>
              <w:t>项目</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D1</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D2</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D3</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D1</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D3</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D2</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D3</w:t>
            </w:r>
          </w:p>
        </w:tc>
        <w:tc>
          <w:tcPr>
            <w:tcW w:w="386"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kern w:val="2"/>
                <w:sz w:val="21"/>
                <w:szCs w:val="21"/>
                <w:vertAlign w:val="baseline"/>
                <w:lang w:val="en-US" w:eastAsia="zh-CN" w:bidi="ar-SA"/>
              </w:rPr>
              <w:t>标准限值</w:t>
            </w:r>
          </w:p>
        </w:tc>
        <w:tc>
          <w:tcPr>
            <w:tcW w:w="530" w:type="pct"/>
            <w:vMerge w:val="restar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计量</w:t>
            </w:r>
            <w:r>
              <w:rPr>
                <w:rFonts w:hint="default" w:ascii="Times New Roman" w:hAnsi="Times New Roman" w:eastAsia="宋体" w:cs="Times New Roman"/>
                <w:color w:val="auto"/>
                <w:kern w:val="2"/>
                <w:sz w:val="21"/>
                <w:szCs w:val="21"/>
                <w:vertAlign w:val="baseline"/>
                <w:lang w:eastAsia="zh-CN"/>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p>
        </w:tc>
        <w:tc>
          <w:tcPr>
            <w:tcW w:w="1214"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3月27日监测结果</w:t>
            </w:r>
          </w:p>
        </w:tc>
        <w:tc>
          <w:tcPr>
            <w:tcW w:w="1243"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lang w:val="en-US" w:eastAsia="zh-CN"/>
              </w:rPr>
              <w:t>3月28日监测结果</w:t>
            </w:r>
          </w:p>
        </w:tc>
        <w:tc>
          <w:tcPr>
            <w:tcW w:w="1250"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lang w:val="en-US" w:eastAsia="zh-CN"/>
              </w:rPr>
              <w:t>3月29日监测结果</w:t>
            </w:r>
          </w:p>
        </w:tc>
        <w:tc>
          <w:tcPr>
            <w:tcW w:w="386"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p>
        </w:tc>
        <w:tc>
          <w:tcPr>
            <w:tcW w:w="530" w:type="pct"/>
            <w:vMerge w:val="continue"/>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spacing w:line="240" w:lineRule="auto"/>
              <w:ind w:firstLine="0" w:firstLineChars="0"/>
              <w:jc w:val="center"/>
              <w:rPr>
                <w:rFonts w:hint="default" w:ascii="Times New Roman" w:hAnsi="Times New Roman" w:cs="Times New Roman"/>
                <w:b w:val="0"/>
                <w:bCs w:val="0"/>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sz w:val="21"/>
                <w:szCs w:val="21"/>
                <w:lang w:val="en-US" w:eastAsia="zh-CN" w:bidi="ar-SA"/>
              </w:rPr>
              <w:t>钾</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0.750</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1.20</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0.470</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0.680</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1.06</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0.690</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0.820</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1.14</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0.490</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kern w:val="2"/>
                <w:sz w:val="21"/>
                <w:szCs w:val="21"/>
                <w:lang w:val="en-US" w:eastAsia="zh-CN" w:bidi="ar-SA"/>
              </w:rPr>
              <w:t>钠</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10.3</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13.8</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4.50</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9.61</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6.88</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5.29</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11.5</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8.33</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6.22</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vertAlign w:val="baseline"/>
                <w:lang w:val="en-US" w:eastAsia="zh-CN"/>
              </w:rPr>
              <w:t>钙</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96.4</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6.24</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18.8</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99.2</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14.1</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26.0</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103.8</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14.5</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24.4</w:t>
            </w:r>
          </w:p>
        </w:tc>
        <w:tc>
          <w:tcPr>
            <w:tcW w:w="386" w:type="pc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vertAlign w:val="baseline"/>
                <w:lang w:val="en-US" w:eastAsia="zh-CN"/>
              </w:rPr>
              <w:t>镁</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16.3</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3.84</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6.07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15.9</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3.32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6.37</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17.1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3.78</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8.32</w:t>
            </w:r>
          </w:p>
        </w:tc>
        <w:tc>
          <w:tcPr>
            <w:tcW w:w="386" w:type="pc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vertAlign w:val="baseline"/>
                <w:lang w:val="en-US" w:eastAsia="zh-CN"/>
              </w:rPr>
              <w:t>碳酸根</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vertAlign w:val="baseline"/>
                <w:lang w:val="en-US" w:eastAsia="zh-CN"/>
              </w:rPr>
              <w:t>重碳酸根</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177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144</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169</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149</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160</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152</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165</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lang w:val="en-US" w:eastAsia="zh-CN"/>
              </w:rPr>
              <w:t>氯化物</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17.5</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5.30</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2.86</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17.9</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5.32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2.86</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17.9</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5.34</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2.86</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250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vertAlign w:val="baseline"/>
                <w:lang w:val="en-US" w:eastAsia="zh-CN"/>
              </w:rPr>
              <w:t>硫酸盐</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138</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16.9</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6.13</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144</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17.0</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6.13</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161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17.0</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6.12</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250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lang w:val="en-US" w:eastAsia="zh-CN"/>
              </w:rPr>
              <w:t>pH值</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7.12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7.15</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7.17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7.13</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7.17</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7.19</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7.11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7.15</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7.17</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6.5</w:t>
            </w:r>
            <w:r>
              <w:rPr>
                <w:rFonts w:hint="default" w:ascii="Times New Roman" w:hAnsi="Times New Roman" w:cs="Times New Roman"/>
                <w:color w:val="auto"/>
                <w:spacing w:val="-6"/>
                <w:sz w:val="21"/>
                <w:szCs w:val="21"/>
                <w:lang w:val="en-US" w:eastAsia="zh-CN"/>
              </w:rPr>
              <w:t>≤</w:t>
            </w:r>
            <w:r>
              <w:rPr>
                <w:rFonts w:hint="eastAsia" w:ascii="Times New Roman" w:hAnsi="Times New Roman" w:cs="Times New Roman"/>
                <w:color w:val="auto"/>
                <w:spacing w:val="-6"/>
                <w:sz w:val="21"/>
                <w:szCs w:val="21"/>
                <w:lang w:val="en-US" w:eastAsia="zh-CN"/>
              </w:rPr>
              <w:t>pH</w:t>
            </w:r>
            <w:r>
              <w:rPr>
                <w:rFonts w:hint="default" w:ascii="Times New Roman" w:hAnsi="Times New Roman" w:cs="Times New Roman"/>
                <w:color w:val="auto"/>
                <w:spacing w:val="-6"/>
                <w:sz w:val="21"/>
                <w:szCs w:val="21"/>
                <w:lang w:val="en-US" w:eastAsia="zh-CN"/>
              </w:rPr>
              <w:t>≤</w:t>
            </w:r>
            <w:r>
              <w:rPr>
                <w:rFonts w:hint="eastAsia" w:ascii="Times New Roman" w:hAnsi="Times New Roman" w:cs="Times New Roman"/>
                <w:color w:val="auto"/>
                <w:spacing w:val="-6"/>
                <w:sz w:val="21"/>
                <w:szCs w:val="21"/>
                <w:lang w:val="en-US" w:eastAsia="zh-CN"/>
              </w:rPr>
              <w:t>8.5</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水温</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17.1</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17.3</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17.5</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17.3</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17.7</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18.0</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17.1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17.5</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17.7</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lang w:val="en-US" w:eastAsia="zh-CN"/>
              </w:rPr>
              <w:t>氨氮</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0.454</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0.231</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0.311</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0.493</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0.293</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0.367</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0.482</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0.287</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0.361</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0.50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lang w:val="en-US" w:eastAsia="zh-CN"/>
              </w:rPr>
              <w:t>硝酸盐</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0.482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4.02</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3.15</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0.434</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4.02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3.16</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0.451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4.04</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3.16</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lang w:val="en-US" w:eastAsia="zh-CN"/>
              </w:rPr>
              <w:t>亚硝酸盐</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0.091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lang w:val="en-US" w:eastAsia="zh-CN"/>
              </w:rPr>
              <w:t>挥发性酚类</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0.002</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lang w:val="en-US" w:eastAsia="zh-CN"/>
              </w:rPr>
              <w:t>氰化物</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0.05</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砷</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7×10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1.2</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3</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4</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1.2</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3</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6</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4</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1.1</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w:t>
            </w:r>
            <w:r>
              <w:rPr>
                <w:rFonts w:hint="eastAsia" w:ascii="Times New Roman" w:hAnsi="Times New Roman" w:eastAsia="宋体" w:cs="Times New Roman"/>
                <w:b w:val="0"/>
                <w:color w:val="auto"/>
                <w:kern w:val="2"/>
                <w:sz w:val="21"/>
                <w:szCs w:val="21"/>
                <w:vertAlign w:val="superscript"/>
                <w:lang w:val="en-US" w:eastAsia="zh-CN" w:bidi="ar-SA"/>
              </w:rPr>
              <w:t>4</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0.01</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cs="Times New Roman"/>
                <w:b w:val="0"/>
                <w:bCs w:val="0"/>
                <w:color w:val="auto"/>
                <w:kern w:val="2"/>
                <w:sz w:val="21"/>
                <w:szCs w:val="21"/>
                <w:lang w:val="en-US" w:eastAsia="zh-CN" w:bidi="ar-SA"/>
              </w:rPr>
              <w:t>汞</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3.2</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3.4</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3.1</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3.2</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3.4</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3.1</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3.1</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3.3</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2.9</w:t>
            </w:r>
            <w:r>
              <w:rPr>
                <w:rFonts w:hint="default" w:ascii="Times New Roman" w:hAnsi="Times New Roman" w:eastAsia="宋体" w:cs="Times New Roman"/>
                <w:b w:val="0"/>
                <w:color w:val="auto"/>
                <w:kern w:val="2"/>
                <w:sz w:val="21"/>
                <w:szCs w:val="21"/>
                <w:lang w:val="en-US" w:eastAsia="zh-CN" w:bidi="ar-SA"/>
              </w:rPr>
              <w:t>×10</w:t>
            </w:r>
            <w:r>
              <w:rPr>
                <w:rFonts w:hint="default" w:ascii="Times New Roman" w:hAnsi="Times New Roman" w:eastAsia="宋体" w:cs="Times New Roman"/>
                <w:b w:val="0"/>
                <w:color w:val="auto"/>
                <w:kern w:val="2"/>
                <w:sz w:val="21"/>
                <w:szCs w:val="21"/>
                <w:vertAlign w:val="superscript"/>
                <w:lang w:val="en-US" w:eastAsia="zh-CN" w:bidi="ar-SA"/>
              </w:rPr>
              <w:t>-4</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0.001</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cs="Times New Roman"/>
                <w:b w:val="0"/>
                <w:bCs w:val="0"/>
                <w:color w:val="auto"/>
                <w:sz w:val="21"/>
                <w:szCs w:val="22"/>
                <w:lang w:val="en-US" w:eastAsia="zh-CN"/>
              </w:rPr>
              <w:t>六价铬</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0.010</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0.010</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0.011</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0.010</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0.014</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0.010</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0.010</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0.012</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0.05</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tabs>
                <w:tab w:val="left" w:pos="3210"/>
                <w:tab w:val="center" w:pos="4500"/>
              </w:tabs>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总硬度</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107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51</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372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103</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49</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366</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105</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49</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369</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450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sz w:val="21"/>
                <w:szCs w:val="21"/>
                <w:lang w:val="en-US" w:eastAsia="zh-CN" w:bidi="ar-SA"/>
              </w:rPr>
              <w:t>铅</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0.01</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氟化物</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0.211</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0.079</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0.237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0.213</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0.0.73</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0.243</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0.165</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0.077</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0.243</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镉</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0.005</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铁</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0.18</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0.19</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0.18</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0.3</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锰</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0.09</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0.07</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0.09</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0.07</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0.09</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0.10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溶解性总固体</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311</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47</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77</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301</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53</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82</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306</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44</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83</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耗氧量</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2.88</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2.79</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2.88</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2.96</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2.82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2.86</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2.91</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2.72</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2.78</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总大肠菌群</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&lt;2</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&lt;2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&lt;2</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&lt;2</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&lt;2</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snapToGrid w:val="0"/>
                <w:color w:val="auto"/>
                <w:spacing w:val="-11"/>
                <w:sz w:val="21"/>
                <w:szCs w:val="21"/>
                <w:lang w:val="en-US" w:eastAsia="zh-CN"/>
              </w:rPr>
              <w:t>CFU/100mL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细菌总数</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54</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47</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50</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60</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44</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54</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42</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47</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CFU/mL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锌</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铜</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铝</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ND</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0.20</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水位</w:t>
            </w:r>
          </w:p>
        </w:tc>
        <w:tc>
          <w:tcPr>
            <w:tcW w:w="37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3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06"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392"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444"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w:t>
            </w:r>
          </w:p>
        </w:tc>
        <w:tc>
          <w:tcPr>
            <w:tcW w:w="34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80"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421"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w:t>
            </w:r>
          </w:p>
        </w:tc>
        <w:tc>
          <w:tcPr>
            <w:tcW w:w="386"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30"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spacing w:line="240" w:lineRule="auto"/>
              <w:jc w:val="center"/>
              <w:textAlignment w:val="center"/>
              <w:rPr>
                <w:rFonts w:hint="default" w:ascii="Times New Roman" w:hAnsi="Times New Roman"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kern w:val="2"/>
                <w:sz w:val="21"/>
                <w:szCs w:val="21"/>
                <w:vertAlign w:val="baseline"/>
                <w:lang w:val="en-US" w:eastAsia="zh-CN" w:bidi="ar-SA"/>
              </w:rPr>
              <w:t>限值来源</w:t>
            </w:r>
          </w:p>
        </w:tc>
        <w:tc>
          <w:tcPr>
            <w:tcW w:w="4626" w:type="pct"/>
            <w:gridSpan w:val="11"/>
            <w:tcBorders>
              <w:tl2br w:val="nil"/>
              <w:tr2bl w:val="nil"/>
            </w:tcBorders>
            <w:noWrap w:val="0"/>
            <w:vAlign w:val="center"/>
          </w:tcPr>
          <w:p>
            <w:pPr>
              <w:pStyle w:val="420"/>
              <w:keepNext w:val="0"/>
              <w:keepLines w:val="0"/>
              <w:pageBreakBefore w:val="0"/>
              <w:widowControl w:val="0"/>
              <w:kinsoku/>
              <w:wordWrap/>
              <w:overflowPunct w:val="0"/>
              <w:topLinePunct/>
              <w:autoSpaceDE w:val="0"/>
              <w:autoSpaceDN w:val="0"/>
              <w:bidi w:val="0"/>
              <w:adjustRightInd/>
              <w:snapToGrid w:val="0"/>
              <w:spacing w:before="0" w:after="0" w:line="240" w:lineRule="auto"/>
              <w:ind w:left="0" w:leftChars="0" w:firstLine="0" w:firstLineChars="0"/>
              <w:jc w:val="left"/>
              <w:rPr>
                <w:rFonts w:hint="default" w:ascii="Times New Roman" w:hAnsi="Times New Roman" w:cs="Times New Roman"/>
                <w:b/>
                <w:bCs w:val="0"/>
                <w:color w:val="auto"/>
                <w:kern w:val="2"/>
                <w:sz w:val="21"/>
                <w:szCs w:val="21"/>
                <w:vertAlign w:val="baseline"/>
                <w:lang w:val="en-US" w:eastAsia="zh-CN" w:bidi="ar-SA"/>
              </w:rPr>
            </w:pPr>
            <w:r>
              <w:rPr>
                <w:rFonts w:hint="default" w:ascii="Times New Roman" w:hAnsi="Times New Roman" w:cs="Times New Roman"/>
                <w:b w:val="0"/>
                <w:color w:val="auto"/>
                <w:sz w:val="21"/>
                <w:szCs w:val="21"/>
                <w:lang w:val="en-US" w:eastAsia="zh-CN"/>
              </w:rPr>
              <w:t>限值参考</w:t>
            </w:r>
            <w:r>
              <w:rPr>
                <w:rFonts w:hint="eastAsia" w:ascii="Times New Roman" w:hAnsi="Times New Roman" w:cs="Times New Roman"/>
                <w:b w:val="0"/>
                <w:color w:val="auto"/>
                <w:sz w:val="21"/>
                <w:szCs w:val="21"/>
                <w:lang w:val="en-US" w:eastAsia="zh-CN"/>
              </w:rPr>
              <w:t>《地下水质量标准》（GB/T14848-2017</w:t>
            </w:r>
            <w:r>
              <w:rPr>
                <w:rFonts w:hint="default" w:ascii="Times New Roman" w:hAnsi="Times New Roman" w:cs="Times New Roman"/>
                <w:b w:val="0"/>
                <w:color w:val="auto"/>
                <w:sz w:val="21"/>
                <w:szCs w:val="21"/>
                <w:lang w:val="en-US" w:eastAsia="zh-CN"/>
              </w:rPr>
              <w:t>）Ⅲ类标准限值。</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pacing w:val="10"/>
          <w:sz w:val="24"/>
          <w:szCs w:val="24"/>
          <w:u w:val="none" w:color="auto"/>
        </w:rPr>
        <w:t>通过上表可知，布设的</w:t>
      </w:r>
      <w:r>
        <w:rPr>
          <w:rFonts w:hint="eastAsia" w:ascii="Times New Roman" w:hAnsi="Times New Roman" w:eastAsia="宋体" w:cs="Times New Roman"/>
          <w:color w:val="auto"/>
          <w:spacing w:val="6"/>
          <w:sz w:val="24"/>
          <w:szCs w:val="24"/>
          <w:u w:val="none" w:color="auto"/>
          <w:lang w:val="en-US" w:eastAsia="zh-CN"/>
        </w:rPr>
        <w:t>3</w:t>
      </w:r>
      <w:r>
        <w:rPr>
          <w:rFonts w:hint="default" w:ascii="Times New Roman" w:hAnsi="Times New Roman" w:eastAsia="宋体" w:cs="Times New Roman"/>
          <w:color w:val="auto"/>
          <w:spacing w:val="5"/>
          <w:sz w:val="24"/>
          <w:szCs w:val="24"/>
          <w:u w:val="none" w:color="auto"/>
        </w:rPr>
        <w:t>个地下水水质监测点各监测因子均达到《地下水环境质量标准》(</w:t>
      </w:r>
      <w:r>
        <w:rPr>
          <w:rFonts w:hint="default" w:ascii="Times New Roman" w:hAnsi="Times New Roman" w:eastAsia="宋体" w:cs="Times New Roman"/>
          <w:color w:val="auto"/>
          <w:sz w:val="24"/>
          <w:szCs w:val="24"/>
          <w:u w:val="none" w:color="auto"/>
        </w:rPr>
        <w:t>GB</w:t>
      </w:r>
      <w:r>
        <w:rPr>
          <w:rFonts w:hint="default" w:ascii="Times New Roman" w:hAnsi="Times New Roman" w:eastAsia="宋体" w:cs="Times New Roman"/>
          <w:color w:val="auto"/>
          <w:spacing w:val="5"/>
          <w:sz w:val="24"/>
          <w:szCs w:val="24"/>
          <w:u w:val="none" w:color="auto"/>
        </w:rPr>
        <w:t>/</w:t>
      </w:r>
      <w:r>
        <w:rPr>
          <w:rFonts w:hint="default" w:ascii="Times New Roman" w:hAnsi="Times New Roman" w:eastAsia="宋体" w:cs="Times New Roman"/>
          <w:color w:val="auto"/>
          <w:sz w:val="24"/>
          <w:szCs w:val="24"/>
          <w:u w:val="none" w:color="auto"/>
        </w:rPr>
        <w:t>T</w:t>
      </w:r>
      <w:r>
        <w:rPr>
          <w:rFonts w:hint="default" w:ascii="Times New Roman" w:hAnsi="Times New Roman" w:eastAsia="宋体" w:cs="Times New Roman"/>
          <w:color w:val="auto"/>
          <w:spacing w:val="5"/>
          <w:sz w:val="24"/>
          <w:szCs w:val="24"/>
          <w:u w:val="none" w:color="auto"/>
        </w:rPr>
        <w:t>14848-2017)中的</w:t>
      </w:r>
      <w:r>
        <w:rPr>
          <w:rFonts w:hint="default" w:ascii="Times New Roman" w:hAnsi="Times New Roman" w:eastAsia="宋体" w:cs="Times New Roman"/>
          <w:color w:val="auto"/>
          <w:sz w:val="24"/>
          <w:szCs w:val="24"/>
          <w:u w:val="none" w:color="auto"/>
        </w:rPr>
        <w:t>III</w:t>
      </w:r>
      <w:r>
        <w:rPr>
          <w:rFonts w:hint="default" w:ascii="Times New Roman" w:hAnsi="Times New Roman" w:eastAsia="宋体" w:cs="Times New Roman"/>
          <w:color w:val="auto"/>
          <w:spacing w:val="5"/>
          <w:sz w:val="24"/>
          <w:szCs w:val="24"/>
          <w:u w:val="none" w:color="auto"/>
        </w:rPr>
        <w:t>类水质标准</w:t>
      </w:r>
      <w:r>
        <w:rPr>
          <w:rFonts w:hint="default" w:ascii="Times New Roman" w:hAnsi="Times New Roman" w:eastAsia="宋体" w:cs="Times New Roman"/>
          <w:color w:val="auto"/>
          <w:spacing w:val="16"/>
          <w:sz w:val="24"/>
          <w:szCs w:val="24"/>
          <w:u w:val="none" w:color="auto"/>
        </w:rPr>
        <w:t>要</w:t>
      </w:r>
      <w:r>
        <w:rPr>
          <w:rFonts w:hint="default" w:ascii="Times New Roman" w:hAnsi="Times New Roman" w:eastAsia="宋体" w:cs="Times New Roman"/>
          <w:color w:val="auto"/>
          <w:spacing w:val="9"/>
          <w:sz w:val="24"/>
          <w:szCs w:val="24"/>
          <w:u w:val="none" w:color="auto"/>
        </w:rPr>
        <w:t>求</w:t>
      </w:r>
      <w:r>
        <w:rPr>
          <w:rFonts w:hint="default" w:ascii="Times New Roman" w:hAnsi="Times New Roman" w:eastAsia="宋体" w:cs="Times New Roman"/>
          <w:color w:val="auto"/>
          <w:spacing w:val="8"/>
          <w:sz w:val="24"/>
          <w:szCs w:val="24"/>
          <w:u w:val="none" w:color="auto"/>
        </w:rPr>
        <w:t>，区域地下水环境质量较好。</w:t>
      </w:r>
    </w:p>
    <w:p>
      <w:pPr>
        <w:pStyle w:val="7"/>
        <w:bidi w:val="0"/>
        <w:rPr>
          <w:rFonts w:hint="default"/>
          <w:color w:val="auto"/>
        </w:rPr>
      </w:pPr>
      <w:bookmarkStart w:id="187" w:name="_bookmark80"/>
      <w:bookmarkEnd w:id="187"/>
      <w:bookmarkStart w:id="188" w:name="_Toc10515"/>
      <w:r>
        <w:rPr>
          <w:rFonts w:hint="default"/>
          <w:color w:val="auto"/>
        </w:rPr>
        <w:t>4.</w:t>
      </w:r>
      <w:r>
        <w:rPr>
          <w:rFonts w:hint="eastAsia"/>
          <w:color w:val="auto"/>
          <w:lang w:val="en-US" w:eastAsia="zh-CN"/>
        </w:rPr>
        <w:t>3</w:t>
      </w:r>
      <w:r>
        <w:rPr>
          <w:rFonts w:hint="default"/>
          <w:color w:val="auto"/>
        </w:rPr>
        <w:t>.4声环境质量现状调查与评价</w:t>
      </w:r>
      <w:bookmarkEnd w:id="188"/>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1、监测点位</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为了解本项目</w:t>
      </w:r>
      <w:r>
        <w:rPr>
          <w:rFonts w:hint="eastAsia" w:ascii="Times New Roman" w:hAnsi="Times New Roman" w:eastAsia="宋体" w:cs="Times New Roman"/>
          <w:color w:val="auto"/>
          <w:spacing w:val="10"/>
          <w:sz w:val="24"/>
          <w:szCs w:val="24"/>
          <w:u w:val="none" w:color="auto"/>
          <w:lang w:eastAsia="zh-CN"/>
        </w:rPr>
        <w:t>区域声环境质量现状</w:t>
      </w:r>
      <w:r>
        <w:rPr>
          <w:rFonts w:hint="default" w:ascii="Times New Roman" w:hAnsi="Times New Roman" w:eastAsia="宋体" w:cs="Times New Roman"/>
          <w:color w:val="auto"/>
          <w:spacing w:val="10"/>
          <w:sz w:val="24"/>
          <w:szCs w:val="24"/>
          <w:u w:val="none" w:color="auto"/>
        </w:rPr>
        <w:t>，本次评价委托湖南昌源环境科技有限公司于2022年3月27日~2</w:t>
      </w:r>
      <w:r>
        <w:rPr>
          <w:rFonts w:hint="eastAsia" w:ascii="Times New Roman" w:hAnsi="Times New Roman" w:eastAsia="宋体" w:cs="Times New Roman"/>
          <w:color w:val="auto"/>
          <w:spacing w:val="10"/>
          <w:sz w:val="24"/>
          <w:szCs w:val="24"/>
          <w:u w:val="none" w:color="auto"/>
          <w:lang w:val="en-US" w:eastAsia="zh-CN"/>
        </w:rPr>
        <w:t>8</w:t>
      </w:r>
      <w:r>
        <w:rPr>
          <w:rFonts w:hint="default" w:ascii="Times New Roman" w:hAnsi="Times New Roman" w:eastAsia="宋体" w:cs="Times New Roman"/>
          <w:color w:val="auto"/>
          <w:spacing w:val="10"/>
          <w:sz w:val="24"/>
          <w:szCs w:val="24"/>
          <w:u w:val="none" w:color="auto"/>
        </w:rPr>
        <w:t>日连续天对项目</w:t>
      </w:r>
      <w:r>
        <w:rPr>
          <w:rFonts w:hint="eastAsia" w:ascii="Times New Roman" w:hAnsi="Times New Roman" w:eastAsia="宋体" w:cs="Times New Roman"/>
          <w:color w:val="auto"/>
          <w:spacing w:val="10"/>
          <w:sz w:val="24"/>
          <w:szCs w:val="24"/>
          <w:u w:val="none" w:color="auto"/>
          <w:lang w:eastAsia="zh-CN"/>
        </w:rPr>
        <w:t>厂界声环境</w:t>
      </w:r>
      <w:r>
        <w:rPr>
          <w:rFonts w:hint="default" w:ascii="Times New Roman" w:hAnsi="Times New Roman" w:eastAsia="宋体" w:cs="Times New Roman"/>
          <w:color w:val="auto"/>
          <w:spacing w:val="10"/>
          <w:sz w:val="24"/>
          <w:szCs w:val="24"/>
          <w:u w:val="none" w:color="auto"/>
        </w:rPr>
        <w:t>现状监测</w:t>
      </w:r>
      <w:r>
        <w:rPr>
          <w:rFonts w:hint="eastAsia" w:ascii="Times New Roman" w:hAnsi="Times New Roman" w:eastAsia="宋体" w:cs="Times New Roman"/>
          <w:color w:val="auto"/>
          <w:spacing w:val="10"/>
          <w:sz w:val="24"/>
          <w:szCs w:val="24"/>
          <w:u w:val="none" w:color="auto"/>
          <w:lang w:eastAsia="zh-CN"/>
        </w:rPr>
        <w:t>进行了监测</w:t>
      </w:r>
      <w:r>
        <w:rPr>
          <w:rFonts w:hint="default" w:ascii="Times New Roman" w:hAnsi="Times New Roman" w:eastAsia="宋体" w:cs="Times New Roman"/>
          <w:color w:val="auto"/>
          <w:spacing w:val="10"/>
          <w:sz w:val="24"/>
          <w:szCs w:val="24"/>
          <w:u w:val="none" w:color="auto"/>
        </w:rPr>
        <w:t>。本项目声环境现状监测共布设4个监测点，详见下表。</w:t>
      </w:r>
    </w:p>
    <w:p>
      <w:pPr>
        <w:pageBreakBefore w:val="0"/>
        <w:kinsoku/>
        <w:wordWrap/>
        <w:overflowPunct w:val="0"/>
        <w:topLinePunct/>
        <w:autoSpaceDE w:val="0"/>
        <w:autoSpaceDN w:val="0"/>
        <w:bidi w:val="0"/>
        <w:spacing w:line="360" w:lineRule="auto"/>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z w:val="24"/>
          <w:szCs w:val="24"/>
          <w:u w:val="none" w:color="auto"/>
          <w:lang w:eastAsia="zh-CN"/>
        </w:rPr>
        <w:t>表4.</w:t>
      </w:r>
      <w:r>
        <w:rPr>
          <w:rFonts w:hint="eastAsia" w:ascii="Times New Roman" w:hAnsi="Times New Roman" w:eastAsia="宋体" w:cs="Times New Roman"/>
          <w:b/>
          <w:bCs/>
          <w:color w:val="auto"/>
          <w:sz w:val="24"/>
          <w:szCs w:val="24"/>
          <w:u w:val="none" w:color="auto"/>
          <w:lang w:val="en-US" w:eastAsia="zh-CN"/>
        </w:rPr>
        <w:t>3-9</w:t>
      </w:r>
      <w:r>
        <w:rPr>
          <w:rFonts w:hint="default" w:ascii="Times New Roman" w:hAnsi="Times New Roman" w:eastAsia="宋体" w:cs="Times New Roman"/>
          <w:b/>
          <w:bCs/>
          <w:color w:val="auto"/>
          <w:sz w:val="24"/>
          <w:szCs w:val="24"/>
          <w:u w:val="none" w:color="auto"/>
          <w:lang w:eastAsia="zh-CN"/>
        </w:rPr>
        <w:t>噪声监测点布设一览表</w:t>
      </w:r>
    </w:p>
    <w:tbl>
      <w:tblPr>
        <w:tblStyle w:val="204"/>
        <w:tblW w:w="8819"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5031"/>
        <w:gridCol w:w="2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tcBorders>
              <w:top w:val="single" w:color="000000" w:sz="12" w:space="0"/>
              <w:left w:val="single" w:color="000000" w:sz="12"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编号</w:t>
            </w:r>
          </w:p>
        </w:tc>
        <w:tc>
          <w:tcPr>
            <w:tcW w:w="5031"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监测点</w:t>
            </w:r>
          </w:p>
        </w:tc>
        <w:tc>
          <w:tcPr>
            <w:tcW w:w="2886" w:type="dxa"/>
            <w:tcBorders>
              <w:top w:val="single" w:color="000000" w:sz="12" w:space="0"/>
              <w:left w:val="single" w:color="000000" w:sz="4" w:space="0"/>
              <w:bottom w:val="single" w:color="000000" w:sz="4" w:space="0"/>
              <w:right w:val="single" w:color="000000" w:sz="12"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声环境功能区划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N1</w:t>
            </w:r>
          </w:p>
        </w:tc>
        <w:tc>
          <w:tcPr>
            <w:tcW w:w="503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厂界东侧1米</w:t>
            </w:r>
          </w:p>
        </w:tc>
        <w:tc>
          <w:tcPr>
            <w:tcW w:w="2886"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3类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N2</w:t>
            </w:r>
          </w:p>
        </w:tc>
        <w:tc>
          <w:tcPr>
            <w:tcW w:w="503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厂界南侧1米</w:t>
            </w:r>
          </w:p>
        </w:tc>
        <w:tc>
          <w:tcPr>
            <w:tcW w:w="2886"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3类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N3</w:t>
            </w:r>
          </w:p>
        </w:tc>
        <w:tc>
          <w:tcPr>
            <w:tcW w:w="503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厂界西侧1米</w:t>
            </w:r>
          </w:p>
        </w:tc>
        <w:tc>
          <w:tcPr>
            <w:tcW w:w="2886"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3类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tcBorders>
              <w:top w:val="single" w:color="000000" w:sz="4" w:space="0"/>
              <w:left w:val="single" w:color="000000" w:sz="12" w:space="0"/>
              <w:bottom w:val="single" w:color="000000" w:sz="12"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N4</w:t>
            </w:r>
          </w:p>
        </w:tc>
        <w:tc>
          <w:tcPr>
            <w:tcW w:w="5031" w:type="dxa"/>
            <w:tcBorders>
              <w:top w:val="single" w:color="000000" w:sz="4" w:space="0"/>
              <w:left w:val="single" w:color="000000" w:sz="4" w:space="0"/>
              <w:bottom w:val="single" w:color="000000" w:sz="12" w:space="0"/>
              <w:right w:val="single" w:color="000000" w:sz="4"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厂界北侧1米</w:t>
            </w:r>
          </w:p>
        </w:tc>
        <w:tc>
          <w:tcPr>
            <w:tcW w:w="2886" w:type="dxa"/>
            <w:tcBorders>
              <w:top w:val="single" w:color="000000" w:sz="4" w:space="0"/>
              <w:left w:val="single" w:color="000000" w:sz="4" w:space="0"/>
              <w:bottom w:val="single" w:color="000000" w:sz="12" w:space="0"/>
              <w:right w:val="single" w:color="000000" w:sz="12" w:space="0"/>
            </w:tcBorders>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3类</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2、监测因子</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等效连续A声级Leq(A)。</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3、监测时间及频次</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202</w:t>
      </w:r>
      <w:r>
        <w:rPr>
          <w:rFonts w:hint="eastAsia" w:ascii="Times New Roman" w:hAnsi="Times New Roman" w:eastAsia="宋体" w:cs="Times New Roman"/>
          <w:color w:val="auto"/>
          <w:spacing w:val="10"/>
          <w:sz w:val="24"/>
          <w:szCs w:val="24"/>
          <w:u w:val="none" w:color="auto"/>
          <w:lang w:val="en-US" w:eastAsia="zh-CN"/>
        </w:rPr>
        <w:t>3</w:t>
      </w:r>
      <w:r>
        <w:rPr>
          <w:rFonts w:hint="default" w:ascii="Times New Roman" w:hAnsi="Times New Roman" w:eastAsia="宋体" w:cs="Times New Roman"/>
          <w:color w:val="auto"/>
          <w:spacing w:val="10"/>
          <w:sz w:val="24"/>
          <w:szCs w:val="24"/>
          <w:u w:val="none" w:color="auto"/>
        </w:rPr>
        <w:t>年</w:t>
      </w:r>
      <w:r>
        <w:rPr>
          <w:rFonts w:hint="eastAsia" w:ascii="Times New Roman" w:hAnsi="Times New Roman" w:eastAsia="宋体" w:cs="Times New Roman"/>
          <w:color w:val="auto"/>
          <w:spacing w:val="10"/>
          <w:sz w:val="24"/>
          <w:szCs w:val="24"/>
          <w:u w:val="none" w:color="auto"/>
          <w:lang w:val="en-US" w:eastAsia="zh-CN"/>
        </w:rPr>
        <w:t>3</w:t>
      </w:r>
      <w:r>
        <w:rPr>
          <w:rFonts w:hint="default" w:ascii="Times New Roman" w:hAnsi="Times New Roman" w:eastAsia="宋体" w:cs="Times New Roman"/>
          <w:color w:val="auto"/>
          <w:spacing w:val="10"/>
          <w:sz w:val="24"/>
          <w:szCs w:val="24"/>
          <w:u w:val="none" w:color="auto"/>
        </w:rPr>
        <w:t>月</w:t>
      </w:r>
      <w:r>
        <w:rPr>
          <w:rFonts w:hint="eastAsia" w:ascii="Times New Roman" w:hAnsi="Times New Roman" w:eastAsia="宋体" w:cs="Times New Roman"/>
          <w:color w:val="auto"/>
          <w:spacing w:val="10"/>
          <w:sz w:val="24"/>
          <w:szCs w:val="24"/>
          <w:u w:val="none" w:color="auto"/>
          <w:lang w:val="en-US" w:eastAsia="zh-CN"/>
        </w:rPr>
        <w:t>27</w:t>
      </w:r>
      <w:r>
        <w:rPr>
          <w:rFonts w:hint="default" w:ascii="Times New Roman" w:hAnsi="Times New Roman" w:eastAsia="宋体" w:cs="Times New Roman"/>
          <w:color w:val="auto"/>
          <w:spacing w:val="10"/>
          <w:sz w:val="24"/>
          <w:szCs w:val="24"/>
          <w:u w:val="none" w:color="auto"/>
        </w:rPr>
        <w:t>日~</w:t>
      </w:r>
      <w:r>
        <w:rPr>
          <w:rFonts w:hint="eastAsia" w:ascii="Times New Roman" w:hAnsi="Times New Roman" w:eastAsia="宋体" w:cs="Times New Roman"/>
          <w:color w:val="auto"/>
          <w:spacing w:val="10"/>
          <w:sz w:val="24"/>
          <w:szCs w:val="24"/>
          <w:u w:val="none" w:color="auto"/>
          <w:lang w:val="en-US" w:eastAsia="zh-CN"/>
        </w:rPr>
        <w:t>28</w:t>
      </w:r>
      <w:r>
        <w:rPr>
          <w:rFonts w:hint="default" w:ascii="Times New Roman" w:hAnsi="Times New Roman" w:eastAsia="宋体" w:cs="Times New Roman"/>
          <w:color w:val="auto"/>
          <w:spacing w:val="10"/>
          <w:sz w:val="24"/>
          <w:szCs w:val="24"/>
          <w:u w:val="none" w:color="auto"/>
        </w:rPr>
        <w:t>日连续监测2天，每天昼间(6:00~22:00)、夜间(22:00~次日6:00)各监测1次。</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4、评价标准</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噪声现状评价采用《声环境质量标准》(GB3096-2008)中的3类标准。</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5、监测结果及分析</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各噪声监测结果及评价结果详见下表。</w:t>
      </w:r>
    </w:p>
    <w:p>
      <w:pPr>
        <w:pageBreakBefore w:val="0"/>
        <w:kinsoku/>
        <w:wordWrap/>
        <w:overflowPunct w:val="0"/>
        <w:topLinePunct/>
        <w:autoSpaceDE w:val="0"/>
        <w:autoSpaceDN w:val="0"/>
        <w:bidi w:val="0"/>
        <w:spacing w:line="360" w:lineRule="auto"/>
        <w:ind w:left="0" w:leftChars="0" w:right="0" w:rightChars="0" w:firstLine="0" w:firstLineChars="0"/>
        <w:jc w:val="center"/>
        <w:rPr>
          <w:rFonts w:hint="default" w:ascii="Times New Roman" w:hAnsi="Times New Roman" w:eastAsia="宋体" w:cs="Times New Roman"/>
          <w:b/>
          <w:bCs/>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表4.</w:t>
      </w:r>
      <w:r>
        <w:rPr>
          <w:rFonts w:hint="eastAsia" w:ascii="Times New Roman" w:hAnsi="Times New Roman" w:eastAsia="宋体" w:cs="Times New Roman"/>
          <w:b/>
          <w:bCs/>
          <w:color w:val="auto"/>
          <w:sz w:val="24"/>
          <w:szCs w:val="24"/>
          <w:u w:val="none" w:color="auto"/>
          <w:lang w:val="en-US" w:eastAsia="zh-CN"/>
        </w:rPr>
        <w:t>3-10</w:t>
      </w:r>
      <w:r>
        <w:rPr>
          <w:rFonts w:hint="default" w:ascii="Times New Roman" w:hAnsi="Times New Roman" w:eastAsia="宋体" w:cs="Times New Roman"/>
          <w:b/>
          <w:bCs/>
          <w:color w:val="auto"/>
          <w:sz w:val="24"/>
          <w:szCs w:val="24"/>
          <w:u w:val="none" w:color="auto"/>
          <w:lang w:eastAsia="zh-CN"/>
        </w:rPr>
        <w:t>环境噪声现状监测结果单位：dB(A)</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367"/>
        <w:gridCol w:w="1070"/>
        <w:gridCol w:w="950"/>
        <w:gridCol w:w="932"/>
        <w:gridCol w:w="933"/>
        <w:gridCol w:w="935"/>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restar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监测点位</w:t>
            </w:r>
          </w:p>
        </w:tc>
        <w:tc>
          <w:tcPr>
            <w:tcW w:w="801" w:type="pct"/>
            <w:vMerge w:val="restar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firstLine="0" w:firstLineChars="0"/>
              <w:textAlignment w:val="auto"/>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监测日期</w:t>
            </w:r>
          </w:p>
        </w:tc>
        <w:tc>
          <w:tcPr>
            <w:tcW w:w="1730" w:type="pct"/>
            <w:gridSpan w:val="3"/>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昼间</w:t>
            </w:r>
          </w:p>
        </w:tc>
        <w:tc>
          <w:tcPr>
            <w:tcW w:w="1615" w:type="pct"/>
            <w:gridSpan w:val="3"/>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rPr>
            </w:pPr>
          </w:p>
        </w:tc>
        <w:tc>
          <w:tcPr>
            <w:tcW w:w="801"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firstLine="0" w:firstLineChars="0"/>
              <w:textAlignment w:val="auto"/>
              <w:rPr>
                <w:rFonts w:hint="eastAsia" w:cs="Times New Roman"/>
                <w:color w:val="auto"/>
                <w:kern w:val="2"/>
                <w:sz w:val="21"/>
                <w:szCs w:val="21"/>
                <w:lang w:eastAsia="zh-CN"/>
              </w:rPr>
            </w:pPr>
          </w:p>
        </w:tc>
        <w:tc>
          <w:tcPr>
            <w:tcW w:w="62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监测结果</w:t>
            </w:r>
          </w:p>
        </w:tc>
        <w:tc>
          <w:tcPr>
            <w:tcW w:w="55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rPr>
              <w:t>标准限值</w:t>
            </w:r>
          </w:p>
        </w:tc>
        <w:tc>
          <w:tcPr>
            <w:tcW w:w="545"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cs="Times New Roman"/>
                <w:color w:val="auto"/>
                <w:kern w:val="2"/>
                <w:sz w:val="21"/>
                <w:szCs w:val="21"/>
                <w:lang w:val="en-US" w:eastAsia="zh-CN"/>
              </w:rPr>
            </w:pPr>
            <w:r>
              <w:rPr>
                <w:rFonts w:hint="eastAsia" w:cs="Times New Roman"/>
                <w:color w:val="auto"/>
                <w:kern w:val="2"/>
                <w:sz w:val="21"/>
                <w:szCs w:val="21"/>
                <w:lang w:val="en-US" w:eastAsia="zh-CN"/>
              </w:rPr>
              <w:t>是否</w:t>
            </w:r>
          </w:p>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达标</w:t>
            </w:r>
          </w:p>
        </w:tc>
        <w:tc>
          <w:tcPr>
            <w:tcW w:w="54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firstLine="0" w:firstLineChars="0"/>
              <w:textAlignment w:val="auto"/>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监测结果</w:t>
            </w:r>
          </w:p>
        </w:tc>
        <w:tc>
          <w:tcPr>
            <w:tcW w:w="548"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firstLine="0" w:firstLineChars="0"/>
              <w:textAlignment w:val="auto"/>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rPr>
              <w:t>标准限值</w:t>
            </w:r>
          </w:p>
        </w:tc>
        <w:tc>
          <w:tcPr>
            <w:tcW w:w="519"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cs="Times New Roman"/>
                <w:color w:val="auto"/>
                <w:kern w:val="2"/>
                <w:sz w:val="21"/>
                <w:szCs w:val="21"/>
                <w:lang w:val="en-US" w:eastAsia="zh-CN"/>
              </w:rPr>
            </w:pPr>
            <w:r>
              <w:rPr>
                <w:rFonts w:hint="eastAsia" w:cs="Times New Roman"/>
                <w:color w:val="auto"/>
                <w:kern w:val="2"/>
                <w:sz w:val="21"/>
                <w:szCs w:val="21"/>
                <w:lang w:val="en-US" w:eastAsia="zh-CN"/>
              </w:rPr>
              <w:t>是否</w:t>
            </w:r>
          </w:p>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firstLine="0" w:firstLineChars="0"/>
              <w:textAlignment w:val="auto"/>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restar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N1</w:t>
            </w:r>
          </w:p>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vertAlign w:val="baseline"/>
                <w:lang w:val="en-US" w:eastAsia="zh-CN"/>
              </w:rPr>
              <w:t>厂界东侧1米</w:t>
            </w:r>
          </w:p>
        </w:tc>
        <w:tc>
          <w:tcPr>
            <w:tcW w:w="801"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3月27日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57</w:t>
            </w:r>
          </w:p>
        </w:tc>
        <w:tc>
          <w:tcPr>
            <w:tcW w:w="557" w:type="pct"/>
            <w:vMerge w:val="restar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65</w:t>
            </w:r>
          </w:p>
        </w:tc>
        <w:tc>
          <w:tcPr>
            <w:tcW w:w="545" w:type="pct"/>
            <w:vMerge w:val="restar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是</w:t>
            </w:r>
          </w:p>
        </w:tc>
        <w:tc>
          <w:tcPr>
            <w:tcW w:w="54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46</w:t>
            </w:r>
          </w:p>
        </w:tc>
        <w:tc>
          <w:tcPr>
            <w:tcW w:w="548" w:type="pct"/>
            <w:vMerge w:val="restar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519" w:type="pct"/>
            <w:vMerge w:val="restar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01"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3月28日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57</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vertAlign w:val="baseline"/>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eastAsia" w:ascii="Times New Roman" w:hAnsi="Times New Roman" w:eastAsia="宋体" w:cs="Times New Roman"/>
                <w:b w:val="0"/>
                <w:bCs w:val="0"/>
                <w:color w:val="auto"/>
                <w:sz w:val="21"/>
                <w:szCs w:val="21"/>
                <w:vertAlign w:val="baseline"/>
                <w:lang w:val="en-US" w:eastAsia="zh-CN"/>
              </w:rPr>
            </w:pPr>
          </w:p>
        </w:tc>
        <w:tc>
          <w:tcPr>
            <w:tcW w:w="54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45</w:t>
            </w:r>
          </w:p>
        </w:tc>
        <w:tc>
          <w:tcPr>
            <w:tcW w:w="548"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cs="Times New Roman"/>
                <w:color w:val="auto"/>
                <w:kern w:val="2"/>
                <w:sz w:val="21"/>
                <w:szCs w:val="21"/>
                <w:lang w:val="en-US" w:eastAsia="zh-CN"/>
              </w:rPr>
            </w:pPr>
          </w:p>
        </w:tc>
        <w:tc>
          <w:tcPr>
            <w:tcW w:w="519"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restar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N2</w:t>
            </w:r>
          </w:p>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vertAlign w:val="baseline"/>
                <w:lang w:val="en-US" w:eastAsia="zh-CN"/>
              </w:rPr>
              <w:t>厂界南侧1米</w:t>
            </w:r>
          </w:p>
        </w:tc>
        <w:tc>
          <w:tcPr>
            <w:tcW w:w="801"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3月27日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leftChars="0" w:right="0" w:rightChars="0" w:firstLine="0" w:firstLineChars="0"/>
              <w:textAlignment w:val="auto"/>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46</w:t>
            </w:r>
          </w:p>
        </w:tc>
        <w:tc>
          <w:tcPr>
            <w:tcW w:w="548"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leftChars="0" w:right="0" w:rightChars="0" w:firstLine="0" w:firstLineChars="0"/>
              <w:textAlignment w:val="auto"/>
              <w:rPr>
                <w:rFonts w:hint="eastAsia" w:cs="Times New Roman"/>
                <w:color w:val="auto"/>
                <w:kern w:val="2"/>
                <w:sz w:val="21"/>
                <w:szCs w:val="21"/>
                <w:lang w:val="en-US" w:eastAsia="zh-CN"/>
              </w:rPr>
            </w:pPr>
          </w:p>
        </w:tc>
        <w:tc>
          <w:tcPr>
            <w:tcW w:w="519"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leftChars="0" w:right="0" w:rightChars="0" w:firstLine="0" w:firstLineChars="0"/>
              <w:textAlignment w:val="auto"/>
              <w:rPr>
                <w:rFonts w:hint="default" w:ascii="Times New Roman" w:hAnsi="Times New Roman" w:cs="Times New Roman"/>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01"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3月28日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48</w:t>
            </w:r>
          </w:p>
        </w:tc>
        <w:tc>
          <w:tcPr>
            <w:tcW w:w="548"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cs="Times New Roman"/>
                <w:color w:val="auto"/>
                <w:kern w:val="2"/>
                <w:sz w:val="21"/>
                <w:szCs w:val="21"/>
                <w:lang w:val="en-US" w:eastAsia="zh-CN"/>
              </w:rPr>
            </w:pPr>
          </w:p>
        </w:tc>
        <w:tc>
          <w:tcPr>
            <w:tcW w:w="519"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restar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N3</w:t>
            </w:r>
          </w:p>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vertAlign w:val="baseline"/>
                <w:lang w:val="en-US" w:eastAsia="zh-CN"/>
              </w:rPr>
              <w:t>厂界西侧1米</w:t>
            </w:r>
          </w:p>
        </w:tc>
        <w:tc>
          <w:tcPr>
            <w:tcW w:w="801"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3月27日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548"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19"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01"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3月28日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548"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19"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restar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N4</w:t>
            </w:r>
          </w:p>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vertAlign w:val="baseline"/>
                <w:lang w:val="en-US" w:eastAsia="zh-CN"/>
              </w:rPr>
              <w:t>厂界北侧1米</w:t>
            </w:r>
          </w:p>
        </w:tc>
        <w:tc>
          <w:tcPr>
            <w:tcW w:w="801"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3月27日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44</w:t>
            </w:r>
          </w:p>
        </w:tc>
        <w:tc>
          <w:tcPr>
            <w:tcW w:w="548"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eastAsia" w:cs="Times New Roman"/>
                <w:color w:val="auto"/>
                <w:sz w:val="21"/>
                <w:szCs w:val="21"/>
                <w:lang w:val="en-US" w:eastAsia="zh-CN"/>
              </w:rPr>
            </w:pPr>
          </w:p>
        </w:tc>
        <w:tc>
          <w:tcPr>
            <w:tcW w:w="519" w:type="pct"/>
            <w:vMerge w:val="continue"/>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01" w:type="pct"/>
            <w:tcBorders>
              <w:tl2br w:val="nil"/>
              <w:tr2bl w:val="nil"/>
            </w:tcBorders>
            <w:noWrap w:val="0"/>
            <w:vAlign w:val="center"/>
          </w:tcPr>
          <w:p>
            <w:pPr>
              <w:pStyle w:val="148"/>
              <w:keepNext w:val="0"/>
              <w:keepLines w:val="0"/>
              <w:pageBreakBefore w:val="0"/>
              <w:suppressLineNumbers w:val="0"/>
              <w:kinsoku/>
              <w:wordWrap/>
              <w:overflowPunct w:val="0"/>
              <w:topLinePunct/>
              <w:autoSpaceDE w:val="0"/>
              <w:autoSpaceDN w:val="0"/>
              <w:bidi w:val="0"/>
              <w:adjustRightIn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3月28日</w:t>
            </w:r>
          </w:p>
        </w:tc>
        <w:tc>
          <w:tcPr>
            <w:tcW w:w="62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557"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45"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548"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19" w:type="pct"/>
            <w:vMerge w:val="continue"/>
            <w:tcBorders>
              <w:tl2br w:val="nil"/>
              <w:tr2bl w:val="nil"/>
            </w:tcBorders>
            <w:noWrap w:val="0"/>
            <w:vAlign w:val="center"/>
          </w:tcPr>
          <w:p>
            <w:pPr>
              <w:keepNext w:val="0"/>
              <w:keepLines w:val="0"/>
              <w:pageBreakBefore w:val="0"/>
              <w:suppressLineNumbers w:val="0"/>
              <w:kinsoku/>
              <w:wordWrap/>
              <w:overflowPunct w:val="0"/>
              <w:topLinePunct/>
              <w:autoSpaceDE w:val="0"/>
              <w:autoSpaceDN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r>
    </w:tbl>
    <w:p>
      <w:pPr>
        <w:pageBreakBefore w:val="0"/>
        <w:kinsoku/>
        <w:wordWrap/>
        <w:overflowPunct w:val="0"/>
        <w:topLinePunct/>
        <w:autoSpaceDE w:val="0"/>
        <w:autoSpaceDN w:val="0"/>
        <w:bidi w:val="0"/>
        <w:spacing w:line="129" w:lineRule="exact"/>
        <w:rPr>
          <w:rFonts w:hint="default" w:ascii="Times New Roman" w:hAnsi="Times New Roman" w:eastAsia="宋体" w:cs="Times New Roman"/>
          <w:color w:val="auto"/>
          <w:u w:val="none" w:color="auto"/>
        </w:rPr>
      </w:pPr>
    </w:p>
    <w:p>
      <w:pPr>
        <w:pageBreakBefore w:val="0"/>
        <w:kinsoku/>
        <w:wordWrap/>
        <w:overflowPunct w:val="0"/>
        <w:topLinePunct/>
        <w:autoSpaceDE w:val="0"/>
        <w:autoSpaceDN w:val="0"/>
        <w:bidi w:val="0"/>
        <w:spacing w:before="37" w:line="377" w:lineRule="auto"/>
        <w:ind w:left="140" w:right="40" w:firstLine="497"/>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由监</w:t>
      </w:r>
      <w:r>
        <w:rPr>
          <w:rFonts w:hint="default" w:ascii="Times New Roman" w:hAnsi="Times New Roman" w:eastAsia="宋体" w:cs="Times New Roman"/>
          <w:color w:val="auto"/>
          <w:spacing w:val="9"/>
          <w:sz w:val="24"/>
          <w:szCs w:val="24"/>
          <w:u w:val="none" w:color="auto"/>
        </w:rPr>
        <w:t>测</w:t>
      </w:r>
      <w:r>
        <w:rPr>
          <w:rFonts w:hint="default" w:ascii="Times New Roman" w:hAnsi="Times New Roman" w:eastAsia="宋体" w:cs="Times New Roman"/>
          <w:color w:val="auto"/>
          <w:spacing w:val="8"/>
          <w:sz w:val="24"/>
          <w:szCs w:val="24"/>
          <w:u w:val="none" w:color="auto"/>
        </w:rPr>
        <w:t>结果可知，项目各监测点的声环境昼、夜间均能达到《声环境质量标准》</w:t>
      </w:r>
      <w:r>
        <w:rPr>
          <w:rFonts w:hint="default" w:ascii="Times New Roman" w:hAnsi="Times New Roman" w:eastAsia="宋体" w:cs="Times New Roman"/>
          <w:color w:val="auto"/>
          <w:spacing w:val="12"/>
          <w:sz w:val="24"/>
          <w:szCs w:val="24"/>
          <w:u w:val="none" w:color="auto"/>
        </w:rPr>
        <w:t>(</w:t>
      </w:r>
      <w:r>
        <w:rPr>
          <w:rFonts w:hint="default" w:ascii="Times New Roman" w:hAnsi="Times New Roman" w:eastAsia="宋体" w:cs="Times New Roman"/>
          <w:color w:val="auto"/>
          <w:sz w:val="24"/>
          <w:szCs w:val="24"/>
          <w:u w:val="none" w:color="auto"/>
        </w:rPr>
        <w:t>GB</w:t>
      </w:r>
      <w:r>
        <w:rPr>
          <w:rFonts w:hint="default" w:ascii="Times New Roman" w:hAnsi="Times New Roman" w:eastAsia="宋体" w:cs="Times New Roman"/>
          <w:color w:val="auto"/>
          <w:spacing w:val="11"/>
          <w:sz w:val="24"/>
          <w:szCs w:val="24"/>
          <w:u w:val="none" w:color="auto"/>
        </w:rPr>
        <w:t>3096-2008)3类标准要求。</w:t>
      </w:r>
    </w:p>
    <w:p>
      <w:pPr>
        <w:pStyle w:val="7"/>
        <w:bidi w:val="0"/>
        <w:rPr>
          <w:rFonts w:hint="default"/>
          <w:color w:val="auto"/>
        </w:rPr>
      </w:pPr>
      <w:bookmarkStart w:id="189" w:name="_bookmark81"/>
      <w:bookmarkEnd w:id="189"/>
      <w:bookmarkStart w:id="190" w:name="_Toc31947"/>
      <w:r>
        <w:rPr>
          <w:rFonts w:hint="default"/>
          <w:color w:val="auto"/>
        </w:rPr>
        <w:t>4.</w:t>
      </w:r>
      <w:r>
        <w:rPr>
          <w:rFonts w:hint="eastAsia"/>
          <w:color w:val="auto"/>
          <w:lang w:val="en-US" w:eastAsia="zh-CN"/>
        </w:rPr>
        <w:t>3</w:t>
      </w:r>
      <w:r>
        <w:rPr>
          <w:rFonts w:hint="default"/>
          <w:color w:val="auto"/>
        </w:rPr>
        <w:t>.5土壤环境质量现状调查与评价</w:t>
      </w:r>
      <w:bookmarkEnd w:id="190"/>
    </w:p>
    <w:bookmarkEnd w:id="182"/>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eastAsia" w:ascii="Times New Roman" w:hAnsi="Times New Roman" w:eastAsia="宋体" w:cs="Times New Roman"/>
          <w:color w:val="auto"/>
          <w:spacing w:val="10"/>
          <w:sz w:val="24"/>
          <w:szCs w:val="24"/>
          <w:u w:val="none" w:color="auto"/>
          <w:lang w:eastAsia="zh-CN"/>
        </w:rPr>
      </w:pPr>
      <w:r>
        <w:rPr>
          <w:rFonts w:hint="default" w:ascii="Times New Roman" w:hAnsi="Times New Roman" w:eastAsia="宋体" w:cs="Times New Roman"/>
          <w:color w:val="auto"/>
          <w:spacing w:val="10"/>
          <w:sz w:val="24"/>
          <w:szCs w:val="24"/>
          <w:u w:val="none" w:color="auto"/>
        </w:rPr>
        <w:t>1、监测</w:t>
      </w:r>
      <w:r>
        <w:rPr>
          <w:rFonts w:hint="eastAsia" w:ascii="Times New Roman" w:hAnsi="Times New Roman" w:eastAsia="宋体" w:cs="Times New Roman"/>
          <w:color w:val="auto"/>
          <w:spacing w:val="10"/>
          <w:sz w:val="24"/>
          <w:szCs w:val="24"/>
          <w:u w:val="none" w:color="auto"/>
          <w:lang w:eastAsia="zh-CN"/>
        </w:rPr>
        <w:t>方案</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8" w:firstLineChars="200"/>
        <w:textAlignment w:val="auto"/>
        <w:rPr>
          <w:rFonts w:ascii="宋体" w:hAnsi="宋体" w:eastAsia="宋体" w:cs="宋体"/>
          <w:color w:val="auto"/>
          <w:spacing w:val="1"/>
          <w:sz w:val="24"/>
          <w:szCs w:val="24"/>
        </w:rPr>
      </w:pPr>
      <w:r>
        <w:rPr>
          <w:rFonts w:ascii="宋体" w:hAnsi="宋体" w:eastAsia="宋体" w:cs="宋体"/>
          <w:color w:val="auto"/>
          <w:spacing w:val="2"/>
          <w:sz w:val="24"/>
          <w:szCs w:val="24"/>
        </w:rPr>
        <w:t>本次评价委托</w:t>
      </w:r>
      <w:r>
        <w:rPr>
          <w:rFonts w:hint="default" w:ascii="Times New Roman" w:hAnsi="Times New Roman" w:eastAsia="宋体" w:cs="Times New Roman"/>
          <w:color w:val="auto"/>
          <w:spacing w:val="7"/>
          <w:sz w:val="24"/>
          <w:szCs w:val="24"/>
          <w:u w:val="none" w:color="auto"/>
        </w:rPr>
        <w:t>湖南昌源环境科技有限公司</w:t>
      </w:r>
      <w:r>
        <w:rPr>
          <w:rFonts w:ascii="宋体" w:hAnsi="宋体" w:eastAsia="宋体" w:cs="宋体"/>
          <w:color w:val="auto"/>
          <w:spacing w:val="2"/>
          <w:sz w:val="24"/>
          <w:szCs w:val="24"/>
        </w:rPr>
        <w:t>在</w:t>
      </w:r>
      <w:r>
        <w:rPr>
          <w:rFonts w:ascii="Times New Roman" w:hAnsi="Times New Roman" w:eastAsia="Times New Roman" w:cs="Times New Roman"/>
          <w:color w:val="auto"/>
          <w:spacing w:val="2"/>
          <w:sz w:val="24"/>
          <w:szCs w:val="24"/>
        </w:rPr>
        <w:t>202</w:t>
      </w:r>
      <w:r>
        <w:rPr>
          <w:rFonts w:hint="eastAsia" w:ascii="Times New Roman" w:hAnsi="Times New Roman" w:eastAsia="宋体" w:cs="Times New Roman"/>
          <w:color w:val="auto"/>
          <w:spacing w:val="2"/>
          <w:sz w:val="24"/>
          <w:szCs w:val="24"/>
          <w:lang w:val="en-US" w:eastAsia="zh-CN"/>
        </w:rPr>
        <w:t>3</w:t>
      </w:r>
      <w:r>
        <w:rPr>
          <w:rFonts w:ascii="宋体" w:hAnsi="宋体" w:eastAsia="宋体" w:cs="宋体"/>
          <w:color w:val="auto"/>
          <w:spacing w:val="2"/>
          <w:sz w:val="24"/>
          <w:szCs w:val="24"/>
        </w:rPr>
        <w:t>年</w:t>
      </w:r>
      <w:r>
        <w:rPr>
          <w:rFonts w:hint="eastAsia" w:ascii="Times New Roman" w:hAnsi="Times New Roman" w:eastAsia="宋体" w:cs="Times New Roman"/>
          <w:color w:val="auto"/>
          <w:spacing w:val="2"/>
          <w:sz w:val="24"/>
          <w:szCs w:val="24"/>
          <w:lang w:val="en-US" w:eastAsia="zh-CN"/>
        </w:rPr>
        <w:t>3</w:t>
      </w:r>
      <w:r>
        <w:rPr>
          <w:rFonts w:ascii="宋体" w:hAnsi="宋体" w:eastAsia="宋体" w:cs="宋体"/>
          <w:color w:val="auto"/>
          <w:spacing w:val="2"/>
          <w:sz w:val="24"/>
          <w:szCs w:val="24"/>
        </w:rPr>
        <w:t>月</w:t>
      </w:r>
      <w:r>
        <w:rPr>
          <w:rFonts w:hint="eastAsia" w:ascii="Times New Roman" w:hAnsi="Times New Roman" w:eastAsia="宋体" w:cs="Times New Roman"/>
          <w:color w:val="auto"/>
          <w:spacing w:val="1"/>
          <w:sz w:val="24"/>
          <w:szCs w:val="24"/>
          <w:lang w:val="en-US" w:eastAsia="zh-CN"/>
        </w:rPr>
        <w:t>27</w:t>
      </w:r>
      <w:r>
        <w:rPr>
          <w:rFonts w:ascii="宋体" w:hAnsi="宋体" w:eastAsia="宋体" w:cs="宋体"/>
          <w:color w:val="auto"/>
          <w:spacing w:val="1"/>
          <w:sz w:val="24"/>
          <w:szCs w:val="24"/>
        </w:rPr>
        <w:t>日对厂内进行</w:t>
      </w:r>
      <w:r>
        <w:rPr>
          <w:rFonts w:ascii="宋体" w:hAnsi="宋体" w:eastAsia="宋体" w:cs="宋体"/>
          <w:color w:val="auto"/>
          <w:spacing w:val="6"/>
          <w:sz w:val="24"/>
          <w:szCs w:val="24"/>
        </w:rPr>
        <w:t>了土壤</w:t>
      </w:r>
      <w:r>
        <w:rPr>
          <w:rFonts w:hint="eastAsia" w:ascii="Times New Roman" w:hAnsi="Times New Roman" w:eastAsia="宋体" w:cs="Times New Roman"/>
          <w:color w:val="auto"/>
          <w:spacing w:val="6"/>
          <w:sz w:val="24"/>
          <w:szCs w:val="24"/>
          <w:lang w:val="en-US" w:eastAsia="zh-CN"/>
        </w:rPr>
        <w:t>45</w:t>
      </w:r>
      <w:r>
        <w:rPr>
          <w:rFonts w:ascii="宋体" w:hAnsi="宋体" w:eastAsia="宋体" w:cs="宋体"/>
          <w:color w:val="auto"/>
          <w:spacing w:val="6"/>
          <w:sz w:val="24"/>
          <w:szCs w:val="24"/>
        </w:rPr>
        <w:t>项因</w:t>
      </w:r>
      <w:r>
        <w:rPr>
          <w:rFonts w:ascii="宋体" w:hAnsi="宋体" w:eastAsia="宋体" w:cs="宋体"/>
          <w:color w:val="auto"/>
          <w:spacing w:val="3"/>
          <w:sz w:val="24"/>
          <w:szCs w:val="24"/>
        </w:rPr>
        <w:t>子进行监测。</w:t>
      </w:r>
      <w:r>
        <w:rPr>
          <w:rFonts w:ascii="宋体" w:hAnsi="宋体" w:eastAsia="宋体" w:cs="宋体"/>
          <w:color w:val="auto"/>
          <w:spacing w:val="12"/>
          <w:sz w:val="24"/>
          <w:szCs w:val="24"/>
        </w:rPr>
        <w:t>根</w:t>
      </w:r>
      <w:r>
        <w:rPr>
          <w:rFonts w:ascii="宋体" w:hAnsi="宋体" w:eastAsia="宋体" w:cs="宋体"/>
          <w:color w:val="auto"/>
          <w:spacing w:val="9"/>
          <w:sz w:val="24"/>
          <w:szCs w:val="24"/>
        </w:rPr>
        <w:t>据</w:t>
      </w:r>
      <w:r>
        <w:rPr>
          <w:rFonts w:ascii="宋体" w:hAnsi="宋体" w:eastAsia="宋体" w:cs="宋体"/>
          <w:color w:val="auto"/>
          <w:spacing w:val="6"/>
          <w:sz w:val="24"/>
          <w:szCs w:val="24"/>
        </w:rPr>
        <w:t>《环境影响评价技术导则土壤环境(试行)》(</w:t>
      </w:r>
      <w:r>
        <w:rPr>
          <w:rFonts w:ascii="Times New Roman" w:hAnsi="Times New Roman" w:eastAsia="Times New Roman" w:cs="Times New Roman"/>
          <w:color w:val="auto"/>
          <w:sz w:val="24"/>
          <w:szCs w:val="24"/>
        </w:rPr>
        <w:t>HJ</w:t>
      </w:r>
      <w:r>
        <w:rPr>
          <w:rFonts w:ascii="Times New Roman" w:hAnsi="Times New Roman" w:eastAsia="Times New Roman" w:cs="Times New Roman"/>
          <w:color w:val="auto"/>
          <w:spacing w:val="6"/>
          <w:sz w:val="24"/>
          <w:szCs w:val="24"/>
        </w:rPr>
        <w:t>964-2018</w:t>
      </w:r>
      <w:r>
        <w:rPr>
          <w:rFonts w:ascii="宋体" w:hAnsi="宋体" w:eastAsia="宋体" w:cs="宋体"/>
          <w:color w:val="auto"/>
          <w:spacing w:val="6"/>
          <w:sz w:val="24"/>
          <w:szCs w:val="24"/>
        </w:rPr>
        <w:t>)要求，本项目为</w:t>
      </w:r>
      <w:r>
        <w:rPr>
          <w:rFonts w:ascii="宋体" w:hAnsi="宋体" w:eastAsia="宋体" w:cs="宋体"/>
          <w:color w:val="auto"/>
          <w:spacing w:val="12"/>
          <w:sz w:val="24"/>
          <w:szCs w:val="24"/>
        </w:rPr>
        <w:t>污染影响</w:t>
      </w:r>
      <w:r>
        <w:rPr>
          <w:rFonts w:ascii="宋体" w:hAnsi="宋体" w:eastAsia="宋体" w:cs="宋体"/>
          <w:color w:val="auto"/>
          <w:spacing w:val="7"/>
          <w:sz w:val="24"/>
          <w:szCs w:val="24"/>
        </w:rPr>
        <w:t>型</w:t>
      </w:r>
      <w:r>
        <w:rPr>
          <w:rFonts w:hint="eastAsia" w:ascii="宋体" w:hAnsi="宋体" w:eastAsia="宋体" w:cs="宋体"/>
          <w:color w:val="auto"/>
          <w:spacing w:val="6"/>
          <w:sz w:val="24"/>
          <w:szCs w:val="24"/>
          <w:lang w:eastAsia="zh-CN"/>
        </w:rPr>
        <w:t>三</w:t>
      </w:r>
      <w:r>
        <w:rPr>
          <w:rFonts w:ascii="宋体" w:hAnsi="宋体" w:eastAsia="宋体" w:cs="宋体"/>
          <w:color w:val="auto"/>
          <w:spacing w:val="6"/>
          <w:sz w:val="24"/>
          <w:szCs w:val="24"/>
        </w:rPr>
        <w:t>级评价，需在占地范围内布设</w:t>
      </w:r>
      <w:r>
        <w:rPr>
          <w:rFonts w:ascii="Times New Roman" w:hAnsi="Times New Roman" w:eastAsia="Times New Roman" w:cs="Times New Roman"/>
          <w:color w:val="auto"/>
          <w:spacing w:val="6"/>
          <w:sz w:val="24"/>
          <w:szCs w:val="24"/>
        </w:rPr>
        <w:t>3</w:t>
      </w:r>
      <w:r>
        <w:rPr>
          <w:rFonts w:ascii="宋体" w:hAnsi="宋体" w:eastAsia="宋体" w:cs="宋体"/>
          <w:color w:val="auto"/>
          <w:spacing w:val="6"/>
          <w:sz w:val="24"/>
          <w:szCs w:val="24"/>
        </w:rPr>
        <w:t>个表层样点</w:t>
      </w:r>
      <w:r>
        <w:rPr>
          <w:rFonts w:ascii="宋体" w:hAnsi="宋体" w:eastAsia="宋体" w:cs="宋体"/>
          <w:color w:val="auto"/>
          <w:spacing w:val="1"/>
          <w:sz w:val="24"/>
          <w:szCs w:val="24"/>
        </w:rPr>
        <w:t>。</w:t>
      </w:r>
    </w:p>
    <w:p>
      <w:pPr>
        <w:pageBreakBefore w:val="0"/>
        <w:kinsoku/>
        <w:wordWrap/>
        <w:overflowPunct w:val="0"/>
        <w:topLinePunct/>
        <w:autoSpaceDE w:val="0"/>
        <w:autoSpaceDN w:val="0"/>
        <w:bidi w:val="0"/>
        <w:spacing w:line="360" w:lineRule="auto"/>
        <w:ind w:left="0" w:leftChars="0" w:right="0" w:rightChars="0" w:firstLine="0" w:firstLineChars="0"/>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sz w:val="24"/>
          <w:szCs w:val="24"/>
          <w:u w:val="none" w:color="auto"/>
          <w:lang w:eastAsia="zh-CN"/>
        </w:rPr>
        <w:t>表4.</w:t>
      </w:r>
      <w:r>
        <w:rPr>
          <w:rFonts w:hint="eastAsia" w:ascii="Times New Roman" w:hAnsi="Times New Roman" w:eastAsia="宋体" w:cs="Times New Roman"/>
          <w:b/>
          <w:bCs/>
          <w:color w:val="auto"/>
          <w:sz w:val="24"/>
          <w:szCs w:val="24"/>
          <w:u w:val="none" w:color="auto"/>
          <w:lang w:val="en-US" w:eastAsia="zh-CN"/>
        </w:rPr>
        <w:t>3-11</w:t>
      </w:r>
      <w:r>
        <w:rPr>
          <w:rFonts w:hint="eastAsia" w:ascii="Times New Roman" w:hAnsi="Times New Roman" w:eastAsia="宋体" w:cs="Times New Roman"/>
          <w:b/>
          <w:bCs/>
          <w:color w:val="auto"/>
          <w:sz w:val="24"/>
          <w:szCs w:val="24"/>
          <w:u w:val="none" w:color="auto"/>
          <w:lang w:eastAsia="zh-CN"/>
        </w:rPr>
        <w:t>土壤</w:t>
      </w:r>
      <w:r>
        <w:rPr>
          <w:rFonts w:hint="default" w:ascii="Times New Roman" w:hAnsi="Times New Roman" w:eastAsia="宋体" w:cs="Times New Roman"/>
          <w:b/>
          <w:bCs/>
          <w:color w:val="auto"/>
          <w:sz w:val="24"/>
          <w:szCs w:val="24"/>
          <w:u w:val="none" w:color="auto"/>
          <w:lang w:eastAsia="zh-CN"/>
        </w:rPr>
        <w:t>声监测点布设一览表</w:t>
      </w:r>
    </w:p>
    <w:tbl>
      <w:tblPr>
        <w:tblStyle w:val="20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5"/>
        <w:gridCol w:w="1322"/>
        <w:gridCol w:w="5203"/>
        <w:gridCol w:w="12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33"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编号</w:t>
            </w:r>
          </w:p>
        </w:tc>
        <w:tc>
          <w:tcPr>
            <w:tcW w:w="79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14:textOutline w14:w="3795" w14:cap="sq" w14:cmpd="sng">
                  <w14:solidFill>
                    <w14:srgbClr w14:val="000000"/>
                  </w14:solidFill>
                  <w14:prstDash w14:val="solid"/>
                  <w14:bevel/>
                </w14:textOutline>
              </w:rPr>
              <w:t>具</w:t>
            </w:r>
            <w:r>
              <w:rPr>
                <w:rFonts w:hint="default" w:ascii="Times New Roman" w:hAnsi="Times New Roman" w:eastAsia="宋体" w:cs="Times New Roman"/>
                <w:color w:val="auto"/>
                <w:spacing w:val="7"/>
                <w:sz w:val="21"/>
                <w:szCs w:val="21"/>
                <w14:textOutline w14:w="3795" w14:cap="sq" w14:cmpd="sng">
                  <w14:solidFill>
                    <w14:srgbClr w14:val="000000"/>
                  </w14:solidFill>
                  <w14:prstDash w14:val="solid"/>
                  <w14:bevel/>
                </w14:textOutline>
              </w:rPr>
              <w:t>体位置</w:t>
            </w:r>
          </w:p>
        </w:tc>
        <w:tc>
          <w:tcPr>
            <w:tcW w:w="311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14:textOutline w14:w="3795" w14:cap="sq" w14:cmpd="sng">
                  <w14:solidFill>
                    <w14:srgbClr w14:val="000000"/>
                  </w14:solidFill>
                  <w14:prstDash w14:val="solid"/>
                  <w14:bevel/>
                </w14:textOutline>
              </w:rPr>
              <w:t>监</w:t>
            </w: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测因子</w:t>
            </w:r>
          </w:p>
        </w:tc>
        <w:tc>
          <w:tcPr>
            <w:tcW w:w="75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14:textOutline w14:w="3795" w14:cap="sq" w14:cmpd="sng">
                  <w14:solidFill>
                    <w14:srgbClr w14:val="000000"/>
                  </w14:solidFill>
                  <w14:prstDash w14:val="solid"/>
                  <w14:bevel/>
                </w14:textOutline>
              </w:rPr>
              <w:t>监</w:t>
            </w: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测点位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33"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T</w:t>
            </w:r>
            <w:r>
              <w:rPr>
                <w:rFonts w:hint="default" w:ascii="Times New Roman" w:hAnsi="Times New Roman" w:eastAsia="Times New Roman" w:cs="Times New Roman"/>
                <w:color w:val="auto"/>
                <w:spacing w:val="5"/>
                <w:sz w:val="21"/>
                <w:szCs w:val="21"/>
              </w:rPr>
              <w:t>1</w:t>
            </w:r>
          </w:p>
        </w:tc>
        <w:tc>
          <w:tcPr>
            <w:tcW w:w="79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项目占地范围内，</w:t>
            </w:r>
            <w:r>
              <w:rPr>
                <w:rFonts w:hint="default" w:ascii="Times New Roman" w:hAnsi="Times New Roman" w:eastAsia="宋体" w:cs="Times New Roman"/>
                <w:color w:val="auto"/>
                <w:spacing w:val="3"/>
                <w:sz w:val="21"/>
                <w:szCs w:val="21"/>
                <w:lang w:eastAsia="zh-CN"/>
              </w:rPr>
              <w:t>表层样</w:t>
            </w:r>
            <w:r>
              <w:rPr>
                <w:rFonts w:hint="eastAsia" w:ascii="Times New Roman" w:hAnsi="Times New Roman" w:eastAsia="宋体" w:cs="Times New Roman"/>
                <w:color w:val="auto"/>
                <w:spacing w:val="3"/>
                <w:sz w:val="21"/>
                <w:szCs w:val="21"/>
                <w:lang w:eastAsia="zh-CN"/>
              </w:rPr>
              <w:t>（</w:t>
            </w:r>
            <w:r>
              <w:rPr>
                <w:rFonts w:hint="eastAsia" w:ascii="Times New Roman" w:hAnsi="Times New Roman" w:eastAsia="宋体" w:cs="Times New Roman"/>
                <w:color w:val="auto"/>
                <w:spacing w:val="3"/>
                <w:sz w:val="21"/>
                <w:szCs w:val="21"/>
                <w:lang w:val="en-US" w:eastAsia="zh-CN"/>
              </w:rPr>
              <w:t>0-0.2m取样</w:t>
            </w:r>
            <w:r>
              <w:rPr>
                <w:rFonts w:hint="eastAsia" w:ascii="Times New Roman" w:hAnsi="Times New Roman" w:eastAsia="宋体" w:cs="Times New Roman"/>
                <w:color w:val="auto"/>
                <w:spacing w:val="3"/>
                <w:sz w:val="21"/>
                <w:szCs w:val="21"/>
                <w:lang w:eastAsia="zh-CN"/>
              </w:rPr>
              <w:t>）</w:t>
            </w:r>
          </w:p>
        </w:tc>
        <w:tc>
          <w:tcPr>
            <w:tcW w:w="311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铜、铅、镉、铬(六价)、砷、汞、</w:t>
            </w:r>
            <w:r>
              <w:rPr>
                <w:rFonts w:hint="default" w:ascii="Times New Roman" w:hAnsi="Times New Roman" w:eastAsia="宋体" w:cs="Times New Roman"/>
                <w:color w:val="auto"/>
                <w:spacing w:val="8"/>
                <w:sz w:val="21"/>
                <w:szCs w:val="21"/>
              </w:rPr>
              <w:t>镍、四氯</w:t>
            </w:r>
            <w:r>
              <w:rPr>
                <w:rFonts w:hint="default" w:ascii="Times New Roman" w:hAnsi="Times New Roman" w:eastAsia="宋体" w:cs="Times New Roman"/>
                <w:color w:val="auto"/>
                <w:spacing w:val="4"/>
                <w:sz w:val="21"/>
                <w:szCs w:val="21"/>
              </w:rPr>
              <w:t>化碳、氯仿、氯甲烷、</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二氯乙烷、</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二氯乙烷、</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z w:val="21"/>
                <w:szCs w:val="21"/>
              </w:rPr>
              <w:t>二氯乙烯、顺</w:t>
            </w:r>
            <w:r>
              <w:rPr>
                <w:rFonts w:hint="default" w:ascii="Times New Roman" w:hAnsi="Times New Roman" w:eastAsia="Times New Roman" w:cs="Times New Roman"/>
                <w:color w:val="auto"/>
                <w:sz w:val="21"/>
                <w:szCs w:val="21"/>
              </w:rPr>
              <w:t>-1</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2-</w:t>
            </w:r>
            <w:r>
              <w:rPr>
                <w:rFonts w:hint="default" w:ascii="Times New Roman" w:hAnsi="Times New Roman" w:eastAsia="宋体" w:cs="Times New Roman"/>
                <w:color w:val="auto"/>
                <w:sz w:val="21"/>
                <w:szCs w:val="21"/>
              </w:rPr>
              <w:t>二氯乙烯、反</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二氯乙烯烯、二氯甲烷、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二氯丙烷、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0"/>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四氯乙烷、</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四氯乙烷、西氯乙</w:t>
            </w:r>
            <w:r>
              <w:rPr>
                <w:rFonts w:hint="default" w:ascii="Times New Roman" w:hAnsi="Times New Roman" w:eastAsia="宋体" w:cs="Times New Roman"/>
                <w:color w:val="auto"/>
                <w:spacing w:val="-2"/>
                <w:sz w:val="21"/>
                <w:szCs w:val="21"/>
              </w:rPr>
              <w:t>烯、</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三氯乙烷、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三氯</w:t>
            </w:r>
            <w:r>
              <w:rPr>
                <w:rFonts w:hint="default" w:ascii="Times New Roman" w:hAnsi="Times New Roman" w:eastAsia="宋体" w:cs="Times New Roman"/>
                <w:color w:val="auto"/>
                <w:spacing w:val="-1"/>
                <w:sz w:val="21"/>
                <w:szCs w:val="21"/>
              </w:rPr>
              <w:t>乙烷、三氯乙</w:t>
            </w:r>
            <w:r>
              <w:rPr>
                <w:rFonts w:hint="default" w:ascii="Times New Roman" w:hAnsi="Times New Roman" w:eastAsia="宋体" w:cs="Times New Roman"/>
                <w:color w:val="auto"/>
                <w:spacing w:val="2"/>
                <w:sz w:val="21"/>
                <w:szCs w:val="21"/>
              </w:rPr>
              <w:t>烯、</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3-</w:t>
            </w:r>
            <w:r>
              <w:rPr>
                <w:rFonts w:hint="default" w:ascii="Times New Roman" w:hAnsi="Times New Roman" w:eastAsia="宋体" w:cs="Times New Roman"/>
                <w:color w:val="auto"/>
                <w:spacing w:val="1"/>
                <w:sz w:val="21"/>
                <w:szCs w:val="21"/>
              </w:rPr>
              <w:t>三氯丙烷、氯乙烯、苯、氯苯、</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6"/>
                <w:sz w:val="21"/>
                <w:szCs w:val="21"/>
              </w:rPr>
              <w:t>-</w:t>
            </w:r>
            <w:r>
              <w:rPr>
                <w:rFonts w:hint="default" w:ascii="Times New Roman" w:hAnsi="Times New Roman" w:eastAsia="宋体" w:cs="Times New Roman"/>
                <w:color w:val="auto"/>
                <w:spacing w:val="6"/>
                <w:sz w:val="21"/>
                <w:szCs w:val="21"/>
              </w:rPr>
              <w:t>二氯苯</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3"/>
                <w:sz w:val="21"/>
                <w:szCs w:val="21"/>
              </w:rPr>
              <w:t>1</w:t>
            </w:r>
            <w:r>
              <w:rPr>
                <w:rFonts w:hint="default" w:ascii="Times New Roman" w:hAnsi="Times New Roman" w:eastAsia="宋体" w:cs="Times New Roman"/>
                <w:color w:val="auto"/>
                <w:spacing w:val="3"/>
                <w:sz w:val="21"/>
                <w:szCs w:val="21"/>
              </w:rPr>
              <w:t>，</w:t>
            </w:r>
            <w:r>
              <w:rPr>
                <w:rFonts w:hint="default" w:ascii="Times New Roman" w:hAnsi="Times New Roman" w:eastAsia="Times New Roman" w:cs="Times New Roman"/>
                <w:color w:val="auto"/>
                <w:spacing w:val="3"/>
                <w:sz w:val="21"/>
                <w:szCs w:val="21"/>
              </w:rPr>
              <w:t>4-</w:t>
            </w:r>
            <w:r>
              <w:rPr>
                <w:rFonts w:hint="default" w:ascii="Times New Roman" w:hAnsi="Times New Roman" w:eastAsia="宋体" w:cs="Times New Roman"/>
                <w:color w:val="auto"/>
                <w:spacing w:val="3"/>
                <w:sz w:val="21"/>
                <w:szCs w:val="21"/>
              </w:rPr>
              <w:t>二氯苯、乙苯、苯乙烯、甲苯、间二</w:t>
            </w:r>
            <w:r>
              <w:rPr>
                <w:rFonts w:hint="default" w:ascii="Times New Roman" w:hAnsi="Times New Roman" w:eastAsia="宋体" w:cs="Times New Roman"/>
                <w:color w:val="auto"/>
                <w:spacing w:val="4"/>
                <w:sz w:val="21"/>
                <w:szCs w:val="21"/>
              </w:rPr>
              <w:t>甲苯</w:t>
            </w:r>
            <w:r>
              <w:rPr>
                <w:rFonts w:hint="default" w:ascii="Times New Roman" w:hAnsi="Times New Roman" w:eastAsia="Times New Roman" w:cs="Times New Roman"/>
                <w:color w:val="auto"/>
                <w:spacing w:val="4"/>
                <w:sz w:val="21"/>
                <w:szCs w:val="21"/>
              </w:rPr>
              <w:t>+</w:t>
            </w:r>
            <w:r>
              <w:rPr>
                <w:rFonts w:hint="default" w:ascii="Times New Roman" w:hAnsi="Times New Roman" w:eastAsia="宋体" w:cs="Times New Roman"/>
                <w:color w:val="auto"/>
                <w:spacing w:val="4"/>
                <w:sz w:val="21"/>
                <w:szCs w:val="21"/>
              </w:rPr>
              <w:t>对二甲苯、邻</w:t>
            </w:r>
            <w:r>
              <w:rPr>
                <w:rFonts w:hint="default" w:ascii="Times New Roman" w:hAnsi="Times New Roman" w:eastAsia="宋体" w:cs="Times New Roman"/>
                <w:color w:val="auto"/>
                <w:spacing w:val="2"/>
                <w:sz w:val="21"/>
                <w:szCs w:val="21"/>
              </w:rPr>
              <w:t>二甲苯、硝基苯、苯胺、</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氯酚、</w:t>
            </w:r>
            <w:r>
              <w:rPr>
                <w:rFonts w:hint="default" w:ascii="Times New Roman" w:hAnsi="Times New Roman" w:eastAsia="宋体" w:cs="Times New Roman"/>
                <w:color w:val="auto"/>
                <w:spacing w:val="-46"/>
                <w:sz w:val="21"/>
                <w:szCs w:val="21"/>
              </w:rPr>
              <w:t>苯</w:t>
            </w:r>
            <w:r>
              <w:rPr>
                <w:rFonts w:hint="default" w:ascii="Times New Roman" w:hAnsi="Times New Roman" w:eastAsia="宋体" w:cs="Times New Roman"/>
                <w:color w:val="auto"/>
                <w:spacing w:val="-27"/>
                <w:sz w:val="21"/>
                <w:szCs w:val="21"/>
              </w:rPr>
              <w:t>并</w:t>
            </w:r>
            <w:r>
              <w:rPr>
                <w:rFonts w:hint="default" w:ascii="Times New Roman" w:hAnsi="Times New Roman" w:eastAsia="宋体" w:cs="Times New Roman"/>
                <w:color w:val="auto"/>
                <w:spacing w:val="-23"/>
                <w:sz w:val="21"/>
                <w:szCs w:val="21"/>
              </w:rPr>
              <w:t>﹝</w:t>
            </w:r>
            <w:r>
              <w:rPr>
                <w:rFonts w:hint="default" w:ascii="Times New Roman" w:hAnsi="Times New Roman" w:eastAsia="Times New Roman" w:cs="Times New Roman"/>
                <w:color w:val="auto"/>
                <w:spacing w:val="-23"/>
                <w:sz w:val="21"/>
                <w:szCs w:val="21"/>
              </w:rPr>
              <w:t>a</w:t>
            </w:r>
            <w:r>
              <w:rPr>
                <w:rFonts w:hint="default" w:ascii="Times New Roman" w:hAnsi="Times New Roman" w:eastAsia="宋体" w:cs="Times New Roman"/>
                <w:color w:val="auto"/>
                <w:spacing w:val="-23"/>
                <w:sz w:val="21"/>
                <w:szCs w:val="21"/>
              </w:rPr>
              <w:t>﹞蒽、苯并﹝</w:t>
            </w:r>
            <w:r>
              <w:rPr>
                <w:rFonts w:hint="default" w:ascii="Times New Roman" w:hAnsi="Times New Roman" w:eastAsia="Times New Roman" w:cs="Times New Roman"/>
                <w:color w:val="auto"/>
                <w:spacing w:val="-23"/>
                <w:sz w:val="21"/>
                <w:szCs w:val="21"/>
              </w:rPr>
              <w:t>a</w:t>
            </w:r>
            <w:r>
              <w:rPr>
                <w:rFonts w:hint="default" w:ascii="Times New Roman" w:hAnsi="Times New Roman" w:eastAsia="宋体" w:cs="Times New Roman"/>
                <w:color w:val="auto"/>
                <w:spacing w:val="-23"/>
                <w:sz w:val="21"/>
                <w:szCs w:val="21"/>
              </w:rPr>
              <w:t>﹞芘、苯并﹝</w:t>
            </w:r>
            <w:r>
              <w:rPr>
                <w:rFonts w:hint="default" w:ascii="Times New Roman" w:hAnsi="Times New Roman" w:eastAsia="Times New Roman" w:cs="Times New Roman"/>
                <w:color w:val="auto"/>
                <w:spacing w:val="-23"/>
                <w:sz w:val="21"/>
                <w:szCs w:val="21"/>
              </w:rPr>
              <w:t>b</w:t>
            </w:r>
            <w:r>
              <w:rPr>
                <w:rFonts w:hint="default" w:ascii="Times New Roman" w:hAnsi="Times New Roman" w:eastAsia="宋体" w:cs="Times New Roman"/>
                <w:color w:val="auto"/>
                <w:spacing w:val="-23"/>
                <w:sz w:val="21"/>
                <w:szCs w:val="21"/>
              </w:rPr>
              <w:t>﹞荧蒽、苯并</w:t>
            </w:r>
            <w:r>
              <w:rPr>
                <w:rFonts w:hint="default" w:ascii="Times New Roman" w:hAnsi="Times New Roman" w:eastAsia="宋体" w:cs="Times New Roman"/>
                <w:color w:val="auto"/>
                <w:spacing w:val="-33"/>
                <w:sz w:val="21"/>
                <w:szCs w:val="21"/>
              </w:rPr>
              <w:t>﹝</w:t>
            </w:r>
            <w:r>
              <w:rPr>
                <w:rFonts w:hint="default" w:ascii="Times New Roman" w:hAnsi="Times New Roman" w:eastAsia="Times New Roman" w:cs="Times New Roman"/>
                <w:color w:val="auto"/>
                <w:spacing w:val="-22"/>
                <w:sz w:val="21"/>
                <w:szCs w:val="21"/>
              </w:rPr>
              <w:t>k</w:t>
            </w:r>
            <w:r>
              <w:rPr>
                <w:rFonts w:hint="default" w:ascii="Times New Roman" w:hAnsi="Times New Roman" w:eastAsia="宋体" w:cs="Times New Roman"/>
                <w:color w:val="auto"/>
                <w:spacing w:val="-22"/>
                <w:sz w:val="21"/>
                <w:szCs w:val="21"/>
              </w:rPr>
              <w:t>﹞荧蒽、䓛、二苯并﹝</w:t>
            </w:r>
            <w:r>
              <w:rPr>
                <w:rFonts w:hint="default" w:ascii="Times New Roman" w:hAnsi="Times New Roman" w:eastAsia="Times New Roman" w:cs="Times New Roman"/>
                <w:color w:val="auto"/>
                <w:spacing w:val="-22"/>
                <w:sz w:val="21"/>
                <w:szCs w:val="21"/>
              </w:rPr>
              <w:t>a</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2"/>
                <w:sz w:val="21"/>
                <w:szCs w:val="21"/>
              </w:rPr>
              <w:t>h</w:t>
            </w:r>
            <w:r>
              <w:rPr>
                <w:rFonts w:hint="default" w:ascii="Times New Roman" w:hAnsi="Times New Roman" w:eastAsia="宋体" w:cs="Times New Roman"/>
                <w:color w:val="auto"/>
                <w:spacing w:val="-22"/>
                <w:sz w:val="21"/>
                <w:szCs w:val="21"/>
              </w:rPr>
              <w:t>﹞蒽、茚并﹝</w:t>
            </w:r>
            <w:r>
              <w:rPr>
                <w:rFonts w:hint="default" w:ascii="Times New Roman" w:hAnsi="Times New Roman" w:eastAsia="Times New Roman" w:cs="Times New Roman"/>
                <w:color w:val="auto"/>
                <w:spacing w:val="-22"/>
                <w:sz w:val="21"/>
                <w:szCs w:val="21"/>
              </w:rPr>
              <w:t>1</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2"/>
                <w:sz w:val="21"/>
                <w:szCs w:val="21"/>
              </w:rPr>
              <w:t>2</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
                <w:sz w:val="21"/>
                <w:szCs w:val="21"/>
              </w:rPr>
              <w:t>3-</w:t>
            </w:r>
            <w:r>
              <w:rPr>
                <w:rFonts w:hint="default" w:ascii="Times New Roman" w:hAnsi="Times New Roman" w:eastAsia="Times New Roman" w:cs="Times New Roman"/>
                <w:color w:val="auto"/>
                <w:spacing w:val="-1"/>
                <w:sz w:val="21"/>
                <w:szCs w:val="21"/>
              </w:rPr>
              <w:t>cd</w:t>
            </w:r>
            <w:r>
              <w:rPr>
                <w:rFonts w:hint="default" w:ascii="Times New Roman" w:hAnsi="Times New Roman" w:eastAsia="宋体" w:cs="Times New Roman"/>
                <w:color w:val="auto"/>
                <w:spacing w:val="-2"/>
                <w:sz w:val="21"/>
                <w:szCs w:val="21"/>
              </w:rPr>
              <w:t>﹞芘、萘</w:t>
            </w:r>
            <w:r>
              <w:rPr>
                <w:rFonts w:hint="default" w:ascii="Times New Roman" w:hAnsi="Times New Roman" w:eastAsia="宋体" w:cs="Times New Roman"/>
                <w:color w:val="auto"/>
                <w:spacing w:val="-1"/>
                <w:sz w:val="21"/>
                <w:szCs w:val="21"/>
              </w:rPr>
              <w:t>共</w:t>
            </w:r>
            <w:r>
              <w:rPr>
                <w:rFonts w:hint="default" w:ascii="Times New Roman" w:hAnsi="Times New Roman" w:eastAsia="Times New Roman" w:cs="Times New Roman"/>
                <w:color w:val="auto"/>
                <w:spacing w:val="-1"/>
                <w:sz w:val="21"/>
                <w:szCs w:val="21"/>
              </w:rPr>
              <w:t>4</w:t>
            </w:r>
            <w:r>
              <w:rPr>
                <w:rFonts w:hint="eastAsia" w:ascii="Times New Roman" w:hAnsi="Times New Roman" w:eastAsia="宋体" w:cs="Times New Roman"/>
                <w:color w:val="auto"/>
                <w:spacing w:val="-1"/>
                <w:sz w:val="21"/>
                <w:szCs w:val="21"/>
                <w:lang w:val="en-US" w:eastAsia="zh-CN"/>
              </w:rPr>
              <w:t>5</w:t>
            </w:r>
            <w:r>
              <w:rPr>
                <w:rFonts w:hint="default" w:ascii="Times New Roman" w:hAnsi="Times New Roman" w:eastAsia="宋体" w:cs="Times New Roman"/>
                <w:color w:val="auto"/>
                <w:spacing w:val="-1"/>
                <w:sz w:val="21"/>
                <w:szCs w:val="21"/>
              </w:rPr>
              <w:t>项</w:t>
            </w:r>
          </w:p>
        </w:tc>
        <w:tc>
          <w:tcPr>
            <w:tcW w:w="75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拟建熔炼车</w:t>
            </w:r>
            <w:r>
              <w:rPr>
                <w:rFonts w:hint="default" w:ascii="Times New Roman" w:hAnsi="Times New Roman" w:eastAsia="宋体" w:cs="Times New Roman"/>
                <w:color w:val="auto"/>
                <w:sz w:val="21"/>
                <w:szCs w:val="21"/>
              </w:rPr>
              <w:t>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33"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Times New Roman" w:cs="Times New Roman"/>
                <w:color w:val="auto"/>
                <w:sz w:val="21"/>
                <w:szCs w:val="21"/>
              </w:rPr>
              <w:t>T</w:t>
            </w:r>
            <w:r>
              <w:rPr>
                <w:rFonts w:hint="default" w:ascii="Times New Roman" w:hAnsi="Times New Roman" w:eastAsia="宋体" w:cs="Times New Roman"/>
                <w:color w:val="auto"/>
                <w:spacing w:val="5"/>
                <w:sz w:val="21"/>
                <w:szCs w:val="21"/>
                <w:lang w:val="en-US" w:eastAsia="zh-CN"/>
              </w:rPr>
              <w:t>2</w:t>
            </w:r>
          </w:p>
        </w:tc>
        <w:tc>
          <w:tcPr>
            <w:tcW w:w="79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项目占地范围内，</w:t>
            </w:r>
            <w:r>
              <w:rPr>
                <w:rFonts w:hint="default" w:ascii="Times New Roman" w:hAnsi="Times New Roman" w:eastAsia="宋体" w:cs="Times New Roman"/>
                <w:color w:val="auto"/>
                <w:spacing w:val="3"/>
                <w:sz w:val="21"/>
                <w:szCs w:val="21"/>
                <w:lang w:eastAsia="zh-CN"/>
              </w:rPr>
              <w:t>表层样</w:t>
            </w:r>
            <w:r>
              <w:rPr>
                <w:rFonts w:hint="eastAsia" w:ascii="Times New Roman" w:hAnsi="Times New Roman" w:eastAsia="宋体" w:cs="Times New Roman"/>
                <w:color w:val="auto"/>
                <w:spacing w:val="3"/>
                <w:sz w:val="21"/>
                <w:szCs w:val="21"/>
                <w:lang w:eastAsia="zh-CN"/>
              </w:rPr>
              <w:t>（</w:t>
            </w:r>
            <w:r>
              <w:rPr>
                <w:rFonts w:hint="eastAsia" w:ascii="Times New Roman" w:hAnsi="Times New Roman" w:eastAsia="宋体" w:cs="Times New Roman"/>
                <w:color w:val="auto"/>
                <w:spacing w:val="3"/>
                <w:sz w:val="21"/>
                <w:szCs w:val="21"/>
                <w:lang w:val="en-US" w:eastAsia="zh-CN"/>
              </w:rPr>
              <w:t>0-0.2m取样</w:t>
            </w:r>
            <w:r>
              <w:rPr>
                <w:rFonts w:hint="eastAsia" w:ascii="Times New Roman" w:hAnsi="Times New Roman" w:eastAsia="宋体" w:cs="Times New Roman"/>
                <w:color w:val="auto"/>
                <w:spacing w:val="3"/>
                <w:sz w:val="21"/>
                <w:szCs w:val="21"/>
                <w:lang w:eastAsia="zh-CN"/>
              </w:rPr>
              <w:t>）</w:t>
            </w:r>
          </w:p>
        </w:tc>
        <w:tc>
          <w:tcPr>
            <w:tcW w:w="311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33"/>
                <w:sz w:val="21"/>
                <w:szCs w:val="21"/>
              </w:rPr>
            </w:pPr>
            <w:r>
              <w:rPr>
                <w:rFonts w:hint="default" w:ascii="Times New Roman" w:hAnsi="Times New Roman" w:eastAsia="宋体" w:cs="Times New Roman"/>
                <w:color w:val="auto"/>
                <w:spacing w:val="9"/>
                <w:sz w:val="21"/>
                <w:szCs w:val="21"/>
              </w:rPr>
              <w:t>铜、铅、镉、铬(六价)、砷、汞、</w:t>
            </w:r>
            <w:r>
              <w:rPr>
                <w:rFonts w:hint="default" w:ascii="Times New Roman" w:hAnsi="Times New Roman" w:eastAsia="宋体" w:cs="Times New Roman"/>
                <w:color w:val="auto"/>
                <w:spacing w:val="8"/>
                <w:sz w:val="21"/>
                <w:szCs w:val="21"/>
              </w:rPr>
              <w:t>镍、四氯</w:t>
            </w:r>
            <w:r>
              <w:rPr>
                <w:rFonts w:hint="default" w:ascii="Times New Roman" w:hAnsi="Times New Roman" w:eastAsia="宋体" w:cs="Times New Roman"/>
                <w:color w:val="auto"/>
                <w:spacing w:val="4"/>
                <w:sz w:val="21"/>
                <w:szCs w:val="21"/>
              </w:rPr>
              <w:t>化碳、氯仿、氯甲烷、</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二氯乙烷、</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二氯乙烷、</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z w:val="21"/>
                <w:szCs w:val="21"/>
              </w:rPr>
              <w:t>二氯乙烯、顺</w:t>
            </w:r>
            <w:r>
              <w:rPr>
                <w:rFonts w:hint="default" w:ascii="Times New Roman" w:hAnsi="Times New Roman" w:eastAsia="Times New Roman" w:cs="Times New Roman"/>
                <w:color w:val="auto"/>
                <w:sz w:val="21"/>
                <w:szCs w:val="21"/>
              </w:rPr>
              <w:t>-1</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2-</w:t>
            </w:r>
            <w:r>
              <w:rPr>
                <w:rFonts w:hint="default" w:ascii="Times New Roman" w:hAnsi="Times New Roman" w:eastAsia="宋体" w:cs="Times New Roman"/>
                <w:color w:val="auto"/>
                <w:sz w:val="21"/>
                <w:szCs w:val="21"/>
              </w:rPr>
              <w:t>二氯乙烯、反</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二氯乙烯烯、二氯甲烷、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二氯丙烷、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0"/>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四氯乙烷、</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四氯乙烷、西氯乙</w:t>
            </w:r>
            <w:r>
              <w:rPr>
                <w:rFonts w:hint="default" w:ascii="Times New Roman" w:hAnsi="Times New Roman" w:eastAsia="宋体" w:cs="Times New Roman"/>
                <w:color w:val="auto"/>
                <w:spacing w:val="-2"/>
                <w:sz w:val="21"/>
                <w:szCs w:val="21"/>
              </w:rPr>
              <w:t>烯、</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三氯乙烷、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三氯</w:t>
            </w:r>
            <w:r>
              <w:rPr>
                <w:rFonts w:hint="default" w:ascii="Times New Roman" w:hAnsi="Times New Roman" w:eastAsia="宋体" w:cs="Times New Roman"/>
                <w:color w:val="auto"/>
                <w:spacing w:val="-1"/>
                <w:sz w:val="21"/>
                <w:szCs w:val="21"/>
              </w:rPr>
              <w:t>乙烷、三氯乙</w:t>
            </w:r>
            <w:r>
              <w:rPr>
                <w:rFonts w:hint="default" w:ascii="Times New Roman" w:hAnsi="Times New Roman" w:eastAsia="宋体" w:cs="Times New Roman"/>
                <w:color w:val="auto"/>
                <w:spacing w:val="2"/>
                <w:sz w:val="21"/>
                <w:szCs w:val="21"/>
              </w:rPr>
              <w:t>烯、</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3-</w:t>
            </w:r>
            <w:r>
              <w:rPr>
                <w:rFonts w:hint="default" w:ascii="Times New Roman" w:hAnsi="Times New Roman" w:eastAsia="宋体" w:cs="Times New Roman"/>
                <w:color w:val="auto"/>
                <w:spacing w:val="1"/>
                <w:sz w:val="21"/>
                <w:szCs w:val="21"/>
              </w:rPr>
              <w:t>三氯丙烷、氯乙烯、苯、氯苯、</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6"/>
                <w:sz w:val="21"/>
                <w:szCs w:val="21"/>
              </w:rPr>
              <w:t>-</w:t>
            </w:r>
            <w:r>
              <w:rPr>
                <w:rFonts w:hint="default" w:ascii="Times New Roman" w:hAnsi="Times New Roman" w:eastAsia="宋体" w:cs="Times New Roman"/>
                <w:color w:val="auto"/>
                <w:spacing w:val="6"/>
                <w:sz w:val="21"/>
                <w:szCs w:val="21"/>
              </w:rPr>
              <w:t>二氯苯</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3"/>
                <w:sz w:val="21"/>
                <w:szCs w:val="21"/>
              </w:rPr>
              <w:t>1</w:t>
            </w:r>
            <w:r>
              <w:rPr>
                <w:rFonts w:hint="default" w:ascii="Times New Roman" w:hAnsi="Times New Roman" w:eastAsia="宋体" w:cs="Times New Roman"/>
                <w:color w:val="auto"/>
                <w:spacing w:val="3"/>
                <w:sz w:val="21"/>
                <w:szCs w:val="21"/>
              </w:rPr>
              <w:t>，</w:t>
            </w:r>
            <w:r>
              <w:rPr>
                <w:rFonts w:hint="default" w:ascii="Times New Roman" w:hAnsi="Times New Roman" w:eastAsia="Times New Roman" w:cs="Times New Roman"/>
                <w:color w:val="auto"/>
                <w:spacing w:val="3"/>
                <w:sz w:val="21"/>
                <w:szCs w:val="21"/>
              </w:rPr>
              <w:t>4-</w:t>
            </w:r>
            <w:r>
              <w:rPr>
                <w:rFonts w:hint="default" w:ascii="Times New Roman" w:hAnsi="Times New Roman" w:eastAsia="宋体" w:cs="Times New Roman"/>
                <w:color w:val="auto"/>
                <w:spacing w:val="3"/>
                <w:sz w:val="21"/>
                <w:szCs w:val="21"/>
              </w:rPr>
              <w:t>二氯苯、乙苯、苯乙烯、甲苯、间二</w:t>
            </w:r>
            <w:r>
              <w:rPr>
                <w:rFonts w:hint="default" w:ascii="Times New Roman" w:hAnsi="Times New Roman" w:eastAsia="宋体" w:cs="Times New Roman"/>
                <w:color w:val="auto"/>
                <w:spacing w:val="4"/>
                <w:sz w:val="21"/>
                <w:szCs w:val="21"/>
              </w:rPr>
              <w:t>甲苯</w:t>
            </w:r>
            <w:r>
              <w:rPr>
                <w:rFonts w:hint="default" w:ascii="Times New Roman" w:hAnsi="Times New Roman" w:eastAsia="Times New Roman" w:cs="Times New Roman"/>
                <w:color w:val="auto"/>
                <w:spacing w:val="4"/>
                <w:sz w:val="21"/>
                <w:szCs w:val="21"/>
              </w:rPr>
              <w:t>+</w:t>
            </w:r>
            <w:r>
              <w:rPr>
                <w:rFonts w:hint="default" w:ascii="Times New Roman" w:hAnsi="Times New Roman" w:eastAsia="宋体" w:cs="Times New Roman"/>
                <w:color w:val="auto"/>
                <w:spacing w:val="4"/>
                <w:sz w:val="21"/>
                <w:szCs w:val="21"/>
              </w:rPr>
              <w:t>对二甲苯、邻</w:t>
            </w:r>
            <w:r>
              <w:rPr>
                <w:rFonts w:hint="default" w:ascii="Times New Roman" w:hAnsi="Times New Roman" w:eastAsia="宋体" w:cs="Times New Roman"/>
                <w:color w:val="auto"/>
                <w:spacing w:val="2"/>
                <w:sz w:val="21"/>
                <w:szCs w:val="21"/>
              </w:rPr>
              <w:t>二甲苯、硝基苯、苯胺、</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氯酚、</w:t>
            </w:r>
            <w:r>
              <w:rPr>
                <w:rFonts w:hint="default" w:ascii="Times New Roman" w:hAnsi="Times New Roman" w:eastAsia="宋体" w:cs="Times New Roman"/>
                <w:color w:val="auto"/>
                <w:spacing w:val="-46"/>
                <w:sz w:val="21"/>
                <w:szCs w:val="21"/>
              </w:rPr>
              <w:t>苯</w:t>
            </w:r>
            <w:r>
              <w:rPr>
                <w:rFonts w:hint="default" w:ascii="Times New Roman" w:hAnsi="Times New Roman" w:eastAsia="宋体" w:cs="Times New Roman"/>
                <w:color w:val="auto"/>
                <w:spacing w:val="-27"/>
                <w:sz w:val="21"/>
                <w:szCs w:val="21"/>
              </w:rPr>
              <w:t>并</w:t>
            </w:r>
            <w:r>
              <w:rPr>
                <w:rFonts w:hint="default" w:ascii="Times New Roman" w:hAnsi="Times New Roman" w:eastAsia="宋体" w:cs="Times New Roman"/>
                <w:color w:val="auto"/>
                <w:spacing w:val="-23"/>
                <w:sz w:val="21"/>
                <w:szCs w:val="21"/>
              </w:rPr>
              <w:t>﹝</w:t>
            </w:r>
            <w:r>
              <w:rPr>
                <w:rFonts w:hint="default" w:ascii="Times New Roman" w:hAnsi="Times New Roman" w:eastAsia="Times New Roman" w:cs="Times New Roman"/>
                <w:color w:val="auto"/>
                <w:spacing w:val="-23"/>
                <w:sz w:val="21"/>
                <w:szCs w:val="21"/>
              </w:rPr>
              <w:t>a</w:t>
            </w:r>
            <w:r>
              <w:rPr>
                <w:rFonts w:hint="default" w:ascii="Times New Roman" w:hAnsi="Times New Roman" w:eastAsia="宋体" w:cs="Times New Roman"/>
                <w:color w:val="auto"/>
                <w:spacing w:val="-23"/>
                <w:sz w:val="21"/>
                <w:szCs w:val="21"/>
              </w:rPr>
              <w:t>﹞蒽、苯并﹝</w:t>
            </w:r>
            <w:r>
              <w:rPr>
                <w:rFonts w:hint="default" w:ascii="Times New Roman" w:hAnsi="Times New Roman" w:eastAsia="Times New Roman" w:cs="Times New Roman"/>
                <w:color w:val="auto"/>
                <w:spacing w:val="-23"/>
                <w:sz w:val="21"/>
                <w:szCs w:val="21"/>
              </w:rPr>
              <w:t>a</w:t>
            </w:r>
            <w:r>
              <w:rPr>
                <w:rFonts w:hint="default" w:ascii="Times New Roman" w:hAnsi="Times New Roman" w:eastAsia="宋体" w:cs="Times New Roman"/>
                <w:color w:val="auto"/>
                <w:spacing w:val="-23"/>
                <w:sz w:val="21"/>
                <w:szCs w:val="21"/>
              </w:rPr>
              <w:t>﹞芘、苯并﹝</w:t>
            </w:r>
            <w:r>
              <w:rPr>
                <w:rFonts w:hint="default" w:ascii="Times New Roman" w:hAnsi="Times New Roman" w:eastAsia="Times New Roman" w:cs="Times New Roman"/>
                <w:color w:val="auto"/>
                <w:spacing w:val="-23"/>
                <w:sz w:val="21"/>
                <w:szCs w:val="21"/>
              </w:rPr>
              <w:t>b</w:t>
            </w:r>
            <w:r>
              <w:rPr>
                <w:rFonts w:hint="default" w:ascii="Times New Roman" w:hAnsi="Times New Roman" w:eastAsia="宋体" w:cs="Times New Roman"/>
                <w:color w:val="auto"/>
                <w:spacing w:val="-23"/>
                <w:sz w:val="21"/>
                <w:szCs w:val="21"/>
              </w:rPr>
              <w:t>﹞荧蒽、苯并</w:t>
            </w:r>
            <w:r>
              <w:rPr>
                <w:rFonts w:hint="default" w:ascii="Times New Roman" w:hAnsi="Times New Roman" w:eastAsia="宋体" w:cs="Times New Roman"/>
                <w:color w:val="auto"/>
                <w:spacing w:val="-33"/>
                <w:sz w:val="21"/>
                <w:szCs w:val="21"/>
              </w:rPr>
              <w:t>﹝</w:t>
            </w:r>
            <w:r>
              <w:rPr>
                <w:rFonts w:hint="default" w:ascii="Times New Roman" w:hAnsi="Times New Roman" w:eastAsia="Times New Roman" w:cs="Times New Roman"/>
                <w:color w:val="auto"/>
                <w:spacing w:val="-22"/>
                <w:sz w:val="21"/>
                <w:szCs w:val="21"/>
              </w:rPr>
              <w:t>k</w:t>
            </w:r>
            <w:r>
              <w:rPr>
                <w:rFonts w:hint="default" w:ascii="Times New Roman" w:hAnsi="Times New Roman" w:eastAsia="宋体" w:cs="Times New Roman"/>
                <w:color w:val="auto"/>
                <w:spacing w:val="-22"/>
                <w:sz w:val="21"/>
                <w:szCs w:val="21"/>
              </w:rPr>
              <w:t>﹞荧蒽、䓛、二苯并﹝</w:t>
            </w:r>
            <w:r>
              <w:rPr>
                <w:rFonts w:hint="default" w:ascii="Times New Roman" w:hAnsi="Times New Roman" w:eastAsia="Times New Roman" w:cs="Times New Roman"/>
                <w:color w:val="auto"/>
                <w:spacing w:val="-22"/>
                <w:sz w:val="21"/>
                <w:szCs w:val="21"/>
              </w:rPr>
              <w:t>a</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2"/>
                <w:sz w:val="21"/>
                <w:szCs w:val="21"/>
              </w:rPr>
              <w:t>h</w:t>
            </w:r>
            <w:r>
              <w:rPr>
                <w:rFonts w:hint="default" w:ascii="Times New Roman" w:hAnsi="Times New Roman" w:eastAsia="宋体" w:cs="Times New Roman"/>
                <w:color w:val="auto"/>
                <w:spacing w:val="-22"/>
                <w:sz w:val="21"/>
                <w:szCs w:val="21"/>
              </w:rPr>
              <w:t>﹞蒽、茚并﹝</w:t>
            </w:r>
            <w:r>
              <w:rPr>
                <w:rFonts w:hint="default" w:ascii="Times New Roman" w:hAnsi="Times New Roman" w:eastAsia="Times New Roman" w:cs="Times New Roman"/>
                <w:color w:val="auto"/>
                <w:spacing w:val="-22"/>
                <w:sz w:val="21"/>
                <w:szCs w:val="21"/>
              </w:rPr>
              <w:t>1</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2"/>
                <w:sz w:val="21"/>
                <w:szCs w:val="21"/>
              </w:rPr>
              <w:t>2</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
                <w:sz w:val="21"/>
                <w:szCs w:val="21"/>
              </w:rPr>
              <w:t>3-</w:t>
            </w:r>
            <w:r>
              <w:rPr>
                <w:rFonts w:hint="default" w:ascii="Times New Roman" w:hAnsi="Times New Roman" w:eastAsia="Times New Roman" w:cs="Times New Roman"/>
                <w:color w:val="auto"/>
                <w:spacing w:val="-1"/>
                <w:sz w:val="21"/>
                <w:szCs w:val="21"/>
              </w:rPr>
              <w:t>cd</w:t>
            </w:r>
            <w:r>
              <w:rPr>
                <w:rFonts w:hint="default" w:ascii="Times New Roman" w:hAnsi="Times New Roman" w:eastAsia="宋体" w:cs="Times New Roman"/>
                <w:color w:val="auto"/>
                <w:spacing w:val="-2"/>
                <w:sz w:val="21"/>
                <w:szCs w:val="21"/>
              </w:rPr>
              <w:t>﹞芘、萘</w:t>
            </w:r>
            <w:r>
              <w:rPr>
                <w:rFonts w:hint="default" w:ascii="Times New Roman" w:hAnsi="Times New Roman" w:eastAsia="宋体" w:cs="Times New Roman"/>
                <w:color w:val="auto"/>
                <w:spacing w:val="-1"/>
                <w:sz w:val="21"/>
                <w:szCs w:val="21"/>
              </w:rPr>
              <w:t>共</w:t>
            </w:r>
            <w:r>
              <w:rPr>
                <w:rFonts w:hint="eastAsia" w:ascii="Times New Roman" w:hAnsi="Times New Roman" w:eastAsia="宋体" w:cs="Times New Roman"/>
                <w:color w:val="auto"/>
                <w:spacing w:val="-1"/>
                <w:sz w:val="21"/>
                <w:szCs w:val="21"/>
                <w:lang w:val="en-US" w:eastAsia="zh-CN"/>
              </w:rPr>
              <w:t>45</w:t>
            </w:r>
            <w:r>
              <w:rPr>
                <w:rFonts w:hint="default" w:ascii="Times New Roman" w:hAnsi="Times New Roman" w:eastAsia="宋体" w:cs="Times New Roman"/>
                <w:color w:val="auto"/>
                <w:spacing w:val="-1"/>
                <w:sz w:val="21"/>
                <w:szCs w:val="21"/>
              </w:rPr>
              <w:t>项</w:t>
            </w:r>
          </w:p>
        </w:tc>
        <w:tc>
          <w:tcPr>
            <w:tcW w:w="75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拟建</w:t>
            </w:r>
            <w:r>
              <w:rPr>
                <w:rFonts w:hint="eastAsia" w:ascii="Times New Roman" w:hAnsi="Times New Roman" w:eastAsia="宋体" w:cs="Times New Roman"/>
                <w:color w:val="auto"/>
                <w:spacing w:val="8"/>
                <w:sz w:val="21"/>
                <w:szCs w:val="21"/>
                <w:lang w:eastAsia="zh-CN"/>
              </w:rPr>
              <w:t>表面处理</w:t>
            </w:r>
            <w:r>
              <w:rPr>
                <w:rFonts w:hint="default" w:ascii="Times New Roman" w:hAnsi="Times New Roman" w:eastAsia="宋体" w:cs="Times New Roman"/>
                <w:color w:val="auto"/>
                <w:spacing w:val="8"/>
                <w:sz w:val="21"/>
                <w:szCs w:val="21"/>
              </w:rPr>
              <w:t>车</w:t>
            </w:r>
            <w:r>
              <w:rPr>
                <w:rFonts w:hint="default" w:ascii="Times New Roman" w:hAnsi="Times New Roman" w:eastAsia="宋体" w:cs="Times New Roman"/>
                <w:color w:val="auto"/>
                <w:sz w:val="21"/>
                <w:szCs w:val="21"/>
              </w:rPr>
              <w:t>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33"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T</w:t>
            </w:r>
            <w:r>
              <w:rPr>
                <w:rFonts w:hint="default" w:ascii="Times New Roman" w:hAnsi="Times New Roman" w:eastAsia="宋体" w:cs="Times New Roman"/>
                <w:color w:val="auto"/>
                <w:spacing w:val="5"/>
                <w:sz w:val="21"/>
                <w:szCs w:val="21"/>
                <w:lang w:val="en-US" w:eastAsia="zh-CN"/>
              </w:rPr>
              <w:t>3</w:t>
            </w:r>
          </w:p>
        </w:tc>
        <w:tc>
          <w:tcPr>
            <w:tcW w:w="792"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项目占地范围内，</w:t>
            </w:r>
            <w:r>
              <w:rPr>
                <w:rFonts w:hint="default" w:ascii="Times New Roman" w:hAnsi="Times New Roman" w:eastAsia="宋体" w:cs="Times New Roman"/>
                <w:color w:val="auto"/>
                <w:spacing w:val="3"/>
                <w:sz w:val="21"/>
                <w:szCs w:val="21"/>
                <w:lang w:eastAsia="zh-CN"/>
              </w:rPr>
              <w:t>表层样</w:t>
            </w:r>
            <w:r>
              <w:rPr>
                <w:rFonts w:hint="eastAsia" w:ascii="Times New Roman" w:hAnsi="Times New Roman" w:eastAsia="宋体" w:cs="Times New Roman"/>
                <w:color w:val="auto"/>
                <w:spacing w:val="3"/>
                <w:sz w:val="21"/>
                <w:szCs w:val="21"/>
                <w:lang w:eastAsia="zh-CN"/>
              </w:rPr>
              <w:t>（</w:t>
            </w:r>
            <w:r>
              <w:rPr>
                <w:rFonts w:hint="eastAsia" w:ascii="Times New Roman" w:hAnsi="Times New Roman" w:eastAsia="宋体" w:cs="Times New Roman"/>
                <w:color w:val="auto"/>
                <w:spacing w:val="3"/>
                <w:sz w:val="21"/>
                <w:szCs w:val="21"/>
                <w:lang w:val="en-US" w:eastAsia="zh-CN"/>
              </w:rPr>
              <w:t>0-0.2m取样</w:t>
            </w:r>
            <w:r>
              <w:rPr>
                <w:rFonts w:hint="eastAsia" w:ascii="Times New Roman" w:hAnsi="Times New Roman" w:eastAsia="宋体" w:cs="Times New Roman"/>
                <w:color w:val="auto"/>
                <w:spacing w:val="3"/>
                <w:sz w:val="21"/>
                <w:szCs w:val="21"/>
                <w:lang w:eastAsia="zh-CN"/>
              </w:rPr>
              <w:t>）</w:t>
            </w:r>
          </w:p>
        </w:tc>
        <w:tc>
          <w:tcPr>
            <w:tcW w:w="311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pacing w:val="-33"/>
                <w:sz w:val="21"/>
                <w:szCs w:val="21"/>
              </w:rPr>
            </w:pPr>
            <w:r>
              <w:rPr>
                <w:rFonts w:hint="default" w:ascii="Times New Roman" w:hAnsi="Times New Roman" w:eastAsia="宋体" w:cs="Times New Roman"/>
                <w:color w:val="auto"/>
                <w:spacing w:val="9"/>
                <w:sz w:val="21"/>
                <w:szCs w:val="21"/>
              </w:rPr>
              <w:t>铜、铅、镉、铬(六价)、砷、汞、</w:t>
            </w:r>
            <w:r>
              <w:rPr>
                <w:rFonts w:hint="default" w:ascii="Times New Roman" w:hAnsi="Times New Roman" w:eastAsia="宋体" w:cs="Times New Roman"/>
                <w:color w:val="auto"/>
                <w:spacing w:val="8"/>
                <w:sz w:val="21"/>
                <w:szCs w:val="21"/>
              </w:rPr>
              <w:t>镍、四氯</w:t>
            </w:r>
            <w:r>
              <w:rPr>
                <w:rFonts w:hint="default" w:ascii="Times New Roman" w:hAnsi="Times New Roman" w:eastAsia="宋体" w:cs="Times New Roman"/>
                <w:color w:val="auto"/>
                <w:spacing w:val="4"/>
                <w:sz w:val="21"/>
                <w:szCs w:val="21"/>
              </w:rPr>
              <w:t>化碳、氯仿、氯甲烷、</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二氯乙烷、</w:t>
            </w:r>
            <w:r>
              <w:rPr>
                <w:rFonts w:hint="default" w:ascii="Times New Roman" w:hAnsi="Times New Roman" w:eastAsia="Times New Roman" w:cs="Times New Roman"/>
                <w:color w:val="auto"/>
                <w:spacing w:val="4"/>
                <w:sz w:val="21"/>
                <w:szCs w:val="21"/>
              </w:rPr>
              <w:t>1</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二氯乙烷、</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z w:val="21"/>
                <w:szCs w:val="21"/>
              </w:rPr>
              <w:t>二氯乙烯、顺</w:t>
            </w:r>
            <w:r>
              <w:rPr>
                <w:rFonts w:hint="default" w:ascii="Times New Roman" w:hAnsi="Times New Roman" w:eastAsia="Times New Roman" w:cs="Times New Roman"/>
                <w:color w:val="auto"/>
                <w:sz w:val="21"/>
                <w:szCs w:val="21"/>
              </w:rPr>
              <w:t>-1</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2-</w:t>
            </w:r>
            <w:r>
              <w:rPr>
                <w:rFonts w:hint="default" w:ascii="Times New Roman" w:hAnsi="Times New Roman" w:eastAsia="宋体" w:cs="Times New Roman"/>
                <w:color w:val="auto"/>
                <w:sz w:val="21"/>
                <w:szCs w:val="21"/>
              </w:rPr>
              <w:t>二氯乙烯、反</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二氯乙烯烯、二氯甲烷、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二氯丙烷、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0"/>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四氯乙烷、</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1</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w:t>
            </w:r>
            <w:r>
              <w:rPr>
                <w:rFonts w:hint="default" w:ascii="Times New Roman" w:hAnsi="Times New Roman" w:eastAsia="Times New Roman" w:cs="Times New Roman"/>
                <w:color w:val="auto"/>
                <w:spacing w:val="-5"/>
                <w:sz w:val="21"/>
                <w:szCs w:val="21"/>
              </w:rPr>
              <w:t>2-</w:t>
            </w:r>
            <w:r>
              <w:rPr>
                <w:rFonts w:hint="default" w:ascii="Times New Roman" w:hAnsi="Times New Roman" w:eastAsia="宋体" w:cs="Times New Roman"/>
                <w:color w:val="auto"/>
                <w:spacing w:val="-5"/>
                <w:sz w:val="21"/>
                <w:szCs w:val="21"/>
              </w:rPr>
              <w:t>四氯乙烷、西氯乙</w:t>
            </w:r>
            <w:r>
              <w:rPr>
                <w:rFonts w:hint="default" w:ascii="Times New Roman" w:hAnsi="Times New Roman" w:eastAsia="宋体" w:cs="Times New Roman"/>
                <w:color w:val="auto"/>
                <w:spacing w:val="-2"/>
                <w:sz w:val="21"/>
                <w:szCs w:val="21"/>
              </w:rPr>
              <w:t>烯、</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三氯乙烷、</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三氯</w:t>
            </w:r>
            <w:r>
              <w:rPr>
                <w:rFonts w:hint="default" w:ascii="Times New Roman" w:hAnsi="Times New Roman" w:eastAsia="宋体" w:cs="Times New Roman"/>
                <w:color w:val="auto"/>
                <w:spacing w:val="-1"/>
                <w:sz w:val="21"/>
                <w:szCs w:val="21"/>
              </w:rPr>
              <w:t>乙烷、三氯乙</w:t>
            </w:r>
            <w:r>
              <w:rPr>
                <w:rFonts w:hint="default" w:ascii="Times New Roman" w:hAnsi="Times New Roman" w:eastAsia="宋体" w:cs="Times New Roman"/>
                <w:color w:val="auto"/>
                <w:spacing w:val="2"/>
                <w:sz w:val="21"/>
                <w:szCs w:val="21"/>
              </w:rPr>
              <w:t>烯、</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3-</w:t>
            </w:r>
            <w:r>
              <w:rPr>
                <w:rFonts w:hint="default" w:ascii="Times New Roman" w:hAnsi="Times New Roman" w:eastAsia="宋体" w:cs="Times New Roman"/>
                <w:color w:val="auto"/>
                <w:spacing w:val="1"/>
                <w:sz w:val="21"/>
                <w:szCs w:val="21"/>
              </w:rPr>
              <w:t>三氯丙烷、氯乙烯、苯、氯苯、</w:t>
            </w:r>
            <w:r>
              <w:rPr>
                <w:rFonts w:hint="default" w:ascii="Times New Roman" w:hAnsi="Times New Roman" w:eastAsia="Times New Roman" w:cs="Times New Roman"/>
                <w:color w:val="auto"/>
                <w:spacing w:val="1"/>
                <w:sz w:val="21"/>
                <w:szCs w:val="21"/>
              </w:rPr>
              <w:t>1</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1"/>
                <w:sz w:val="21"/>
                <w:szCs w:val="21"/>
              </w:rPr>
              <w:t>2</w:t>
            </w:r>
            <w:r>
              <w:rPr>
                <w:rFonts w:hint="default" w:ascii="Times New Roman" w:hAnsi="Times New Roman" w:eastAsia="宋体" w:cs="Times New Roman"/>
                <w:color w:val="auto"/>
                <w:spacing w:val="1"/>
                <w:sz w:val="21"/>
                <w:szCs w:val="21"/>
              </w:rPr>
              <w:t>，</w:t>
            </w:r>
            <w:r>
              <w:rPr>
                <w:rFonts w:hint="default" w:ascii="Times New Roman" w:hAnsi="Times New Roman" w:eastAsia="Times New Roman" w:cs="Times New Roman"/>
                <w:color w:val="auto"/>
                <w:spacing w:val="6"/>
                <w:sz w:val="21"/>
                <w:szCs w:val="21"/>
              </w:rPr>
              <w:t>-</w:t>
            </w:r>
            <w:r>
              <w:rPr>
                <w:rFonts w:hint="default" w:ascii="Times New Roman" w:hAnsi="Times New Roman" w:eastAsia="宋体" w:cs="Times New Roman"/>
                <w:color w:val="auto"/>
                <w:spacing w:val="6"/>
                <w:sz w:val="21"/>
                <w:szCs w:val="21"/>
              </w:rPr>
              <w:t>二氯苯</w:t>
            </w: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3"/>
                <w:sz w:val="21"/>
                <w:szCs w:val="21"/>
              </w:rPr>
              <w:t>1</w:t>
            </w:r>
            <w:r>
              <w:rPr>
                <w:rFonts w:hint="default" w:ascii="Times New Roman" w:hAnsi="Times New Roman" w:eastAsia="宋体" w:cs="Times New Roman"/>
                <w:color w:val="auto"/>
                <w:spacing w:val="3"/>
                <w:sz w:val="21"/>
                <w:szCs w:val="21"/>
              </w:rPr>
              <w:t>，</w:t>
            </w:r>
            <w:r>
              <w:rPr>
                <w:rFonts w:hint="default" w:ascii="Times New Roman" w:hAnsi="Times New Roman" w:eastAsia="Times New Roman" w:cs="Times New Roman"/>
                <w:color w:val="auto"/>
                <w:spacing w:val="3"/>
                <w:sz w:val="21"/>
                <w:szCs w:val="21"/>
              </w:rPr>
              <w:t>4-</w:t>
            </w:r>
            <w:r>
              <w:rPr>
                <w:rFonts w:hint="default" w:ascii="Times New Roman" w:hAnsi="Times New Roman" w:eastAsia="宋体" w:cs="Times New Roman"/>
                <w:color w:val="auto"/>
                <w:spacing w:val="3"/>
                <w:sz w:val="21"/>
                <w:szCs w:val="21"/>
              </w:rPr>
              <w:t>二氯苯、乙苯、苯乙烯、甲苯、间二</w:t>
            </w:r>
            <w:r>
              <w:rPr>
                <w:rFonts w:hint="default" w:ascii="Times New Roman" w:hAnsi="Times New Roman" w:eastAsia="宋体" w:cs="Times New Roman"/>
                <w:color w:val="auto"/>
                <w:spacing w:val="4"/>
                <w:sz w:val="21"/>
                <w:szCs w:val="21"/>
              </w:rPr>
              <w:t>甲苯</w:t>
            </w:r>
            <w:r>
              <w:rPr>
                <w:rFonts w:hint="default" w:ascii="Times New Roman" w:hAnsi="Times New Roman" w:eastAsia="Times New Roman" w:cs="Times New Roman"/>
                <w:color w:val="auto"/>
                <w:spacing w:val="4"/>
                <w:sz w:val="21"/>
                <w:szCs w:val="21"/>
              </w:rPr>
              <w:t>+</w:t>
            </w:r>
            <w:r>
              <w:rPr>
                <w:rFonts w:hint="default" w:ascii="Times New Roman" w:hAnsi="Times New Roman" w:eastAsia="宋体" w:cs="Times New Roman"/>
                <w:color w:val="auto"/>
                <w:spacing w:val="4"/>
                <w:sz w:val="21"/>
                <w:szCs w:val="21"/>
              </w:rPr>
              <w:t>对二甲苯、邻</w:t>
            </w:r>
            <w:r>
              <w:rPr>
                <w:rFonts w:hint="default" w:ascii="Times New Roman" w:hAnsi="Times New Roman" w:eastAsia="宋体" w:cs="Times New Roman"/>
                <w:color w:val="auto"/>
                <w:spacing w:val="2"/>
                <w:sz w:val="21"/>
                <w:szCs w:val="21"/>
              </w:rPr>
              <w:t>二甲苯、硝基苯、苯胺、</w:t>
            </w: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氯酚、</w:t>
            </w:r>
            <w:r>
              <w:rPr>
                <w:rFonts w:hint="default" w:ascii="Times New Roman" w:hAnsi="Times New Roman" w:eastAsia="宋体" w:cs="Times New Roman"/>
                <w:color w:val="auto"/>
                <w:spacing w:val="-46"/>
                <w:sz w:val="21"/>
                <w:szCs w:val="21"/>
              </w:rPr>
              <w:t>苯</w:t>
            </w:r>
            <w:r>
              <w:rPr>
                <w:rFonts w:hint="default" w:ascii="Times New Roman" w:hAnsi="Times New Roman" w:eastAsia="宋体" w:cs="Times New Roman"/>
                <w:color w:val="auto"/>
                <w:spacing w:val="-27"/>
                <w:sz w:val="21"/>
                <w:szCs w:val="21"/>
              </w:rPr>
              <w:t>并</w:t>
            </w:r>
            <w:r>
              <w:rPr>
                <w:rFonts w:hint="default" w:ascii="Times New Roman" w:hAnsi="Times New Roman" w:eastAsia="宋体" w:cs="Times New Roman"/>
                <w:color w:val="auto"/>
                <w:spacing w:val="-23"/>
                <w:sz w:val="21"/>
                <w:szCs w:val="21"/>
              </w:rPr>
              <w:t>﹝</w:t>
            </w:r>
            <w:r>
              <w:rPr>
                <w:rFonts w:hint="default" w:ascii="Times New Roman" w:hAnsi="Times New Roman" w:eastAsia="Times New Roman" w:cs="Times New Roman"/>
                <w:color w:val="auto"/>
                <w:spacing w:val="-23"/>
                <w:sz w:val="21"/>
                <w:szCs w:val="21"/>
              </w:rPr>
              <w:t>a</w:t>
            </w:r>
            <w:r>
              <w:rPr>
                <w:rFonts w:hint="default" w:ascii="Times New Roman" w:hAnsi="Times New Roman" w:eastAsia="宋体" w:cs="Times New Roman"/>
                <w:color w:val="auto"/>
                <w:spacing w:val="-23"/>
                <w:sz w:val="21"/>
                <w:szCs w:val="21"/>
              </w:rPr>
              <w:t>﹞蒽、苯并﹝</w:t>
            </w:r>
            <w:r>
              <w:rPr>
                <w:rFonts w:hint="default" w:ascii="Times New Roman" w:hAnsi="Times New Roman" w:eastAsia="Times New Roman" w:cs="Times New Roman"/>
                <w:color w:val="auto"/>
                <w:spacing w:val="-23"/>
                <w:sz w:val="21"/>
                <w:szCs w:val="21"/>
              </w:rPr>
              <w:t>a</w:t>
            </w:r>
            <w:r>
              <w:rPr>
                <w:rFonts w:hint="default" w:ascii="Times New Roman" w:hAnsi="Times New Roman" w:eastAsia="宋体" w:cs="Times New Roman"/>
                <w:color w:val="auto"/>
                <w:spacing w:val="-23"/>
                <w:sz w:val="21"/>
                <w:szCs w:val="21"/>
              </w:rPr>
              <w:t>﹞芘、苯并﹝</w:t>
            </w:r>
            <w:r>
              <w:rPr>
                <w:rFonts w:hint="default" w:ascii="Times New Roman" w:hAnsi="Times New Roman" w:eastAsia="Times New Roman" w:cs="Times New Roman"/>
                <w:color w:val="auto"/>
                <w:spacing w:val="-23"/>
                <w:sz w:val="21"/>
                <w:szCs w:val="21"/>
              </w:rPr>
              <w:t>b</w:t>
            </w:r>
            <w:r>
              <w:rPr>
                <w:rFonts w:hint="default" w:ascii="Times New Roman" w:hAnsi="Times New Roman" w:eastAsia="宋体" w:cs="Times New Roman"/>
                <w:color w:val="auto"/>
                <w:spacing w:val="-23"/>
                <w:sz w:val="21"/>
                <w:szCs w:val="21"/>
              </w:rPr>
              <w:t>﹞荧蒽、苯并</w:t>
            </w:r>
            <w:r>
              <w:rPr>
                <w:rFonts w:hint="default" w:ascii="Times New Roman" w:hAnsi="Times New Roman" w:eastAsia="宋体" w:cs="Times New Roman"/>
                <w:color w:val="auto"/>
                <w:spacing w:val="-33"/>
                <w:sz w:val="21"/>
                <w:szCs w:val="21"/>
              </w:rPr>
              <w:t>﹝</w:t>
            </w:r>
            <w:r>
              <w:rPr>
                <w:rFonts w:hint="default" w:ascii="Times New Roman" w:hAnsi="Times New Roman" w:eastAsia="Times New Roman" w:cs="Times New Roman"/>
                <w:color w:val="auto"/>
                <w:spacing w:val="-22"/>
                <w:sz w:val="21"/>
                <w:szCs w:val="21"/>
              </w:rPr>
              <w:t>k</w:t>
            </w:r>
            <w:r>
              <w:rPr>
                <w:rFonts w:hint="default" w:ascii="Times New Roman" w:hAnsi="Times New Roman" w:eastAsia="宋体" w:cs="Times New Roman"/>
                <w:color w:val="auto"/>
                <w:spacing w:val="-22"/>
                <w:sz w:val="21"/>
                <w:szCs w:val="21"/>
              </w:rPr>
              <w:t>﹞荧蒽、䓛、二苯并﹝</w:t>
            </w:r>
            <w:r>
              <w:rPr>
                <w:rFonts w:hint="default" w:ascii="Times New Roman" w:hAnsi="Times New Roman" w:eastAsia="Times New Roman" w:cs="Times New Roman"/>
                <w:color w:val="auto"/>
                <w:spacing w:val="-22"/>
                <w:sz w:val="21"/>
                <w:szCs w:val="21"/>
              </w:rPr>
              <w:t>a</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2"/>
                <w:sz w:val="21"/>
                <w:szCs w:val="21"/>
              </w:rPr>
              <w:t>h</w:t>
            </w:r>
            <w:r>
              <w:rPr>
                <w:rFonts w:hint="default" w:ascii="Times New Roman" w:hAnsi="Times New Roman" w:eastAsia="宋体" w:cs="Times New Roman"/>
                <w:color w:val="auto"/>
                <w:spacing w:val="-22"/>
                <w:sz w:val="21"/>
                <w:szCs w:val="21"/>
              </w:rPr>
              <w:t>﹞蒽、茚并﹝</w:t>
            </w:r>
            <w:r>
              <w:rPr>
                <w:rFonts w:hint="default" w:ascii="Times New Roman" w:hAnsi="Times New Roman" w:eastAsia="Times New Roman" w:cs="Times New Roman"/>
                <w:color w:val="auto"/>
                <w:spacing w:val="-22"/>
                <w:sz w:val="21"/>
                <w:szCs w:val="21"/>
              </w:rPr>
              <w:t>1</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2"/>
                <w:sz w:val="21"/>
                <w:szCs w:val="21"/>
              </w:rPr>
              <w:t>2</w:t>
            </w:r>
            <w:r>
              <w:rPr>
                <w:rFonts w:hint="default" w:ascii="Times New Roman" w:hAnsi="Times New Roman" w:eastAsia="宋体" w:cs="Times New Roman"/>
                <w:color w:val="auto"/>
                <w:spacing w:val="-22"/>
                <w:sz w:val="21"/>
                <w:szCs w:val="21"/>
              </w:rPr>
              <w:t>，</w:t>
            </w:r>
            <w:r>
              <w:rPr>
                <w:rFonts w:hint="default" w:ascii="Times New Roman" w:hAnsi="Times New Roman" w:eastAsia="Times New Roman" w:cs="Times New Roman"/>
                <w:color w:val="auto"/>
                <w:spacing w:val="-2"/>
                <w:sz w:val="21"/>
                <w:szCs w:val="21"/>
              </w:rPr>
              <w:t>3-</w:t>
            </w:r>
            <w:r>
              <w:rPr>
                <w:rFonts w:hint="default" w:ascii="Times New Roman" w:hAnsi="Times New Roman" w:eastAsia="Times New Roman" w:cs="Times New Roman"/>
                <w:color w:val="auto"/>
                <w:spacing w:val="-1"/>
                <w:sz w:val="21"/>
                <w:szCs w:val="21"/>
              </w:rPr>
              <w:t>cd</w:t>
            </w:r>
            <w:r>
              <w:rPr>
                <w:rFonts w:hint="default" w:ascii="Times New Roman" w:hAnsi="Times New Roman" w:eastAsia="宋体" w:cs="Times New Roman"/>
                <w:color w:val="auto"/>
                <w:spacing w:val="-2"/>
                <w:sz w:val="21"/>
                <w:szCs w:val="21"/>
              </w:rPr>
              <w:t>﹞芘、萘</w:t>
            </w:r>
            <w:r>
              <w:rPr>
                <w:rFonts w:hint="default" w:ascii="Times New Roman" w:hAnsi="Times New Roman" w:eastAsia="宋体" w:cs="Times New Roman"/>
                <w:color w:val="auto"/>
                <w:spacing w:val="-1"/>
                <w:sz w:val="21"/>
                <w:szCs w:val="21"/>
              </w:rPr>
              <w:t>共</w:t>
            </w:r>
            <w:r>
              <w:rPr>
                <w:rFonts w:hint="eastAsia" w:ascii="Times New Roman" w:hAnsi="Times New Roman" w:eastAsia="宋体" w:cs="Times New Roman"/>
                <w:color w:val="auto"/>
                <w:spacing w:val="-1"/>
                <w:sz w:val="21"/>
                <w:szCs w:val="21"/>
                <w:lang w:val="en-US" w:eastAsia="zh-CN"/>
              </w:rPr>
              <w:t>45</w:t>
            </w:r>
            <w:r>
              <w:rPr>
                <w:rFonts w:hint="default" w:ascii="Times New Roman" w:hAnsi="Times New Roman" w:eastAsia="宋体" w:cs="Times New Roman"/>
                <w:color w:val="auto"/>
                <w:spacing w:val="-1"/>
                <w:sz w:val="21"/>
                <w:szCs w:val="21"/>
              </w:rPr>
              <w:t>项</w:t>
            </w:r>
          </w:p>
        </w:tc>
        <w:tc>
          <w:tcPr>
            <w:tcW w:w="755"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拟建</w:t>
            </w:r>
            <w:r>
              <w:rPr>
                <w:rFonts w:hint="eastAsia" w:ascii="Times New Roman" w:hAnsi="Times New Roman" w:eastAsia="宋体" w:cs="Times New Roman"/>
                <w:color w:val="auto"/>
                <w:spacing w:val="8"/>
                <w:sz w:val="21"/>
                <w:szCs w:val="21"/>
                <w:lang w:eastAsia="zh-CN"/>
              </w:rPr>
              <w:t>锻造</w:t>
            </w:r>
            <w:r>
              <w:rPr>
                <w:rFonts w:hint="default" w:ascii="Times New Roman" w:hAnsi="Times New Roman" w:eastAsia="宋体" w:cs="Times New Roman"/>
                <w:color w:val="auto"/>
                <w:spacing w:val="8"/>
                <w:sz w:val="21"/>
                <w:szCs w:val="21"/>
              </w:rPr>
              <w:t>车</w:t>
            </w:r>
            <w:r>
              <w:rPr>
                <w:rFonts w:hint="default" w:ascii="Times New Roman" w:hAnsi="Times New Roman" w:eastAsia="宋体" w:cs="Times New Roman"/>
                <w:color w:val="auto"/>
                <w:sz w:val="21"/>
                <w:szCs w:val="21"/>
              </w:rPr>
              <w:t>间</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eastAsia" w:ascii="Times New Roman" w:hAnsi="Times New Roman" w:eastAsia="宋体" w:cs="Times New Roman"/>
          <w:color w:val="auto"/>
          <w:spacing w:val="10"/>
          <w:sz w:val="24"/>
          <w:szCs w:val="24"/>
          <w:u w:val="none" w:color="auto"/>
          <w:lang w:val="en-US" w:eastAsia="zh-CN"/>
        </w:rPr>
        <w:t>2</w:t>
      </w:r>
      <w:r>
        <w:rPr>
          <w:rFonts w:hint="default" w:ascii="Times New Roman" w:hAnsi="Times New Roman" w:eastAsia="宋体" w:cs="Times New Roman"/>
          <w:color w:val="auto"/>
          <w:spacing w:val="10"/>
          <w:sz w:val="24"/>
          <w:szCs w:val="24"/>
          <w:u w:val="none" w:color="auto"/>
        </w:rPr>
        <w:t>、评价方法</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default" w:ascii="Times New Roman" w:hAnsi="Times New Roman" w:eastAsia="宋体" w:cs="Times New Roman"/>
          <w:color w:val="auto"/>
          <w:spacing w:val="10"/>
          <w:sz w:val="24"/>
          <w:szCs w:val="24"/>
          <w:u w:val="none" w:color="auto"/>
        </w:rPr>
      </w:pPr>
      <w:r>
        <w:rPr>
          <w:rFonts w:hint="default" w:ascii="Times New Roman" w:hAnsi="Times New Roman" w:eastAsia="宋体" w:cs="Times New Roman"/>
          <w:color w:val="auto"/>
          <w:spacing w:val="10"/>
          <w:sz w:val="24"/>
          <w:szCs w:val="24"/>
          <w:u w:val="none" w:color="auto"/>
        </w:rPr>
        <w:t>采用单项标准指数法进行评价，其计算公式如下：</w:t>
      </w:r>
    </w:p>
    <w:p>
      <w:pPr>
        <w:pageBreakBefore w:val="0"/>
        <w:kinsoku/>
        <w:wordWrap/>
        <w:overflowPunct w:val="0"/>
        <w:topLinePunct/>
        <w:autoSpaceDE w:val="0"/>
        <w:autoSpaceDN w:val="0"/>
        <w:bidi w:val="0"/>
        <w:spacing w:before="214"/>
        <w:ind w:left="4388"/>
        <w:rPr>
          <w:color w:val="auto"/>
          <w:sz w:val="24"/>
          <w:szCs w:val="24"/>
        </w:rPr>
      </w:pPr>
      <w:r>
        <w:rPr>
          <w:rFonts w:ascii="Times New Roman" w:hAnsi="Times New Roman" w:eastAsia="Times New Roman" w:cs="Times New Roman"/>
          <w:i/>
          <w:iCs/>
          <w:color w:val="auto"/>
          <w:position w:val="4"/>
          <w:sz w:val="24"/>
          <w:szCs w:val="24"/>
        </w:rPr>
        <w:t>I</w:t>
      </w:r>
      <w:r>
        <w:rPr>
          <w:rFonts w:ascii="Times New Roman" w:hAnsi="Times New Roman" w:eastAsia="Times New Roman" w:cs="Times New Roman"/>
          <w:i/>
          <w:iCs/>
          <w:color w:val="auto"/>
          <w:position w:val="-1"/>
          <w:sz w:val="24"/>
          <w:szCs w:val="24"/>
        </w:rPr>
        <w:t>i</w:t>
      </w:r>
      <w:r>
        <w:rPr>
          <w:rFonts w:ascii="Symbol" w:hAnsi="Symbol" w:eastAsia="Symbol" w:cs="Symbol"/>
          <w:color w:val="auto"/>
          <w:spacing w:val="10"/>
          <w:position w:val="4"/>
          <w:sz w:val="24"/>
          <w:szCs w:val="24"/>
        </w:rPr>
        <w:t xml:space="preserve">= </w:t>
      </w:r>
      <w:r>
        <w:rPr>
          <w:color w:val="auto"/>
          <w:position w:val="-24"/>
          <w:sz w:val="24"/>
          <w:szCs w:val="24"/>
        </w:rPr>
        <w:drawing>
          <wp:inline distT="0" distB="0" distL="0" distR="0">
            <wp:extent cx="206375" cy="383540"/>
            <wp:effectExtent l="0" t="0" r="6985" b="1270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54"/>
                    <a:stretch>
                      <a:fillRect/>
                    </a:stretch>
                  </pic:blipFill>
                  <pic:spPr>
                    <a:xfrm>
                      <a:off x="0" y="0"/>
                      <a:ext cx="206413" cy="384072"/>
                    </a:xfrm>
                    <a:prstGeom prst="rect">
                      <a:avLst/>
                    </a:prstGeom>
                  </pic:spPr>
                </pic:pic>
              </a:graphicData>
            </a:graphic>
          </wp:inline>
        </w:drawing>
      </w:r>
    </w:p>
    <w:p>
      <w:pPr>
        <w:pageBreakBefore w:val="0"/>
        <w:kinsoku/>
        <w:wordWrap/>
        <w:overflowPunct w:val="0"/>
        <w:topLinePunct/>
        <w:autoSpaceDE w:val="0"/>
        <w:autoSpaceDN w:val="0"/>
        <w:bidi w:val="0"/>
        <w:spacing w:before="183" w:line="227" w:lineRule="auto"/>
        <w:ind w:left="615"/>
        <w:rPr>
          <w:rFonts w:ascii="宋体" w:hAnsi="宋体" w:eastAsia="宋体" w:cs="宋体"/>
          <w:color w:val="auto"/>
          <w:sz w:val="24"/>
          <w:szCs w:val="24"/>
        </w:rPr>
      </w:pPr>
      <w:r>
        <w:rPr>
          <w:rFonts w:ascii="宋体" w:hAnsi="宋体" w:eastAsia="宋体" w:cs="宋体"/>
          <w:color w:val="auto"/>
          <w:spacing w:val="2"/>
          <w:sz w:val="24"/>
          <w:szCs w:val="24"/>
        </w:rPr>
        <w:t>式中</w:t>
      </w:r>
      <w:r>
        <w:rPr>
          <w:rFonts w:ascii="宋体" w:hAnsi="宋体" w:eastAsia="宋体" w:cs="宋体"/>
          <w:color w:val="auto"/>
          <w:spacing w:val="1"/>
          <w:sz w:val="24"/>
          <w:szCs w:val="24"/>
        </w:rPr>
        <w:t>：</w:t>
      </w:r>
    </w:p>
    <w:p>
      <w:pPr>
        <w:pageBreakBefore w:val="0"/>
        <w:kinsoku/>
        <w:wordWrap/>
        <w:overflowPunct w:val="0"/>
        <w:topLinePunct/>
        <w:autoSpaceDE w:val="0"/>
        <w:autoSpaceDN w:val="0"/>
        <w:bidi w:val="0"/>
        <w:spacing w:before="185" w:line="423" w:lineRule="exact"/>
        <w:ind w:left="607"/>
        <w:rPr>
          <w:rFonts w:ascii="宋体" w:hAnsi="宋体" w:eastAsia="宋体" w:cs="宋体"/>
          <w:color w:val="auto"/>
          <w:sz w:val="24"/>
          <w:szCs w:val="24"/>
        </w:rPr>
      </w:pPr>
      <w:r>
        <w:rPr>
          <w:rFonts w:ascii="Times New Roman" w:hAnsi="Times New Roman" w:eastAsia="Times New Roman" w:cs="Times New Roman"/>
          <w:color w:val="auto"/>
          <w:position w:val="12"/>
          <w:sz w:val="24"/>
          <w:szCs w:val="24"/>
        </w:rPr>
        <w:t>I</w:t>
      </w:r>
      <w:r>
        <w:rPr>
          <w:rFonts w:ascii="Times New Roman" w:hAnsi="Times New Roman" w:eastAsia="Times New Roman" w:cs="Times New Roman"/>
          <w:color w:val="auto"/>
          <w:position w:val="11"/>
          <w:sz w:val="24"/>
          <w:szCs w:val="24"/>
        </w:rPr>
        <w:t>i</w:t>
      </w:r>
      <w:r>
        <w:rPr>
          <w:rFonts w:ascii="Times New Roman" w:hAnsi="Times New Roman" w:eastAsia="Times New Roman" w:cs="Times New Roman"/>
          <w:color w:val="auto"/>
          <w:spacing w:val="11"/>
          <w:position w:val="12"/>
          <w:sz w:val="24"/>
          <w:szCs w:val="24"/>
        </w:rPr>
        <w:t>—</w:t>
      </w:r>
      <w:r>
        <w:rPr>
          <w:rFonts w:ascii="Times New Roman" w:hAnsi="Times New Roman" w:eastAsia="Times New Roman" w:cs="Times New Roman"/>
          <w:color w:val="auto"/>
          <w:spacing w:val="9"/>
          <w:position w:val="12"/>
          <w:sz w:val="24"/>
          <w:szCs w:val="24"/>
        </w:rPr>
        <w:t>—</w:t>
      </w:r>
      <w:r>
        <w:rPr>
          <w:rFonts w:ascii="宋体" w:hAnsi="宋体" w:eastAsia="宋体" w:cs="宋体"/>
          <w:color w:val="auto"/>
          <w:spacing w:val="9"/>
          <w:position w:val="12"/>
          <w:sz w:val="24"/>
          <w:szCs w:val="24"/>
        </w:rPr>
        <w:t>某污染物的单项质量指数；</w:t>
      </w:r>
    </w:p>
    <w:p>
      <w:pPr>
        <w:pageBreakBefore w:val="0"/>
        <w:kinsoku/>
        <w:wordWrap/>
        <w:overflowPunct w:val="0"/>
        <w:topLinePunct/>
        <w:autoSpaceDE w:val="0"/>
        <w:autoSpaceDN w:val="0"/>
        <w:bidi w:val="0"/>
        <w:spacing w:line="322" w:lineRule="exact"/>
        <w:ind w:left="609"/>
        <w:rPr>
          <w:rFonts w:ascii="宋体" w:hAnsi="宋体" w:eastAsia="宋体" w:cs="宋体"/>
          <w:color w:val="auto"/>
          <w:sz w:val="24"/>
          <w:szCs w:val="24"/>
        </w:rPr>
      </w:pPr>
      <w:r>
        <w:rPr>
          <w:rFonts w:ascii="Times New Roman" w:hAnsi="Times New Roman" w:eastAsia="Times New Roman" w:cs="Times New Roman"/>
          <w:color w:val="auto"/>
          <w:position w:val="3"/>
          <w:sz w:val="24"/>
          <w:szCs w:val="24"/>
        </w:rPr>
        <w:t>C</w:t>
      </w:r>
      <w:r>
        <w:rPr>
          <w:rFonts w:ascii="Times New Roman" w:hAnsi="Times New Roman" w:eastAsia="Times New Roman" w:cs="Times New Roman"/>
          <w:color w:val="auto"/>
          <w:position w:val="2"/>
          <w:sz w:val="24"/>
          <w:szCs w:val="24"/>
        </w:rPr>
        <w:t>i</w:t>
      </w:r>
      <w:r>
        <w:rPr>
          <w:rFonts w:ascii="Times New Roman" w:hAnsi="Times New Roman" w:eastAsia="Times New Roman" w:cs="Times New Roman"/>
          <w:color w:val="auto"/>
          <w:spacing w:val="18"/>
          <w:position w:val="3"/>
          <w:sz w:val="24"/>
          <w:szCs w:val="24"/>
        </w:rPr>
        <w:t>—</w:t>
      </w:r>
      <w:r>
        <w:rPr>
          <w:rFonts w:ascii="Times New Roman" w:hAnsi="Times New Roman" w:eastAsia="Times New Roman" w:cs="Times New Roman"/>
          <w:color w:val="auto"/>
          <w:spacing w:val="10"/>
          <w:position w:val="3"/>
          <w:sz w:val="24"/>
          <w:szCs w:val="24"/>
        </w:rPr>
        <w:t>—</w:t>
      </w:r>
      <w:r>
        <w:rPr>
          <w:rFonts w:ascii="宋体" w:hAnsi="宋体" w:eastAsia="宋体" w:cs="宋体"/>
          <w:color w:val="auto"/>
          <w:spacing w:val="9"/>
          <w:position w:val="3"/>
          <w:sz w:val="24"/>
          <w:szCs w:val="24"/>
        </w:rPr>
        <w:t>某污染物的实测浓度，</w:t>
      </w:r>
      <w:r>
        <w:rPr>
          <w:rFonts w:ascii="Times New Roman" w:hAnsi="Times New Roman" w:eastAsia="Times New Roman" w:cs="Times New Roman"/>
          <w:color w:val="auto"/>
          <w:position w:val="3"/>
          <w:sz w:val="24"/>
          <w:szCs w:val="24"/>
        </w:rPr>
        <w:t>mg</w:t>
      </w:r>
      <w:r>
        <w:rPr>
          <w:rFonts w:ascii="Times New Roman" w:hAnsi="Times New Roman" w:eastAsia="Times New Roman" w:cs="Times New Roman"/>
          <w:color w:val="auto"/>
          <w:spacing w:val="9"/>
          <w:position w:val="3"/>
          <w:sz w:val="24"/>
          <w:szCs w:val="24"/>
        </w:rPr>
        <w:t>/</w:t>
      </w:r>
      <w:r>
        <w:rPr>
          <w:rFonts w:ascii="Times New Roman" w:hAnsi="Times New Roman" w:eastAsia="Times New Roman" w:cs="Times New Roman"/>
          <w:color w:val="auto"/>
          <w:position w:val="3"/>
          <w:sz w:val="24"/>
          <w:szCs w:val="24"/>
        </w:rPr>
        <w:t>m</w:t>
      </w:r>
      <w:r>
        <w:rPr>
          <w:rFonts w:hint="eastAsia" w:ascii="Times New Roman" w:hAnsi="Times New Roman" w:eastAsia="宋体" w:cs="Times New Roman"/>
          <w:color w:val="auto"/>
          <w:position w:val="3"/>
          <w:sz w:val="24"/>
          <w:szCs w:val="24"/>
          <w:vertAlign w:val="superscript"/>
          <w:lang w:val="en-US" w:eastAsia="zh-CN"/>
        </w:rPr>
        <w:t>3</w:t>
      </w:r>
      <w:r>
        <w:rPr>
          <w:rFonts w:ascii="宋体" w:hAnsi="宋体" w:eastAsia="宋体" w:cs="宋体"/>
          <w:color w:val="auto"/>
          <w:spacing w:val="9"/>
          <w:position w:val="3"/>
          <w:sz w:val="24"/>
          <w:szCs w:val="24"/>
        </w:rPr>
        <w:t>；</w:t>
      </w:r>
    </w:p>
    <w:p>
      <w:pPr>
        <w:pageBreakBefore w:val="0"/>
        <w:kinsoku/>
        <w:wordWrap/>
        <w:overflowPunct w:val="0"/>
        <w:topLinePunct/>
        <w:autoSpaceDE w:val="0"/>
        <w:autoSpaceDN w:val="0"/>
        <w:bidi w:val="0"/>
        <w:spacing w:before="145" w:line="323" w:lineRule="exact"/>
        <w:ind w:left="609"/>
        <w:rPr>
          <w:rFonts w:ascii="宋体" w:hAnsi="宋体" w:eastAsia="宋体" w:cs="宋体"/>
          <w:color w:val="auto"/>
          <w:sz w:val="24"/>
          <w:szCs w:val="24"/>
        </w:rPr>
      </w:pPr>
      <w:r>
        <w:rPr>
          <w:rFonts w:ascii="Times New Roman" w:hAnsi="Times New Roman" w:eastAsia="Times New Roman" w:cs="Times New Roman"/>
          <w:color w:val="auto"/>
          <w:position w:val="3"/>
          <w:sz w:val="24"/>
          <w:szCs w:val="24"/>
        </w:rPr>
        <w:t>C</w:t>
      </w:r>
      <w:r>
        <w:rPr>
          <w:rFonts w:ascii="Times New Roman" w:hAnsi="Times New Roman" w:eastAsia="Times New Roman" w:cs="Times New Roman"/>
          <w:color w:val="auto"/>
          <w:position w:val="2"/>
          <w:sz w:val="24"/>
          <w:szCs w:val="24"/>
        </w:rPr>
        <w:t>oi</w:t>
      </w:r>
      <w:r>
        <w:rPr>
          <w:rFonts w:ascii="Times New Roman" w:hAnsi="Times New Roman" w:eastAsia="Times New Roman" w:cs="Times New Roman"/>
          <w:color w:val="auto"/>
          <w:spacing w:val="10"/>
          <w:position w:val="3"/>
          <w:sz w:val="24"/>
          <w:szCs w:val="24"/>
        </w:rPr>
        <w:t>——</w:t>
      </w:r>
      <w:r>
        <w:rPr>
          <w:rFonts w:ascii="宋体" w:hAnsi="宋体" w:eastAsia="宋体" w:cs="宋体"/>
          <w:color w:val="auto"/>
          <w:spacing w:val="10"/>
          <w:position w:val="3"/>
          <w:sz w:val="24"/>
          <w:szCs w:val="24"/>
        </w:rPr>
        <w:t>某污染物的评价标准，</w:t>
      </w:r>
      <w:r>
        <w:rPr>
          <w:rFonts w:ascii="Times New Roman" w:hAnsi="Times New Roman" w:eastAsia="Times New Roman" w:cs="Times New Roman"/>
          <w:color w:val="auto"/>
          <w:position w:val="3"/>
          <w:sz w:val="24"/>
          <w:szCs w:val="24"/>
        </w:rPr>
        <w:t>mg</w:t>
      </w:r>
      <w:r>
        <w:rPr>
          <w:rFonts w:ascii="Times New Roman" w:hAnsi="Times New Roman" w:eastAsia="Times New Roman" w:cs="Times New Roman"/>
          <w:color w:val="auto"/>
          <w:spacing w:val="10"/>
          <w:position w:val="3"/>
          <w:sz w:val="24"/>
          <w:szCs w:val="24"/>
        </w:rPr>
        <w:t>/</w:t>
      </w:r>
      <w:r>
        <w:rPr>
          <w:rFonts w:ascii="Times New Roman" w:hAnsi="Times New Roman" w:eastAsia="Times New Roman" w:cs="Times New Roman"/>
          <w:color w:val="auto"/>
          <w:position w:val="3"/>
          <w:sz w:val="24"/>
          <w:szCs w:val="24"/>
        </w:rPr>
        <w:t>m</w:t>
      </w:r>
      <w:r>
        <w:rPr>
          <w:rFonts w:hint="eastAsia" w:ascii="Times New Roman" w:hAnsi="Times New Roman" w:eastAsia="宋体" w:cs="Times New Roman"/>
          <w:color w:val="auto"/>
          <w:position w:val="3"/>
          <w:sz w:val="24"/>
          <w:szCs w:val="24"/>
          <w:vertAlign w:val="superscript"/>
          <w:lang w:val="en-US" w:eastAsia="zh-CN"/>
        </w:rPr>
        <w:t>3</w:t>
      </w:r>
      <w:r>
        <w:rPr>
          <w:rFonts w:ascii="宋体" w:hAnsi="宋体" w:eastAsia="宋体" w:cs="宋体"/>
          <w:color w:val="auto"/>
          <w:spacing w:val="7"/>
          <w:position w:val="3"/>
          <w:sz w:val="24"/>
          <w:szCs w:val="24"/>
        </w:rPr>
        <w:t>。</w:t>
      </w:r>
    </w:p>
    <w:p>
      <w:pPr>
        <w:pageBreakBefore w:val="0"/>
        <w:kinsoku/>
        <w:wordWrap/>
        <w:overflowPunct w:val="0"/>
        <w:topLinePunct/>
        <w:autoSpaceDE w:val="0"/>
        <w:autoSpaceDN w:val="0"/>
        <w:bidi w:val="0"/>
        <w:spacing w:before="142" w:line="323" w:lineRule="exact"/>
        <w:ind w:left="625"/>
        <w:rPr>
          <w:rFonts w:ascii="宋体" w:hAnsi="宋体" w:eastAsia="宋体" w:cs="宋体"/>
          <w:color w:val="auto"/>
          <w:sz w:val="24"/>
          <w:szCs w:val="24"/>
        </w:rPr>
      </w:pPr>
      <w:r>
        <w:rPr>
          <w:rFonts w:ascii="宋体" w:hAnsi="宋体" w:eastAsia="宋体" w:cs="宋体"/>
          <w:color w:val="auto"/>
          <w:spacing w:val="4"/>
          <w:position w:val="1"/>
          <w:sz w:val="24"/>
          <w:szCs w:val="24"/>
        </w:rPr>
        <w:t>当</w:t>
      </w:r>
      <w:r>
        <w:rPr>
          <w:rFonts w:ascii="Times New Roman" w:hAnsi="Times New Roman" w:eastAsia="Times New Roman" w:cs="Times New Roman"/>
          <w:i/>
          <w:iCs/>
          <w:color w:val="auto"/>
          <w:position w:val="1"/>
          <w:sz w:val="24"/>
          <w:szCs w:val="24"/>
        </w:rPr>
        <w:t>Ii</w:t>
      </w:r>
      <w:r>
        <w:rPr>
          <w:rFonts w:ascii="Times New Roman" w:hAnsi="Times New Roman" w:eastAsia="Times New Roman" w:cs="Times New Roman"/>
          <w:color w:val="auto"/>
          <w:spacing w:val="4"/>
          <w:position w:val="1"/>
          <w:sz w:val="24"/>
          <w:szCs w:val="24"/>
        </w:rPr>
        <w:t>≥</w:t>
      </w:r>
      <w:r>
        <w:rPr>
          <w:rFonts w:ascii="Times New Roman" w:hAnsi="Times New Roman" w:eastAsia="Times New Roman" w:cs="Times New Roman"/>
          <w:color w:val="auto"/>
          <w:spacing w:val="2"/>
          <w:position w:val="1"/>
          <w:sz w:val="24"/>
          <w:szCs w:val="24"/>
        </w:rPr>
        <w:t>1</w:t>
      </w:r>
      <w:r>
        <w:rPr>
          <w:rFonts w:ascii="宋体" w:hAnsi="宋体" w:eastAsia="宋体" w:cs="宋体"/>
          <w:color w:val="auto"/>
          <w:spacing w:val="2"/>
          <w:position w:val="1"/>
          <w:sz w:val="24"/>
          <w:szCs w:val="24"/>
        </w:rPr>
        <w:t>时，表示</w:t>
      </w:r>
      <w:r>
        <w:rPr>
          <w:rFonts w:ascii="Times New Roman" w:hAnsi="Times New Roman" w:eastAsia="Times New Roman" w:cs="Times New Roman"/>
          <w:color w:val="auto"/>
          <w:position w:val="1"/>
          <w:sz w:val="24"/>
          <w:szCs w:val="24"/>
        </w:rPr>
        <w:t>i</w:t>
      </w:r>
      <w:r>
        <w:rPr>
          <w:rFonts w:ascii="宋体" w:hAnsi="宋体" w:eastAsia="宋体" w:cs="宋体"/>
          <w:color w:val="auto"/>
          <w:spacing w:val="2"/>
          <w:position w:val="1"/>
          <w:sz w:val="24"/>
          <w:szCs w:val="24"/>
        </w:rPr>
        <w:t>污染物超标，</w:t>
      </w:r>
      <w:r>
        <w:rPr>
          <w:rFonts w:ascii="Times New Roman" w:hAnsi="Times New Roman" w:eastAsia="Times New Roman" w:cs="Times New Roman"/>
          <w:i/>
          <w:iCs/>
          <w:color w:val="auto"/>
          <w:position w:val="1"/>
          <w:sz w:val="24"/>
          <w:szCs w:val="24"/>
        </w:rPr>
        <w:t>Ii</w:t>
      </w:r>
      <w:r>
        <w:rPr>
          <w:rFonts w:ascii="宋体" w:hAnsi="宋体" w:eastAsia="宋体" w:cs="宋体"/>
          <w:color w:val="auto"/>
          <w:spacing w:val="2"/>
          <w:position w:val="1"/>
          <w:sz w:val="24"/>
          <w:szCs w:val="24"/>
        </w:rPr>
        <w:t>＜</w:t>
      </w:r>
      <w:r>
        <w:rPr>
          <w:rFonts w:ascii="Times New Roman" w:hAnsi="Times New Roman" w:eastAsia="Times New Roman" w:cs="Times New Roman"/>
          <w:color w:val="auto"/>
          <w:spacing w:val="2"/>
          <w:position w:val="1"/>
          <w:sz w:val="24"/>
          <w:szCs w:val="24"/>
        </w:rPr>
        <w:t>1</w:t>
      </w:r>
      <w:r>
        <w:rPr>
          <w:rFonts w:ascii="宋体" w:hAnsi="宋体" w:eastAsia="宋体" w:cs="宋体"/>
          <w:color w:val="auto"/>
          <w:spacing w:val="2"/>
          <w:position w:val="1"/>
          <w:sz w:val="24"/>
          <w:szCs w:val="24"/>
        </w:rPr>
        <w:t>时，表示</w:t>
      </w:r>
      <w:r>
        <w:rPr>
          <w:rFonts w:ascii="Times New Roman" w:hAnsi="Times New Roman" w:eastAsia="Times New Roman" w:cs="Times New Roman"/>
          <w:color w:val="auto"/>
          <w:position w:val="1"/>
          <w:sz w:val="24"/>
          <w:szCs w:val="24"/>
        </w:rPr>
        <w:t>i</w:t>
      </w:r>
      <w:r>
        <w:rPr>
          <w:rFonts w:ascii="宋体" w:hAnsi="宋体" w:eastAsia="宋体" w:cs="宋体"/>
          <w:color w:val="auto"/>
          <w:spacing w:val="2"/>
          <w:position w:val="1"/>
          <w:sz w:val="24"/>
          <w:szCs w:val="24"/>
        </w:rPr>
        <w:t>污染物未超标。</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eastAsia" w:ascii="Times New Roman" w:hAnsi="Times New Roman" w:eastAsia="宋体" w:cs="Times New Roman"/>
          <w:color w:val="auto"/>
          <w:spacing w:val="10"/>
          <w:sz w:val="24"/>
          <w:szCs w:val="24"/>
          <w:u w:val="none" w:color="auto"/>
          <w:lang w:val="en-US" w:eastAsia="zh-CN"/>
        </w:rPr>
      </w:pPr>
      <w:r>
        <w:rPr>
          <w:rFonts w:hint="eastAsia" w:ascii="Times New Roman" w:hAnsi="Times New Roman" w:eastAsia="宋体" w:cs="Times New Roman"/>
          <w:color w:val="auto"/>
          <w:spacing w:val="10"/>
          <w:sz w:val="24"/>
          <w:szCs w:val="24"/>
          <w:u w:val="none" w:color="auto"/>
          <w:lang w:val="en-US" w:eastAsia="zh-CN"/>
        </w:rPr>
        <w:t>3、评价结果</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520" w:firstLineChars="200"/>
        <w:jc w:val="both"/>
        <w:textAlignment w:val="auto"/>
        <w:rPr>
          <w:rFonts w:hint="eastAsia" w:ascii="Times New Roman" w:hAnsi="Times New Roman" w:eastAsia="宋体" w:cs="Times New Roman"/>
          <w:color w:val="auto"/>
          <w:spacing w:val="10"/>
          <w:sz w:val="24"/>
          <w:szCs w:val="24"/>
          <w:u w:val="none" w:color="auto"/>
          <w:lang w:val="en-US" w:eastAsia="zh-CN"/>
        </w:rPr>
      </w:pPr>
      <w:r>
        <w:rPr>
          <w:rFonts w:hint="eastAsia" w:ascii="Times New Roman" w:hAnsi="Times New Roman" w:eastAsia="宋体" w:cs="Times New Roman"/>
          <w:color w:val="auto"/>
          <w:spacing w:val="10"/>
          <w:sz w:val="24"/>
          <w:szCs w:val="24"/>
          <w:u w:val="none" w:color="auto"/>
          <w:lang w:val="en-US" w:eastAsia="zh-CN"/>
        </w:rPr>
        <w:t>本次土壤监测结果及其评价见下表。</w:t>
      </w:r>
    </w:p>
    <w:p>
      <w:pPr>
        <w:pageBreakBefore w:val="0"/>
        <w:kinsoku/>
        <w:wordWrap/>
        <w:overflowPunct w:val="0"/>
        <w:topLinePunct/>
        <w:autoSpaceDE w:val="0"/>
        <w:autoSpaceDN w:val="0"/>
        <w:bidi w:val="0"/>
        <w:spacing w:line="360" w:lineRule="auto"/>
        <w:ind w:left="0" w:leftChars="0" w:right="0" w:rightChars="0" w:firstLine="0" w:firstLineChars="0"/>
        <w:jc w:val="center"/>
        <w:rPr>
          <w:rFonts w:hint="default" w:ascii="Times New Roman" w:hAnsi="Times New Roman" w:eastAsia="宋体" w:cs="Times New Roman"/>
          <w:b/>
          <w:bCs/>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表4.</w:t>
      </w:r>
      <w:r>
        <w:rPr>
          <w:rFonts w:hint="eastAsia" w:ascii="Times New Roman" w:hAnsi="Times New Roman" w:eastAsia="宋体"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eastAsia="zh-CN"/>
        </w:rPr>
        <w:t>-1</w:t>
      </w:r>
      <w:r>
        <w:rPr>
          <w:rFonts w:hint="eastAsia"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lang w:eastAsia="zh-CN"/>
        </w:rPr>
        <w:t>土壤监测结果与评价单位：mg/kg，pH无量纲</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357"/>
        <w:gridCol w:w="988"/>
        <w:gridCol w:w="1329"/>
        <w:gridCol w:w="15"/>
        <w:gridCol w:w="1346"/>
        <w:gridCol w:w="957"/>
        <w:gridCol w:w="196"/>
        <w:gridCol w:w="1109"/>
        <w:gridCol w:w="1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10"/>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样品信息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3" w:type="pct"/>
            <w:gridSpan w:val="2"/>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vertAlign w:val="baseline"/>
                <w:lang w:val="en-US" w:eastAsia="zh-CN"/>
              </w:rPr>
              <w:t>采样</w:t>
            </w:r>
            <w:r>
              <w:rPr>
                <w:rFonts w:hint="eastAsia" w:ascii="Times New Roman" w:hAnsi="Times New Roman" w:eastAsia="宋体" w:cs="Times New Roman"/>
                <w:color w:val="auto"/>
                <w:kern w:val="2"/>
                <w:sz w:val="21"/>
                <w:szCs w:val="21"/>
                <w:lang w:val="en-US" w:eastAsia="zh-CN" w:bidi="ar-SA"/>
              </w:rPr>
              <w:t>点位</w:t>
            </w:r>
          </w:p>
        </w:tc>
        <w:tc>
          <w:tcPr>
            <w:tcW w:w="1358"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T1</w:t>
            </w:r>
          </w:p>
        </w:tc>
        <w:tc>
          <w:tcPr>
            <w:tcW w:w="1358"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T2</w:t>
            </w:r>
          </w:p>
        </w:tc>
        <w:tc>
          <w:tcPr>
            <w:tcW w:w="1360"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3" w:type="pct"/>
            <w:gridSpan w:val="2"/>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采样</w:t>
            </w:r>
            <w:r>
              <w:rPr>
                <w:rFonts w:hint="eastAsia" w:ascii="Times New Roman" w:hAnsi="Times New Roman" w:eastAsia="宋体" w:cs="Times New Roman"/>
                <w:color w:val="auto"/>
                <w:kern w:val="2"/>
                <w:sz w:val="21"/>
                <w:szCs w:val="21"/>
                <w:lang w:val="en-US" w:eastAsia="zh-CN" w:bidi="ar-SA"/>
              </w:rPr>
              <w:t>日期</w:t>
            </w:r>
          </w:p>
        </w:tc>
        <w:tc>
          <w:tcPr>
            <w:tcW w:w="1358"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val="0"/>
                <w:color w:val="auto"/>
                <w:kern w:val="2"/>
                <w:sz w:val="21"/>
                <w:szCs w:val="21"/>
                <w:vertAlign w:val="baseline"/>
                <w:lang w:val="en-US" w:eastAsia="zh-CN" w:bidi="ar-SA"/>
              </w:rPr>
            </w:pPr>
            <w:r>
              <w:rPr>
                <w:rFonts w:hint="eastAsia" w:ascii="Times New Roman" w:hAnsi="Times New Roman" w:cs="Times New Roman"/>
                <w:bCs w:val="0"/>
                <w:color w:val="auto"/>
                <w:kern w:val="2"/>
                <w:sz w:val="21"/>
                <w:szCs w:val="21"/>
                <w:vertAlign w:val="baseline"/>
                <w:lang w:val="en-US" w:eastAsia="zh-CN"/>
              </w:rPr>
              <w:t>3月27日</w:t>
            </w:r>
          </w:p>
        </w:tc>
        <w:tc>
          <w:tcPr>
            <w:tcW w:w="1358"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Cs w:val="0"/>
                <w:color w:val="auto"/>
                <w:kern w:val="2"/>
                <w:sz w:val="21"/>
                <w:szCs w:val="21"/>
                <w:vertAlign w:val="baseline"/>
                <w:lang w:val="en-US" w:eastAsia="zh-CN"/>
              </w:rPr>
            </w:pPr>
            <w:r>
              <w:rPr>
                <w:rFonts w:hint="eastAsia" w:ascii="Times New Roman" w:hAnsi="Times New Roman" w:cs="Times New Roman"/>
                <w:bCs w:val="0"/>
                <w:color w:val="auto"/>
                <w:kern w:val="2"/>
                <w:sz w:val="21"/>
                <w:szCs w:val="21"/>
                <w:vertAlign w:val="baseline"/>
                <w:lang w:val="en-US" w:eastAsia="zh-CN"/>
              </w:rPr>
              <w:t>3月27日</w:t>
            </w:r>
          </w:p>
        </w:tc>
        <w:tc>
          <w:tcPr>
            <w:tcW w:w="1360"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Cs w:val="0"/>
                <w:color w:val="auto"/>
                <w:kern w:val="2"/>
                <w:sz w:val="21"/>
                <w:szCs w:val="21"/>
                <w:vertAlign w:val="baseline"/>
                <w:lang w:val="en-US" w:eastAsia="zh-CN"/>
              </w:rPr>
            </w:pPr>
            <w:r>
              <w:rPr>
                <w:rFonts w:hint="eastAsia" w:ascii="Times New Roman" w:hAnsi="Times New Roman" w:cs="Times New Roman"/>
                <w:bCs w:val="0"/>
                <w:color w:val="auto"/>
                <w:kern w:val="2"/>
                <w:sz w:val="21"/>
                <w:szCs w:val="21"/>
                <w:vertAlign w:val="baseline"/>
                <w:lang w:val="en-US" w:eastAsia="zh-CN"/>
              </w:rPr>
              <w:t>3月27日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3" w:type="pct"/>
            <w:gridSpan w:val="2"/>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vertAlign w:val="baseline"/>
                <w:lang w:val="en-US" w:eastAsia="zh-CN"/>
              </w:rPr>
              <w:t>样品</w:t>
            </w:r>
            <w:r>
              <w:rPr>
                <w:rFonts w:hint="eastAsia" w:ascii="Times New Roman" w:hAnsi="Times New Roman" w:eastAsia="宋体" w:cs="Times New Roman"/>
                <w:color w:val="auto"/>
                <w:kern w:val="2"/>
                <w:sz w:val="21"/>
                <w:szCs w:val="21"/>
                <w:lang w:val="en-US" w:eastAsia="zh-CN" w:bidi="ar-SA"/>
              </w:rPr>
              <w:t>编号</w:t>
            </w:r>
          </w:p>
        </w:tc>
        <w:tc>
          <w:tcPr>
            <w:tcW w:w="1358"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rPr>
              <w:t>TR053230327001</w:t>
            </w:r>
          </w:p>
        </w:tc>
        <w:tc>
          <w:tcPr>
            <w:tcW w:w="1358"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TR053230327002</w:t>
            </w:r>
          </w:p>
        </w:tc>
        <w:tc>
          <w:tcPr>
            <w:tcW w:w="1360"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TR053230327003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3" w:type="pct"/>
            <w:gridSpan w:val="2"/>
            <w:tcBorders>
              <w:tl2br w:val="nil"/>
              <w:tr2bl w:val="nil"/>
            </w:tcBorders>
            <w:noWrap w:val="0"/>
            <w:vAlign w:val="center"/>
          </w:tcPr>
          <w:p>
            <w:pPr>
              <w:keepNext w:val="0"/>
              <w:keepLines w:val="0"/>
              <w:pageBreakBefore w:val="0"/>
              <w:widowControl w:val="0"/>
              <w:tabs>
                <w:tab w:val="left" w:pos="3210"/>
                <w:tab w:val="center" w:pos="4500"/>
              </w:tabs>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样品状态</w:t>
            </w:r>
          </w:p>
        </w:tc>
        <w:tc>
          <w:tcPr>
            <w:tcW w:w="1358"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黄褐色、砂壤土</w:t>
            </w:r>
          </w:p>
        </w:tc>
        <w:tc>
          <w:tcPr>
            <w:tcW w:w="1358"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棕黄色、砂壤土</w:t>
            </w:r>
          </w:p>
        </w:tc>
        <w:tc>
          <w:tcPr>
            <w:tcW w:w="1360" w:type="pct"/>
            <w:gridSpan w:val="3"/>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黄灰色、砂土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000" w:type="pct"/>
            <w:gridSpan w:val="10"/>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Merge w:val="restart"/>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r>
              <w:rPr>
                <w:rFonts w:hint="default" w:ascii="Times New Roman" w:hAnsi="Times New Roman" w:cs="Times New Roman"/>
                <w:color w:val="auto"/>
                <w:kern w:val="2"/>
                <w:sz w:val="21"/>
                <w:szCs w:val="21"/>
                <w:lang w:eastAsia="zh-CN"/>
              </w:rPr>
              <w:t>检测</w:t>
            </w:r>
            <w:r>
              <w:rPr>
                <w:rFonts w:hint="eastAsia" w:ascii="Times New Roman" w:hAnsi="Times New Roman" w:cs="Times New Roman"/>
                <w:color w:val="auto"/>
                <w:kern w:val="2"/>
                <w:sz w:val="21"/>
                <w:szCs w:val="21"/>
                <w:lang w:eastAsia="zh-CN"/>
              </w:rPr>
              <w:t>项目</w:t>
            </w:r>
          </w:p>
        </w:tc>
        <w:tc>
          <w:tcPr>
            <w:tcW w:w="2365" w:type="pct"/>
            <w:gridSpan w:val="5"/>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监测点位</w:t>
            </w:r>
          </w:p>
        </w:tc>
        <w:tc>
          <w:tcPr>
            <w:tcW w:w="676" w:type="pct"/>
            <w:gridSpan w:val="2"/>
            <w:vMerge w:val="restar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（筛选值）</w:t>
            </w:r>
          </w:p>
        </w:tc>
        <w:tc>
          <w:tcPr>
            <w:tcW w:w="650" w:type="pct"/>
            <w:vMerge w:val="restar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标准限值</w:t>
            </w:r>
          </w:p>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（管制值）</w:t>
            </w:r>
          </w:p>
        </w:tc>
        <w:tc>
          <w:tcPr>
            <w:tcW w:w="593" w:type="pct"/>
            <w:vMerge w:val="restar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计量</w:t>
            </w:r>
            <w:r>
              <w:rPr>
                <w:rFonts w:hint="default" w:ascii="Times New Roman" w:hAnsi="Times New Roman" w:eastAsia="宋体" w:cs="Times New Roman"/>
                <w:color w:val="auto"/>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Merge w:val="continue"/>
            <w:tcBorders>
              <w:tl2br w:val="nil"/>
              <w:tr2bl w:val="nil"/>
            </w:tcBorders>
            <w:noWrap w:val="0"/>
            <w:vAlign w:val="center"/>
          </w:tcPr>
          <w:p>
            <w:pPr>
              <w:pStyle w:val="148"/>
              <w:keepNext w:val="0"/>
              <w:keepLines w:val="0"/>
              <w:pageBreakBefore w:val="0"/>
              <w:widowControl w:val="0"/>
              <w:kinsoku/>
              <w:wordWrap/>
              <w:overflowPunct w:val="0"/>
              <w:topLinePunct/>
              <w:autoSpaceDE w:val="0"/>
              <w:autoSpaceDN w:val="0"/>
              <w:bidi w:val="0"/>
              <w:adjustRightInd/>
              <w:snapToGrid w:val="0"/>
              <w:spacing w:line="240" w:lineRule="auto"/>
              <w:ind w:firstLine="0" w:firstLineChars="0"/>
              <w:jc w:val="center"/>
              <w:rPr>
                <w:rFonts w:hint="default" w:ascii="Times New Roman" w:hAnsi="Times New Roman" w:cs="Times New Roman"/>
                <w:b/>
                <w:bCs w:val="0"/>
                <w:color w:val="auto"/>
                <w:kern w:val="2"/>
                <w:sz w:val="21"/>
                <w:szCs w:val="21"/>
                <w:vertAlign w:val="baseline"/>
                <w:lang w:val="en-US" w:eastAsia="zh-CN" w:bidi="ar-SA"/>
              </w:rPr>
            </w:pPr>
          </w:p>
        </w:tc>
        <w:tc>
          <w:tcPr>
            <w:tcW w:w="788" w:type="pct"/>
            <w:gridSpan w:val="2"/>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T1</w:t>
            </w:r>
          </w:p>
        </w:tc>
        <w:tc>
          <w:tcPr>
            <w:tcW w:w="788" w:type="pct"/>
            <w:gridSpan w:val="2"/>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T2</w:t>
            </w:r>
          </w:p>
        </w:tc>
        <w:tc>
          <w:tcPr>
            <w:tcW w:w="788" w:type="pct"/>
            <w:tcBorders>
              <w:tl2br w:val="nil"/>
              <w:tr2bl w:val="nil"/>
            </w:tcBorders>
            <w:noWrap w:val="0"/>
            <w:vAlign w:val="center"/>
          </w:tcPr>
          <w:p>
            <w:pPr>
              <w:keepNext w:val="0"/>
              <w:keepLines w:val="0"/>
              <w:pageBreakBefore w:val="0"/>
              <w:widowControl w:val="0"/>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T3</w:t>
            </w:r>
          </w:p>
        </w:tc>
        <w:tc>
          <w:tcPr>
            <w:tcW w:w="676" w:type="pct"/>
            <w:gridSpan w:val="2"/>
            <w:vMerge w:val="continue"/>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cs="Times New Roman"/>
                <w:b w:val="0"/>
                <w:bCs w:val="0"/>
                <w:color w:val="auto"/>
                <w:kern w:val="2"/>
                <w:sz w:val="21"/>
                <w:szCs w:val="21"/>
                <w:vertAlign w:val="baseline"/>
                <w:lang w:val="en-US" w:eastAsia="zh-CN" w:bidi="ar-SA"/>
              </w:rPr>
            </w:pPr>
          </w:p>
        </w:tc>
        <w:tc>
          <w:tcPr>
            <w:tcW w:w="650" w:type="pct"/>
            <w:vMerge w:val="continue"/>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cs="Times New Roman"/>
                <w:b w:val="0"/>
                <w:bCs w:val="0"/>
                <w:color w:val="auto"/>
                <w:kern w:val="2"/>
                <w:sz w:val="21"/>
                <w:szCs w:val="21"/>
                <w:vertAlign w:val="baseline"/>
                <w:lang w:val="en-US" w:eastAsia="zh-CN" w:bidi="ar-SA"/>
              </w:rPr>
            </w:pPr>
          </w:p>
        </w:tc>
        <w:tc>
          <w:tcPr>
            <w:tcW w:w="593" w:type="pct"/>
            <w:vMerge w:val="continue"/>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cs="Times New Roman"/>
                <w:b w:val="0"/>
                <w:bCs w:val="0"/>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铅</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800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2500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kern w:val="2"/>
                <w:sz w:val="21"/>
                <w:szCs w:val="21"/>
                <w:lang w:eastAsia="zh-CN"/>
              </w:rPr>
              <w:t>铜</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788" w:type="pc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18000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36000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kern w:val="2"/>
                <w:sz w:val="21"/>
                <w:szCs w:val="21"/>
                <w:lang w:eastAsia="zh-CN"/>
              </w:rPr>
              <w:t>镉</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1×10</w:t>
            </w:r>
            <w:r>
              <w:rPr>
                <w:rFonts w:hint="default" w:ascii="Times New Roman" w:hAnsi="Times New Roman" w:eastAsia="宋体" w:cs="Times New Roman"/>
                <w:color w:val="auto"/>
                <w:kern w:val="2"/>
                <w:sz w:val="21"/>
                <w:szCs w:val="21"/>
                <w:highlight w:val="none"/>
                <w:vertAlign w:val="superscript"/>
                <w:lang w:val="en-US" w:eastAsia="zh-CN" w:bidi="ar-SA"/>
              </w:rPr>
              <w:t>-4</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172</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color w:val="auto"/>
                <w:sz w:val="21"/>
                <w:szCs w:val="21"/>
                <w:vertAlign w:val="baseline"/>
                <w:lang w:eastAsia="zh-CN"/>
              </w:rPr>
              <w:t>砷</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16.5</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12.7</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9.81</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kern w:val="2"/>
                <w:sz w:val="21"/>
                <w:szCs w:val="21"/>
                <w:lang w:val="en-US" w:eastAsia="zh-CN"/>
              </w:rPr>
              <w:t>汞</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0.093</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0.159</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38</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82</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color w:val="auto"/>
                <w:sz w:val="21"/>
                <w:szCs w:val="21"/>
                <w:lang w:val="en-US" w:eastAsia="zh-CN"/>
              </w:rPr>
              <w:t>六价</w:t>
            </w:r>
            <w:r>
              <w:rPr>
                <w:rFonts w:hint="eastAsia" w:ascii="宋体" w:hAnsi="宋体" w:eastAsia="宋体" w:cs="宋体"/>
                <w:color w:val="auto"/>
                <w:sz w:val="21"/>
                <w:szCs w:val="21"/>
              </w:rPr>
              <w:t>铬</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78</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镍</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氟化物</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379</w:t>
            </w:r>
          </w:p>
        </w:tc>
        <w:tc>
          <w:tcPr>
            <w:tcW w:w="788"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610</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318</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四氯化碳</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36</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氯仿</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氯甲烷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37</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1,1-二氯乙烷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1,2-二氯乙烷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21</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1,1-二氯乙烯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66</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顺-1,2-二氯乙烯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596</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反-1,2-二氯乙烯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54</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163</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二氯甲烷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616</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1,2-二氯丙烷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1,1,1,2-四氯乙烷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1,1,2,2-四氯乙烷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6.8</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四氯乙烯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53</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183</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1,1,1-三氯乙烷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840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840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1,1,2-三氯乙烷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三氯乙烯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1,2,3-三氯丙烷</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0.43</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4.3</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氯苯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270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1,2-二氯苯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1,4-二氯苯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乙苯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苯乙烯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1290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1290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甲苯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间二甲苯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间对</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二甲苯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邻</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二甲苯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640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640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硝基苯</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76</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760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苯胺</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260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663</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2-氯酚</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2256</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4500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苯并[α]蒽</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151</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苯并[α]芘</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苯并[</w:t>
            </w:r>
            <w:r>
              <w:rPr>
                <w:rFonts w:hint="eastAsia" w:ascii="Times New Roman" w:hAnsi="Times New Roman" w:cs="Times New Roman"/>
                <w:color w:val="auto"/>
                <w:lang w:val="en-US" w:eastAsia="zh-CN"/>
              </w:rPr>
              <w:t>b</w:t>
            </w:r>
            <w:r>
              <w:rPr>
                <w:rFonts w:hint="default" w:ascii="Times New Roman" w:hAnsi="Times New Roman" w:cs="Times New Roman"/>
                <w:color w:val="auto"/>
                <w:lang w:val="en-US" w:eastAsia="zh-CN"/>
              </w:rPr>
              <w:t>]荧蒽</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151</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苯并[k]荧蒽</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151</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䓛</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1293</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12900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二苯并[α、h]蒽</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茚并[1,2,3-cd]芘</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151</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2"/>
              <w:pageBreakBefore w:val="0"/>
              <w:kinsoku/>
              <w:wordWrap/>
              <w:overflowPunct w:val="0"/>
              <w:topLinePunct/>
              <w:autoSpaceDE w:val="0"/>
              <w:autoSpaceDN w:val="0"/>
              <w:bidi w:val="0"/>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lang w:val="en-US" w:eastAsia="zh-CN"/>
              </w:rPr>
              <w:t>萘</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gridSpan w:val="2"/>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788" w:type="pct"/>
            <w:tcBorders>
              <w:tl2br w:val="nil"/>
              <w:tr2bl w:val="nil"/>
            </w:tcBorders>
            <w:noWrap w:val="0"/>
            <w:vAlign w:val="center"/>
          </w:tcPr>
          <w:p>
            <w:pPr>
              <w:keepNext w:val="0"/>
              <w:keepLines w:val="0"/>
              <w:pageBreakBefore w:val="0"/>
              <w:widowControl/>
              <w:suppressLineNumbers w:val="0"/>
              <w:kinsoku/>
              <w:wordWrap/>
              <w:overflowPunct w:val="0"/>
              <w:topLinePunct/>
              <w:autoSpaceDE w:val="0"/>
              <w:autoSpaceDN w:val="0"/>
              <w:bidi w:val="0"/>
              <w:adjustRightInd/>
              <w:snapToGrid w:val="0"/>
              <w:ind w:left="-31" w:leftChars="-15" w:right="-31" w:rightChars="-15"/>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ND</w:t>
            </w:r>
          </w:p>
        </w:tc>
        <w:tc>
          <w:tcPr>
            <w:tcW w:w="676" w:type="pct"/>
            <w:gridSpan w:val="2"/>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70</w:t>
            </w:r>
          </w:p>
        </w:tc>
        <w:tc>
          <w:tcPr>
            <w:tcW w:w="650"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700</w:t>
            </w:r>
          </w:p>
        </w:tc>
        <w:tc>
          <w:tcPr>
            <w:tcW w:w="593" w:type="pct"/>
            <w:tcBorders>
              <w:tl2br w:val="nil"/>
              <w:tr2bl w:val="nil"/>
            </w:tcBorders>
            <w:noWrap w:val="0"/>
            <w:vAlign w:val="center"/>
          </w:tcPr>
          <w:p>
            <w:pPr>
              <w:pageBreakBefore w:val="0"/>
              <w:kinsoku/>
              <w:wordWrap/>
              <w:overflowPunct w:val="0"/>
              <w:topLinePunct/>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备注</w:t>
            </w:r>
          </w:p>
        </w:tc>
        <w:tc>
          <w:tcPr>
            <w:tcW w:w="4285" w:type="pct"/>
            <w:gridSpan w:val="9"/>
            <w:tcBorders>
              <w:tl2br w:val="nil"/>
              <w:tr2bl w:val="nil"/>
            </w:tcBorders>
            <w:noWrap w:val="0"/>
            <w:vAlign w:val="center"/>
          </w:tcPr>
          <w:p>
            <w:pPr>
              <w:pageBreakBefore w:val="0"/>
              <w:tabs>
                <w:tab w:val="left" w:pos="3788"/>
                <w:tab w:val="center" w:pos="6248"/>
              </w:tabs>
              <w:kinsoku/>
              <w:wordWrap/>
              <w:overflowPunct w:val="0"/>
              <w:topLinePunct/>
              <w:autoSpaceDE w:val="0"/>
              <w:autoSpaceDN w:val="0"/>
              <w:bidi w:val="0"/>
              <w:adjustRightInd w:val="0"/>
              <w:snapToGrid w:val="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color w:val="auto"/>
                <w:sz w:val="21"/>
                <w:szCs w:val="21"/>
                <w:lang w:val="en-US" w:eastAsia="zh-CN"/>
              </w:rPr>
              <w:t>“ND”表示未检出</w:t>
            </w:r>
            <w:r>
              <w:rPr>
                <w:rFonts w:hint="eastAsia" w:ascii="Times New Roman" w:hAnsi="Times New Roman" w:cs="Times New Roman"/>
                <w:b w:val="0"/>
                <w:color w:val="auto"/>
                <w:sz w:val="21"/>
                <w:szCs w:val="21"/>
                <w:lang w:val="en-US" w:eastAsia="zh-CN"/>
              </w:rPr>
              <w:t>，即检测结果低于方法检出限。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l2br w:val="nil"/>
              <w:tr2bl w:val="nil"/>
            </w:tcBorders>
            <w:noWrap w:val="0"/>
            <w:vAlign w:val="center"/>
          </w:tcPr>
          <w:p>
            <w:pPr>
              <w:pStyle w:val="421"/>
              <w:pageBreakBefore w:val="0"/>
              <w:kinsoku/>
              <w:wordWrap/>
              <w:overflowPunct w:val="0"/>
              <w:topLinePunct/>
              <w:autoSpaceDE w:val="0"/>
              <w:autoSpaceDN w:val="0"/>
              <w:bidi w:val="0"/>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标准限值</w:t>
            </w:r>
          </w:p>
        </w:tc>
        <w:tc>
          <w:tcPr>
            <w:tcW w:w="4285" w:type="pct"/>
            <w:gridSpan w:val="9"/>
            <w:tcBorders>
              <w:tl2br w:val="nil"/>
              <w:tr2bl w:val="nil"/>
            </w:tcBorders>
            <w:noWrap w:val="0"/>
            <w:vAlign w:val="center"/>
          </w:tcPr>
          <w:p>
            <w:pPr>
              <w:pageBreakBefore w:val="0"/>
              <w:kinsoku/>
              <w:wordWrap/>
              <w:overflowPunct w:val="0"/>
              <w:topLinePunct/>
              <w:autoSpaceDE w:val="0"/>
              <w:autoSpaceDN w:val="0"/>
              <w:bidi w:val="0"/>
              <w:adjustRightInd w:val="0"/>
              <w:snapToGrid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限值参考《土壤环境质量建设用地土壤污染风险管控标准（试行）》（GB36600-2018）表1标准。</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64" w:firstLineChars="200"/>
        <w:textAlignment w:val="auto"/>
        <w:rPr>
          <w:rFonts w:ascii="宋体" w:hAnsi="宋体" w:eastAsia="宋体" w:cs="宋体"/>
          <w:color w:val="auto"/>
          <w:sz w:val="24"/>
          <w:szCs w:val="24"/>
        </w:rPr>
      </w:pPr>
      <w:r>
        <w:rPr>
          <w:rFonts w:ascii="宋体" w:hAnsi="宋体" w:eastAsia="宋体" w:cs="宋体"/>
          <w:color w:val="auto"/>
          <w:spacing w:val="21"/>
          <w:sz w:val="24"/>
          <w:szCs w:val="24"/>
        </w:rPr>
        <w:t>由</w:t>
      </w:r>
      <w:r>
        <w:rPr>
          <w:rFonts w:ascii="宋体" w:hAnsi="宋体" w:eastAsia="宋体" w:cs="宋体"/>
          <w:color w:val="auto"/>
          <w:spacing w:val="13"/>
          <w:sz w:val="24"/>
          <w:szCs w:val="24"/>
        </w:rPr>
        <w:t>上表可知项目占地范围内土壤各监测点中的各项监测因子浓</w:t>
      </w:r>
      <w:r>
        <w:rPr>
          <w:rFonts w:ascii="宋体" w:hAnsi="宋体" w:eastAsia="宋体" w:cs="宋体"/>
          <w:color w:val="auto"/>
          <w:spacing w:val="12"/>
          <w:sz w:val="24"/>
          <w:szCs w:val="24"/>
        </w:rPr>
        <w:t>度均低于</w:t>
      </w:r>
      <w:r>
        <w:rPr>
          <w:rFonts w:ascii="宋体" w:hAnsi="宋体" w:eastAsia="宋体" w:cs="宋体"/>
          <w:color w:val="auto"/>
          <w:spacing w:val="7"/>
          <w:sz w:val="24"/>
          <w:szCs w:val="24"/>
        </w:rPr>
        <w:t>《</w:t>
      </w:r>
      <w:r>
        <w:rPr>
          <w:rFonts w:ascii="宋体" w:hAnsi="宋体" w:eastAsia="宋体" w:cs="宋体"/>
          <w:color w:val="auto"/>
          <w:spacing w:val="6"/>
          <w:sz w:val="24"/>
          <w:szCs w:val="24"/>
        </w:rPr>
        <w:t>土壤环境质量建设用地土壤污染风险管控标准(试行)》(</w:t>
      </w:r>
      <w:r>
        <w:rPr>
          <w:rFonts w:ascii="Times New Roman" w:hAnsi="Times New Roman" w:eastAsia="Times New Roman" w:cs="Times New Roman"/>
          <w:color w:val="auto"/>
          <w:sz w:val="24"/>
          <w:szCs w:val="24"/>
        </w:rPr>
        <w:t>GB</w:t>
      </w:r>
      <w:r>
        <w:rPr>
          <w:rFonts w:ascii="Times New Roman" w:hAnsi="Times New Roman" w:eastAsia="Times New Roman" w:cs="Times New Roman"/>
          <w:color w:val="auto"/>
          <w:spacing w:val="6"/>
          <w:sz w:val="24"/>
          <w:szCs w:val="24"/>
        </w:rPr>
        <w:t>36600—2018</w:t>
      </w:r>
      <w:r>
        <w:rPr>
          <w:rFonts w:ascii="宋体" w:hAnsi="宋体" w:eastAsia="宋体" w:cs="宋体"/>
          <w:color w:val="auto"/>
          <w:spacing w:val="6"/>
          <w:sz w:val="24"/>
          <w:szCs w:val="24"/>
        </w:rPr>
        <w:t>)</w:t>
      </w:r>
      <w:r>
        <w:rPr>
          <w:rFonts w:ascii="宋体" w:hAnsi="宋体" w:eastAsia="宋体" w:cs="宋体"/>
          <w:color w:val="auto"/>
          <w:spacing w:val="15"/>
          <w:sz w:val="24"/>
          <w:szCs w:val="24"/>
        </w:rPr>
        <w:t>第</w:t>
      </w:r>
      <w:r>
        <w:rPr>
          <w:rFonts w:ascii="宋体" w:hAnsi="宋体" w:eastAsia="宋体" w:cs="宋体"/>
          <w:color w:val="auto"/>
          <w:spacing w:val="8"/>
          <w:sz w:val="24"/>
          <w:szCs w:val="24"/>
        </w:rPr>
        <w:t>二类用地标准筛选值要求。</w:t>
      </w:r>
    </w:p>
    <w:p>
      <w:pPr>
        <w:pStyle w:val="6"/>
        <w:bidi w:val="0"/>
        <w:rPr>
          <w:color w:val="auto"/>
        </w:rPr>
      </w:pPr>
      <w:r>
        <w:rPr>
          <w:color w:val="auto"/>
        </w:rPr>
        <w:t>4.</w:t>
      </w:r>
      <w:r>
        <w:rPr>
          <w:rFonts w:hint="eastAsia"/>
          <w:color w:val="auto"/>
          <w:lang w:val="en-US" w:eastAsia="zh-CN"/>
        </w:rPr>
        <w:t>4</w:t>
      </w:r>
      <w:r>
        <w:rPr>
          <w:color w:val="auto"/>
        </w:rPr>
        <w:t>区域污染源调查</w:t>
      </w:r>
    </w:p>
    <w:p>
      <w:pPr>
        <w:pStyle w:val="7"/>
        <w:bidi w:val="0"/>
        <w:rPr>
          <w:rFonts w:hint="default"/>
          <w:color w:val="auto"/>
        </w:rPr>
      </w:pPr>
      <w:r>
        <w:rPr>
          <w:rFonts w:hint="default"/>
          <w:color w:val="auto"/>
        </w:rPr>
        <w:t>4.4.1 大气污染源调查</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根据《环境影响评价技术导则大气环境》  (HJ2.2-2018) 7. 1.2 条：“一级评价项目调查评价范围内与评价项目排放污染物有关的其他在建项目、已批复项目环境影响评价文件的拟建项目等污染源”。</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根据现场调查，本项目大气评价范围内</w:t>
      </w:r>
      <w:r>
        <w:rPr>
          <w:rFonts w:hint="eastAsia" w:ascii="Times New Roman" w:hAnsi="Times New Roman" w:eastAsia="宋体" w:cs="Times New Roman"/>
          <w:color w:val="auto"/>
          <w:kern w:val="0"/>
          <w:sz w:val="24"/>
          <w:u w:val="none" w:color="auto"/>
          <w:lang w:eastAsia="zh-CN" w:bidi="ar"/>
        </w:rPr>
        <w:t>无</w:t>
      </w:r>
      <w:r>
        <w:rPr>
          <w:rFonts w:hint="default" w:ascii="Times New Roman" w:hAnsi="Times New Roman" w:eastAsia="宋体" w:cs="Times New Roman"/>
          <w:color w:val="auto"/>
          <w:kern w:val="0"/>
          <w:sz w:val="24"/>
          <w:u w:val="none" w:color="auto"/>
          <w:lang w:bidi="ar"/>
        </w:rPr>
        <w:t>其他拟建、在建项目。</w:t>
      </w:r>
    </w:p>
    <w:p>
      <w:pPr>
        <w:pStyle w:val="7"/>
        <w:bidi w:val="0"/>
        <w:rPr>
          <w:rFonts w:hint="default"/>
          <w:color w:val="auto"/>
        </w:rPr>
      </w:pPr>
      <w:r>
        <w:rPr>
          <w:rFonts w:hint="default"/>
          <w:color w:val="auto"/>
        </w:rPr>
        <w:t>4.4.2 水污染源调查</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根据《环境影响评价技术导则地表水环境》  (HJ2.3-2018) 6.2.2. 1 条：“水污染 影响型三级 B 评价，可不开展区域污染源调查，主要调查依托污水处理设施的日处理能力、处理工艺、设计进水水质、处理后的废水稳定达标排放情况，同时应调查依托污水处理设施执行的排放标准是否涵盖建设项目排放的有毒有害的特征水污染 物。”</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kern w:val="0"/>
          <w:sz w:val="24"/>
          <w:u w:val="none" w:color="auto"/>
          <w:lang w:val="en-US" w:eastAsia="zh-CN" w:bidi="ar"/>
        </w:rPr>
      </w:pPr>
      <w:bookmarkStart w:id="191" w:name="_Toc30198"/>
      <w:r>
        <w:rPr>
          <w:rFonts w:hint="eastAsia" w:ascii="Times New Roman" w:hAnsi="Times New Roman" w:eastAsia="宋体" w:cs="Times New Roman"/>
          <w:color w:val="auto"/>
          <w:kern w:val="0"/>
          <w:sz w:val="24"/>
          <w:u w:val="none" w:color="auto"/>
          <w:lang w:val="en-US" w:eastAsia="zh-CN" w:bidi="ar"/>
        </w:rPr>
        <w:t>（1）</w:t>
      </w:r>
      <w:r>
        <w:rPr>
          <w:rFonts w:hint="default" w:ascii="Times New Roman" w:hAnsi="Times New Roman" w:eastAsia="宋体" w:cs="Times New Roman"/>
          <w:color w:val="auto"/>
          <w:kern w:val="0"/>
          <w:sz w:val="24"/>
          <w:u w:val="none" w:color="auto"/>
          <w:lang w:bidi="ar"/>
        </w:rPr>
        <w:t>湖南三峡环境临港水质净化厂</w:t>
      </w:r>
      <w:r>
        <w:rPr>
          <w:rFonts w:hint="default" w:ascii="Times New Roman" w:hAnsi="Times New Roman" w:eastAsia="宋体" w:cs="Times New Roman"/>
          <w:color w:val="auto"/>
          <w:kern w:val="0"/>
          <w:sz w:val="24"/>
          <w:u w:val="none" w:color="auto"/>
          <w:lang w:val="en-US" w:eastAsia="zh-CN" w:bidi="ar"/>
        </w:rPr>
        <w:t>基本情况</w:t>
      </w:r>
      <w:bookmarkEnd w:id="191"/>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kern w:val="0"/>
          <w:sz w:val="24"/>
          <w:u w:val="none" w:color="auto"/>
          <w:lang w:bidi="ar"/>
        </w:rPr>
        <w:t>湖南三峡环境临港水质净化厂</w:t>
      </w:r>
      <w:r>
        <w:rPr>
          <w:rFonts w:hint="eastAsia" w:ascii="Times New Roman" w:hAnsi="Times New Roman" w:eastAsia="宋体" w:cs="Times New Roman"/>
          <w:color w:val="auto"/>
          <w:kern w:val="0"/>
          <w:sz w:val="24"/>
          <w:u w:val="none" w:color="auto"/>
          <w:lang w:eastAsia="zh-CN" w:bidi="ar"/>
        </w:rPr>
        <w:t>（原</w:t>
      </w:r>
      <w:r>
        <w:rPr>
          <w:rFonts w:hint="default" w:ascii="Times New Roman" w:hAnsi="Times New Roman" w:eastAsia="宋体" w:cs="Times New Roman"/>
          <w:color w:val="auto"/>
          <w:kern w:val="0"/>
          <w:sz w:val="24"/>
          <w:u w:val="none" w:color="auto"/>
          <w:lang w:bidi="ar"/>
        </w:rPr>
        <w:t>湖南城陵矶临港产业新区污水处理厂</w:t>
      </w:r>
      <w:r>
        <w:rPr>
          <w:rFonts w:hint="eastAsia" w:ascii="Times New Roman" w:hAnsi="Times New Roman" w:eastAsia="宋体" w:cs="Times New Roman"/>
          <w:color w:val="auto"/>
          <w:kern w:val="0"/>
          <w:sz w:val="24"/>
          <w:u w:val="none" w:color="auto"/>
          <w:lang w:eastAsia="zh-CN" w:bidi="ar"/>
        </w:rPr>
        <w:t>）</w:t>
      </w:r>
      <w:r>
        <w:rPr>
          <w:rFonts w:hint="default" w:ascii="Times New Roman" w:hAnsi="Times New Roman" w:eastAsia="宋体" w:cs="Times New Roman"/>
          <w:color w:val="auto"/>
          <w:kern w:val="0"/>
          <w:sz w:val="24"/>
          <w:u w:val="none" w:color="auto"/>
          <w:lang w:bidi="ar"/>
        </w:rPr>
        <w:t>东邻沿江大道，西靠长江大堤，处于云港路与沿江路的交界处，于2014年7月取得岳阳市环境保护局环评批复，2016年建成，设计处理能力3万吨/天，主要采用CASS工艺，出水达《城镇污水处理厂污染物排放标准》（GB18918-2002）一级B排放标准，尾水经象骨港排至长江。</w:t>
      </w:r>
    </w:p>
    <w:p>
      <w:pPr>
        <w:pageBreakBefore w:val="0"/>
        <w:widowControl/>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kern w:val="0"/>
          <w:sz w:val="24"/>
          <w:u w:val="none" w:color="auto"/>
          <w:lang w:bidi="ar"/>
        </w:rPr>
        <w:t>2019年2月岳阳联泰水务有限公司委托湖南志远环境咨询服务有限公司编制了《湖南城陵矶临港产业新区污水处理厂一期提标改造工程项目环境影响报告表》，目前已经通过临港产业新区环保分局审批（岳港环批〔2019〕4号），提标改造规模为3万吨/天。①新建部分：1座调节池、1座絮凝沉淀池、1座中间提升泵房、1座高效絮凝沉淀池、1座反硝化深床滤池、1座加药间及次氯酸钠消毒渠；②改造部分：在一期每系列生物池的缺氧段各安装微生物培养箱12台（培养箱内安装组合填料，培养箱供气管道就近接于生物池曝气管道）、在原污泥回流泵房内安装除臭污泥投加泵、在原污泥泵出口至进水井处铺设除臭污泥投加管道、在原紫外消毒渠处增设灯管28根。改造完成后，服务范围为临港产业新区（主要为临港产业核心区），管道接纳标准为COD≤500mg/L、BOD</w:t>
      </w:r>
      <w:r>
        <w:rPr>
          <w:rFonts w:hint="default" w:ascii="Times New Roman" w:hAnsi="Times New Roman" w:eastAsia="宋体" w:cs="Times New Roman"/>
          <w:color w:val="auto"/>
          <w:kern w:val="0"/>
          <w:sz w:val="24"/>
          <w:u w:val="none" w:color="auto"/>
          <w:vertAlign w:val="subscript"/>
          <w:lang w:bidi="ar"/>
        </w:rPr>
        <w:t>5</w:t>
      </w:r>
      <w:r>
        <w:rPr>
          <w:rFonts w:hint="default" w:ascii="Times New Roman" w:hAnsi="Times New Roman" w:eastAsia="宋体" w:cs="Times New Roman"/>
          <w:color w:val="auto"/>
          <w:kern w:val="0"/>
          <w:sz w:val="24"/>
          <w:u w:val="none" w:color="auto"/>
          <w:lang w:bidi="ar"/>
        </w:rPr>
        <w:t>≤300mg/L、SS≤400mg/L、NH</w:t>
      </w:r>
      <w:r>
        <w:rPr>
          <w:rFonts w:hint="default" w:ascii="Times New Roman" w:hAnsi="Times New Roman" w:eastAsia="宋体" w:cs="Times New Roman"/>
          <w:color w:val="auto"/>
          <w:kern w:val="0"/>
          <w:sz w:val="24"/>
          <w:u w:val="none" w:color="auto"/>
          <w:vertAlign w:val="subscript"/>
          <w:lang w:bidi="ar"/>
        </w:rPr>
        <w:t>3</w:t>
      </w:r>
      <w:r>
        <w:rPr>
          <w:rFonts w:hint="default" w:ascii="Times New Roman" w:hAnsi="Times New Roman" w:eastAsia="宋体" w:cs="Times New Roman"/>
          <w:color w:val="auto"/>
          <w:kern w:val="0"/>
          <w:sz w:val="24"/>
          <w:u w:val="none" w:color="auto"/>
          <w:lang w:bidi="ar"/>
        </w:rPr>
        <w:t>-N≤45mg/L、TN≤70mg/L、TP≤8mg/L、石油类≤15mg/L，出水水质由《城镇污水处理厂污染物排放标准》（GB18918-2002）一级B标准提高至一级A标准。</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kern w:val="0"/>
          <w:sz w:val="24"/>
          <w:u w:val="none" w:color="auto"/>
          <w:lang w:bidi="ar"/>
        </w:rPr>
        <w:t>根据《岳阳市城陵矶临港产业新区核心区排水工程专项规划》（2010~2030），临港产业新区核心区污水处理厂污水系统分为九个分区，项目拟建地位于长江大道，区域污水管网情况如下：以的长江大道、欣园西路、环湖路及环湖路和连城路为界线，服务面积为1.8平方公里。地形地势大概为西高东低，污水沿茅岭东路、道松路、松阳湖路、欣园西路等的次干道自西向东流入位于环湖路及连城路上的干道，干道的污水自北向南进入连城路西片区的云港路污水主干管，最终进入临港产业新区污水处理厂。</w:t>
      </w:r>
    </w:p>
    <w:p>
      <w:pPr>
        <w:pageBreakBefore w:val="0"/>
        <w:widowControl/>
        <w:kinsoku/>
        <w:wordWrap/>
        <w:overflowPunct w:val="0"/>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u w:val="none" w:color="auto"/>
          <w:lang w:bidi="ar"/>
        </w:rPr>
        <w:t>项目选址区域的污水管网</w:t>
      </w:r>
      <w:r>
        <w:rPr>
          <w:rFonts w:hint="default" w:ascii="Times New Roman" w:hAnsi="Times New Roman" w:eastAsia="宋体" w:cs="Times New Roman"/>
          <w:color w:val="auto"/>
          <w:kern w:val="0"/>
          <w:sz w:val="24"/>
          <w:u w:val="none" w:color="auto"/>
          <w:lang w:eastAsia="zh-CN" w:bidi="ar"/>
        </w:rPr>
        <w:t>已</w:t>
      </w:r>
      <w:r>
        <w:rPr>
          <w:rFonts w:hint="default" w:ascii="Times New Roman" w:hAnsi="Times New Roman" w:eastAsia="宋体" w:cs="Times New Roman"/>
          <w:color w:val="auto"/>
          <w:kern w:val="0"/>
          <w:sz w:val="24"/>
          <w:u w:val="none" w:color="auto"/>
          <w:lang w:bidi="ar"/>
        </w:rPr>
        <w:t>与湖南三峡环境临港水质净化厂完成对接，因此项目外排废水能排放污水处理厂内。</w:t>
      </w:r>
      <w:r>
        <w:rPr>
          <w:rFonts w:hint="default" w:ascii="Times New Roman" w:hAnsi="Times New Roman" w:eastAsia="宋体" w:cs="Times New Roman"/>
          <w:color w:val="auto"/>
          <w:sz w:val="24"/>
          <w:szCs w:val="24"/>
          <w:highlight w:val="none"/>
          <w:u w:val="none" w:color="auto"/>
        </w:rPr>
        <w:br w:type="page"/>
      </w: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192" w:name="_Toc30106"/>
      <w:bookmarkStart w:id="193" w:name="_Toc28615"/>
      <w:bookmarkStart w:id="194" w:name="_Toc41310112"/>
      <w:bookmarkStart w:id="195" w:name="_Toc14548"/>
      <w:r>
        <w:rPr>
          <w:rFonts w:hint="default" w:ascii="Times New Roman" w:hAnsi="Times New Roman" w:eastAsia="宋体" w:cs="Times New Roman"/>
          <w:color w:val="auto"/>
          <w:highlight w:val="none"/>
          <w:u w:val="none" w:color="auto"/>
        </w:rPr>
        <w:t>第5章环境影响预测与评价</w:t>
      </w:r>
      <w:bookmarkEnd w:id="192"/>
      <w:bookmarkEnd w:id="193"/>
      <w:bookmarkEnd w:id="194"/>
      <w:bookmarkEnd w:id="195"/>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196" w:name="_Toc26714"/>
      <w:bookmarkStart w:id="197" w:name="_Toc8263"/>
      <w:bookmarkStart w:id="198" w:name="_Toc41310113"/>
      <w:bookmarkStart w:id="199" w:name="_Toc26713"/>
      <w:r>
        <w:rPr>
          <w:rFonts w:hint="default" w:ascii="Times New Roman" w:hAnsi="Times New Roman" w:eastAsia="宋体" w:cs="Times New Roman"/>
          <w:color w:val="auto"/>
          <w:highlight w:val="none"/>
          <w:u w:val="none" w:color="auto"/>
        </w:rPr>
        <w:t>5.1施工期环境影响分析</w:t>
      </w:r>
      <w:bookmarkEnd w:id="196"/>
      <w:bookmarkEnd w:id="197"/>
      <w:bookmarkEnd w:id="198"/>
      <w:bookmarkEnd w:id="199"/>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00" w:name="_Toc21341"/>
      <w:bookmarkStart w:id="201" w:name="_Toc16117"/>
      <w:bookmarkStart w:id="202" w:name="_Toc29005"/>
      <w:r>
        <w:rPr>
          <w:rFonts w:hint="default" w:ascii="Times New Roman" w:hAnsi="Times New Roman" w:eastAsia="宋体" w:cs="Times New Roman"/>
          <w:color w:val="auto"/>
          <w:highlight w:val="none"/>
          <w:u w:val="none" w:color="auto"/>
        </w:rPr>
        <w:t>5.1.1废气影响分析</w:t>
      </w:r>
      <w:bookmarkEnd w:id="200"/>
      <w:bookmarkEnd w:id="201"/>
      <w:bookmarkEnd w:id="202"/>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项目施工期对空气的环境影响主要因素为施工期废气主要为施工扬尘、机械设备尾气及装修废气。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1、施工扬尘</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施工过程中，基础的开挖、场地的平整、土石方及各种建筑材料的运输、堆放过程中，都将会有粉尘产生。特别是在干旱和有风的情况下，会导致施工现场尘土飞扬，使空气中颗粒物含量升高，影响环境空气质量。项目建设规模较小，建设周期也较短，施工过程通过加强洒水等措施可有效减少施工扬尘的产生，施工期扬尘随施工结束而消失，对环境的影响在可接受范围内。</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2、机械及汽车尾气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运输车辆和燃油动力机械会产生燃烧尾气，施工期机械尾气的排放主要是流动污染源。此类废气的产生量一般来说不是很大，在环境空气中经一定距离的自然扩散稀释后，对项目区的环境空气质量的影响很小。</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3、装修废气</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办公楼等装修过程将有少量的无组织废气逸散，主要粉尘为甲醛、甲苯、二甲苯等。装修废气无组织排放，对区域环境质量影响很小。</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03" w:name="_Toc30787"/>
      <w:bookmarkStart w:id="204" w:name="_Toc1792"/>
      <w:bookmarkStart w:id="205" w:name="_Toc31001"/>
      <w:r>
        <w:rPr>
          <w:rFonts w:hint="default" w:ascii="Times New Roman" w:hAnsi="Times New Roman" w:eastAsia="宋体" w:cs="Times New Roman"/>
          <w:color w:val="auto"/>
          <w:highlight w:val="none"/>
          <w:u w:val="none" w:color="auto"/>
        </w:rPr>
        <w:t>5.1.2水环境影响分析</w:t>
      </w:r>
      <w:bookmarkEnd w:id="203"/>
      <w:bookmarkEnd w:id="204"/>
      <w:bookmarkEnd w:id="205"/>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本项目不设施工营地，施工场地内无生活污水产生或排放。施工产生的污水主要为施工废水。</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产生的施工废水有：各种施工机械设备产生的带有油污的冷却及洗涤用水；施工现场清洗废水；罐体、管道试压废水。由于施工活动内容不同，所排废水中的污染物不同。清洗废水、试压废水中的主要污染物是悬浮物，基本上不含有害物质。废水中悬浮物的收集在沉淀池后就可以除去，经沉淀处理后可以重复利用或外排；机械设备产生的废水中的主要污染物是石油类，对这类废水应减少排放量，并将产生的含油废水集中收集后隔油处理后，回用洒水除尘，严禁外排至</w:t>
      </w:r>
      <w:r>
        <w:rPr>
          <w:rFonts w:hint="default" w:ascii="Times New Roman" w:hAnsi="Times New Roman" w:eastAsia="宋体" w:cs="Times New Roman"/>
          <w:color w:val="auto"/>
          <w:highlight w:val="none"/>
          <w:u w:val="none" w:color="auto"/>
          <w:lang w:val="en-US" w:eastAsia="zh-CN"/>
        </w:rPr>
        <w:t>周边环境</w:t>
      </w:r>
      <w:r>
        <w:rPr>
          <w:rFonts w:hint="default" w:ascii="Times New Roman" w:hAnsi="Times New Roman" w:eastAsia="宋体" w:cs="Times New Roman"/>
          <w:color w:val="auto"/>
          <w:highlight w:val="none"/>
          <w:u w:val="none" w:color="auto"/>
        </w:rPr>
        <w:t>。施工废水可得到妥善处理和达标排放，不会对周边水体造成影响。</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06" w:name="_Toc8111"/>
      <w:bookmarkStart w:id="207" w:name="_Toc502"/>
      <w:bookmarkStart w:id="208" w:name="_Toc18892"/>
      <w:r>
        <w:rPr>
          <w:rFonts w:hint="default" w:ascii="Times New Roman" w:hAnsi="Times New Roman" w:eastAsia="宋体" w:cs="Times New Roman"/>
          <w:color w:val="auto"/>
          <w:highlight w:val="none"/>
          <w:u w:val="none" w:color="auto"/>
        </w:rPr>
        <w:t>5.1.3声环境影响分析</w:t>
      </w:r>
      <w:bookmarkEnd w:id="206"/>
      <w:bookmarkEnd w:id="207"/>
      <w:bookmarkEnd w:id="208"/>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施工过程产生的噪声主要来自施工机械和运输车辆。</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施工期噪声对环境的影响，一方面取决于声源大小和施工强度，另一方面还与周围敏感点分布及其与声源间距离有关。不同作业性质和作业阶段，施工强度和所用到的施工机械不同，对声环境影响有所差别。</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施工期噪声近似按照点声源计算，计算公式如下：</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object>
          <v:shape id="_x0000_i1032" o:spt="75" type="#_x0000_t75" style="height:18pt;width:168pt;" o:ole="t" filled="f" o:preferrelative="t" stroked="f" coordsize="21600,21600">
            <v:path/>
            <v:fill on="f" focussize="0,0"/>
            <v:stroke on="f" joinstyle="miter"/>
            <v:imagedata r:id="rId56" o:title=""/>
            <o:lock v:ext="edit" aspectratio="t"/>
            <w10:wrap type="none"/>
            <w10:anchorlock/>
          </v:shape>
          <o:OLEObject Type="Embed" ProgID="Equation.3" ShapeID="_x0000_i1032" DrawAspect="Content" ObjectID="_1468075732" r:id="rId55">
            <o:LockedField>false</o:LockedField>
          </o:OLEObject>
        </w:objec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式中：</w:t>
      </w:r>
      <w:r>
        <w:rPr>
          <w:rFonts w:hint="default" w:ascii="Times New Roman" w:hAnsi="Times New Roman" w:eastAsia="宋体" w:cs="Times New Roman"/>
          <w:color w:val="auto"/>
          <w:highlight w:val="none"/>
          <w:u w:val="none" w:color="auto"/>
        </w:rPr>
        <w:object>
          <v:shape id="_x0000_i1033" o:spt="75" type="#_x0000_t75" style="height:15pt;width:20.25pt;" o:ole="t" filled="f" o:preferrelative="t" stroked="f" coordsize="21600,21600">
            <v:path/>
            <v:fill on="f" focussize="0,0"/>
            <v:stroke on="f" joinstyle="miter"/>
            <v:imagedata r:id="rId58" o:title=""/>
            <o:lock v:ext="edit" aspectratio="t"/>
            <w10:wrap type="none"/>
            <w10:anchorlock/>
          </v:shape>
          <o:OLEObject Type="Embed" ProgID="Equation.3" ShapeID="_x0000_i1033" DrawAspect="Content" ObjectID="_1468075733" r:id="rId57">
            <o:LockedField>false</o:LockedField>
          </o:OLEObject>
        </w:object>
      </w:r>
      <w:r>
        <w:rPr>
          <w:rFonts w:hint="default" w:ascii="Times New Roman" w:hAnsi="Times New Roman" w:eastAsia="宋体" w:cs="Times New Roman"/>
          <w:color w:val="auto"/>
          <w:highlight w:val="none"/>
          <w:u w:val="none" w:color="auto"/>
        </w:rPr>
        <w:t>—点声源在预测点（距离r）处的A声级，dB；</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object>
          <v:shape id="_x0000_i1034" o:spt="75" type="#_x0000_t75" style="height:12.75pt;width:18pt;" o:ole="t" filled="f" o:preferrelative="t" stroked="f" coordsize="21600,21600">
            <v:path/>
            <v:fill on="f" focussize="0,0"/>
            <v:stroke on="f" joinstyle="miter"/>
            <v:imagedata r:id="rId60" o:title=""/>
            <o:lock v:ext="edit" aspectratio="t"/>
            <w10:wrap type="none"/>
            <w10:anchorlock/>
          </v:shape>
          <o:OLEObject Type="Embed" ProgID="Equation.3" ShapeID="_x0000_i1034" DrawAspect="Content" ObjectID="_1468075734" r:id="rId59">
            <o:LockedField>false</o:LockedField>
          </o:OLEObject>
        </w:object>
      </w:r>
      <w:r>
        <w:rPr>
          <w:rFonts w:hint="default" w:ascii="Times New Roman" w:hAnsi="Times New Roman" w:eastAsia="宋体" w:cs="Times New Roman"/>
          <w:color w:val="auto"/>
          <w:highlight w:val="none"/>
          <w:u w:val="none" w:color="auto"/>
        </w:rPr>
        <w:t>—点声源在参考点（距离r0）处的A声级，dB；</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object>
          <v:shape id="_x0000_i1035" o:spt="75" type="#_x0000_t75" style="height:12pt;width:14.25pt;" o:ole="t" filled="f" o:preferrelative="t" stroked="f" coordsize="21600,21600">
            <v:path/>
            <v:fill on="f" focussize="0,0"/>
            <v:stroke on="f" joinstyle="miter"/>
            <v:imagedata r:id="rId62" o:title=""/>
            <o:lock v:ext="edit" aspectratio="t"/>
            <w10:wrap type="none"/>
            <w10:anchorlock/>
          </v:shape>
          <o:OLEObject Type="Embed" ProgID="Equation.3" ShapeID="_x0000_i1035" DrawAspect="Content" ObjectID="_1468075735" r:id="rId61">
            <o:LockedField>false</o:LockedField>
          </o:OLEObject>
        </w:object>
      </w:r>
      <w:r>
        <w:rPr>
          <w:rFonts w:hint="default" w:ascii="Times New Roman" w:hAnsi="Times New Roman" w:eastAsia="宋体" w:cs="Times New Roman"/>
          <w:color w:val="auto"/>
          <w:highlight w:val="none"/>
          <w:u w:val="none" w:color="auto"/>
        </w:rPr>
        <w:t>—修正声级，根据《环境影响评价技术导则声环境》（HJ2.4-2009）及《声学户外声传播；第2部分：一般计算方法》（HJ/T17247.2-1998）确定，包括空气吸收及地面反射和吸收的率减量，具体如下：</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object>
          <v:shape id="_x0000_i1036" o:spt="75" type="#_x0000_t75" style="height:15.75pt;width:154.5pt;" o:ole="t" filled="f" o:preferrelative="t" stroked="f" coordsize="21600,21600">
            <v:path/>
            <v:fill on="f" focussize="0,0"/>
            <v:stroke on="f" joinstyle="miter"/>
            <v:imagedata r:id="rId64" o:title=""/>
            <o:lock v:ext="edit" aspectratio="t"/>
            <w10:wrap type="none"/>
            <w10:anchorlock/>
          </v:shape>
          <o:OLEObject Type="Embed" ProgID="Equation.3" ShapeID="_x0000_i1036" DrawAspect="Content" ObjectID="_1468075736" r:id="rId63">
            <o:LockedField>false</o:LockedField>
          </o:OLEObject>
        </w:objec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式中：α为每100m的空气吸收系数。</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根据上式计算的单台施工机械或车辆噪声随距离衰减情况，见表5.1-1。</w:t>
      </w:r>
    </w:p>
    <w:p>
      <w:pPr>
        <w:pStyle w:val="62"/>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表5.1-1施工设备噪声随距离衰减预测结果</w:t>
      </w:r>
    </w:p>
    <w:tbl>
      <w:tblPr>
        <w:tblStyle w:val="4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643"/>
        <w:gridCol w:w="643"/>
        <w:gridCol w:w="643"/>
        <w:gridCol w:w="676"/>
        <w:gridCol w:w="708"/>
        <w:gridCol w:w="725"/>
        <w:gridCol w:w="659"/>
        <w:gridCol w:w="740"/>
        <w:gridCol w:w="7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tcBorders>
              <w:tl2br w:val="single" w:color="auto" w:sz="12" w:space="0"/>
            </w:tcBorders>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距离（m）</w:t>
            </w:r>
          </w:p>
          <w:p>
            <w:pPr>
              <w:pStyle w:val="60"/>
              <w:pageBreakBefore w:val="0"/>
              <w:kinsoku/>
              <w:wordWrap/>
              <w:overflowPunct w:val="0"/>
              <w:topLinePunct/>
              <w:autoSpaceDE w:val="0"/>
              <w:autoSpaceDN w:val="0"/>
              <w:bidi w:val="0"/>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施工设备</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30</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40</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60</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90</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120</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150</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推土机</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79.0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71.4</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67.0</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63.8</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59.4</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54.9</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51.6</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49.1</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挖掘机</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80.0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72.4</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68.0</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64.8</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60.4</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55.9</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52.6</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50.1</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装载机</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82.5</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74.9</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70.5</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67.3</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62.9</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58.4</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55.1</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52.6</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载重汽车</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77.0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69.4</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65.0</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61.8</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57.4</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52.9</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49.6</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47.1</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振捣器</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76.0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68.4</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64.0</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60.8</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56.4</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51.9</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48.6</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46.1</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重型吊车</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90.0</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82.4</w:t>
            </w:r>
          </w:p>
        </w:tc>
        <w:tc>
          <w:tcPr>
            <w:tcW w:w="377"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78.0</w:t>
            </w:r>
          </w:p>
        </w:tc>
        <w:tc>
          <w:tcPr>
            <w:tcW w:w="39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74.8</w:t>
            </w:r>
          </w:p>
        </w:tc>
        <w:tc>
          <w:tcPr>
            <w:tcW w:w="41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70.4</w:t>
            </w:r>
          </w:p>
        </w:tc>
        <w:tc>
          <w:tcPr>
            <w:tcW w:w="425"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65.9</w:t>
            </w:r>
          </w:p>
        </w:tc>
        <w:tc>
          <w:tcPr>
            <w:tcW w:w="386"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62.6</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60.1</w:t>
            </w:r>
          </w:p>
        </w:tc>
        <w:tc>
          <w:tcPr>
            <w:tcW w:w="434" w:type="pct"/>
            <w:vAlign w:val="center"/>
          </w:tcPr>
          <w:p>
            <w:pPr>
              <w:pStyle w:val="60"/>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56.8</w:t>
            </w:r>
          </w:p>
        </w:tc>
      </w:tr>
    </w:tbl>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根据上表预测分析可知，重型吊车距施工场界60m处打桩机昼间可满足标准要求；其他施工设备距施工场界40m处昼间施工噪声可满足标准要求。</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由于施工区沿线居民距离厂界超过100m，通过加强施工管理等措施后，施工期噪声对敏感点影响不大。</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09" w:name="_Toc20294"/>
      <w:bookmarkStart w:id="210" w:name="_Toc21860"/>
      <w:bookmarkStart w:id="211" w:name="_Toc13251"/>
      <w:r>
        <w:rPr>
          <w:rFonts w:hint="default" w:ascii="Times New Roman" w:hAnsi="Times New Roman" w:eastAsia="宋体" w:cs="Times New Roman"/>
          <w:color w:val="auto"/>
          <w:highlight w:val="none"/>
          <w:u w:val="none" w:color="auto"/>
        </w:rPr>
        <w:t>5.1.4固体废物环境影响分析</w:t>
      </w:r>
      <w:bookmarkEnd w:id="209"/>
      <w:bookmarkEnd w:id="210"/>
      <w:bookmarkEnd w:id="211"/>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施工期所产生的固体废弃物主要为施工过程中的建筑垃圾以及少量生活垃圾。</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项目建设规模较小，施工期所产生的建筑垃圾产生较小，外运到有关部门指定的场地，对环境不会造成影响；生活垃圾由环卫部门统一清运至，不会对环境造成大的影响。</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12" w:name="_Toc22112"/>
      <w:bookmarkStart w:id="213" w:name="_Toc8835"/>
      <w:bookmarkStart w:id="214" w:name="_Toc22455"/>
      <w:r>
        <w:rPr>
          <w:rFonts w:hint="default" w:ascii="Times New Roman" w:hAnsi="Times New Roman" w:eastAsia="宋体" w:cs="Times New Roman"/>
          <w:color w:val="auto"/>
          <w:highlight w:val="none"/>
          <w:u w:val="none" w:color="auto"/>
        </w:rPr>
        <w:t>5.1.5生态环境影响分析</w:t>
      </w:r>
      <w:bookmarkEnd w:id="212"/>
      <w:bookmarkEnd w:id="213"/>
      <w:bookmarkEnd w:id="214"/>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位于工业园内，土地的利用性质为工业用地，且本项目为新建，项目建设期不会产生土地利用现状的改变，场地内也无珍稀动植物存在，施工中对土地扰动较小，水土流失量也不大。因此，项目建设期生态影响很小。</w:t>
      </w:r>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15" w:name="_Toc10532"/>
      <w:bookmarkStart w:id="216" w:name="_Toc18142"/>
      <w:bookmarkStart w:id="217" w:name="_Toc41310114"/>
      <w:bookmarkStart w:id="218" w:name="_Toc17722"/>
      <w:r>
        <w:rPr>
          <w:rFonts w:hint="default" w:ascii="Times New Roman" w:hAnsi="Times New Roman" w:eastAsia="宋体" w:cs="Times New Roman"/>
          <w:color w:val="auto"/>
          <w:highlight w:val="none"/>
          <w:u w:val="none" w:color="auto"/>
        </w:rPr>
        <w:t>5.2运营期环境影响预测与评价</w:t>
      </w:r>
      <w:bookmarkEnd w:id="215"/>
      <w:bookmarkEnd w:id="216"/>
      <w:bookmarkEnd w:id="217"/>
      <w:bookmarkEnd w:id="218"/>
      <w:bookmarkStart w:id="219" w:name="_Toc59448201"/>
      <w:bookmarkStart w:id="220" w:name="_Toc30108306"/>
      <w:bookmarkStart w:id="221" w:name="_Toc30088"/>
      <w:bookmarkStart w:id="222" w:name="_Toc41310115"/>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23" w:name="_Toc9911"/>
      <w:bookmarkStart w:id="224" w:name="_Toc15244"/>
      <w:r>
        <w:rPr>
          <w:rFonts w:hint="default" w:ascii="Times New Roman" w:hAnsi="Times New Roman" w:eastAsia="宋体" w:cs="Times New Roman"/>
          <w:color w:val="auto"/>
          <w:highlight w:val="none"/>
          <w:u w:val="none" w:color="auto"/>
        </w:rPr>
        <w:t>5.2.1大气环境影响预测与评价</w:t>
      </w:r>
      <w:bookmarkEnd w:id="219"/>
      <w:bookmarkEnd w:id="220"/>
      <w:bookmarkEnd w:id="223"/>
      <w:bookmarkEnd w:id="224"/>
    </w:p>
    <w:p>
      <w:pPr>
        <w:pStyle w:val="8"/>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lang w:val="zh-TW"/>
        </w:rPr>
      </w:pPr>
      <w:r>
        <w:rPr>
          <w:rFonts w:hint="default" w:ascii="Times New Roman" w:hAnsi="Times New Roman" w:eastAsia="宋体" w:cs="Times New Roman"/>
          <w:color w:val="auto"/>
          <w:highlight w:val="none"/>
          <w:u w:val="none" w:color="auto"/>
        </w:rPr>
        <w:t>5.2.1.1</w:t>
      </w:r>
      <w:r>
        <w:rPr>
          <w:rFonts w:hint="default" w:ascii="Times New Roman" w:hAnsi="Times New Roman" w:eastAsia="宋体" w:cs="Times New Roman"/>
          <w:color w:val="auto"/>
          <w:highlight w:val="none"/>
          <w:u w:val="none" w:color="auto"/>
          <w:lang w:val="zh-TW"/>
        </w:rPr>
        <w:t>气象情况</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2" w:firstLineChars="20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（1）基本气象资料</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（1）气象资料来源</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选址位于岳阳临港高新技术产业开发区，岳阳市气象站位于岳阳市岳阳楼区岳阳市洞庭北路，北纬29°23′，东经113°05′，观测场海拔高度：51.6m。距本项目约12km，是最近的气象站，且地理特征相似，可以用作本项目气象资料使用，采用岳阳市气象站近20年来气象资料。</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（2）气候特征</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区域属亚热带湿润气候，冬季寒冷，夏季炎热，春季多雨，秋季干旱，四季分明，常年多雾。年平均气温为17.1℃；最高气温39.3℃；最低气温为-11.8℃。年平均相对湿度78%；年平均降雨量为1302.4mm；常年主导风向为NNE，频率为18%；冬季主导风向为NNE（22%），夏季主导风向为SSE（15%）。</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（3）地面气象要素</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w:t>
      </w:r>
      <w:r>
        <w:rPr>
          <w:rFonts w:hint="eastAsia" w:ascii="Times New Roman" w:hAnsi="Times New Roman" w:eastAsia="宋体"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.2-1给出了岳阳市气象站近20年的气温、气压、湿度、降水量、蒸发量等地面气象要素的统计结果。</w:t>
      </w:r>
      <w:bookmarkStart w:id="225" w:name="_Ref237162431"/>
    </w:p>
    <w:p>
      <w:pPr>
        <w:pageBreakBefore w:val="0"/>
        <w:kinsoku/>
        <w:wordWrap/>
        <w:overflowPunct w:val="0"/>
        <w:topLinePunct/>
        <w:autoSpaceDE w:val="0"/>
        <w:autoSpaceDN w:val="0"/>
        <w:bidi w:val="0"/>
        <w:spacing w:line="360" w:lineRule="auto"/>
        <w:ind w:left="0" w:leftChars="0" w:right="0" w:rightChars="0" w:firstLine="0" w:firstLineChars="0"/>
        <w:jc w:val="center"/>
        <w:outlineLvl w:val="9"/>
        <w:rPr>
          <w:rFonts w:hint="default" w:ascii="Times New Roman" w:hAnsi="Times New Roman" w:eastAsia="宋体" w:cs="Times New Roman"/>
          <w:b/>
          <w:bCs/>
          <w:color w:val="auto"/>
          <w:kern w:val="2"/>
          <w:sz w:val="24"/>
          <w:szCs w:val="20"/>
          <w:highlight w:val="none"/>
          <w:u w:val="none" w:color="auto"/>
          <w:lang w:val="en-US" w:eastAsia="zh-CN" w:bidi="ar-SA"/>
        </w:rPr>
      </w:pPr>
      <w:r>
        <w:rPr>
          <w:rFonts w:hint="default" w:ascii="Times New Roman" w:hAnsi="Times New Roman" w:eastAsia="宋体" w:cs="Times New Roman"/>
          <w:b/>
          <w:bCs/>
          <w:color w:val="auto"/>
          <w:kern w:val="2"/>
          <w:sz w:val="24"/>
          <w:szCs w:val="20"/>
          <w:highlight w:val="none"/>
          <w:u w:val="none" w:color="auto"/>
          <w:lang w:val="en-US" w:eastAsia="zh-CN" w:bidi="ar-SA"/>
        </w:rPr>
        <w:t>表</w:t>
      </w:r>
      <w:bookmarkEnd w:id="225"/>
      <w:r>
        <w:rPr>
          <w:rFonts w:hint="eastAsia" w:ascii="Times New Roman" w:hAnsi="Times New Roman" w:eastAsia="宋体" w:cs="Times New Roman"/>
          <w:b/>
          <w:bCs/>
          <w:color w:val="auto"/>
          <w:kern w:val="2"/>
          <w:sz w:val="24"/>
          <w:szCs w:val="20"/>
          <w:highlight w:val="none"/>
          <w:u w:val="none" w:color="auto"/>
          <w:lang w:val="en-US" w:eastAsia="zh-CN" w:bidi="ar-SA"/>
        </w:rPr>
        <w:t>5</w:t>
      </w:r>
      <w:r>
        <w:rPr>
          <w:rFonts w:hint="default" w:ascii="Times New Roman" w:hAnsi="Times New Roman" w:eastAsia="宋体" w:cs="Times New Roman"/>
          <w:b/>
          <w:bCs/>
          <w:color w:val="auto"/>
          <w:kern w:val="2"/>
          <w:sz w:val="24"/>
          <w:szCs w:val="20"/>
          <w:highlight w:val="none"/>
          <w:u w:val="none" w:color="auto"/>
          <w:lang w:val="en-US" w:eastAsia="zh-CN" w:bidi="ar-SA"/>
        </w:rPr>
        <w:t>.2-1常规气象要素统计值</w:t>
      </w: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49"/>
        <w:gridCol w:w="1459"/>
        <w:gridCol w:w="1363"/>
        <w:gridCol w:w="1497"/>
        <w:gridCol w:w="1411"/>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12" w:space="0"/>
              <w:left w:val="single" w:color="auto" w:sz="12" w:space="0"/>
              <w:bottom w:val="single" w:color="auto" w:sz="4" w:space="0"/>
              <w:right w:val="single" w:color="auto" w:sz="4" w:space="0"/>
              <w:tl2br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项目月份</w:t>
            </w:r>
          </w:p>
        </w:tc>
        <w:tc>
          <w:tcPr>
            <w:tcW w:w="1111"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平均气温℃</w:t>
            </w:r>
          </w:p>
        </w:tc>
        <w:tc>
          <w:tcPr>
            <w:tcW w:w="1411"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平均气压hpa</w:t>
            </w:r>
          </w:p>
        </w:tc>
        <w:tc>
          <w:tcPr>
            <w:tcW w:w="1318"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平均相对湿度%</w:t>
            </w:r>
          </w:p>
        </w:tc>
        <w:tc>
          <w:tcPr>
            <w:tcW w:w="1448"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平均降水量mm</w:t>
            </w:r>
          </w:p>
        </w:tc>
        <w:tc>
          <w:tcPr>
            <w:tcW w:w="1365"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平均蒸发量mm</w:t>
            </w:r>
          </w:p>
        </w:tc>
        <w:tc>
          <w:tcPr>
            <w:tcW w:w="1076" w:type="dxa"/>
            <w:tcBorders>
              <w:top w:val="single" w:color="auto" w:sz="12"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平均风速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5.3</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985.9</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85</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79.3</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45.1</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7.1</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983.6</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85</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110.5</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51.3</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11.1</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980.4</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86</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151.4</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73.9</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17.5</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976.2</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83</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190.1</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113.0</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22.0</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972.9</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82</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212.7</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142.0</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25.7</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969.2</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80</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175.4</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179.2</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28.2</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968.3</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72</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116.8</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252.0</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27.2</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969.2</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77</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155.5</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203.9</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23.5</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975.0</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80</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82.0</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137.1</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10</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18.4</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980.7</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80</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91.2</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107.9</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12.9</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984.5</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78</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62.6</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79.6</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12</w:t>
            </w:r>
          </w:p>
        </w:tc>
        <w:tc>
          <w:tcPr>
            <w:tcW w:w="11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7.9</w:t>
            </w:r>
          </w:p>
        </w:tc>
        <w:tc>
          <w:tcPr>
            <w:tcW w:w="1411"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986.6</w:t>
            </w:r>
          </w:p>
        </w:tc>
        <w:tc>
          <w:tcPr>
            <w:tcW w:w="13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78</w:t>
            </w:r>
          </w:p>
        </w:tc>
        <w:tc>
          <w:tcPr>
            <w:tcW w:w="144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44.1</w:t>
            </w:r>
          </w:p>
        </w:tc>
        <w:tc>
          <w:tcPr>
            <w:tcW w:w="1365"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64.5</w:t>
            </w:r>
          </w:p>
        </w:tc>
        <w:tc>
          <w:tcPr>
            <w:tcW w:w="1076"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tcBorders>
              <w:top w:val="single" w:color="auto" w:sz="4" w:space="0"/>
              <w:left w:val="single" w:color="auto" w:sz="12"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全年</w:t>
            </w:r>
          </w:p>
        </w:tc>
        <w:tc>
          <w:tcPr>
            <w:tcW w:w="1111"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17.2</w:t>
            </w:r>
          </w:p>
        </w:tc>
        <w:tc>
          <w:tcPr>
            <w:tcW w:w="1411"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977.7</w:t>
            </w:r>
          </w:p>
        </w:tc>
        <w:tc>
          <w:tcPr>
            <w:tcW w:w="1318"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81</w:t>
            </w:r>
          </w:p>
        </w:tc>
        <w:tc>
          <w:tcPr>
            <w:tcW w:w="1448"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1471.7</w:t>
            </w:r>
          </w:p>
        </w:tc>
        <w:tc>
          <w:tcPr>
            <w:tcW w:w="1365"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1449.5</w:t>
            </w:r>
          </w:p>
        </w:tc>
        <w:tc>
          <w:tcPr>
            <w:tcW w:w="1076" w:type="dxa"/>
            <w:tcBorders>
              <w:top w:val="single" w:color="auto" w:sz="4" w:space="0"/>
              <w:left w:val="single" w:color="auto" w:sz="4" w:space="0"/>
              <w:bottom w:val="single" w:color="auto" w:sz="12"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2.9</w:t>
            </w:r>
          </w:p>
        </w:tc>
      </w:tr>
    </w:tbl>
    <w:p>
      <w:pPr>
        <w:pageBreakBefore w:val="0"/>
        <w:kinsoku/>
        <w:wordWrap/>
        <w:overflowPunct w:val="0"/>
        <w:topLinePunct/>
        <w:autoSpaceDE w:val="0"/>
        <w:autoSpaceDN w:val="0"/>
        <w:bidi w:val="0"/>
        <w:ind w:firstLine="48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（4）风速、风向</w:t>
      </w:r>
    </w:p>
    <w:p>
      <w:pPr>
        <w:pStyle w:val="39"/>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.2-2是岳阳市气象站近20年来风向频率统计表，图</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.2-1是相应的风向频率玫瑰图。</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.2-2岳阳市气象站全年及四季风向频率（%）分布</w:t>
      </w:r>
    </w:p>
    <w:tbl>
      <w:tblPr>
        <w:tblStyle w:val="40"/>
        <w:tblW w:w="9071"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403"/>
        <w:gridCol w:w="482"/>
        <w:gridCol w:w="518"/>
        <w:gridCol w:w="465"/>
        <w:gridCol w:w="577"/>
        <w:gridCol w:w="332"/>
        <w:gridCol w:w="547"/>
        <w:gridCol w:w="435"/>
        <w:gridCol w:w="537"/>
        <w:gridCol w:w="323"/>
        <w:gridCol w:w="598"/>
        <w:gridCol w:w="495"/>
        <w:gridCol w:w="668"/>
        <w:gridCol w:w="495"/>
        <w:gridCol w:w="668"/>
        <w:gridCol w:w="526"/>
        <w:gridCol w:w="658"/>
        <w:gridCol w:w="344"/>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3" w:type="dxa"/>
            <w:tcBorders>
              <w:top w:val="single" w:color="auto" w:sz="12" w:space="0"/>
              <w:left w:val="single" w:color="auto" w:sz="12"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时间</w:t>
            </w:r>
          </w:p>
        </w:tc>
        <w:tc>
          <w:tcPr>
            <w:tcW w:w="482"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N</w:t>
            </w:r>
          </w:p>
        </w:tc>
        <w:tc>
          <w:tcPr>
            <w:tcW w:w="518"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NNE</w:t>
            </w:r>
          </w:p>
        </w:tc>
        <w:tc>
          <w:tcPr>
            <w:tcW w:w="465"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NE</w:t>
            </w:r>
          </w:p>
        </w:tc>
        <w:tc>
          <w:tcPr>
            <w:tcW w:w="577"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ENE</w:t>
            </w:r>
          </w:p>
        </w:tc>
        <w:tc>
          <w:tcPr>
            <w:tcW w:w="332"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E</w:t>
            </w:r>
          </w:p>
        </w:tc>
        <w:tc>
          <w:tcPr>
            <w:tcW w:w="547"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ESE</w:t>
            </w:r>
          </w:p>
        </w:tc>
        <w:tc>
          <w:tcPr>
            <w:tcW w:w="435"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SE</w:t>
            </w:r>
          </w:p>
        </w:tc>
        <w:tc>
          <w:tcPr>
            <w:tcW w:w="537"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SSE</w:t>
            </w:r>
          </w:p>
        </w:tc>
        <w:tc>
          <w:tcPr>
            <w:tcW w:w="323"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S</w:t>
            </w:r>
          </w:p>
        </w:tc>
        <w:tc>
          <w:tcPr>
            <w:tcW w:w="598"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SSW</w:t>
            </w:r>
          </w:p>
        </w:tc>
        <w:tc>
          <w:tcPr>
            <w:tcW w:w="495"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SW</w:t>
            </w:r>
          </w:p>
        </w:tc>
        <w:tc>
          <w:tcPr>
            <w:tcW w:w="668"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WSW</w:t>
            </w:r>
          </w:p>
        </w:tc>
        <w:tc>
          <w:tcPr>
            <w:tcW w:w="495"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SW</w:t>
            </w:r>
          </w:p>
        </w:tc>
        <w:tc>
          <w:tcPr>
            <w:tcW w:w="668"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WSW</w:t>
            </w:r>
          </w:p>
        </w:tc>
        <w:tc>
          <w:tcPr>
            <w:tcW w:w="526"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NW</w:t>
            </w:r>
          </w:p>
        </w:tc>
        <w:tc>
          <w:tcPr>
            <w:tcW w:w="658" w:type="dxa"/>
            <w:tcBorders>
              <w:top w:val="single" w:color="auto" w:sz="12"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NNW</w:t>
            </w:r>
          </w:p>
        </w:tc>
        <w:tc>
          <w:tcPr>
            <w:tcW w:w="344" w:type="dxa"/>
            <w:tcBorders>
              <w:top w:val="single" w:color="auto" w:sz="12" w:space="0"/>
              <w:left w:val="single" w:color="000000" w:sz="6" w:space="0"/>
              <w:bottom w:val="single" w:color="000000" w:sz="6"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C</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春</w:t>
            </w:r>
          </w:p>
        </w:tc>
        <w:tc>
          <w:tcPr>
            <w:tcW w:w="48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w:t>
            </w:r>
          </w:p>
        </w:tc>
        <w:tc>
          <w:tcPr>
            <w:tcW w:w="51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w:t>
            </w:r>
          </w:p>
        </w:tc>
        <w:tc>
          <w:tcPr>
            <w:tcW w:w="46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15</w:t>
            </w:r>
          </w:p>
        </w:tc>
        <w:tc>
          <w:tcPr>
            <w:tcW w:w="57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33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54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43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w:t>
            </w:r>
          </w:p>
        </w:tc>
        <w:tc>
          <w:tcPr>
            <w:tcW w:w="53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323"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59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526"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65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344" w:type="dxa"/>
            <w:tcBorders>
              <w:top w:val="single" w:color="000000" w:sz="6" w:space="0"/>
              <w:left w:val="single" w:color="000000" w:sz="6" w:space="0"/>
              <w:bottom w:val="single" w:color="000000" w:sz="6"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夏</w:t>
            </w:r>
          </w:p>
        </w:tc>
        <w:tc>
          <w:tcPr>
            <w:tcW w:w="48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13</w:t>
            </w:r>
          </w:p>
        </w:tc>
        <w:tc>
          <w:tcPr>
            <w:tcW w:w="51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w:t>
            </w:r>
          </w:p>
        </w:tc>
        <w:tc>
          <w:tcPr>
            <w:tcW w:w="46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w:t>
            </w:r>
          </w:p>
        </w:tc>
        <w:tc>
          <w:tcPr>
            <w:tcW w:w="57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33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4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43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w:t>
            </w:r>
          </w:p>
        </w:tc>
        <w:tc>
          <w:tcPr>
            <w:tcW w:w="53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15</w:t>
            </w:r>
          </w:p>
        </w:tc>
        <w:tc>
          <w:tcPr>
            <w:tcW w:w="323"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59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526"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65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344" w:type="dxa"/>
            <w:tcBorders>
              <w:top w:val="single" w:color="000000" w:sz="6" w:space="0"/>
              <w:left w:val="single" w:color="000000" w:sz="6" w:space="0"/>
              <w:bottom w:val="single" w:color="000000" w:sz="6"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秋</w:t>
            </w:r>
          </w:p>
        </w:tc>
        <w:tc>
          <w:tcPr>
            <w:tcW w:w="48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14</w:t>
            </w:r>
          </w:p>
        </w:tc>
        <w:tc>
          <w:tcPr>
            <w:tcW w:w="51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20</w:t>
            </w:r>
          </w:p>
        </w:tc>
        <w:tc>
          <w:tcPr>
            <w:tcW w:w="46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18</w:t>
            </w:r>
          </w:p>
        </w:tc>
        <w:tc>
          <w:tcPr>
            <w:tcW w:w="57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33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4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43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3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323"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59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526"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65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344" w:type="dxa"/>
            <w:tcBorders>
              <w:top w:val="single" w:color="000000" w:sz="6" w:space="0"/>
              <w:left w:val="single" w:color="000000" w:sz="6" w:space="0"/>
              <w:bottom w:val="single" w:color="000000" w:sz="6"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冬</w:t>
            </w:r>
          </w:p>
        </w:tc>
        <w:tc>
          <w:tcPr>
            <w:tcW w:w="48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w:t>
            </w:r>
          </w:p>
        </w:tc>
        <w:tc>
          <w:tcPr>
            <w:tcW w:w="51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22</w:t>
            </w:r>
          </w:p>
        </w:tc>
        <w:tc>
          <w:tcPr>
            <w:tcW w:w="46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w:t>
            </w:r>
          </w:p>
        </w:tc>
        <w:tc>
          <w:tcPr>
            <w:tcW w:w="57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w:t>
            </w:r>
          </w:p>
        </w:tc>
        <w:tc>
          <w:tcPr>
            <w:tcW w:w="332"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4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43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37"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323"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59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495"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66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526"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658" w:type="dxa"/>
            <w:tcBorders>
              <w:top w:val="single" w:color="000000" w:sz="6" w:space="0"/>
              <w:left w:val="single" w:color="000000" w:sz="6" w:space="0"/>
              <w:bottom w:val="single" w:color="000000" w:sz="6"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344" w:type="dxa"/>
            <w:tcBorders>
              <w:top w:val="single" w:color="000000" w:sz="6" w:space="0"/>
              <w:left w:val="single" w:color="000000" w:sz="6" w:space="0"/>
              <w:bottom w:val="single" w:color="000000" w:sz="6"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3" w:type="dxa"/>
            <w:tcBorders>
              <w:top w:val="single" w:color="000000" w:sz="6" w:space="0"/>
              <w:left w:val="single" w:color="auto" w:sz="12"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全年</w:t>
            </w:r>
          </w:p>
        </w:tc>
        <w:tc>
          <w:tcPr>
            <w:tcW w:w="482"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w:t>
            </w:r>
          </w:p>
        </w:tc>
        <w:tc>
          <w:tcPr>
            <w:tcW w:w="518"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18</w:t>
            </w:r>
          </w:p>
        </w:tc>
        <w:tc>
          <w:tcPr>
            <w:tcW w:w="465"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16</w:t>
            </w:r>
          </w:p>
        </w:tc>
        <w:tc>
          <w:tcPr>
            <w:tcW w:w="577"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332"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547"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435"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37"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w:t>
            </w:r>
          </w:p>
        </w:tc>
        <w:tc>
          <w:tcPr>
            <w:tcW w:w="323"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598"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495"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w:t>
            </w:r>
          </w:p>
        </w:tc>
        <w:tc>
          <w:tcPr>
            <w:tcW w:w="668"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w:t>
            </w:r>
          </w:p>
        </w:tc>
        <w:tc>
          <w:tcPr>
            <w:tcW w:w="495"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668"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526"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658" w:type="dxa"/>
            <w:tcBorders>
              <w:top w:val="single" w:color="000000" w:sz="6" w:space="0"/>
              <w:left w:val="single" w:color="000000" w:sz="6" w:space="0"/>
              <w:bottom w:val="single" w:color="auto" w:sz="12" w:space="0"/>
              <w:right w:val="single" w:color="000000" w:sz="6"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w:t>
            </w:r>
          </w:p>
        </w:tc>
        <w:tc>
          <w:tcPr>
            <w:tcW w:w="344" w:type="dxa"/>
            <w:tcBorders>
              <w:top w:val="single" w:color="000000" w:sz="6" w:space="0"/>
              <w:left w:val="single" w:color="000000" w:sz="6" w:space="0"/>
              <w:bottom w:val="single" w:color="auto" w:sz="12"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w:t>
            </w:r>
          </w:p>
        </w:tc>
      </w:tr>
    </w:tbl>
    <w:p>
      <w:pPr>
        <w:pStyle w:val="12"/>
        <w:pageBreakBefore w:val="0"/>
        <w:kinsoku/>
        <w:wordWrap/>
        <w:overflowPunct w:val="0"/>
        <w:topLinePunct/>
        <w:autoSpaceDE w:val="0"/>
        <w:autoSpaceDN w:val="0"/>
        <w:bidi w:val="0"/>
        <w:ind w:firstLine="420"/>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drawing>
          <wp:inline distT="0" distB="0" distL="114300" distR="114300">
            <wp:extent cx="2644140" cy="2581910"/>
            <wp:effectExtent l="0" t="0" r="7620" b="8890"/>
            <wp:docPr id="154" name="图片 46"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6" descr="岳阳市风玫瑰图"/>
                    <pic:cNvPicPr>
                      <a:picLocks noChangeAspect="1"/>
                    </pic:cNvPicPr>
                  </pic:nvPicPr>
                  <pic:blipFill>
                    <a:blip r:embed="rId65"/>
                    <a:stretch>
                      <a:fillRect/>
                    </a:stretch>
                  </pic:blipFill>
                  <pic:spPr>
                    <a:xfrm>
                      <a:off x="0" y="0"/>
                      <a:ext cx="2644140" cy="2581910"/>
                    </a:xfrm>
                    <a:prstGeom prst="rect">
                      <a:avLst/>
                    </a:prstGeom>
                    <a:noFill/>
                    <a:ln>
                      <a:noFill/>
                    </a:ln>
                  </pic:spPr>
                </pic:pic>
              </a:graphicData>
            </a:graphic>
          </wp:inline>
        </w:drawing>
      </w:r>
      <w:bookmarkStart w:id="226" w:name="_Ref237162563"/>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图</w:t>
      </w:r>
      <w:bookmarkEnd w:id="226"/>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.2-1岳阳全年及四季风频玫瑰图表</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.2-3岳阳市气象站近20年风速统计（单位：m/s）</w:t>
      </w: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575"/>
        <w:gridCol w:w="575"/>
        <w:gridCol w:w="575"/>
        <w:gridCol w:w="574"/>
        <w:gridCol w:w="574"/>
        <w:gridCol w:w="574"/>
        <w:gridCol w:w="574"/>
        <w:gridCol w:w="574"/>
        <w:gridCol w:w="574"/>
        <w:gridCol w:w="575"/>
        <w:gridCol w:w="764"/>
        <w:gridCol w:w="764"/>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tcBorders>
              <w:top w:val="single" w:color="auto" w:sz="12" w:space="0"/>
              <w:left w:val="single" w:color="auto" w:sz="12" w:space="0"/>
              <w:bottom w:val="single" w:color="auto" w:sz="4" w:space="0"/>
              <w:right w:val="single" w:color="auto" w:sz="4" w:space="0"/>
              <w:tl2br w:val="single" w:color="000000" w:sz="2" w:space="0"/>
            </w:tcBorders>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风向时间</w:t>
            </w:r>
          </w:p>
        </w:tc>
        <w:tc>
          <w:tcPr>
            <w:tcW w:w="575"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一</w:t>
            </w:r>
          </w:p>
        </w:tc>
        <w:tc>
          <w:tcPr>
            <w:tcW w:w="575"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二</w:t>
            </w:r>
          </w:p>
        </w:tc>
        <w:tc>
          <w:tcPr>
            <w:tcW w:w="575"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三</w:t>
            </w:r>
          </w:p>
        </w:tc>
        <w:tc>
          <w:tcPr>
            <w:tcW w:w="57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四</w:t>
            </w:r>
          </w:p>
        </w:tc>
        <w:tc>
          <w:tcPr>
            <w:tcW w:w="57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五</w:t>
            </w:r>
          </w:p>
        </w:tc>
        <w:tc>
          <w:tcPr>
            <w:tcW w:w="57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六</w:t>
            </w:r>
          </w:p>
        </w:tc>
        <w:tc>
          <w:tcPr>
            <w:tcW w:w="57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七</w:t>
            </w:r>
          </w:p>
        </w:tc>
        <w:tc>
          <w:tcPr>
            <w:tcW w:w="57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八</w:t>
            </w:r>
          </w:p>
        </w:tc>
        <w:tc>
          <w:tcPr>
            <w:tcW w:w="57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九</w:t>
            </w:r>
          </w:p>
        </w:tc>
        <w:tc>
          <w:tcPr>
            <w:tcW w:w="575"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十</w:t>
            </w:r>
          </w:p>
        </w:tc>
        <w:tc>
          <w:tcPr>
            <w:tcW w:w="76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十一</w:t>
            </w:r>
          </w:p>
        </w:tc>
        <w:tc>
          <w:tcPr>
            <w:tcW w:w="76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十二</w:t>
            </w:r>
          </w:p>
        </w:tc>
        <w:tc>
          <w:tcPr>
            <w:tcW w:w="869" w:type="dxa"/>
            <w:tcBorders>
              <w:top w:val="single" w:color="auto" w:sz="12"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12" w:space="0"/>
              <w:bottom w:val="single" w:color="auto" w:sz="12" w:space="0"/>
              <w:right w:val="single" w:color="auto" w:sz="4" w:space="0"/>
            </w:tcBorders>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全年</w:t>
            </w:r>
          </w:p>
        </w:tc>
        <w:tc>
          <w:tcPr>
            <w:tcW w:w="575"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c>
          <w:tcPr>
            <w:tcW w:w="575"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2.9</w:t>
            </w:r>
          </w:p>
        </w:tc>
        <w:tc>
          <w:tcPr>
            <w:tcW w:w="575"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3.1</w:t>
            </w:r>
          </w:p>
        </w:tc>
        <w:tc>
          <w:tcPr>
            <w:tcW w:w="57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3.1</w:t>
            </w:r>
          </w:p>
        </w:tc>
        <w:tc>
          <w:tcPr>
            <w:tcW w:w="57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2.7</w:t>
            </w:r>
          </w:p>
        </w:tc>
        <w:tc>
          <w:tcPr>
            <w:tcW w:w="57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c>
          <w:tcPr>
            <w:tcW w:w="57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3.5</w:t>
            </w:r>
          </w:p>
        </w:tc>
        <w:tc>
          <w:tcPr>
            <w:tcW w:w="57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2.9</w:t>
            </w:r>
          </w:p>
        </w:tc>
        <w:tc>
          <w:tcPr>
            <w:tcW w:w="57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c>
          <w:tcPr>
            <w:tcW w:w="575"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2.6</w:t>
            </w:r>
          </w:p>
        </w:tc>
        <w:tc>
          <w:tcPr>
            <w:tcW w:w="76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c>
          <w:tcPr>
            <w:tcW w:w="76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2.8</w:t>
            </w:r>
          </w:p>
        </w:tc>
        <w:tc>
          <w:tcPr>
            <w:tcW w:w="869" w:type="dxa"/>
            <w:tcBorders>
              <w:top w:val="single" w:color="auto" w:sz="4" w:space="0"/>
              <w:left w:val="single" w:color="auto" w:sz="4" w:space="0"/>
              <w:bottom w:val="single" w:color="auto" w:sz="12"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2.9</w:t>
            </w:r>
          </w:p>
        </w:tc>
      </w:tr>
    </w:tbl>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从图表中可以看出：该区域常年主导风向为NNE，频率为18%，春季主导风向为NNE风，频率高达17%，夏季主导风向为SSE风，频率高达15%，秋季主导风向为NNE风，频率为20%，冬季主导风向为NNE，频率为22%，年平均风速为2.9m/s。</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（5）地面大气稳定度频率分布</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大气稳定度也是空气污染物扩散能力的一个判别因子。大气处于不稳定度状态时，有利于湍流发展加强，使污染物扩散加快；而大气处于稳定状态时，湍流运动较弱，空气污染物的扩散受到抑制。本评价利用岳阳市气象站20年每日定时地面风向、风速及总云量、低云量等观测资料进行大气稳定度和联合频率的统计。按照修正的帕斯奎尔（Pasquill）稳定度分级方法，统计各季及全年的大气稳定度分布频率，结果见表6.2-4。由表可知，该区大气稳定度以D类居多（年均频率为65.1%），F类出现频率最小，为零。各季各类大气稳定度分布频率虽有所变化，但均以中性的D类为主。不稳定类（A，B，C）频率以夏季最大，冬季最小；中性类（D）频率以春季最大，秋季最小；稳定类（E）频率以秋季最大，春季最小。</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.2-4岳阳市大气稳定度频率分布（%）</w:t>
      </w: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019"/>
        <w:gridCol w:w="1018"/>
        <w:gridCol w:w="1018"/>
        <w:gridCol w:w="1020"/>
        <w:gridCol w:w="1034"/>
        <w:gridCol w:w="1018"/>
        <w:gridCol w:w="71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vMerge w:val="restart"/>
            <w:tcBorders>
              <w:top w:val="single" w:color="auto" w:sz="12" w:space="0"/>
              <w:left w:val="single" w:color="auto" w:sz="12" w:space="0"/>
              <w:bottom w:val="single" w:color="auto" w:sz="4" w:space="0"/>
              <w:right w:val="single" w:color="auto" w:sz="4" w:space="0"/>
              <w:tl2br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稳定度季节</w:t>
            </w:r>
          </w:p>
        </w:tc>
        <w:tc>
          <w:tcPr>
            <w:tcW w:w="4075" w:type="dxa"/>
            <w:gridSpan w:val="4"/>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不稳定类</w:t>
            </w:r>
          </w:p>
        </w:tc>
        <w:tc>
          <w:tcPr>
            <w:tcW w:w="1034" w:type="dxa"/>
            <w:tcBorders>
              <w:top w:val="single" w:color="auto" w:sz="12"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中性类</w:t>
            </w:r>
          </w:p>
        </w:tc>
        <w:tc>
          <w:tcPr>
            <w:tcW w:w="2788" w:type="dxa"/>
            <w:gridSpan w:val="3"/>
            <w:tcBorders>
              <w:top w:val="single" w:color="auto" w:sz="12"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稳定类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vMerge w:val="continue"/>
            <w:tcBorders>
              <w:top w:val="single" w:color="auto" w:sz="12"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p>
        </w:tc>
        <w:tc>
          <w:tcPr>
            <w:tcW w:w="1019"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A</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B</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C</w:t>
            </w:r>
          </w:p>
        </w:tc>
        <w:tc>
          <w:tcPr>
            <w:tcW w:w="1020"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小计</w:t>
            </w:r>
          </w:p>
        </w:tc>
        <w:tc>
          <w:tcPr>
            <w:tcW w:w="1034"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D</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E</w:t>
            </w:r>
          </w:p>
        </w:tc>
        <w:tc>
          <w:tcPr>
            <w:tcW w:w="716"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F</w:t>
            </w:r>
          </w:p>
        </w:tc>
        <w:tc>
          <w:tcPr>
            <w:tcW w:w="1054"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春季</w:t>
            </w:r>
          </w:p>
        </w:tc>
        <w:tc>
          <w:tcPr>
            <w:tcW w:w="1019"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5.1</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6.5</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5.5</w:t>
            </w:r>
          </w:p>
        </w:tc>
        <w:tc>
          <w:tcPr>
            <w:tcW w:w="1020"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17.0</w:t>
            </w:r>
          </w:p>
        </w:tc>
        <w:tc>
          <w:tcPr>
            <w:tcW w:w="1034"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76.4</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6.5</w:t>
            </w:r>
          </w:p>
        </w:tc>
        <w:tc>
          <w:tcPr>
            <w:tcW w:w="716"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0.0</w:t>
            </w:r>
          </w:p>
        </w:tc>
        <w:tc>
          <w:tcPr>
            <w:tcW w:w="1054"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夏季</w:t>
            </w:r>
          </w:p>
        </w:tc>
        <w:tc>
          <w:tcPr>
            <w:tcW w:w="1019"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10.5</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22.5</w:t>
            </w:r>
          </w:p>
        </w:tc>
        <w:tc>
          <w:tcPr>
            <w:tcW w:w="1020"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34.1</w:t>
            </w:r>
          </w:p>
        </w:tc>
        <w:tc>
          <w:tcPr>
            <w:tcW w:w="1034"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56.2</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9.1</w:t>
            </w:r>
          </w:p>
        </w:tc>
        <w:tc>
          <w:tcPr>
            <w:tcW w:w="716"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0.0</w:t>
            </w:r>
          </w:p>
        </w:tc>
        <w:tc>
          <w:tcPr>
            <w:tcW w:w="1054"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秋季</w:t>
            </w:r>
          </w:p>
        </w:tc>
        <w:tc>
          <w:tcPr>
            <w:tcW w:w="1019"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6.3</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13.5</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1.2</w:t>
            </w:r>
          </w:p>
        </w:tc>
        <w:tc>
          <w:tcPr>
            <w:tcW w:w="1020"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21.1</w:t>
            </w:r>
          </w:p>
        </w:tc>
        <w:tc>
          <w:tcPr>
            <w:tcW w:w="1034"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55.1</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23.8</w:t>
            </w:r>
          </w:p>
        </w:tc>
        <w:tc>
          <w:tcPr>
            <w:tcW w:w="716"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0.0</w:t>
            </w:r>
          </w:p>
        </w:tc>
        <w:tc>
          <w:tcPr>
            <w:tcW w:w="1054"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冬季</w:t>
            </w:r>
          </w:p>
        </w:tc>
        <w:tc>
          <w:tcPr>
            <w:tcW w:w="1019"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3.7</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6.1</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2.1</w:t>
            </w:r>
          </w:p>
        </w:tc>
        <w:tc>
          <w:tcPr>
            <w:tcW w:w="1020"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11.9</w:t>
            </w:r>
          </w:p>
        </w:tc>
        <w:tc>
          <w:tcPr>
            <w:tcW w:w="1034"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73.1</w:t>
            </w:r>
          </w:p>
        </w:tc>
        <w:tc>
          <w:tcPr>
            <w:tcW w:w="1018"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15.1</w:t>
            </w:r>
          </w:p>
        </w:tc>
        <w:tc>
          <w:tcPr>
            <w:tcW w:w="716" w:type="dxa"/>
            <w:tcBorders>
              <w:top w:val="single" w:color="auto" w:sz="4" w:space="0"/>
              <w:left w:val="single" w:color="auto" w:sz="4" w:space="0"/>
              <w:bottom w:val="single" w:color="auto" w:sz="4"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0.0</w:t>
            </w:r>
          </w:p>
        </w:tc>
        <w:tc>
          <w:tcPr>
            <w:tcW w:w="1054" w:type="dxa"/>
            <w:tcBorders>
              <w:top w:val="single" w:color="auto" w:sz="4" w:space="0"/>
              <w:left w:val="single" w:color="auto" w:sz="4" w:space="0"/>
              <w:bottom w:val="single" w:color="auto" w:sz="4"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年均</w:t>
            </w:r>
          </w:p>
        </w:tc>
        <w:tc>
          <w:tcPr>
            <w:tcW w:w="1019"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4.0</w:t>
            </w:r>
          </w:p>
        </w:tc>
        <w:tc>
          <w:tcPr>
            <w:tcW w:w="1018"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9.2</w:t>
            </w:r>
          </w:p>
        </w:tc>
        <w:tc>
          <w:tcPr>
            <w:tcW w:w="1018"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8.0</w:t>
            </w:r>
          </w:p>
        </w:tc>
        <w:tc>
          <w:tcPr>
            <w:tcW w:w="1020"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21.2</w:t>
            </w:r>
          </w:p>
        </w:tc>
        <w:tc>
          <w:tcPr>
            <w:tcW w:w="1034"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65.1</w:t>
            </w:r>
          </w:p>
        </w:tc>
        <w:tc>
          <w:tcPr>
            <w:tcW w:w="1018"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13.5</w:t>
            </w:r>
          </w:p>
        </w:tc>
        <w:tc>
          <w:tcPr>
            <w:tcW w:w="716" w:type="dxa"/>
            <w:tcBorders>
              <w:top w:val="single" w:color="auto" w:sz="4" w:space="0"/>
              <w:left w:val="single" w:color="auto" w:sz="4" w:space="0"/>
              <w:bottom w:val="single" w:color="auto" w:sz="12" w:space="0"/>
              <w:right w:val="single" w:color="auto" w:sz="4"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0.0</w:t>
            </w:r>
          </w:p>
        </w:tc>
        <w:tc>
          <w:tcPr>
            <w:tcW w:w="1054" w:type="dxa"/>
            <w:tcBorders>
              <w:top w:val="single" w:color="auto" w:sz="4" w:space="0"/>
              <w:left w:val="single" w:color="auto" w:sz="4" w:space="0"/>
              <w:bottom w:val="single" w:color="auto" w:sz="12" w:space="0"/>
              <w:right w:val="single" w:color="auto" w:sz="12" w:space="0"/>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13.5</w:t>
            </w:r>
          </w:p>
        </w:tc>
      </w:tr>
    </w:tbl>
    <w:p>
      <w:pPr>
        <w:pStyle w:val="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cs="Times New Roman"/>
          <w:color w:val="auto"/>
          <w:u w:val="none" w:color="auto"/>
          <w:lang w:val="en-US" w:eastAsia="zh-CN"/>
        </w:rPr>
        <w:t>5.2.1.2</w:t>
      </w:r>
      <w:r>
        <w:rPr>
          <w:rFonts w:hint="default" w:ascii="Times New Roman" w:hAnsi="Times New Roman" w:eastAsia="宋体" w:cs="Times New Roman"/>
          <w:color w:val="auto"/>
          <w:u w:val="none" w:color="auto"/>
        </w:rPr>
        <w:t>正常工况下废气环境影响预测与评价</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根据工程分析，本工程运营期废气中主要污染物为VOCs、颗粒物、</w:t>
      </w:r>
      <w:r>
        <w:rPr>
          <w:rFonts w:hint="eastAsia" w:ascii="Times New Roman" w:hAnsi="Times New Roman" w:eastAsia="宋体" w:cs="Times New Roman"/>
          <w:color w:val="auto"/>
          <w:sz w:val="24"/>
          <w:szCs w:val="24"/>
          <w:u w:val="none" w:color="auto"/>
          <w:lang w:eastAsia="zh-CN"/>
        </w:rPr>
        <w:t>氯化氢</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eastAsia="zh-CN"/>
        </w:rPr>
        <w:t>氟化物、二氧化硫、</w:t>
      </w:r>
      <w:r>
        <w:rPr>
          <w:rFonts w:hint="default" w:ascii="Times New Roman" w:hAnsi="Times New Roman" w:eastAsia="宋体" w:cs="Times New Roman"/>
          <w:color w:val="auto"/>
          <w:sz w:val="24"/>
          <w:szCs w:val="24"/>
          <w:u w:val="none" w:color="auto"/>
        </w:rPr>
        <w:t>氮氧化物，环评选取VOCs、颗粒物、</w:t>
      </w:r>
      <w:r>
        <w:rPr>
          <w:rFonts w:hint="eastAsia" w:ascii="Times New Roman" w:hAnsi="Times New Roman" w:eastAsia="宋体" w:cs="Times New Roman"/>
          <w:color w:val="auto"/>
          <w:sz w:val="24"/>
          <w:szCs w:val="24"/>
          <w:u w:val="none" w:color="auto"/>
          <w:lang w:eastAsia="zh-CN"/>
        </w:rPr>
        <w:t>氯化氢</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eastAsia="zh-CN"/>
        </w:rPr>
        <w:t>氟化物、二氧化硫、</w:t>
      </w:r>
      <w:r>
        <w:rPr>
          <w:rFonts w:hint="default" w:ascii="Times New Roman" w:hAnsi="Times New Roman" w:eastAsia="宋体" w:cs="Times New Roman"/>
          <w:color w:val="auto"/>
          <w:sz w:val="24"/>
          <w:szCs w:val="24"/>
          <w:u w:val="none" w:color="auto"/>
        </w:rPr>
        <w:t>氮氧化物作为预测因子。</w:t>
      </w:r>
    </w:p>
    <w:p>
      <w:pPr>
        <w:pageBreakBefore w:val="0"/>
        <w:kinsoku/>
        <w:wordWrap/>
        <w:overflowPunct w:val="0"/>
        <w:topLinePunct/>
        <w:autoSpaceDE w:val="0"/>
        <w:autoSpaceDN w:val="0"/>
        <w:bidi w:val="0"/>
        <w:spacing w:line="360" w:lineRule="auto"/>
        <w:ind w:firstLine="468"/>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3"/>
          <w:sz w:val="24"/>
          <w:szCs w:val="24"/>
          <w:u w:val="none" w:color="auto"/>
        </w:rPr>
        <w:t>（1）估算</w:t>
      </w:r>
      <w:r>
        <w:rPr>
          <w:rFonts w:hint="default" w:ascii="Times New Roman" w:hAnsi="Times New Roman" w:eastAsia="宋体" w:cs="Times New Roman"/>
          <w:color w:val="auto"/>
          <w:sz w:val="24"/>
          <w:szCs w:val="24"/>
          <w:u w:val="none" w:color="auto"/>
        </w:rPr>
        <w:t>模型</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①Pmax及D10%的确定</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依据《环境影响评价技术导则大气环境》（HJ2.2-2018）中最大地面浓度占标率Pi定义如下：</w:t>
      </w:r>
    </w:p>
    <w:p>
      <w:pPr>
        <w:pageBreakBefore w:val="0"/>
        <w:kinsoku/>
        <w:wordWrap/>
        <w:overflowPunct w:val="0"/>
        <w:topLinePunct/>
        <w:autoSpaceDE w:val="0"/>
        <w:autoSpaceDN w:val="0"/>
        <w:bidi w:val="0"/>
        <w:spacing w:line="360" w:lineRule="auto"/>
        <w:ind w:firstLine="422" w:firstLineChars="176"/>
        <w:jc w:val="center"/>
        <w:rPr>
          <w:rFonts w:hint="default" w:ascii="Times New Roman" w:hAnsi="Times New Roman" w:eastAsia="宋体" w:cs="Times New Roman"/>
          <w:color w:val="auto"/>
          <w:sz w:val="24"/>
          <w:szCs w:val="24"/>
          <w:u w:val="none" w:color="auto"/>
        </w:rPr>
      </w:pPr>
      <m:oMathPara>
        <m:oMath>
          <m:sSub>
            <m:sSubPr>
              <m:ctrlPr>
                <w:rPr>
                  <w:rFonts w:hint="default" w:ascii="Cambria Math" w:hAnsi="Cambria Math" w:eastAsia="宋体" w:cs="Times New Roman"/>
                  <w:color w:val="auto"/>
                  <w:sz w:val="24"/>
                  <w:szCs w:val="24"/>
                  <w:u w:val="none" w:color="auto"/>
                </w:rPr>
              </m:ctrlPr>
            </m:sSubPr>
            <m:e>
              <m:r>
                <m:rPr/>
                <w:rPr>
                  <w:rFonts w:hint="default" w:ascii="Cambria Math" w:hAnsi="Cambria Math" w:eastAsia="宋体" w:cs="Times New Roman"/>
                  <w:color w:val="auto"/>
                  <w:sz w:val="24"/>
                  <w:szCs w:val="24"/>
                  <w:u w:val="none" w:color="auto"/>
                </w:rPr>
                <m:t>P</m:t>
              </m:r>
              <m:ctrlPr>
                <w:rPr>
                  <w:rFonts w:hint="default" w:ascii="Cambria Math" w:hAnsi="Cambria Math" w:eastAsia="宋体" w:cs="Times New Roman"/>
                  <w:color w:val="auto"/>
                  <w:sz w:val="24"/>
                  <w:szCs w:val="24"/>
                  <w:u w:val="none" w:color="auto"/>
                </w:rPr>
              </m:ctrlPr>
            </m:e>
            <m:sub>
              <m:r>
                <m:rPr/>
                <w:rPr>
                  <w:rFonts w:hint="default" w:ascii="Cambria Math" w:hAnsi="Cambria Math" w:eastAsia="宋体" w:cs="Times New Roman"/>
                  <w:color w:val="auto"/>
                  <w:sz w:val="24"/>
                  <w:szCs w:val="24"/>
                  <w:u w:val="none" w:color="auto"/>
                </w:rPr>
                <m:t>i</m:t>
              </m:r>
              <m:ctrlPr>
                <w:rPr>
                  <w:rFonts w:hint="default" w:ascii="Cambria Math" w:hAnsi="Cambria Math" w:eastAsia="宋体" w:cs="Times New Roman"/>
                  <w:color w:val="auto"/>
                  <w:sz w:val="24"/>
                  <w:szCs w:val="24"/>
                  <w:u w:val="none" w:color="auto"/>
                </w:rPr>
              </m:ctrlPr>
            </m:sub>
          </m:sSub>
          <m:r>
            <m:rPr>
              <m:sty m:val="p"/>
            </m:rPr>
            <w:rPr>
              <w:rFonts w:hint="default" w:ascii="Cambria Math" w:hAnsi="Cambria Math" w:eastAsia="宋体" w:cs="Times New Roman"/>
              <w:color w:val="auto"/>
              <w:sz w:val="24"/>
              <w:szCs w:val="24"/>
              <w:u w:val="none" w:color="auto"/>
            </w:rPr>
            <m:t>=</m:t>
          </m:r>
          <m:f>
            <m:fPr>
              <m:ctrlPr>
                <w:rPr>
                  <w:rFonts w:hint="default" w:ascii="Cambria Math" w:hAnsi="Cambria Math" w:eastAsia="宋体" w:cs="Times New Roman"/>
                  <w:color w:val="auto"/>
                  <w:sz w:val="24"/>
                  <w:szCs w:val="24"/>
                  <w:u w:val="none" w:color="auto"/>
                </w:rPr>
              </m:ctrlPr>
            </m:fPr>
            <m:num>
              <m:sSub>
                <m:sSubPr>
                  <m:ctrlPr>
                    <w:rPr>
                      <w:rFonts w:hint="default" w:ascii="Cambria Math" w:hAnsi="Cambria Math" w:eastAsia="宋体" w:cs="Times New Roman"/>
                      <w:i/>
                      <w:color w:val="auto"/>
                      <w:sz w:val="24"/>
                      <w:szCs w:val="24"/>
                      <w:u w:val="none" w:color="auto"/>
                    </w:rPr>
                  </m:ctrlPr>
                </m:sSubPr>
                <m:e>
                  <m:r>
                    <m:rPr/>
                    <w:rPr>
                      <w:rFonts w:hint="default" w:ascii="Cambria Math" w:hAnsi="Cambria Math" w:eastAsia="宋体" w:cs="Times New Roman"/>
                      <w:color w:val="auto"/>
                      <w:sz w:val="24"/>
                      <w:szCs w:val="24"/>
                      <w:u w:val="none" w:color="auto"/>
                    </w:rPr>
                    <m:t>C</m:t>
                  </m:r>
                  <m:ctrlPr>
                    <w:rPr>
                      <w:rFonts w:hint="default" w:ascii="Cambria Math" w:hAnsi="Cambria Math" w:eastAsia="宋体" w:cs="Times New Roman"/>
                      <w:i/>
                      <w:color w:val="auto"/>
                      <w:sz w:val="24"/>
                      <w:szCs w:val="24"/>
                      <w:u w:val="none" w:color="auto"/>
                    </w:rPr>
                  </m:ctrlPr>
                </m:e>
                <m:sub>
                  <m:r>
                    <m:rPr/>
                    <w:rPr>
                      <w:rFonts w:hint="default" w:ascii="Cambria Math" w:hAnsi="Cambria Math" w:eastAsia="宋体" w:cs="Times New Roman"/>
                      <w:color w:val="auto"/>
                      <w:sz w:val="24"/>
                      <w:szCs w:val="24"/>
                      <w:u w:val="none" w:color="auto"/>
                    </w:rPr>
                    <m:t>i</m:t>
                  </m:r>
                  <m:ctrlPr>
                    <w:rPr>
                      <w:rFonts w:hint="default" w:ascii="Cambria Math" w:hAnsi="Cambria Math" w:eastAsia="宋体" w:cs="Times New Roman"/>
                      <w:i/>
                      <w:color w:val="auto"/>
                      <w:sz w:val="24"/>
                      <w:szCs w:val="24"/>
                      <w:u w:val="none" w:color="auto"/>
                    </w:rPr>
                  </m:ctrlPr>
                </m:sub>
              </m:sSub>
              <m:ctrlPr>
                <w:rPr>
                  <w:rFonts w:hint="default" w:ascii="Cambria Math" w:hAnsi="Cambria Math" w:eastAsia="宋体" w:cs="Times New Roman"/>
                  <w:color w:val="auto"/>
                  <w:sz w:val="24"/>
                  <w:szCs w:val="24"/>
                  <w:u w:val="none" w:color="auto"/>
                </w:rPr>
              </m:ctrlPr>
            </m:num>
            <m:den>
              <m:sSub>
                <m:sSubPr>
                  <m:ctrlPr>
                    <w:rPr>
                      <w:rFonts w:hint="default" w:ascii="Cambria Math" w:hAnsi="Cambria Math" w:eastAsia="宋体" w:cs="Times New Roman"/>
                      <w:i/>
                      <w:color w:val="auto"/>
                      <w:sz w:val="24"/>
                      <w:szCs w:val="24"/>
                      <w:u w:val="none" w:color="auto"/>
                    </w:rPr>
                  </m:ctrlPr>
                </m:sSubPr>
                <m:e>
                  <m:r>
                    <m:rPr/>
                    <w:rPr>
                      <w:rFonts w:hint="default" w:ascii="Cambria Math" w:hAnsi="Cambria Math" w:eastAsia="宋体" w:cs="Times New Roman"/>
                      <w:color w:val="auto"/>
                      <w:sz w:val="24"/>
                      <w:szCs w:val="24"/>
                      <w:u w:val="none" w:color="auto"/>
                    </w:rPr>
                    <m:t>C</m:t>
                  </m:r>
                  <m:ctrlPr>
                    <w:rPr>
                      <w:rFonts w:hint="default" w:ascii="Cambria Math" w:hAnsi="Cambria Math" w:eastAsia="宋体" w:cs="Times New Roman"/>
                      <w:i/>
                      <w:color w:val="auto"/>
                      <w:sz w:val="24"/>
                      <w:szCs w:val="24"/>
                      <w:u w:val="none" w:color="auto"/>
                    </w:rPr>
                  </m:ctrlPr>
                </m:e>
                <m:sub>
                  <m:r>
                    <m:rPr/>
                    <w:rPr>
                      <w:rFonts w:hint="default" w:ascii="Cambria Math" w:hAnsi="Cambria Math" w:eastAsia="宋体" w:cs="Times New Roman"/>
                      <w:color w:val="auto"/>
                      <w:sz w:val="24"/>
                      <w:szCs w:val="24"/>
                      <w:u w:val="none" w:color="auto"/>
                    </w:rPr>
                    <m:t>0i</m:t>
                  </m:r>
                  <m:ctrlPr>
                    <w:rPr>
                      <w:rFonts w:hint="default" w:ascii="Cambria Math" w:hAnsi="Cambria Math" w:eastAsia="宋体" w:cs="Times New Roman"/>
                      <w:i/>
                      <w:color w:val="auto"/>
                      <w:sz w:val="24"/>
                      <w:szCs w:val="24"/>
                      <w:u w:val="none" w:color="auto"/>
                    </w:rPr>
                  </m:ctrlPr>
                </m:sub>
              </m:sSub>
              <m:ctrlPr>
                <w:rPr>
                  <w:rFonts w:hint="default" w:ascii="Cambria Math" w:hAnsi="Cambria Math" w:eastAsia="宋体" w:cs="Times New Roman"/>
                  <w:color w:val="auto"/>
                  <w:sz w:val="24"/>
                  <w:szCs w:val="24"/>
                  <w:u w:val="none" w:color="auto"/>
                </w:rPr>
              </m:ctrlPr>
            </m:den>
          </m:f>
          <m:r>
            <m:rPr/>
            <w:rPr>
              <w:rFonts w:hint="default" w:ascii="Cambria Math" w:hAnsi="Cambria Math" w:eastAsia="宋体" w:cs="Times New Roman"/>
              <w:color w:val="auto"/>
              <w:sz w:val="24"/>
              <w:szCs w:val="24"/>
              <w:u w:val="none" w:color="auto"/>
            </w:rPr>
            <m:t>×100%</m:t>
          </m:r>
        </m:oMath>
      </m:oMathPara>
    </w:p>
    <w:p>
      <w:pPr>
        <w:pageBreakBefore w:val="0"/>
        <w:kinsoku/>
        <w:wordWrap/>
        <w:overflowPunct w:val="0"/>
        <w:topLinePunct/>
        <w:autoSpaceDE w:val="0"/>
        <w:autoSpaceDN w:val="0"/>
        <w:bidi w:val="0"/>
        <w:spacing w:line="360" w:lineRule="auto"/>
        <w:ind w:firstLine="422" w:firstLineChars="176"/>
        <w:jc w:val="left"/>
        <w:rPr>
          <w:rFonts w:hint="default" w:ascii="Times New Roman" w:hAnsi="Times New Roman" w:eastAsia="宋体" w:cs="Times New Roman"/>
          <w:color w:val="auto"/>
          <w:sz w:val="24"/>
          <w:szCs w:val="24"/>
          <w:u w:val="none" w:color="auto"/>
        </w:rPr>
      </w:pPr>
      <m:oMath>
        <m:sSub>
          <m:sSubPr>
            <m:ctrlPr>
              <w:rPr>
                <w:rFonts w:hint="default" w:ascii="Cambria Math" w:hAnsi="Cambria Math" w:eastAsia="宋体" w:cs="Times New Roman"/>
                <w:color w:val="auto"/>
                <w:sz w:val="24"/>
                <w:szCs w:val="24"/>
                <w:u w:val="none" w:color="auto"/>
              </w:rPr>
            </m:ctrlPr>
          </m:sSubPr>
          <m:e>
            <m:r>
              <m:rPr/>
              <w:rPr>
                <w:rFonts w:hint="default" w:ascii="Cambria Math" w:hAnsi="Cambria Math" w:eastAsia="宋体" w:cs="Times New Roman"/>
                <w:color w:val="auto"/>
                <w:sz w:val="24"/>
                <w:szCs w:val="24"/>
                <w:u w:val="none" w:color="auto"/>
              </w:rPr>
              <m:t>P</m:t>
            </m:r>
            <m:ctrlPr>
              <w:rPr>
                <w:rFonts w:hint="default" w:ascii="Cambria Math" w:hAnsi="Cambria Math" w:eastAsia="宋体" w:cs="Times New Roman"/>
                <w:color w:val="auto"/>
                <w:sz w:val="24"/>
                <w:szCs w:val="24"/>
                <w:u w:val="none" w:color="auto"/>
              </w:rPr>
            </m:ctrlPr>
          </m:e>
          <m:sub>
            <m:r>
              <m:rPr/>
              <w:rPr>
                <w:rFonts w:hint="default" w:ascii="Cambria Math" w:hAnsi="Cambria Math" w:eastAsia="宋体" w:cs="Times New Roman"/>
                <w:color w:val="auto"/>
                <w:sz w:val="24"/>
                <w:szCs w:val="24"/>
                <w:u w:val="none" w:color="auto"/>
              </w:rPr>
              <m:t>i</m:t>
            </m:r>
            <m:ctrlPr>
              <w:rPr>
                <w:rFonts w:hint="default" w:ascii="Cambria Math" w:hAnsi="Cambria Math" w:eastAsia="宋体" w:cs="Times New Roman"/>
                <w:color w:val="auto"/>
                <w:sz w:val="24"/>
                <w:szCs w:val="24"/>
                <w:u w:val="none" w:color="auto"/>
              </w:rPr>
            </m:ctrlPr>
          </m:sub>
        </m:sSub>
      </m:oMath>
      <w:r>
        <w:rPr>
          <w:rFonts w:hint="default" w:ascii="Times New Roman" w:hAnsi="Times New Roman" w:eastAsia="宋体" w:cs="Times New Roman"/>
          <w:color w:val="auto"/>
          <w:sz w:val="24"/>
          <w:szCs w:val="24"/>
          <w:u w:val="none" w:color="auto"/>
        </w:rPr>
        <w:t>——第i个污染物的最大地面空气质量浓度占标率，%；</w:t>
      </w:r>
    </w:p>
    <w:p>
      <w:pPr>
        <w:pageBreakBefore w:val="0"/>
        <w:kinsoku/>
        <w:wordWrap/>
        <w:overflowPunct w:val="0"/>
        <w:topLinePunct/>
        <w:autoSpaceDE w:val="0"/>
        <w:autoSpaceDN w:val="0"/>
        <w:bidi w:val="0"/>
        <w:spacing w:line="480" w:lineRule="exact"/>
        <w:ind w:firstLine="422" w:firstLineChars="176"/>
        <w:jc w:val="left"/>
        <w:rPr>
          <w:rFonts w:hint="default" w:ascii="Times New Roman" w:hAnsi="Times New Roman" w:eastAsia="宋体" w:cs="Times New Roman"/>
          <w:color w:val="auto"/>
          <w:sz w:val="24"/>
          <w:szCs w:val="24"/>
          <w:u w:val="none" w:color="auto"/>
        </w:rPr>
      </w:pPr>
      <m:oMath>
        <m:sSub>
          <m:sSubPr>
            <m:ctrlPr>
              <w:rPr>
                <w:rFonts w:hint="default" w:ascii="Cambria Math" w:hAnsi="Cambria Math" w:eastAsia="宋体" w:cs="Times New Roman"/>
                <w:i/>
                <w:color w:val="auto"/>
                <w:sz w:val="24"/>
                <w:szCs w:val="24"/>
                <w:u w:val="none" w:color="auto"/>
              </w:rPr>
            </m:ctrlPr>
          </m:sSubPr>
          <m:e>
            <m:r>
              <m:rPr/>
              <w:rPr>
                <w:rFonts w:hint="default" w:ascii="Cambria Math" w:hAnsi="Cambria Math" w:eastAsia="宋体" w:cs="Times New Roman"/>
                <w:color w:val="auto"/>
                <w:sz w:val="24"/>
                <w:szCs w:val="24"/>
                <w:u w:val="none" w:color="auto"/>
              </w:rPr>
              <m:t>C</m:t>
            </m:r>
            <m:ctrlPr>
              <w:rPr>
                <w:rFonts w:hint="default" w:ascii="Cambria Math" w:hAnsi="Cambria Math" w:eastAsia="宋体" w:cs="Times New Roman"/>
                <w:i/>
                <w:color w:val="auto"/>
                <w:sz w:val="24"/>
                <w:szCs w:val="24"/>
                <w:u w:val="none" w:color="auto"/>
              </w:rPr>
            </m:ctrlPr>
          </m:e>
          <m:sub>
            <m:r>
              <m:rPr/>
              <w:rPr>
                <w:rFonts w:hint="default" w:ascii="Cambria Math" w:hAnsi="Cambria Math" w:eastAsia="宋体" w:cs="Times New Roman"/>
                <w:color w:val="auto"/>
                <w:sz w:val="24"/>
                <w:szCs w:val="24"/>
                <w:u w:val="none" w:color="auto"/>
              </w:rPr>
              <m:t>i</m:t>
            </m:r>
            <m:ctrlPr>
              <w:rPr>
                <w:rFonts w:hint="default" w:ascii="Cambria Math" w:hAnsi="Cambria Math" w:eastAsia="宋体" w:cs="Times New Roman"/>
                <w:i/>
                <w:color w:val="auto"/>
                <w:sz w:val="24"/>
                <w:szCs w:val="24"/>
                <w:u w:val="none" w:color="auto"/>
              </w:rPr>
            </m:ctrlPr>
          </m:sub>
        </m:sSub>
      </m:oMath>
      <w:r>
        <w:rPr>
          <w:rFonts w:hint="default" w:ascii="Times New Roman" w:hAnsi="Times New Roman" w:eastAsia="宋体" w:cs="Times New Roman"/>
          <w:color w:val="auto"/>
          <w:sz w:val="24"/>
          <w:szCs w:val="24"/>
          <w:u w:val="none" w:color="auto"/>
        </w:rPr>
        <w:t>——采用估算模型计算出的第i个污染物的最大1h地面空气质量浓度，μg/m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w:t>
      </w:r>
    </w:p>
    <w:p>
      <w:pPr>
        <w:pageBreakBefore w:val="0"/>
        <w:kinsoku/>
        <w:wordWrap/>
        <w:overflowPunct w:val="0"/>
        <w:topLinePunct/>
        <w:autoSpaceDE w:val="0"/>
        <w:autoSpaceDN w:val="0"/>
        <w:bidi w:val="0"/>
        <w:spacing w:line="480" w:lineRule="exact"/>
        <w:ind w:firstLine="422" w:firstLineChars="176"/>
        <w:jc w:val="left"/>
        <w:rPr>
          <w:rFonts w:hint="default" w:ascii="Times New Roman" w:hAnsi="Times New Roman" w:eastAsia="宋体" w:cs="Times New Roman"/>
          <w:color w:val="auto"/>
          <w:sz w:val="24"/>
          <w:szCs w:val="24"/>
          <w:u w:val="none" w:color="auto"/>
        </w:rPr>
      </w:pPr>
      <m:oMath>
        <m:sSub>
          <m:sSubPr>
            <m:ctrlPr>
              <w:rPr>
                <w:rFonts w:hint="default" w:ascii="Cambria Math" w:hAnsi="Cambria Math" w:eastAsia="宋体" w:cs="Times New Roman"/>
                <w:i/>
                <w:color w:val="auto"/>
                <w:sz w:val="24"/>
                <w:szCs w:val="24"/>
                <w:u w:val="none" w:color="auto"/>
              </w:rPr>
            </m:ctrlPr>
          </m:sSubPr>
          <m:e>
            <m:r>
              <m:rPr/>
              <w:rPr>
                <w:rFonts w:hint="default" w:ascii="Cambria Math" w:hAnsi="Cambria Math" w:eastAsia="宋体" w:cs="Times New Roman"/>
                <w:color w:val="auto"/>
                <w:sz w:val="24"/>
                <w:szCs w:val="24"/>
                <w:u w:val="none" w:color="auto"/>
              </w:rPr>
              <m:t>C</m:t>
            </m:r>
            <m:ctrlPr>
              <w:rPr>
                <w:rFonts w:hint="default" w:ascii="Cambria Math" w:hAnsi="Cambria Math" w:eastAsia="宋体" w:cs="Times New Roman"/>
                <w:i/>
                <w:color w:val="auto"/>
                <w:sz w:val="24"/>
                <w:szCs w:val="24"/>
                <w:u w:val="none" w:color="auto"/>
              </w:rPr>
            </m:ctrlPr>
          </m:e>
          <m:sub>
            <m:r>
              <m:rPr/>
              <w:rPr>
                <w:rFonts w:hint="default" w:ascii="Cambria Math" w:hAnsi="Cambria Math" w:eastAsia="宋体" w:cs="Times New Roman"/>
                <w:color w:val="auto"/>
                <w:sz w:val="24"/>
                <w:szCs w:val="24"/>
                <w:u w:val="none" w:color="auto"/>
              </w:rPr>
              <m:t>0i</m:t>
            </m:r>
            <m:ctrlPr>
              <w:rPr>
                <w:rFonts w:hint="default" w:ascii="Cambria Math" w:hAnsi="Cambria Math" w:eastAsia="宋体" w:cs="Times New Roman"/>
                <w:i/>
                <w:color w:val="auto"/>
                <w:sz w:val="24"/>
                <w:szCs w:val="24"/>
                <w:u w:val="none" w:color="auto"/>
              </w:rPr>
            </m:ctrlPr>
          </m:sub>
        </m:sSub>
      </m:oMath>
      <w:r>
        <w:rPr>
          <w:rFonts w:hint="default" w:ascii="Times New Roman" w:hAnsi="Times New Roman" w:eastAsia="宋体" w:cs="Times New Roman"/>
          <w:color w:val="auto"/>
          <w:sz w:val="24"/>
          <w:szCs w:val="24"/>
          <w:u w:val="none" w:color="auto"/>
        </w:rPr>
        <w:t>——第i个污染物的环境空气质量浓度标准，μg/m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w:t>
      </w:r>
    </w:p>
    <w:p>
      <w:pPr>
        <w:pageBreakBefore w:val="0"/>
        <w:kinsoku/>
        <w:wordWrap/>
        <w:overflowPunct w:val="0"/>
        <w:topLinePunct/>
        <w:autoSpaceDE w:val="0"/>
        <w:autoSpaceDN w:val="0"/>
        <w:bidi w:val="0"/>
        <w:spacing w:line="480" w:lineRule="exact"/>
        <w:ind w:firstLine="422" w:firstLineChars="176"/>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②评价等级判别表</w:t>
      </w:r>
    </w:p>
    <w:p>
      <w:pPr>
        <w:pageBreakBefore w:val="0"/>
        <w:kinsoku/>
        <w:wordWrap/>
        <w:overflowPunct w:val="0"/>
        <w:topLinePunct/>
        <w:autoSpaceDE w:val="0"/>
        <w:autoSpaceDN w:val="0"/>
        <w:bidi w:val="0"/>
        <w:spacing w:line="480" w:lineRule="exact"/>
        <w:ind w:firstLine="422" w:firstLineChars="176"/>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评价等级按下表的分级判据进行划分</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.2-5</w:t>
      </w:r>
      <w:r>
        <w:rPr>
          <w:rFonts w:hint="default" w:ascii="Times New Roman" w:hAnsi="Times New Roman" w:eastAsia="宋体" w:cs="Times New Roman"/>
          <w:color w:val="auto"/>
          <w:sz w:val="24"/>
          <w:szCs w:val="24"/>
          <w:u w:val="none" w:color="auto"/>
          <w:lang w:val="zh-CN"/>
        </w:rPr>
        <w:t>评价等级判别表</w:t>
      </w:r>
    </w:p>
    <w:tbl>
      <w:tblPr>
        <w:tblStyle w:val="4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评价工作等级</w:t>
            </w:r>
          </w:p>
        </w:tc>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一级评价</w:t>
            </w:r>
          </w:p>
        </w:tc>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P</w:t>
            </w:r>
            <w:r>
              <w:rPr>
                <w:rFonts w:hint="default" w:ascii="Times New Roman" w:hAnsi="Times New Roman" w:eastAsia="宋体" w:cs="Times New Roman"/>
                <w:color w:val="auto"/>
                <w:kern w:val="2"/>
                <w:szCs w:val="24"/>
                <w:u w:val="none" w:color="auto"/>
                <w:vertAlign w:val="subscript"/>
              </w:rPr>
              <w:t>max</w:t>
            </w:r>
            <w:r>
              <w:rPr>
                <w:rFonts w:hint="default" w:ascii="Times New Roman" w:hAnsi="Times New Roman" w:eastAsia="宋体" w:cs="Times New Roman"/>
                <w:color w:val="auto"/>
                <w:kern w:val="2"/>
                <w:szCs w:val="24"/>
                <w:u w:val="non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二级评价</w:t>
            </w:r>
          </w:p>
        </w:tc>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1%≦P</w:t>
            </w:r>
            <w:r>
              <w:rPr>
                <w:rFonts w:hint="default" w:ascii="Times New Roman" w:hAnsi="Times New Roman" w:eastAsia="宋体" w:cs="Times New Roman"/>
                <w:color w:val="auto"/>
                <w:kern w:val="2"/>
                <w:szCs w:val="24"/>
                <w:u w:val="none" w:color="auto"/>
                <w:vertAlign w:val="subscript"/>
              </w:rPr>
              <w:t>max</w:t>
            </w:r>
            <w:r>
              <w:rPr>
                <w:rFonts w:hint="default" w:ascii="Times New Roman" w:hAnsi="Times New Roman" w:eastAsia="宋体" w:cs="Times New Roman"/>
                <w:color w:val="auto"/>
                <w:kern w:val="2"/>
                <w:szCs w:val="24"/>
                <w:u w:val="none" w:color="auto"/>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三级评价</w:t>
            </w:r>
          </w:p>
        </w:tc>
        <w:tc>
          <w:tcPr>
            <w:tcW w:w="4677"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P</w:t>
            </w:r>
            <w:r>
              <w:rPr>
                <w:rFonts w:hint="default" w:ascii="Times New Roman" w:hAnsi="Times New Roman" w:eastAsia="宋体" w:cs="Times New Roman"/>
                <w:color w:val="auto"/>
                <w:kern w:val="2"/>
                <w:szCs w:val="24"/>
                <w:u w:val="none" w:color="auto"/>
                <w:vertAlign w:val="subscript"/>
              </w:rPr>
              <w:t>max</w:t>
            </w:r>
            <w:r>
              <w:rPr>
                <w:rFonts w:hint="default" w:ascii="Times New Roman" w:hAnsi="Times New Roman" w:eastAsia="宋体" w:cs="Times New Roman"/>
                <w:color w:val="auto"/>
                <w:kern w:val="2"/>
                <w:szCs w:val="24"/>
                <w:u w:val="none" w:color="auto"/>
              </w:rPr>
              <w:t>&lt;1%</w:t>
            </w:r>
          </w:p>
        </w:tc>
      </w:tr>
    </w:tbl>
    <w:p>
      <w:pPr>
        <w:pageBreakBefore w:val="0"/>
        <w:kinsoku/>
        <w:wordWrap/>
        <w:overflowPunct w:val="0"/>
        <w:topLinePunct/>
        <w:autoSpaceDE w:val="0"/>
        <w:autoSpaceDN w:val="0"/>
        <w:bidi w:val="0"/>
        <w:spacing w:line="480" w:lineRule="exact"/>
        <w:ind w:firstLine="422" w:firstLineChars="176"/>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③污染物评价标准</w:t>
      </w:r>
    </w:p>
    <w:p>
      <w:pPr>
        <w:pageBreakBefore w:val="0"/>
        <w:kinsoku/>
        <w:wordWrap/>
        <w:overflowPunct w:val="0"/>
        <w:topLinePunct/>
        <w:autoSpaceDE w:val="0"/>
        <w:autoSpaceDN w:val="0"/>
        <w:bidi w:val="0"/>
        <w:spacing w:line="480" w:lineRule="exact"/>
        <w:ind w:firstLine="422" w:firstLineChars="176"/>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污染物评价标准和来源见下表。</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.2-6</w:t>
      </w:r>
      <w:r>
        <w:rPr>
          <w:rFonts w:hint="default" w:ascii="Times New Roman" w:hAnsi="Times New Roman" w:eastAsia="宋体" w:cs="Times New Roman"/>
          <w:color w:val="auto"/>
          <w:sz w:val="24"/>
          <w:szCs w:val="24"/>
          <w:u w:val="none" w:color="auto"/>
          <w:lang w:val="zh-CN"/>
        </w:rPr>
        <w:t>污染物评价标准</w:t>
      </w:r>
    </w:p>
    <w:tbl>
      <w:tblPr>
        <w:tblStyle w:val="4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810"/>
        <w:gridCol w:w="1743"/>
        <w:gridCol w:w="2050"/>
        <w:gridCol w:w="2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污染物名称</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功能区</w:t>
            </w:r>
          </w:p>
        </w:tc>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取值时间</w:t>
            </w:r>
          </w:p>
        </w:tc>
        <w:tc>
          <w:tcPr>
            <w:tcW w:w="205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bookmarkStart w:id="227" w:name="OLE_LINK4"/>
            <w:bookmarkStart w:id="228" w:name="OLE_LINK5"/>
            <w:r>
              <w:rPr>
                <w:rFonts w:hint="default" w:ascii="Times New Roman" w:hAnsi="Times New Roman" w:eastAsia="宋体" w:cs="Times New Roman"/>
                <w:color w:val="auto"/>
                <w:kern w:val="2"/>
                <w:szCs w:val="24"/>
                <w:u w:val="none" w:color="auto"/>
              </w:rPr>
              <w:t>标准值</w:t>
            </w:r>
            <w:bookmarkEnd w:id="227"/>
            <w:bookmarkEnd w:id="228"/>
            <w:bookmarkStart w:id="229" w:name="OLE_LINK15"/>
            <w:r>
              <w:rPr>
                <w:rFonts w:hint="default" w:ascii="Times New Roman" w:hAnsi="Times New Roman" w:eastAsia="宋体" w:cs="Times New Roman"/>
                <w:color w:val="auto"/>
                <w:kern w:val="2"/>
                <w:szCs w:val="24"/>
                <w:u w:val="none" w:color="auto"/>
              </w:rPr>
              <w:t>（μg/</w:t>
            </w:r>
            <w:bookmarkEnd w:id="229"/>
            <w:r>
              <w:rPr>
                <w:rFonts w:hint="default" w:ascii="Times New Roman" w:hAnsi="Times New Roman" w:eastAsia="宋体" w:cs="Times New Roman"/>
                <w:color w:val="auto"/>
                <w:kern w:val="2"/>
                <w:szCs w:val="24"/>
                <w:u w:val="none" w:color="auto"/>
              </w:rPr>
              <w:t>m</w:t>
            </w:r>
            <w:r>
              <w:rPr>
                <w:rFonts w:hint="default" w:ascii="Times New Roman" w:hAnsi="Times New Roman" w:eastAsia="宋体" w:cs="Times New Roman"/>
                <w:color w:val="auto"/>
                <w:kern w:val="2"/>
                <w:szCs w:val="24"/>
                <w:u w:val="none" w:color="auto"/>
                <w:vertAlign w:val="superscript"/>
              </w:rPr>
              <w:t>3</w:t>
            </w:r>
            <w:r>
              <w:rPr>
                <w:rFonts w:hint="default" w:ascii="Times New Roman" w:hAnsi="Times New Roman" w:eastAsia="宋体" w:cs="Times New Roman"/>
                <w:color w:val="auto"/>
                <w:kern w:val="2"/>
                <w:szCs w:val="24"/>
                <w:u w:val="none" w:color="auto"/>
              </w:rPr>
              <w:t>）</w:t>
            </w:r>
          </w:p>
        </w:tc>
        <w:tc>
          <w:tcPr>
            <w:tcW w:w="2008"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TSP</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二类限区</w:t>
            </w:r>
          </w:p>
        </w:tc>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u w:val="none" w:color="auto"/>
              </w:rPr>
              <w:t>24小时平均</w:t>
            </w:r>
          </w:p>
        </w:tc>
        <w:tc>
          <w:tcPr>
            <w:tcW w:w="205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300</w:t>
            </w:r>
          </w:p>
        </w:tc>
        <w:tc>
          <w:tcPr>
            <w:tcW w:w="2008" w:type="dxa"/>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GB3095-2012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Cs w:val="24"/>
                <w:u w:val="none" w:color="auto"/>
                <w:lang w:eastAsia="zh-CN"/>
              </w:rPr>
            </w:pPr>
            <w:r>
              <w:rPr>
                <w:rFonts w:hint="eastAsia" w:ascii="Times New Roman" w:hAnsi="Times New Roman" w:eastAsia="宋体" w:cs="Times New Roman"/>
                <w:color w:val="auto"/>
                <w:kern w:val="2"/>
                <w:szCs w:val="24"/>
                <w:u w:val="none" w:color="auto"/>
                <w:lang w:eastAsia="zh-CN"/>
              </w:rPr>
              <w:t>氮氧化物</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二类限区</w:t>
            </w:r>
          </w:p>
        </w:tc>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u w:val="none" w:color="auto"/>
              </w:rPr>
              <w:t>24小时平均</w:t>
            </w:r>
          </w:p>
        </w:tc>
        <w:tc>
          <w:tcPr>
            <w:tcW w:w="205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lang w:val="en-US" w:eastAsia="zh-CN"/>
              </w:rPr>
            </w:pPr>
            <w:r>
              <w:rPr>
                <w:rFonts w:hint="eastAsia" w:ascii="Times New Roman" w:hAnsi="Times New Roman" w:eastAsia="宋体" w:cs="Times New Roman"/>
                <w:color w:val="auto"/>
                <w:kern w:val="2"/>
                <w:szCs w:val="24"/>
                <w:u w:val="none" w:color="auto"/>
                <w:lang w:val="en-US" w:eastAsia="zh-CN"/>
              </w:rPr>
              <w:t>100</w:t>
            </w:r>
          </w:p>
        </w:tc>
        <w:tc>
          <w:tcPr>
            <w:tcW w:w="2008" w:type="dxa"/>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Cs w:val="24"/>
                <w:u w:val="none" w:color="auto"/>
                <w:lang w:eastAsia="zh-CN"/>
              </w:rPr>
            </w:pPr>
            <w:r>
              <w:rPr>
                <w:rFonts w:hint="eastAsia" w:ascii="Times New Roman" w:hAnsi="Times New Roman" w:eastAsia="宋体" w:cs="Times New Roman"/>
                <w:color w:val="auto"/>
                <w:kern w:val="2"/>
                <w:szCs w:val="24"/>
                <w:u w:val="none" w:color="auto"/>
                <w:lang w:eastAsia="zh-CN"/>
              </w:rPr>
              <w:t>二氧化硫</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二类限区</w:t>
            </w:r>
          </w:p>
        </w:tc>
        <w:tc>
          <w:tcPr>
            <w:tcW w:w="1743" w:type="dxa"/>
            <w:vAlign w:val="center"/>
          </w:tcPr>
          <w:p>
            <w:pPr>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u w:val="none" w:color="auto"/>
              </w:rPr>
              <w:t>24小时平均</w:t>
            </w:r>
          </w:p>
        </w:tc>
        <w:tc>
          <w:tcPr>
            <w:tcW w:w="205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lang w:val="en-US" w:eastAsia="zh-CN"/>
              </w:rPr>
            </w:pPr>
            <w:r>
              <w:rPr>
                <w:rFonts w:hint="eastAsia" w:ascii="Times New Roman" w:hAnsi="Times New Roman" w:eastAsia="宋体" w:cs="Times New Roman"/>
                <w:color w:val="auto"/>
                <w:kern w:val="2"/>
                <w:szCs w:val="24"/>
                <w:u w:val="none" w:color="auto"/>
                <w:lang w:val="en-US" w:eastAsia="zh-CN"/>
              </w:rPr>
              <w:t>150</w:t>
            </w:r>
          </w:p>
        </w:tc>
        <w:tc>
          <w:tcPr>
            <w:tcW w:w="2008" w:type="dxa"/>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Cs w:val="24"/>
                <w:u w:val="none" w:color="auto"/>
                <w:lang w:eastAsia="zh-CN"/>
              </w:rPr>
            </w:pPr>
            <w:r>
              <w:rPr>
                <w:rFonts w:hint="eastAsia" w:ascii="Times New Roman" w:hAnsi="Times New Roman" w:eastAsia="宋体" w:cs="Times New Roman"/>
                <w:color w:val="auto"/>
                <w:kern w:val="2"/>
                <w:szCs w:val="24"/>
                <w:u w:val="none" w:color="auto"/>
                <w:lang w:eastAsia="zh-CN"/>
              </w:rPr>
              <w:t>氟化物</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二类限区</w:t>
            </w:r>
          </w:p>
        </w:tc>
        <w:tc>
          <w:tcPr>
            <w:tcW w:w="1743" w:type="dxa"/>
            <w:vAlign w:val="center"/>
          </w:tcPr>
          <w:p>
            <w:pPr>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u w:val="none" w:color="auto"/>
              </w:rPr>
              <w:t>24小时平均</w:t>
            </w:r>
          </w:p>
        </w:tc>
        <w:tc>
          <w:tcPr>
            <w:tcW w:w="2050" w:type="dxa"/>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Cs w:val="24"/>
                <w:u w:val="none" w:color="auto"/>
                <w:lang w:val="en-US" w:eastAsia="zh-CN"/>
              </w:rPr>
            </w:pPr>
            <w:r>
              <w:rPr>
                <w:rFonts w:hint="eastAsia" w:ascii="Times New Roman" w:hAnsi="Times New Roman" w:eastAsia="宋体" w:cs="Times New Roman"/>
                <w:color w:val="auto"/>
                <w:kern w:val="2"/>
                <w:szCs w:val="24"/>
                <w:u w:val="none" w:color="auto"/>
                <w:lang w:val="en-US" w:eastAsia="zh-CN"/>
              </w:rPr>
              <w:t>7</w:t>
            </w:r>
          </w:p>
        </w:tc>
        <w:tc>
          <w:tcPr>
            <w:tcW w:w="2008" w:type="dxa"/>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TVOC</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二类限区</w:t>
            </w:r>
          </w:p>
        </w:tc>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eastAsia" w:ascii="Times New Roman" w:hAnsi="Times New Roman" w:eastAsia="宋体" w:cs="Times New Roman"/>
                <w:color w:val="auto"/>
                <w:kern w:val="2"/>
                <w:szCs w:val="24"/>
                <w:u w:val="none" w:color="auto"/>
                <w:lang w:val="en-US" w:eastAsia="zh-CN"/>
              </w:rPr>
              <w:t>8</w:t>
            </w:r>
            <w:r>
              <w:rPr>
                <w:rFonts w:hint="default" w:ascii="Times New Roman" w:hAnsi="Times New Roman" w:eastAsia="宋体" w:cs="Times New Roman"/>
                <w:color w:val="auto"/>
                <w:kern w:val="2"/>
                <w:szCs w:val="24"/>
                <w:u w:val="none" w:color="auto"/>
              </w:rPr>
              <w:t>h平均</w:t>
            </w:r>
          </w:p>
        </w:tc>
        <w:tc>
          <w:tcPr>
            <w:tcW w:w="205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lang w:val="en-US" w:eastAsia="zh-CN"/>
              </w:rPr>
            </w:pPr>
            <w:r>
              <w:rPr>
                <w:rFonts w:hint="eastAsia" w:ascii="Times New Roman" w:hAnsi="Times New Roman" w:eastAsia="宋体" w:cs="Times New Roman"/>
                <w:color w:val="auto"/>
                <w:kern w:val="2"/>
                <w:szCs w:val="24"/>
                <w:u w:val="none" w:color="auto"/>
                <w:lang w:val="en-US" w:eastAsia="zh-CN"/>
              </w:rPr>
              <w:t>600</w:t>
            </w:r>
          </w:p>
        </w:tc>
        <w:tc>
          <w:tcPr>
            <w:tcW w:w="2008" w:type="dxa"/>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《环境影响评价技术导则-大气环境》HJ2.2-2018附录D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Cs w:val="24"/>
                <w:u w:val="none" w:color="auto"/>
                <w:lang w:eastAsia="zh-CN"/>
              </w:rPr>
            </w:pPr>
            <w:r>
              <w:rPr>
                <w:rFonts w:hint="eastAsia" w:ascii="Times New Roman" w:hAnsi="Times New Roman" w:eastAsia="宋体" w:cs="Times New Roman"/>
                <w:color w:val="auto"/>
                <w:kern w:val="2"/>
                <w:szCs w:val="24"/>
                <w:u w:val="none" w:color="auto"/>
                <w:lang w:eastAsia="zh-CN"/>
              </w:rPr>
              <w:t>氯化氢</w:t>
            </w:r>
          </w:p>
        </w:tc>
        <w:tc>
          <w:tcPr>
            <w:tcW w:w="181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二类限区</w:t>
            </w:r>
          </w:p>
        </w:tc>
        <w:tc>
          <w:tcPr>
            <w:tcW w:w="1743"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1h平均</w:t>
            </w:r>
          </w:p>
        </w:tc>
        <w:tc>
          <w:tcPr>
            <w:tcW w:w="2050" w:type="dxa"/>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lang w:val="en-US" w:eastAsia="zh-CN"/>
              </w:rPr>
            </w:pPr>
            <w:r>
              <w:rPr>
                <w:rFonts w:hint="eastAsia" w:ascii="Times New Roman" w:hAnsi="Times New Roman" w:eastAsia="宋体" w:cs="Times New Roman"/>
                <w:color w:val="auto"/>
                <w:kern w:val="2"/>
                <w:szCs w:val="24"/>
                <w:u w:val="none" w:color="auto"/>
                <w:lang w:val="en-US" w:eastAsia="zh-CN"/>
              </w:rPr>
              <w:t>50</w:t>
            </w:r>
          </w:p>
        </w:tc>
        <w:tc>
          <w:tcPr>
            <w:tcW w:w="2008" w:type="dxa"/>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Cs w:val="24"/>
                <w:u w:val="none" w:color="auto"/>
              </w:rPr>
            </w:pPr>
          </w:p>
        </w:tc>
      </w:tr>
    </w:tbl>
    <w:p>
      <w:pPr>
        <w:pageBreakBefore w:val="0"/>
        <w:kinsoku/>
        <w:wordWrap/>
        <w:overflowPunct w:val="0"/>
        <w:topLinePunct/>
        <w:autoSpaceDE w:val="0"/>
        <w:autoSpaceDN w:val="0"/>
        <w:bidi w:val="0"/>
        <w:spacing w:line="360" w:lineRule="auto"/>
        <w:ind w:firstLine="422" w:firstLineChars="176"/>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④污染源参数</w:t>
      </w:r>
    </w:p>
    <w:p>
      <w:pPr>
        <w:pageBreakBefore w:val="0"/>
        <w:kinsoku/>
        <w:wordWrap/>
        <w:overflowPunct w:val="0"/>
        <w:topLinePunct/>
        <w:autoSpaceDE w:val="0"/>
        <w:autoSpaceDN w:val="0"/>
        <w:bidi w:val="0"/>
        <w:spacing w:line="360" w:lineRule="auto"/>
        <w:ind w:firstLine="48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大气污染源点源参数调查清单见表</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w:t>
      </w:r>
      <w:r>
        <w:rPr>
          <w:rFonts w:hint="eastAsia" w:ascii="Times New Roman" w:hAnsi="Times New Roman" w:eastAsia="宋体"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rPr>
        <w:t>，面源参数调查清单见表</w:t>
      </w:r>
      <w:r>
        <w:rPr>
          <w:rFonts w:hint="eastAsia" w:ascii="Times New Roman" w:hAnsi="Times New Roman" w:eastAsia="宋体" w:cs="Times New Roman"/>
          <w:color w:val="auto"/>
          <w:sz w:val="24"/>
          <w:szCs w:val="24"/>
          <w:u w:val="none" w:color="auto"/>
          <w:lang w:val="en-US" w:eastAsia="zh-CN"/>
        </w:rPr>
        <w:t>5.2-8</w:t>
      </w:r>
      <w:r>
        <w:rPr>
          <w:rFonts w:hint="default" w:ascii="Times New Roman" w:hAnsi="Times New Roman" w:eastAsia="宋体" w:cs="Times New Roman"/>
          <w:color w:val="auto"/>
          <w:sz w:val="24"/>
          <w:szCs w:val="24"/>
          <w:u w:val="none" w:color="auto"/>
        </w:rPr>
        <w:t>。（本项目废污染物排放速率气以最大小时排放速率计）</w:t>
      </w:r>
    </w:p>
    <w:p>
      <w:pPr>
        <w:pStyle w:val="308"/>
        <w:pageBreakBefore w:val="0"/>
        <w:tabs>
          <w:tab w:val="left" w:pos="0"/>
        </w:tabs>
        <w:kinsoku/>
        <w:wordWrap/>
        <w:overflowPunct w:val="0"/>
        <w:topLinePunct/>
        <w:autoSpaceDE w:val="0"/>
        <w:autoSpaceDN w:val="0"/>
        <w:bidi w:val="0"/>
        <w:spacing w:line="360" w:lineRule="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.2-7大气点源（排气筒）参数调查清单</w:t>
      </w:r>
    </w:p>
    <w:tbl>
      <w:tblPr>
        <w:tblStyle w:val="4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08"/>
        <w:gridCol w:w="675"/>
        <w:gridCol w:w="559"/>
        <w:gridCol w:w="504"/>
        <w:gridCol w:w="867"/>
        <w:gridCol w:w="618"/>
        <w:gridCol w:w="591"/>
        <w:gridCol w:w="636"/>
        <w:gridCol w:w="409"/>
        <w:gridCol w:w="529"/>
        <w:gridCol w:w="529"/>
        <w:gridCol w:w="529"/>
        <w:gridCol w:w="656"/>
        <w:gridCol w:w="425"/>
        <w:gridCol w:w="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44"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点源编号</w:t>
            </w:r>
          </w:p>
        </w:tc>
        <w:tc>
          <w:tcPr>
            <w:tcW w:w="403"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名称</w:t>
            </w:r>
          </w:p>
        </w:tc>
        <w:tc>
          <w:tcPr>
            <w:tcW w:w="635" w:type="pct"/>
            <w:gridSpan w:val="2"/>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排气筒底部中心坐标/m</w:t>
            </w:r>
          </w:p>
        </w:tc>
        <w:tc>
          <w:tcPr>
            <w:tcW w:w="518"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排气筒底部海拔高度/m</w:t>
            </w:r>
          </w:p>
        </w:tc>
        <w:tc>
          <w:tcPr>
            <w:tcW w:w="369"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排气筒高度/m</w:t>
            </w:r>
          </w:p>
        </w:tc>
        <w:tc>
          <w:tcPr>
            <w:tcW w:w="353"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排气筒内径/m</w:t>
            </w:r>
          </w:p>
        </w:tc>
        <w:tc>
          <w:tcPr>
            <w:tcW w:w="380"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烟气温度/℃</w:t>
            </w:r>
          </w:p>
        </w:tc>
        <w:tc>
          <w:tcPr>
            <w:tcW w:w="244"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排放工况</w:t>
            </w:r>
          </w:p>
        </w:tc>
        <w:tc>
          <w:tcPr>
            <w:tcW w:w="1850" w:type="pct"/>
            <w:gridSpan w:val="6"/>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44"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403"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3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X</w:t>
            </w:r>
          </w:p>
        </w:tc>
        <w:tc>
          <w:tcPr>
            <w:tcW w:w="30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Y</w:t>
            </w:r>
          </w:p>
        </w:tc>
        <w:tc>
          <w:tcPr>
            <w:tcW w:w="518"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69"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53"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80"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244"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TSP</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氯化氢</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氟化物</w:t>
            </w:r>
          </w:p>
        </w:tc>
        <w:tc>
          <w:tcPr>
            <w:tcW w:w="3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sz w:val="21"/>
                <w:szCs w:val="21"/>
                <w:u w:val="none" w:color="auto"/>
              </w:rPr>
              <w:t>VOCs</w:t>
            </w:r>
          </w:p>
        </w:tc>
        <w:tc>
          <w:tcPr>
            <w:tcW w:w="25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二氧化硫</w:t>
            </w:r>
          </w:p>
        </w:tc>
        <w:tc>
          <w:tcPr>
            <w:tcW w:w="25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w:t>
            </w:r>
          </w:p>
        </w:tc>
        <w:tc>
          <w:tcPr>
            <w:tcW w:w="40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DA001</w:t>
            </w:r>
          </w:p>
        </w:tc>
        <w:tc>
          <w:tcPr>
            <w:tcW w:w="33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150</w:t>
            </w:r>
          </w:p>
        </w:tc>
        <w:tc>
          <w:tcPr>
            <w:tcW w:w="30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0</w:t>
            </w:r>
          </w:p>
        </w:tc>
        <w:tc>
          <w:tcPr>
            <w:tcW w:w="518"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eastAsia="zh-CN"/>
              </w:rPr>
            </w:pPr>
            <w:r>
              <w:rPr>
                <w:rFonts w:hint="default" w:ascii="Times New Roman" w:hAnsi="Times New Roman" w:eastAsia="宋体" w:cs="Times New Roman"/>
                <w:color w:val="auto"/>
                <w:kern w:val="2"/>
                <w:sz w:val="21"/>
                <w:szCs w:val="21"/>
                <w:u w:val="none" w:color="auto"/>
              </w:rPr>
              <w:t>2</w:t>
            </w:r>
            <w:r>
              <w:rPr>
                <w:rFonts w:hint="eastAsia" w:ascii="Times New Roman" w:hAnsi="Times New Roman" w:eastAsia="宋体" w:cs="Times New Roman"/>
                <w:color w:val="auto"/>
                <w:kern w:val="2"/>
                <w:sz w:val="21"/>
                <w:szCs w:val="21"/>
                <w:u w:val="none" w:color="auto"/>
                <w:lang w:val="en-US" w:eastAsia="zh-CN"/>
              </w:rPr>
              <w:t>3</w:t>
            </w:r>
          </w:p>
        </w:tc>
        <w:tc>
          <w:tcPr>
            <w:tcW w:w="369"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20</w:t>
            </w:r>
          </w:p>
        </w:tc>
        <w:tc>
          <w:tcPr>
            <w:tcW w:w="35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w:t>
            </w:r>
          </w:p>
        </w:tc>
        <w:tc>
          <w:tcPr>
            <w:tcW w:w="3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20℃</w:t>
            </w:r>
          </w:p>
        </w:tc>
        <w:tc>
          <w:tcPr>
            <w:tcW w:w="244" w:type="pct"/>
            <w:vMerge w:val="restar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连续</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0.027</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0.046</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0.007</w:t>
            </w:r>
          </w:p>
        </w:tc>
        <w:tc>
          <w:tcPr>
            <w:tcW w:w="3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25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25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w:t>
            </w:r>
          </w:p>
        </w:tc>
        <w:tc>
          <w:tcPr>
            <w:tcW w:w="40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DA002</w:t>
            </w:r>
          </w:p>
        </w:tc>
        <w:tc>
          <w:tcPr>
            <w:tcW w:w="33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180</w:t>
            </w:r>
          </w:p>
        </w:tc>
        <w:tc>
          <w:tcPr>
            <w:tcW w:w="30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-80</w:t>
            </w:r>
          </w:p>
        </w:tc>
        <w:tc>
          <w:tcPr>
            <w:tcW w:w="518" w:type="pct"/>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w:t>
            </w:r>
            <w:r>
              <w:rPr>
                <w:rFonts w:hint="eastAsia" w:ascii="Times New Roman" w:hAnsi="Times New Roman" w:eastAsia="宋体" w:cs="Times New Roman"/>
                <w:color w:val="auto"/>
                <w:kern w:val="2"/>
                <w:sz w:val="21"/>
                <w:szCs w:val="21"/>
                <w:u w:val="none" w:color="auto"/>
                <w:lang w:val="en-US" w:eastAsia="zh-CN"/>
              </w:rPr>
              <w:t>3</w:t>
            </w:r>
          </w:p>
        </w:tc>
        <w:tc>
          <w:tcPr>
            <w:tcW w:w="369" w:type="pct"/>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rPr>
            </w:pPr>
            <w:r>
              <w:rPr>
                <w:rFonts w:hint="eastAsia" w:ascii="Times New Roman" w:hAnsi="Times New Roman" w:eastAsia="宋体" w:cs="Times New Roman"/>
                <w:color w:val="auto"/>
                <w:kern w:val="2"/>
                <w:sz w:val="21"/>
                <w:szCs w:val="21"/>
                <w:u w:val="none" w:color="auto"/>
                <w:lang w:val="en-US" w:eastAsia="zh-CN"/>
              </w:rPr>
              <w:t>25</w:t>
            </w:r>
          </w:p>
        </w:tc>
        <w:tc>
          <w:tcPr>
            <w:tcW w:w="35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0.8</w:t>
            </w:r>
          </w:p>
        </w:tc>
        <w:tc>
          <w:tcPr>
            <w:tcW w:w="3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lang w:val="en-US" w:eastAsia="zh-CN"/>
              </w:rPr>
              <w:t>80</w:t>
            </w:r>
            <w:r>
              <w:rPr>
                <w:rFonts w:hint="default" w:ascii="Times New Roman" w:hAnsi="Times New Roman" w:eastAsia="宋体" w:cs="Times New Roman"/>
                <w:color w:val="auto"/>
                <w:kern w:val="2"/>
                <w:sz w:val="21"/>
                <w:szCs w:val="21"/>
                <w:u w:val="none" w:color="auto"/>
              </w:rPr>
              <w:t>℃</w:t>
            </w:r>
          </w:p>
        </w:tc>
        <w:tc>
          <w:tcPr>
            <w:tcW w:w="244"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0.03</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3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25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0.02</w:t>
            </w:r>
          </w:p>
        </w:tc>
        <w:tc>
          <w:tcPr>
            <w:tcW w:w="25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3</w:t>
            </w:r>
          </w:p>
        </w:tc>
        <w:tc>
          <w:tcPr>
            <w:tcW w:w="40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DA003</w:t>
            </w:r>
          </w:p>
        </w:tc>
        <w:tc>
          <w:tcPr>
            <w:tcW w:w="33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110</w:t>
            </w:r>
          </w:p>
        </w:tc>
        <w:tc>
          <w:tcPr>
            <w:tcW w:w="30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-60</w:t>
            </w:r>
          </w:p>
        </w:tc>
        <w:tc>
          <w:tcPr>
            <w:tcW w:w="518" w:type="pct"/>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w:t>
            </w:r>
            <w:r>
              <w:rPr>
                <w:rFonts w:hint="eastAsia" w:ascii="Times New Roman" w:hAnsi="Times New Roman" w:eastAsia="宋体" w:cs="Times New Roman"/>
                <w:color w:val="auto"/>
                <w:kern w:val="2"/>
                <w:sz w:val="21"/>
                <w:szCs w:val="21"/>
                <w:u w:val="none" w:color="auto"/>
                <w:lang w:val="en-US" w:eastAsia="zh-CN"/>
              </w:rPr>
              <w:t>3</w:t>
            </w:r>
          </w:p>
        </w:tc>
        <w:tc>
          <w:tcPr>
            <w:tcW w:w="369" w:type="pct"/>
            <w:vAlign w:val="center"/>
          </w:tcPr>
          <w:p>
            <w:pPr>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rPr>
            </w:pPr>
            <w:r>
              <w:rPr>
                <w:rFonts w:hint="eastAsia" w:ascii="Times New Roman" w:hAnsi="Times New Roman" w:eastAsia="宋体" w:cs="Times New Roman"/>
                <w:color w:val="auto"/>
                <w:kern w:val="2"/>
                <w:sz w:val="21"/>
                <w:szCs w:val="21"/>
                <w:u w:val="none" w:color="auto"/>
                <w:lang w:val="en-US" w:eastAsia="zh-CN"/>
              </w:rPr>
              <w:t>20</w:t>
            </w:r>
          </w:p>
        </w:tc>
        <w:tc>
          <w:tcPr>
            <w:tcW w:w="35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w:t>
            </w:r>
          </w:p>
        </w:tc>
        <w:tc>
          <w:tcPr>
            <w:tcW w:w="38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20℃</w:t>
            </w:r>
          </w:p>
        </w:tc>
        <w:tc>
          <w:tcPr>
            <w:tcW w:w="244" w:type="pct"/>
            <w:vMerge w:val="continue"/>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316"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392"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0.03</w:t>
            </w:r>
          </w:p>
        </w:tc>
        <w:tc>
          <w:tcPr>
            <w:tcW w:w="25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255"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.2-8大气面源参数调查清单</w:t>
      </w:r>
    </w:p>
    <w:tbl>
      <w:tblPr>
        <w:tblStyle w:val="4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79"/>
        <w:gridCol w:w="371"/>
        <w:gridCol w:w="547"/>
        <w:gridCol w:w="547"/>
        <w:gridCol w:w="656"/>
        <w:gridCol w:w="496"/>
        <w:gridCol w:w="436"/>
        <w:gridCol w:w="439"/>
        <w:gridCol w:w="546"/>
        <w:gridCol w:w="512"/>
        <w:gridCol w:w="442"/>
        <w:gridCol w:w="681"/>
        <w:gridCol w:w="761"/>
        <w:gridCol w:w="759"/>
        <w:gridCol w:w="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27"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编号</w:t>
            </w:r>
          </w:p>
        </w:tc>
        <w:tc>
          <w:tcPr>
            <w:tcW w:w="222"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名称</w:t>
            </w:r>
          </w:p>
        </w:tc>
        <w:tc>
          <w:tcPr>
            <w:tcW w:w="656" w:type="pct"/>
            <w:gridSpan w:val="2"/>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面源起点坐标</w:t>
            </w:r>
          </w:p>
        </w:tc>
        <w:tc>
          <w:tcPr>
            <w:tcW w:w="393"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面源海拔高度/m</w:t>
            </w:r>
          </w:p>
        </w:tc>
        <w:tc>
          <w:tcPr>
            <w:tcW w:w="297"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面源长度/m</w:t>
            </w:r>
          </w:p>
        </w:tc>
        <w:tc>
          <w:tcPr>
            <w:tcW w:w="261"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面源宽度/m</w:t>
            </w:r>
          </w:p>
        </w:tc>
        <w:tc>
          <w:tcPr>
            <w:tcW w:w="263"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与正北夹角/o</w:t>
            </w:r>
          </w:p>
        </w:tc>
        <w:tc>
          <w:tcPr>
            <w:tcW w:w="327"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面源有效排放高度/m</w:t>
            </w:r>
          </w:p>
        </w:tc>
        <w:tc>
          <w:tcPr>
            <w:tcW w:w="307"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年排放小时数/h</w:t>
            </w:r>
          </w:p>
        </w:tc>
        <w:tc>
          <w:tcPr>
            <w:tcW w:w="265"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排放工况</w:t>
            </w:r>
          </w:p>
        </w:tc>
        <w:tc>
          <w:tcPr>
            <w:tcW w:w="1776" w:type="pct"/>
            <w:gridSpan w:val="4"/>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污染物最大排放速率（kg/h）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27"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22"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X</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Y</w:t>
            </w:r>
          </w:p>
        </w:tc>
        <w:tc>
          <w:tcPr>
            <w:tcW w:w="393"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97"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61"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63"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327"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307"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65" w:type="pct"/>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408"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sz w:val="21"/>
                <w:szCs w:val="21"/>
                <w:u w:val="none" w:color="auto"/>
                <w:lang w:eastAsia="zh-CN"/>
              </w:rPr>
              <w:t>颗粒物</w:t>
            </w:r>
          </w:p>
        </w:tc>
        <w:tc>
          <w:tcPr>
            <w:tcW w:w="456" w:type="pct"/>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氯化氢</w:t>
            </w:r>
          </w:p>
        </w:tc>
        <w:tc>
          <w:tcPr>
            <w:tcW w:w="455"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氟化物</w:t>
            </w:r>
          </w:p>
        </w:tc>
        <w:tc>
          <w:tcPr>
            <w:tcW w:w="456"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w:t>
            </w:r>
          </w:p>
        </w:tc>
        <w:tc>
          <w:tcPr>
            <w:tcW w:w="222"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eastAsia="zh-CN"/>
              </w:rPr>
              <w:t>熔炼车间</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170</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-200</w:t>
            </w:r>
          </w:p>
        </w:tc>
        <w:tc>
          <w:tcPr>
            <w:tcW w:w="39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23</w:t>
            </w:r>
          </w:p>
        </w:tc>
        <w:tc>
          <w:tcPr>
            <w:tcW w:w="29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171</w:t>
            </w:r>
          </w:p>
        </w:tc>
        <w:tc>
          <w:tcPr>
            <w:tcW w:w="261"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30</w:t>
            </w:r>
          </w:p>
        </w:tc>
        <w:tc>
          <w:tcPr>
            <w:tcW w:w="26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-25</w:t>
            </w:r>
          </w:p>
        </w:tc>
        <w:tc>
          <w:tcPr>
            <w:tcW w:w="32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16</w:t>
            </w:r>
          </w:p>
        </w:tc>
        <w:tc>
          <w:tcPr>
            <w:tcW w:w="30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lang w:val="en-US" w:eastAsia="zh-CN"/>
              </w:rPr>
              <w:t>72</w:t>
            </w:r>
            <w:r>
              <w:rPr>
                <w:rFonts w:hint="default" w:ascii="Times New Roman" w:hAnsi="Times New Roman" w:eastAsia="宋体" w:cs="Times New Roman"/>
                <w:color w:val="auto"/>
                <w:kern w:val="2"/>
                <w:sz w:val="21"/>
                <w:szCs w:val="21"/>
                <w:u w:val="none" w:color="auto"/>
              </w:rPr>
              <w:t>00</w:t>
            </w:r>
          </w:p>
        </w:tc>
        <w:tc>
          <w:tcPr>
            <w:tcW w:w="265"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连续</w:t>
            </w:r>
          </w:p>
        </w:tc>
        <w:tc>
          <w:tcPr>
            <w:tcW w:w="40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0.14</w:t>
            </w:r>
          </w:p>
        </w:tc>
        <w:tc>
          <w:tcPr>
            <w:tcW w:w="456" w:type="pct"/>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0.01</w:t>
            </w:r>
          </w:p>
        </w:tc>
        <w:tc>
          <w:tcPr>
            <w:tcW w:w="455"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rPr>
            </w:pPr>
            <w:r>
              <w:rPr>
                <w:rFonts w:hint="eastAsia" w:ascii="Times New Roman" w:hAnsi="Times New Roman" w:eastAsia="宋体" w:cs="Times New Roman"/>
                <w:color w:val="auto"/>
                <w:kern w:val="2"/>
                <w:sz w:val="21"/>
                <w:szCs w:val="21"/>
                <w:u w:val="none" w:color="auto"/>
                <w:lang w:val="en-US" w:eastAsia="zh-CN"/>
              </w:rPr>
              <w:t>0.002</w:t>
            </w:r>
          </w:p>
        </w:tc>
        <w:tc>
          <w:tcPr>
            <w:tcW w:w="456"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w:t>
            </w:r>
          </w:p>
        </w:tc>
        <w:tc>
          <w:tcPr>
            <w:tcW w:w="222"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cs="Times New Roman"/>
                <w:color w:val="auto"/>
                <w:kern w:val="2"/>
                <w:sz w:val="21"/>
                <w:szCs w:val="21"/>
                <w:lang w:val="en-US" w:eastAsia="zh-CN"/>
              </w:rPr>
              <w:t>镁板轧机</w:t>
            </w:r>
            <w:r>
              <w:rPr>
                <w:rFonts w:hint="eastAsia" w:ascii="Times New Roman" w:hAnsi="Times New Roman" w:cs="Times New Roman"/>
                <w:color w:val="auto"/>
                <w:kern w:val="2"/>
                <w:sz w:val="21"/>
                <w:szCs w:val="21"/>
                <w:lang w:val="en-US" w:eastAsia="zh-CN"/>
              </w:rPr>
              <w:t>车间</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210</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10</w:t>
            </w:r>
          </w:p>
        </w:tc>
        <w:tc>
          <w:tcPr>
            <w:tcW w:w="39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23</w:t>
            </w:r>
          </w:p>
        </w:tc>
        <w:tc>
          <w:tcPr>
            <w:tcW w:w="29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256</w:t>
            </w:r>
          </w:p>
        </w:tc>
        <w:tc>
          <w:tcPr>
            <w:tcW w:w="261"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99</w:t>
            </w:r>
          </w:p>
        </w:tc>
        <w:tc>
          <w:tcPr>
            <w:tcW w:w="26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-25</w:t>
            </w:r>
          </w:p>
        </w:tc>
        <w:tc>
          <w:tcPr>
            <w:tcW w:w="327"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eastAsia="zh-CN"/>
              </w:rPr>
            </w:pPr>
            <w:r>
              <w:rPr>
                <w:rFonts w:hint="default" w:ascii="Times New Roman" w:hAnsi="Times New Roman" w:eastAsia="宋体" w:cs="Times New Roman"/>
                <w:color w:val="auto"/>
                <w:kern w:val="2"/>
                <w:sz w:val="21"/>
                <w:szCs w:val="21"/>
                <w:u w:val="none" w:color="auto"/>
              </w:rPr>
              <w:t>1</w:t>
            </w:r>
            <w:r>
              <w:rPr>
                <w:rFonts w:hint="eastAsia" w:ascii="Times New Roman" w:hAnsi="Times New Roman" w:eastAsia="宋体" w:cs="Times New Roman"/>
                <w:color w:val="auto"/>
                <w:kern w:val="2"/>
                <w:sz w:val="21"/>
                <w:szCs w:val="21"/>
                <w:u w:val="none" w:color="auto"/>
                <w:lang w:val="en-US" w:eastAsia="zh-CN"/>
              </w:rPr>
              <w:t>8</w:t>
            </w:r>
          </w:p>
        </w:tc>
        <w:tc>
          <w:tcPr>
            <w:tcW w:w="30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lang w:val="en-US" w:eastAsia="zh-CN"/>
              </w:rPr>
              <w:t>72</w:t>
            </w:r>
            <w:r>
              <w:rPr>
                <w:rFonts w:hint="default" w:ascii="Times New Roman" w:hAnsi="Times New Roman" w:eastAsia="宋体" w:cs="Times New Roman"/>
                <w:color w:val="auto"/>
                <w:kern w:val="2"/>
                <w:sz w:val="21"/>
                <w:szCs w:val="21"/>
                <w:u w:val="none" w:color="auto"/>
              </w:rPr>
              <w:t>00</w:t>
            </w:r>
          </w:p>
        </w:tc>
        <w:tc>
          <w:tcPr>
            <w:tcW w:w="265"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连续</w:t>
            </w:r>
          </w:p>
        </w:tc>
        <w:tc>
          <w:tcPr>
            <w:tcW w:w="408"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456" w:type="pct"/>
            <w:vAlign w:val="center"/>
          </w:tcPr>
          <w:p>
            <w:pPr>
              <w:pStyle w:val="91"/>
              <w:pageBreakBefore w:val="0"/>
              <w:kinsoku/>
              <w:wordWrap/>
              <w:overflowPunct w:val="0"/>
              <w:topLinePunct/>
              <w:autoSpaceDE w:val="0"/>
              <w:autoSpaceDN w:val="0"/>
              <w:bidi w:val="0"/>
              <w:ind w:right="113"/>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455"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456"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7"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3</w:t>
            </w:r>
          </w:p>
        </w:tc>
        <w:tc>
          <w:tcPr>
            <w:tcW w:w="222"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表面处理车间</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310</w:t>
            </w:r>
          </w:p>
        </w:tc>
        <w:tc>
          <w:tcPr>
            <w:tcW w:w="3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20</w:t>
            </w:r>
          </w:p>
        </w:tc>
        <w:tc>
          <w:tcPr>
            <w:tcW w:w="39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23</w:t>
            </w:r>
          </w:p>
        </w:tc>
        <w:tc>
          <w:tcPr>
            <w:tcW w:w="29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171</w:t>
            </w:r>
          </w:p>
        </w:tc>
        <w:tc>
          <w:tcPr>
            <w:tcW w:w="261"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33</w:t>
            </w:r>
          </w:p>
        </w:tc>
        <w:tc>
          <w:tcPr>
            <w:tcW w:w="26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15</w:t>
            </w:r>
          </w:p>
        </w:tc>
        <w:tc>
          <w:tcPr>
            <w:tcW w:w="32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17</w:t>
            </w:r>
          </w:p>
        </w:tc>
        <w:tc>
          <w:tcPr>
            <w:tcW w:w="307"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7200</w:t>
            </w:r>
          </w:p>
        </w:tc>
        <w:tc>
          <w:tcPr>
            <w:tcW w:w="265"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连续</w:t>
            </w:r>
          </w:p>
        </w:tc>
        <w:tc>
          <w:tcPr>
            <w:tcW w:w="40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0.15</w:t>
            </w:r>
          </w:p>
        </w:tc>
        <w:tc>
          <w:tcPr>
            <w:tcW w:w="456" w:type="pct"/>
            <w:vAlign w:val="center"/>
          </w:tcPr>
          <w:p>
            <w:pPr>
              <w:pStyle w:val="91"/>
              <w:pageBreakBefore w:val="0"/>
              <w:kinsoku/>
              <w:wordWrap/>
              <w:overflowPunct w:val="0"/>
              <w:topLinePunct/>
              <w:autoSpaceDE w:val="0"/>
              <w:autoSpaceDN w:val="0"/>
              <w:bidi w:val="0"/>
              <w:ind w:right="113"/>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455"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c>
          <w:tcPr>
            <w:tcW w:w="456" w:type="pc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0.02</w:t>
            </w:r>
          </w:p>
        </w:tc>
      </w:tr>
    </w:tbl>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（2）评价工作等级与评价范围</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采用《环境影响评价技术导则大气环境》（HJ2.2-2018）中推荐的估算模型AERSCREEN进行评价等级判定，估算模型参数取值情况见表</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.2-9，估算模型计算结果见下表。</w:t>
      </w:r>
    </w:p>
    <w:p>
      <w:pPr>
        <w:pStyle w:val="308"/>
        <w:pageBreakBefore w:val="0"/>
        <w:tabs>
          <w:tab w:val="left" w:pos="0"/>
        </w:tabs>
        <w:kinsoku/>
        <w:wordWrap/>
        <w:overflowPunct w:val="0"/>
        <w:topLinePunct/>
        <w:autoSpaceDE w:val="0"/>
        <w:autoSpaceDN w:val="0"/>
        <w:bidi w:val="0"/>
        <w:spacing w:line="360" w:lineRule="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.2-9估算模型参数表</w:t>
      </w:r>
    </w:p>
    <w:tbl>
      <w:tblPr>
        <w:tblStyle w:val="4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08"/>
        <w:gridCol w:w="3988"/>
        <w:gridCol w:w="19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67" w:type="pct"/>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参数</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restar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城市农村/选项</w:t>
            </w: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城市/农村</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人口数（城市人口数）</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67" w:type="pct"/>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最高环境温度</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39.3°C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67" w:type="pct"/>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最低环境温度</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-11.8°C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67" w:type="pct"/>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土地利用类型</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67" w:type="pct"/>
            <w:gridSpan w:val="2"/>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区域湿度条件</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潮湿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restar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是否考虑地形</w:t>
            </w: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考虑地形</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地形数据分辨率（m)</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90m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restar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是否考虑海岸线熏烟</w:t>
            </w: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考虑海岸线熏烟</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海岸线距离/km</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9" w:type="pct"/>
            <w:vMerge w:val="continue"/>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p>
        </w:tc>
        <w:tc>
          <w:tcPr>
            <w:tcW w:w="2338"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岸线方向/°</w:t>
            </w:r>
          </w:p>
        </w:tc>
        <w:tc>
          <w:tcPr>
            <w:tcW w:w="1132" w:type="pct"/>
            <w:vAlign w:val="center"/>
          </w:tcPr>
          <w:p>
            <w:pPr>
              <w:pStyle w:val="91"/>
              <w:pageBreakBefore w:val="0"/>
              <w:kinsoku/>
              <w:wordWrap/>
              <w:overflowPunct w:val="0"/>
              <w:topLinePunct/>
              <w:autoSpaceDE w:val="0"/>
              <w:autoSpaceDN w:val="0"/>
              <w:bidi w:val="0"/>
              <w:spacing w:before="24" w:after="24"/>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5.2-10</w:t>
      </w:r>
      <w:r>
        <w:rPr>
          <w:rFonts w:hint="default" w:ascii="Times New Roman" w:hAnsi="Times New Roman" w:eastAsia="宋体" w:cs="Times New Roman"/>
          <w:color w:val="auto"/>
          <w:sz w:val="24"/>
          <w:szCs w:val="24"/>
          <w:u w:val="none" w:color="auto"/>
        </w:rPr>
        <w:t>ARESCREEN估算模型点源计算结果一览表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95"/>
        <w:gridCol w:w="1295"/>
        <w:gridCol w:w="1"/>
        <w:gridCol w:w="1294"/>
        <w:gridCol w:w="1295"/>
        <w:gridCol w:w="2"/>
        <w:gridCol w:w="1293"/>
        <w:gridCol w:w="1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Merge w:val="restar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下风向距离D/m</w:t>
            </w:r>
          </w:p>
        </w:tc>
        <w:tc>
          <w:tcPr>
            <w:tcW w:w="1519" w:type="pct"/>
            <w:gridSpan w:val="3"/>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01</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TSP</w:t>
            </w:r>
          </w:p>
        </w:tc>
        <w:tc>
          <w:tcPr>
            <w:tcW w:w="1519" w:type="pct"/>
            <w:gridSpan w:val="3"/>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01</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氯化氢</w:t>
            </w:r>
          </w:p>
        </w:tc>
        <w:tc>
          <w:tcPr>
            <w:tcW w:w="1520"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01</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Merge w:val="continue"/>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c>
          <w:tcPr>
            <w:tcW w:w="759"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c>
          <w:tcPr>
            <w:tcW w:w="759"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76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76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i w:val="0"/>
                <w:iCs w:val="0"/>
                <w:color w:val="auto"/>
                <w:kern w:val="0"/>
                <w:sz w:val="21"/>
                <w:szCs w:val="21"/>
                <w:u w:val="none"/>
                <w:lang w:val="en-US" w:eastAsia="zh-CN" w:bidi="ar"/>
              </w:rPr>
              <w:t>0.39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b/>
                <w:bCs/>
                <w:color w:val="auto"/>
                <w:sz w:val="21"/>
                <w:szCs w:val="21"/>
                <w:u w:val="none" w:color="auto"/>
                <w:shd w:val="clear" w:color="FFFFFF" w:fill="D9D9D9"/>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0.0026</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69</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0.0032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5.5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4.61</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0.0037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0.39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0.0029</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0.47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2.39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0.0029</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0.55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0.0028</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2.47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0.0022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0.0019</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1.91</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0.33</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0.3</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1.51</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1100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1300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1400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0.2</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0.98</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759"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0.63</w:t>
            </w:r>
          </w:p>
        </w:tc>
        <w:tc>
          <w:tcPr>
            <w:tcW w:w="759"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761" w:type="pct"/>
            <w:tcBorders>
              <w:tl2br w:val="nil"/>
              <w:tr2bl w:val="nil"/>
            </w:tcBorders>
            <w:vAlign w:val="center"/>
          </w:tcPr>
          <w:p>
            <w:pPr>
              <w:keepNext w:val="0"/>
              <w:keepLines w:val="0"/>
              <w:pageBreakBefore w:val="0"/>
              <w:widowControl w:val="0"/>
              <w:kinsoku/>
              <w:wordWrap/>
              <w:overflowPunct w:val="0"/>
              <w:topLinePunct/>
              <w:autoSpaceDE w:val="0"/>
              <w:autoSpaceDN w:val="0"/>
              <w:bidi w:val="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下风向最大质量浓度及占标率%</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0.0032</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1.08</w:t>
            </w:r>
          </w:p>
        </w:tc>
        <w:tc>
          <w:tcPr>
            <w:tcW w:w="759"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5.5</w:t>
            </w:r>
          </w:p>
        </w:tc>
        <w:tc>
          <w:tcPr>
            <w:tcW w:w="759"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76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D10%最远距离</w:t>
            </w:r>
          </w:p>
        </w:tc>
        <w:tc>
          <w:tcPr>
            <w:tcW w:w="4558" w:type="pct"/>
            <w:gridSpan w:val="8"/>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w:t>
      </w:r>
      <w:r>
        <w:rPr>
          <w:rFonts w:hint="eastAsia" w:cs="Times New Roman"/>
          <w:color w:val="auto"/>
          <w:sz w:val="24"/>
          <w:szCs w:val="24"/>
          <w:u w:val="none" w:color="auto"/>
          <w:lang w:val="en-US" w:eastAsia="zh-CN"/>
        </w:rPr>
        <w:t>11</w:t>
      </w:r>
      <w:r>
        <w:rPr>
          <w:rFonts w:hint="default" w:ascii="Times New Roman" w:hAnsi="Times New Roman" w:eastAsia="宋体" w:cs="Times New Roman"/>
          <w:color w:val="auto"/>
          <w:sz w:val="24"/>
          <w:szCs w:val="24"/>
          <w:u w:val="none" w:color="auto"/>
        </w:rPr>
        <w:t>ARESCREEN估算模型点源计算结果一览表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95"/>
        <w:gridCol w:w="1295"/>
        <w:gridCol w:w="1"/>
        <w:gridCol w:w="1294"/>
        <w:gridCol w:w="1295"/>
        <w:gridCol w:w="2"/>
        <w:gridCol w:w="1293"/>
        <w:gridCol w:w="1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Merge w:val="restar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下风向距离D/m</w:t>
            </w:r>
          </w:p>
        </w:tc>
        <w:tc>
          <w:tcPr>
            <w:tcW w:w="1519" w:type="pct"/>
            <w:gridSpan w:val="3"/>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TSP</w:t>
            </w:r>
          </w:p>
        </w:tc>
        <w:tc>
          <w:tcPr>
            <w:tcW w:w="1519" w:type="pct"/>
            <w:gridSpan w:val="3"/>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eastAsia="zh-CN"/>
              </w:rPr>
              <w:t>二氧化硫</w:t>
            </w:r>
          </w:p>
        </w:tc>
        <w:tc>
          <w:tcPr>
            <w:tcW w:w="1520"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eastAsia="zh-CN"/>
              </w:rPr>
              <w:t>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Merge w:val="continue"/>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c>
          <w:tcPr>
            <w:tcW w:w="759"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759"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c>
          <w:tcPr>
            <w:tcW w:w="759"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76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0.0015</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0.0017</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0.0032</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87</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0.0034</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0.0033</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0.0029</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0.0027</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0.0023</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0.0017</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0.0014</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0.0009</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0.0009</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下风向最大质量浓度及占标率%</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29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295" w:type="dxa"/>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0.0034</w:t>
            </w:r>
          </w:p>
        </w:tc>
        <w:tc>
          <w:tcPr>
            <w:tcW w:w="1299"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D10%最远距离</w:t>
            </w:r>
          </w:p>
        </w:tc>
        <w:tc>
          <w:tcPr>
            <w:tcW w:w="4558" w:type="pct"/>
            <w:gridSpan w:val="8"/>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87</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ARESCREEN估算模型点源计算结果一览表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3302"/>
        <w:gridCol w:w="3302"/>
        <w:gridCol w:w="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pct"/>
            <w:vMerge w:val="restar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下风向距离D/m</w:t>
            </w:r>
          </w:p>
        </w:tc>
        <w:tc>
          <w:tcPr>
            <w:tcW w:w="3875" w:type="pct"/>
            <w:gridSpan w:val="3"/>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vMerge w:val="continue"/>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预测质量浓度（μg/m3）</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0.0017</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0.0036</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0.0024</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0.0019</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0.0013</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0.0019</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0.0018</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0.0016</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0.0014</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0.0009</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下风向最大质量浓度及占标率%</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0.0036</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D10%最远距离</w:t>
            </w:r>
          </w:p>
        </w:tc>
        <w:tc>
          <w:tcPr>
            <w:tcW w:w="3872"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.2-13ARESCREEN估算模型点源计算结果一览表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3302"/>
        <w:gridCol w:w="3302"/>
        <w:gridCol w:w="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pct"/>
            <w:vMerge w:val="restar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下风向距离D/m</w:t>
            </w:r>
          </w:p>
        </w:tc>
        <w:tc>
          <w:tcPr>
            <w:tcW w:w="3875" w:type="pct"/>
            <w:gridSpan w:val="3"/>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w:t>
            </w: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vMerge w:val="continue"/>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预测质量浓度（μg/m3）</w:t>
            </w:r>
          </w:p>
        </w:tc>
        <w:tc>
          <w:tcPr>
            <w:tcW w:w="193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0.0108</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0.0072</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0.0057</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0.0039</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0.0057</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0.0055</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0.0048</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0.0042</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0.0037</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0.0033</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0.0027</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0.0024</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0.0021</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0.0019</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0.0015</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下风向最大质量浓度及占标率%</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0.0108</w:t>
            </w:r>
          </w:p>
        </w:tc>
        <w:tc>
          <w:tcPr>
            <w:tcW w:w="3302"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54" w:hRule="atLeast"/>
          <w:jc w:val="center"/>
        </w:trPr>
        <w:tc>
          <w:tcPr>
            <w:tcW w:w="1124"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D10%最远距离</w:t>
            </w:r>
          </w:p>
        </w:tc>
        <w:tc>
          <w:tcPr>
            <w:tcW w:w="3872"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w:t>
      </w:r>
      <w:r>
        <w:rPr>
          <w:rFonts w:hint="eastAsia" w:cs="Times New Roman"/>
          <w:color w:val="auto"/>
          <w:sz w:val="24"/>
          <w:szCs w:val="24"/>
          <w:u w:val="none" w:color="auto"/>
          <w:lang w:val="en-US" w:eastAsia="zh-CN"/>
        </w:rPr>
        <w:t>14</w:t>
      </w:r>
      <w:r>
        <w:rPr>
          <w:rFonts w:hint="default" w:ascii="Times New Roman" w:hAnsi="Times New Roman" w:eastAsia="宋体" w:cs="Times New Roman"/>
          <w:color w:val="auto"/>
          <w:sz w:val="24"/>
          <w:szCs w:val="24"/>
          <w:u w:val="none" w:color="auto"/>
        </w:rPr>
        <w:t>ARESCREEN估算模型点源计算结果一览表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861"/>
        <w:gridCol w:w="1861"/>
        <w:gridCol w:w="2"/>
        <w:gridCol w:w="1859"/>
        <w:gridCol w:w="1863"/>
        <w:gridCol w:w="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restar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下风向距离D/m</w:t>
            </w:r>
          </w:p>
        </w:tc>
        <w:tc>
          <w:tcPr>
            <w:tcW w:w="2183" w:type="pct"/>
            <w:gridSpan w:val="3"/>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TSP</w:t>
            </w:r>
          </w:p>
        </w:tc>
        <w:tc>
          <w:tcPr>
            <w:tcW w:w="2183" w:type="pct"/>
            <w:gridSpan w:val="3"/>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w:t>
            </w:r>
            <w:r>
              <w:rPr>
                <w:rFonts w:hint="default" w:ascii="Times New Roman" w:hAnsi="Times New Roman" w:eastAsia="宋体" w:cs="Times New Roman"/>
                <w:color w:val="auto"/>
                <w:sz w:val="21"/>
                <w:szCs w:val="21"/>
                <w:u w:val="none" w:color="auto"/>
                <w:lang w:val="en-US" w:eastAsia="zh-CN"/>
              </w:rPr>
              <w:t>0</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vMerge w:val="continue"/>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p>
        </w:tc>
        <w:tc>
          <w:tcPr>
            <w:tcW w:w="109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109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c>
          <w:tcPr>
            <w:tcW w:w="1091"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预测质量浓度（μg/m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1091"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0.34</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0.0028</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0.72</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0.0018</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0.0014</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0.48</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0.38</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0.26</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0.38</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0.37</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0.32</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0.0027</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0.28</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0.0023</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0.25</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0.22</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0.0018</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0.0016</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0.0015</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0.0013</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0.14</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0.13</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0.13</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下风向最大质量浓度及占标率%</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0.72</w:t>
            </w:r>
          </w:p>
        </w:tc>
        <w:tc>
          <w:tcPr>
            <w:tcW w:w="1091"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w:t>
            </w:r>
          </w:p>
        </w:tc>
        <w:tc>
          <w:tcPr>
            <w:tcW w:w="1091"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63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D10%最远距离</w:t>
            </w:r>
          </w:p>
        </w:tc>
        <w:tc>
          <w:tcPr>
            <w:tcW w:w="4365" w:type="pct"/>
            <w:gridSpan w:val="5"/>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.2-15ARESCREEN估算模型面源计算结果一览表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373"/>
        <w:gridCol w:w="924"/>
        <w:gridCol w:w="1373"/>
        <w:gridCol w:w="924"/>
        <w:gridCol w:w="1257"/>
        <w:gridCol w:w="1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restar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下风向距离D/m</w:t>
            </w:r>
          </w:p>
        </w:tc>
        <w:tc>
          <w:tcPr>
            <w:tcW w:w="2297" w:type="dxa"/>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eastAsia="zh-CN"/>
              </w:rPr>
              <w:t>熔炼车间</w:t>
            </w:r>
            <w:r>
              <w:rPr>
                <w:rFonts w:hint="eastAsia" w:ascii="Times New Roman" w:hAnsi="Times New Roman" w:eastAsia="宋体" w:cs="Times New Roman"/>
                <w:color w:val="auto"/>
                <w:u w:val="none" w:color="auto"/>
                <w:lang w:val="en-US" w:eastAsia="zh-CN"/>
              </w:rPr>
              <w:t>-颗粒物</w:t>
            </w:r>
          </w:p>
        </w:tc>
        <w:tc>
          <w:tcPr>
            <w:tcW w:w="2297" w:type="dxa"/>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eastAsia="zh-CN"/>
              </w:rPr>
              <w:t>熔炼车间</w:t>
            </w:r>
            <w:r>
              <w:rPr>
                <w:rFonts w:hint="eastAsia" w:ascii="Times New Roman" w:hAnsi="Times New Roman" w:eastAsia="宋体" w:cs="Times New Roman"/>
                <w:color w:val="auto"/>
                <w:u w:val="none" w:color="auto"/>
                <w:lang w:val="en-US" w:eastAsia="zh-CN"/>
              </w:rPr>
              <w:t>-氯化氢</w:t>
            </w:r>
          </w:p>
        </w:tc>
        <w:tc>
          <w:tcPr>
            <w:tcW w:w="2353" w:type="dxa"/>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eastAsia="zh-CN"/>
              </w:rPr>
              <w:t>熔炼车间</w:t>
            </w:r>
            <w:r>
              <w:rPr>
                <w:rFonts w:hint="eastAsia" w:ascii="Times New Roman" w:hAnsi="Times New Roman" w:eastAsia="宋体" w:cs="Times New Roman"/>
                <w:color w:val="auto"/>
                <w:u w:val="none" w:color="auto"/>
                <w:lang w:val="en-US" w:eastAsia="zh-CN"/>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continue"/>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p>
        </w:tc>
        <w:tc>
          <w:tcPr>
            <w:tcW w:w="1373" w:type="dxa"/>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预测质量浓度（μg/m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w:t>
            </w:r>
          </w:p>
        </w:tc>
        <w:tc>
          <w:tcPr>
            <w:tcW w:w="924" w:type="dxa"/>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占标率（%）</w:t>
            </w:r>
          </w:p>
        </w:tc>
        <w:tc>
          <w:tcPr>
            <w:tcW w:w="1373" w:type="dxa"/>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预测质量浓度（μg/m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w:t>
            </w:r>
          </w:p>
        </w:tc>
        <w:tc>
          <w:tcPr>
            <w:tcW w:w="924" w:type="dxa"/>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占标率（%）</w:t>
            </w:r>
          </w:p>
        </w:tc>
        <w:tc>
          <w:tcPr>
            <w:tcW w:w="1257" w:type="dxa"/>
            <w:tcBorders>
              <w:tl2br w:val="nil"/>
              <w:tr2bl w:val="nil"/>
            </w:tcBorders>
            <w:vAlign w:val="center"/>
          </w:tcPr>
          <w:p>
            <w:pPr>
              <w:pStyle w:val="91"/>
              <w:pageBreakBefore w:val="0"/>
              <w:widowControl w:val="0"/>
              <w:kinsoku/>
              <w:wordWrap/>
              <w:overflowPunct w:val="0"/>
              <w:topLinePunct/>
              <w:autoSpaceDE w:val="0"/>
              <w:autoSpaceDN w:val="0"/>
              <w:bidi w:val="0"/>
              <w:ind w:right="11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预测质量浓度（μg/m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w:t>
            </w:r>
          </w:p>
        </w:tc>
        <w:tc>
          <w:tcPr>
            <w:tcW w:w="1096" w:type="dxa"/>
            <w:tcBorders>
              <w:tl2br w:val="nil"/>
              <w:tr2bl w:val="nil"/>
            </w:tcBorders>
            <w:vAlign w:val="center"/>
          </w:tcPr>
          <w:p>
            <w:pPr>
              <w:pStyle w:val="91"/>
              <w:pageBreakBefore w:val="0"/>
              <w:widowControl w:val="0"/>
              <w:kinsoku/>
              <w:wordWrap/>
              <w:overflowPunct w:val="0"/>
              <w:topLinePunct/>
              <w:autoSpaceDE w:val="0"/>
              <w:autoSpaceDN w:val="0"/>
              <w:bidi w:val="0"/>
              <w:ind w:right="11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0.0207</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6.89</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2.24</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0.0221</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7.36</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2.39</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7.99</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86</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0.0255</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8.67</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2.82</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0.0244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8.12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2.64</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0.0225</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7.51</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2.44</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0.0208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6.94</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0.0023</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2.26</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0.0176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5.86</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0.0019</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0.0126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1.37</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0.0108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3.59</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1.17</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3.26</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1.06</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0.0089</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2.97</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0.96</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0.0082</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0.0009</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0.88</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0.0075</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0.81</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0.0069</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2.31</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0.75</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2.14</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0.65</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1.87</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0.61</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0.0053</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1.78</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0.58</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0.0051</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1.69</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0.55</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0.52</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0.43</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1.12</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0.36</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下风向最大质量浓度及占标率%</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u w:val="none" w:color="auto"/>
              </w:rPr>
            </w:pPr>
            <w:r>
              <w:rPr>
                <w:rFonts w:hint="eastAsia" w:ascii="Times New Roman" w:hAnsi="Times New Roman" w:eastAsia="宋体" w:cs="Times New Roman"/>
                <w:i w:val="0"/>
                <w:iCs w:val="0"/>
                <w:color w:val="auto"/>
                <w:kern w:val="0"/>
                <w:sz w:val="21"/>
                <w:szCs w:val="21"/>
                <w:u w:val="none"/>
                <w:lang w:val="en-US" w:eastAsia="zh-CN" w:bidi="ar"/>
              </w:rPr>
              <w:t>0.0255</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u w:val="none" w:color="auto"/>
              </w:rPr>
            </w:pPr>
            <w:r>
              <w:rPr>
                <w:rFonts w:hint="eastAsia" w:ascii="Times New Roman" w:hAnsi="Times New Roman" w:eastAsia="宋体" w:cs="Times New Roman"/>
                <w:i w:val="0"/>
                <w:iCs w:val="0"/>
                <w:color w:val="auto"/>
                <w:kern w:val="0"/>
                <w:sz w:val="21"/>
                <w:szCs w:val="21"/>
                <w:u w:val="none"/>
                <w:lang w:val="en-US" w:eastAsia="zh-CN" w:bidi="ar"/>
              </w:rPr>
              <w:t>8.67</w:t>
            </w:r>
          </w:p>
        </w:tc>
        <w:tc>
          <w:tcPr>
            <w:tcW w:w="1373"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u w:val="none" w:color="auto"/>
              </w:rPr>
            </w:pPr>
            <w:r>
              <w:rPr>
                <w:rFonts w:hint="eastAsia" w:ascii="Times New Roman" w:hAnsi="Times New Roman" w:eastAsia="宋体" w:cs="Times New Roman"/>
                <w:i w:val="0"/>
                <w:iCs w:val="0"/>
                <w:color w:val="auto"/>
                <w:kern w:val="0"/>
                <w:sz w:val="21"/>
                <w:szCs w:val="21"/>
                <w:u w:val="none"/>
                <w:lang w:val="en-US" w:eastAsia="zh-CN" w:bidi="ar"/>
              </w:rPr>
              <w:t>0.0028</w:t>
            </w:r>
          </w:p>
        </w:tc>
        <w:tc>
          <w:tcPr>
            <w:tcW w:w="924"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u w:val="none" w:color="auto"/>
              </w:rPr>
            </w:pPr>
            <w:r>
              <w:rPr>
                <w:rFonts w:hint="eastAsia" w:ascii="Times New Roman" w:hAnsi="Times New Roman" w:eastAsia="宋体" w:cs="Times New Roman"/>
                <w:i w:val="0"/>
                <w:iCs w:val="0"/>
                <w:color w:val="auto"/>
                <w:kern w:val="0"/>
                <w:sz w:val="21"/>
                <w:szCs w:val="21"/>
                <w:u w:val="none"/>
                <w:lang w:val="en-US" w:eastAsia="zh-CN" w:bidi="ar"/>
              </w:rPr>
              <w:t>2.82</w:t>
            </w:r>
          </w:p>
        </w:tc>
        <w:tc>
          <w:tcPr>
            <w:tcW w:w="125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u w:val="none" w:color="auto"/>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096"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u w:val="none" w:color="auto"/>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D10%最远距离</w:t>
            </w:r>
          </w:p>
        </w:tc>
        <w:tc>
          <w:tcPr>
            <w:tcW w:w="2297" w:type="dxa"/>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86</w:t>
            </w:r>
            <w:r>
              <w:rPr>
                <w:rFonts w:hint="default" w:ascii="Times New Roman" w:hAnsi="Times New Roman" w:eastAsia="宋体" w:cs="Times New Roman"/>
                <w:color w:val="auto"/>
                <w:u w:val="none" w:color="auto"/>
              </w:rPr>
              <w:t>m</w:t>
            </w:r>
          </w:p>
        </w:tc>
        <w:tc>
          <w:tcPr>
            <w:tcW w:w="2297" w:type="dxa"/>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86</w:t>
            </w:r>
            <w:r>
              <w:rPr>
                <w:rFonts w:hint="default" w:ascii="Times New Roman" w:hAnsi="Times New Roman" w:eastAsia="宋体" w:cs="Times New Roman"/>
                <w:color w:val="auto"/>
                <w:u w:val="none" w:color="auto"/>
              </w:rPr>
              <w:t>m</w:t>
            </w:r>
          </w:p>
        </w:tc>
        <w:tc>
          <w:tcPr>
            <w:tcW w:w="2353" w:type="dxa"/>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86</w:t>
            </w:r>
            <w:r>
              <w:rPr>
                <w:rFonts w:hint="default" w:ascii="Times New Roman" w:hAnsi="Times New Roman" w:eastAsia="宋体" w:cs="Times New Roman"/>
                <w:color w:val="auto"/>
                <w:u w:val="none" w:color="auto"/>
              </w:rPr>
              <w:t>m</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u w:val="none" w:color="auto"/>
        </w:rPr>
      </w:pP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w:t>
      </w:r>
      <w:r>
        <w:rPr>
          <w:rFonts w:hint="eastAsia"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ARESCREEN估算模型面源计算结果一览表</w:t>
      </w:r>
    </w:p>
    <w:tbl>
      <w:tblPr>
        <w:tblStyle w:val="4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67"/>
        <w:gridCol w:w="3023"/>
        <w:gridCol w:w="2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vMerge w:val="restar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下风向距离D/m</w:t>
            </w:r>
          </w:p>
        </w:tc>
        <w:tc>
          <w:tcPr>
            <w:tcW w:w="2966" w:type="pct"/>
            <w:gridSpan w:val="2"/>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镁板轧机</w:t>
            </w:r>
            <w:r>
              <w:rPr>
                <w:rFonts w:hint="eastAsia" w:ascii="Times New Roman" w:hAnsi="Times New Roman" w:eastAsia="宋体" w:cs="Times New Roman"/>
                <w:i w:val="0"/>
                <w:iCs w:val="0"/>
                <w:color w:val="auto"/>
                <w:kern w:val="0"/>
                <w:sz w:val="21"/>
                <w:szCs w:val="21"/>
                <w:u w:val="none"/>
                <w:lang w:val="en-US" w:eastAsia="zh-CN" w:bidi="ar"/>
              </w:rPr>
              <w:t>车间-VOCs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vMerge w:val="continue"/>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预测质量浓度（μg/m3）</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175</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下风向最大质量浓度及占标率%</w:t>
            </w:r>
          </w:p>
        </w:tc>
        <w:tc>
          <w:tcPr>
            <w:tcW w:w="177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193"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3" w:type="pc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D10%最远距离</w:t>
            </w:r>
          </w:p>
        </w:tc>
        <w:tc>
          <w:tcPr>
            <w:tcW w:w="2966" w:type="pct"/>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200</w:t>
            </w:r>
            <w:r>
              <w:rPr>
                <w:rFonts w:hint="default" w:ascii="Times New Roman" w:hAnsi="Times New Roman" w:eastAsia="宋体" w:cs="Times New Roman"/>
                <w:color w:val="auto"/>
                <w:u w:val="none" w:color="auto"/>
              </w:rPr>
              <w:t>m</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w:t>
      </w:r>
      <w:r>
        <w:rPr>
          <w:rFonts w:hint="eastAsia"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rPr>
        <w:t>ARESCREEN估算模型面源计算结果一览表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1897"/>
        <w:gridCol w:w="1278"/>
        <w:gridCol w:w="1897"/>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vMerge w:val="restar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下风向距离D/m</w:t>
            </w:r>
          </w:p>
        </w:tc>
        <w:tc>
          <w:tcPr>
            <w:tcW w:w="1861" w:type="pct"/>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eastAsia="zh-CN"/>
              </w:rPr>
              <w:t>表面处理车间</w:t>
            </w:r>
            <w:r>
              <w:rPr>
                <w:rFonts w:hint="eastAsia" w:ascii="Times New Roman" w:hAnsi="Times New Roman" w:eastAsia="宋体" w:cs="Times New Roman"/>
                <w:color w:val="auto"/>
                <w:u w:val="none" w:color="auto"/>
                <w:lang w:val="en-US" w:eastAsia="zh-CN"/>
              </w:rPr>
              <w:t>-颗粒物</w:t>
            </w:r>
          </w:p>
        </w:tc>
        <w:tc>
          <w:tcPr>
            <w:tcW w:w="1861" w:type="pct"/>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lang w:val="en-US"/>
              </w:rPr>
            </w:pPr>
            <w:r>
              <w:rPr>
                <w:rFonts w:hint="eastAsia" w:ascii="Times New Roman" w:hAnsi="Times New Roman" w:eastAsia="宋体" w:cs="Times New Roman"/>
                <w:color w:val="auto"/>
                <w:u w:val="none" w:color="auto"/>
                <w:lang w:eastAsia="zh-CN"/>
              </w:rPr>
              <w:t>表面处理车间</w:t>
            </w:r>
            <w:r>
              <w:rPr>
                <w:rFonts w:hint="eastAsia" w:ascii="Times New Roman" w:hAnsi="Times New Roman" w:eastAsia="宋体" w:cs="Times New Roman"/>
                <w:color w:val="auto"/>
                <w:u w:val="none" w:color="auto"/>
                <w:lang w:val="en-US" w:eastAsia="zh-CN"/>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vMerge w:val="continue"/>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p>
        </w:tc>
        <w:tc>
          <w:tcPr>
            <w:tcW w:w="1112" w:type="pc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预测质量浓度（μg/m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w:t>
            </w:r>
          </w:p>
        </w:tc>
        <w:tc>
          <w:tcPr>
            <w:tcW w:w="748" w:type="pc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占标率（%）</w:t>
            </w:r>
          </w:p>
        </w:tc>
        <w:tc>
          <w:tcPr>
            <w:tcW w:w="1112" w:type="pc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预测质量浓度（μg/m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w:t>
            </w:r>
          </w:p>
        </w:tc>
        <w:tc>
          <w:tcPr>
            <w:tcW w:w="748" w:type="pc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0.0199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6.62</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0.0027</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0.0214</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7.13</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0.0234</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7.79</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0.0033</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86</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8.51</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0.0235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7.82</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0.0032</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0.0211</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7.05</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0.0198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6.6</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0.0027</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0.0171</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5.71</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0.0023</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0.0128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4.26</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0.0017</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3.27</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0.0013</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3.01</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0.0084</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2.78</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2.58</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0.0011</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0.0072</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2.41</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0.0067</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2.25</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0.0063</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2.11</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1.98</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0.0056</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1.87</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0.0053</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1.76</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1.67</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0.0048</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1.58</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0.0039</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0.0033</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1.12</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下风向最大质量浓度及占标率%</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8.51</w:t>
            </w:r>
          </w:p>
        </w:tc>
        <w:tc>
          <w:tcPr>
            <w:tcW w:w="1112"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0.0035</w:t>
            </w:r>
          </w:p>
        </w:tc>
        <w:tc>
          <w:tcPr>
            <w:tcW w:w="748" w:type="pct"/>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pct"/>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D10%最远距离</w:t>
            </w:r>
          </w:p>
        </w:tc>
        <w:tc>
          <w:tcPr>
            <w:tcW w:w="1861" w:type="pct"/>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86</w:t>
            </w:r>
            <w:r>
              <w:rPr>
                <w:rFonts w:hint="default" w:ascii="Times New Roman" w:hAnsi="Times New Roman" w:eastAsia="宋体" w:cs="Times New Roman"/>
                <w:color w:val="auto"/>
                <w:u w:val="none" w:color="auto"/>
              </w:rPr>
              <w:t>m</w:t>
            </w:r>
          </w:p>
        </w:tc>
        <w:tc>
          <w:tcPr>
            <w:tcW w:w="1861" w:type="pct"/>
            <w:gridSpan w:val="2"/>
            <w:tcBorders>
              <w:tl2br w:val="nil"/>
              <w:tr2bl w:val="nil"/>
            </w:tcBorders>
            <w:vAlign w:val="center"/>
          </w:tcPr>
          <w:p>
            <w:pPr>
              <w:pStyle w:val="91"/>
              <w:pageBreakBefore w:val="0"/>
              <w:widowControl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86</w:t>
            </w:r>
            <w:r>
              <w:rPr>
                <w:rFonts w:hint="default" w:ascii="Times New Roman" w:hAnsi="Times New Roman" w:eastAsia="宋体" w:cs="Times New Roman"/>
                <w:color w:val="auto"/>
                <w:u w:val="none" w:color="auto"/>
              </w:rPr>
              <w:t>m</w:t>
            </w:r>
          </w:p>
        </w:tc>
      </w:tr>
    </w:tbl>
    <w:p>
      <w:pPr>
        <w:pageBreakBefore w:val="0"/>
        <w:kinsoku/>
        <w:wordWrap/>
        <w:overflowPunct w:val="0"/>
        <w:topLinePunct/>
        <w:autoSpaceDE w:val="0"/>
        <w:autoSpaceDN w:val="0"/>
        <w:bidi w:val="0"/>
        <w:spacing w:line="520" w:lineRule="exact"/>
        <w:ind w:firstLine="424" w:firstLineChars="177"/>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估算模式已考虑了最不利的气象条件，根据预测结果，各污染物下风向预测最大地面浓度、占标率见表</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w:t>
      </w:r>
      <w:r>
        <w:rPr>
          <w:rFonts w:hint="eastAsia" w:ascii="Times New Roman" w:hAnsi="Times New Roman" w:eastAsia="宋体"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rPr>
        <w:t>。</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.2-1</w:t>
      </w:r>
      <w:r>
        <w:rPr>
          <w:rFonts w:hint="eastAsia"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rPr>
        <w:t>污染物下风向预测最大地面浓度、占标率一览表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91"/>
        <w:gridCol w:w="1156"/>
        <w:gridCol w:w="1877"/>
        <w:gridCol w:w="1877"/>
        <w:gridCol w:w="1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9"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类别</w:t>
            </w:r>
          </w:p>
        </w:tc>
        <w:tc>
          <w:tcPr>
            <w:tcW w:w="1091"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污染源</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污染物</w:t>
            </w:r>
          </w:p>
        </w:tc>
        <w:tc>
          <w:tcPr>
            <w:tcW w:w="1877"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下风向最大落地浓度（μg/m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1877"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最大落地浓度占标率Pmax（%）</w:t>
            </w:r>
          </w:p>
        </w:tc>
        <w:tc>
          <w:tcPr>
            <w:tcW w:w="176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下风向最大浓度出现距离m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有组织</w:t>
            </w: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DA001</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TSP</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0.0032</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1.08</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氯化氢</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氟化物</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877"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after="0"/>
              <w:ind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0.01</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DA002</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0.0005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二氧化硫</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0.06</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氮氧化物</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0.0034</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1.35</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DA003</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0.0036</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0.3</w:t>
            </w:r>
          </w:p>
        </w:tc>
        <w:tc>
          <w:tcPr>
            <w:tcW w:w="176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DA004</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0.0108</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3.59</w:t>
            </w:r>
          </w:p>
        </w:tc>
        <w:tc>
          <w:tcPr>
            <w:tcW w:w="176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DA005</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0.0022</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0.72</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0.006</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0.5</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无组织</w:t>
            </w: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熔炼</w:t>
            </w:r>
            <w:r>
              <w:rPr>
                <w:rFonts w:hint="default" w:ascii="Times New Roman" w:hAnsi="Times New Roman" w:eastAsia="宋体" w:cs="Times New Roman"/>
                <w:color w:val="auto"/>
                <w:sz w:val="21"/>
                <w:szCs w:val="21"/>
                <w:u w:val="none" w:color="auto"/>
              </w:rPr>
              <w:t>车间</w:t>
            </w: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0.0255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8.67</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氯化氢</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0.0028</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2.82</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氟化物</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val="en-US" w:eastAsia="zh-CN"/>
              </w:rPr>
              <w:t>镁板轧机</w:t>
            </w:r>
            <w:r>
              <w:rPr>
                <w:rFonts w:hint="default" w:ascii="Times New Roman" w:hAnsi="Times New Roman" w:eastAsia="宋体" w:cs="Times New Roman"/>
                <w:color w:val="auto"/>
                <w:sz w:val="21"/>
                <w:szCs w:val="21"/>
                <w:u w:val="none" w:color="auto"/>
              </w:rPr>
              <w:t>车间</w:t>
            </w:r>
          </w:p>
        </w:tc>
        <w:tc>
          <w:tcPr>
            <w:tcW w:w="115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1766" w:type="dxa"/>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c>
          <w:tcPr>
            <w:tcW w:w="1091" w:type="dxa"/>
            <w:vMerge w:val="restart"/>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表面处理车间</w:t>
            </w: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lang w:val="en-US" w:eastAsia="zh-CN" w:bidi="ar"/>
              </w:rPr>
              <w:t>TSP</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8.51</w:t>
            </w:r>
          </w:p>
        </w:tc>
        <w:tc>
          <w:tcPr>
            <w:tcW w:w="1766" w:type="dxa"/>
            <w:vMerge w:val="restar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091" w:type="dxa"/>
            <w:vMerge w:val="continue"/>
            <w:tcBorders>
              <w:tl2br w:val="nil"/>
              <w:tr2bl w:val="nil"/>
            </w:tcBorders>
            <w:vAlign w:val="center"/>
          </w:tcPr>
          <w:p>
            <w:pPr>
              <w:pStyle w:val="91"/>
              <w:pageBreakBefore w:val="0"/>
              <w:kinsoku/>
              <w:wordWrap/>
              <w:overflowPunct w:val="0"/>
              <w:topLinePunct/>
              <w:autoSpaceDE w:val="0"/>
              <w:autoSpaceDN w:val="0"/>
              <w:bidi w:val="0"/>
              <w:rPr>
                <w:color w:val="auto"/>
                <w:sz w:val="21"/>
                <w:szCs w:val="21"/>
              </w:rPr>
            </w:pPr>
          </w:p>
        </w:tc>
        <w:tc>
          <w:tcPr>
            <w:tcW w:w="1156" w:type="dxa"/>
            <w:tcBorders>
              <w:tl2br w:val="nil"/>
              <w:tr2bl w:val="nil"/>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VOCs</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0.0035</w:t>
            </w:r>
          </w:p>
        </w:tc>
        <w:tc>
          <w:tcPr>
            <w:tcW w:w="1877" w:type="dxa"/>
            <w:tcBorders>
              <w:tl2br w:val="nil"/>
              <w:tr2bl w:val="nil"/>
            </w:tcBorders>
            <w:vAlign w:val="center"/>
          </w:tcPr>
          <w:p>
            <w:pPr>
              <w:keepNext w:val="0"/>
              <w:keepLines w:val="0"/>
              <w:pageBreakBefore w:val="0"/>
              <w:widowControl/>
              <w:suppressLineNumbers w:val="0"/>
              <w:kinsoku/>
              <w:wordWrap/>
              <w:overflowPunct w:val="0"/>
              <w:topLinePunct/>
              <w:autoSpaceDE w:val="0"/>
              <w:autoSpaceDN w:val="0"/>
              <w:bidi w:val="0"/>
              <w:ind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0.29</w:t>
            </w:r>
          </w:p>
        </w:tc>
        <w:tc>
          <w:tcPr>
            <w:tcW w:w="1766" w:type="dxa"/>
            <w:vMerge w:val="continue"/>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p>
        </w:tc>
      </w:tr>
    </w:tbl>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根据《环境影响评价技术导则-大气环境》(HJ2.2-2018)中“5.3.3.1同一项目有多个污染源时，则按各污染源分别确定评价等级，并取评价等级最高者作为项目的评价等级”，本项目最大占标率Pmax为</w:t>
      </w:r>
      <w:r>
        <w:rPr>
          <w:rFonts w:hint="eastAsia" w:ascii="Times New Roman" w:hAnsi="Times New Roman" w:eastAsia="宋体" w:cs="Times New Roman"/>
          <w:color w:val="auto"/>
          <w:sz w:val="24"/>
          <w:szCs w:val="24"/>
          <w:u w:val="none" w:color="auto"/>
          <w:lang w:val="en-US" w:eastAsia="zh-CN"/>
        </w:rPr>
        <w:t>8.67</w:t>
      </w:r>
      <w:r>
        <w:rPr>
          <w:rFonts w:hint="default" w:ascii="Times New Roman" w:hAnsi="Times New Roman" w:eastAsia="宋体" w:cs="Times New Roman"/>
          <w:color w:val="auto"/>
          <w:sz w:val="24"/>
          <w:szCs w:val="24"/>
          <w:u w:val="none" w:color="auto"/>
        </w:rPr>
        <w:t>%＜10%，故本项目的评价等级为二级，因此不需进一步预测与评价，其评价范围为厂界外5km的矩形区域，项目厂界浓度满足大气污染物厂界浓度限值，且厂界外大气污染物短期贡献浓度不超过环境质量浓度限值，所以本项目不需要设置大气环境防护距离。</w:t>
      </w:r>
    </w:p>
    <w:p>
      <w:pPr>
        <w:pageBreakBefore w:val="0"/>
        <w:kinsoku/>
        <w:wordWrap/>
        <w:overflowPunct w:val="0"/>
        <w:topLinePunct/>
        <w:autoSpaceDE w:val="0"/>
        <w:autoSpaceDN w:val="0"/>
        <w:bidi w:val="0"/>
        <w:spacing w:line="360" w:lineRule="auto"/>
        <w:ind w:firstLine="480"/>
        <w:outlineLvl w:val="3"/>
        <w:rPr>
          <w:rFonts w:hint="default" w:ascii="Times New Roman" w:hAnsi="Times New Roman" w:eastAsia="宋体" w:cs="Times New Roman"/>
          <w:b/>
          <w:bCs/>
          <w:color w:val="auto"/>
          <w:sz w:val="24"/>
          <w:szCs w:val="24"/>
          <w:u w:val="none" w:color="auto"/>
        </w:rPr>
      </w:pPr>
      <w:r>
        <w:rPr>
          <w:rFonts w:hint="eastAsia" w:ascii="Times New Roman" w:hAnsi="Times New Roman" w:eastAsia="宋体" w:cs="Times New Roman"/>
          <w:b/>
          <w:bCs/>
          <w:color w:val="auto"/>
          <w:sz w:val="24"/>
          <w:szCs w:val="24"/>
          <w:u w:val="none" w:color="auto"/>
          <w:lang w:val="en-US" w:eastAsia="zh-CN"/>
        </w:rPr>
        <w:t>5.2.1.3</w:t>
      </w:r>
      <w:r>
        <w:rPr>
          <w:rFonts w:hint="default" w:ascii="Times New Roman" w:hAnsi="Times New Roman" w:eastAsia="宋体" w:cs="Times New Roman"/>
          <w:b/>
          <w:bCs/>
          <w:color w:val="auto"/>
          <w:sz w:val="24"/>
          <w:szCs w:val="24"/>
          <w:u w:val="none" w:color="auto"/>
        </w:rPr>
        <w:t>非正常工况下废气环境影响分析</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本项目废气非正常排放主要因为环保措施失效，每年发生非正常情况的次数为2次，每次持续时间小于1h，非正常情况见表</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w:t>
      </w:r>
      <w:r>
        <w:rPr>
          <w:rFonts w:hint="eastAsia" w:ascii="Times New Roman" w:hAnsi="Times New Roman" w:eastAsia="宋体" w:cs="Times New Roman"/>
          <w:color w:val="auto"/>
          <w:sz w:val="24"/>
          <w:szCs w:val="24"/>
          <w:u w:val="none" w:color="auto"/>
          <w:lang w:val="en-US" w:eastAsia="zh-CN"/>
        </w:rPr>
        <w:t>19</w:t>
      </w:r>
      <w:r>
        <w:rPr>
          <w:rFonts w:hint="default" w:ascii="Times New Roman" w:hAnsi="Times New Roman" w:eastAsia="宋体" w:cs="Times New Roman"/>
          <w:color w:val="auto"/>
          <w:sz w:val="24"/>
          <w:szCs w:val="24"/>
          <w:u w:val="none" w:color="auto"/>
        </w:rPr>
        <w:t>。</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5.2-19</w:t>
      </w:r>
      <w:r>
        <w:rPr>
          <w:rFonts w:hint="default" w:ascii="Times New Roman" w:hAnsi="Times New Roman" w:eastAsia="宋体" w:cs="Times New Roman"/>
          <w:color w:val="auto"/>
          <w:sz w:val="24"/>
          <w:szCs w:val="24"/>
          <w:u w:val="none" w:color="auto"/>
        </w:rPr>
        <w:t>项目废气非正常情况排放源强</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021"/>
        <w:gridCol w:w="1256"/>
        <w:gridCol w:w="1062"/>
        <w:gridCol w:w="1063"/>
        <w:gridCol w:w="990"/>
        <w:gridCol w:w="1052"/>
        <w:gridCol w:w="11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烟囱序号</w:t>
            </w:r>
          </w:p>
        </w:tc>
        <w:tc>
          <w:tcPr>
            <w:tcW w:w="598"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污染源</w:t>
            </w:r>
          </w:p>
        </w:tc>
        <w:tc>
          <w:tcPr>
            <w:tcW w:w="736"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非正常排放原因</w:t>
            </w:r>
          </w:p>
        </w:tc>
        <w:tc>
          <w:tcPr>
            <w:tcW w:w="622"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污染物</w:t>
            </w:r>
          </w:p>
        </w:tc>
        <w:tc>
          <w:tcPr>
            <w:tcW w:w="623"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非正常排放速率（kg/h）</w:t>
            </w:r>
          </w:p>
        </w:tc>
        <w:tc>
          <w:tcPr>
            <w:tcW w:w="580"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单次持续时间/h</w:t>
            </w:r>
          </w:p>
        </w:tc>
        <w:tc>
          <w:tcPr>
            <w:tcW w:w="616"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年发生频次</w:t>
            </w:r>
          </w:p>
        </w:tc>
        <w:tc>
          <w:tcPr>
            <w:tcW w:w="672"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DA001</w:t>
            </w:r>
          </w:p>
        </w:tc>
        <w:tc>
          <w:tcPr>
            <w:tcW w:w="598" w:type="pct"/>
            <w:vMerge w:val="restart"/>
            <w:tcBorders>
              <w:tl2br w:val="nil"/>
              <w:tr2bl w:val="nil"/>
            </w:tcBorders>
            <w:vAlign w:val="center"/>
          </w:tcPr>
          <w:p>
            <w:pPr>
              <w:pStyle w:val="91"/>
              <w:pageBreakBefore w:val="0"/>
              <w:tabs>
                <w:tab w:val="left" w:pos="349"/>
              </w:tabs>
              <w:kinsoku/>
              <w:wordWrap/>
              <w:overflowPunct w:val="0"/>
              <w:topLinePunct/>
              <w:autoSpaceDE w:val="0"/>
              <w:autoSpaceDN w:val="0"/>
              <w:bidi w:val="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cs="Times New Roman"/>
                <w:color w:val="auto"/>
                <w:kern w:val="2"/>
                <w:sz w:val="21"/>
                <w:szCs w:val="21"/>
                <w:lang w:val="en-US" w:eastAsia="zh-CN"/>
              </w:rPr>
              <w:t>熔炼和浇筑废气</w:t>
            </w:r>
          </w:p>
        </w:tc>
        <w:tc>
          <w:tcPr>
            <w:tcW w:w="736"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环保措施失效</w:t>
            </w:r>
          </w:p>
        </w:tc>
        <w:tc>
          <w:tcPr>
            <w:tcW w:w="622"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颗粒物</w:t>
            </w:r>
          </w:p>
        </w:tc>
        <w:tc>
          <w:tcPr>
            <w:tcW w:w="623"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2.82</w:t>
            </w:r>
          </w:p>
        </w:tc>
        <w:tc>
          <w:tcPr>
            <w:tcW w:w="580"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16"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672"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59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73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622"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氯化氢</w:t>
            </w:r>
          </w:p>
        </w:tc>
        <w:tc>
          <w:tcPr>
            <w:tcW w:w="623"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sz w:val="21"/>
                <w:szCs w:val="21"/>
                <w:lang w:val="en-US" w:eastAsia="zh-CN"/>
              </w:rPr>
              <w:t>0.31</w:t>
            </w:r>
          </w:p>
        </w:tc>
        <w:tc>
          <w:tcPr>
            <w:tcW w:w="580"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1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72"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59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73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22"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氟化物</w:t>
            </w:r>
          </w:p>
        </w:tc>
        <w:tc>
          <w:tcPr>
            <w:tcW w:w="623"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sz w:val="21"/>
                <w:szCs w:val="21"/>
                <w:lang w:val="en-US" w:eastAsia="zh-CN"/>
              </w:rPr>
              <w:t>0.05</w:t>
            </w:r>
          </w:p>
        </w:tc>
        <w:tc>
          <w:tcPr>
            <w:tcW w:w="580"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1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72"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DA002</w:t>
            </w:r>
          </w:p>
        </w:tc>
        <w:tc>
          <w:tcPr>
            <w:tcW w:w="598"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eastAsia="zh-CN"/>
              </w:rPr>
              <w:t>天然气燃烧废气</w:t>
            </w:r>
          </w:p>
        </w:tc>
        <w:tc>
          <w:tcPr>
            <w:tcW w:w="736"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环保措施失效</w:t>
            </w:r>
          </w:p>
        </w:tc>
        <w:tc>
          <w:tcPr>
            <w:tcW w:w="622"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颗粒物</w:t>
            </w:r>
          </w:p>
        </w:tc>
        <w:tc>
          <w:tcPr>
            <w:tcW w:w="623"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0.03</w:t>
            </w:r>
          </w:p>
        </w:tc>
        <w:tc>
          <w:tcPr>
            <w:tcW w:w="580"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16"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672"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59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73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622"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二氧化硫</w:t>
            </w:r>
          </w:p>
        </w:tc>
        <w:tc>
          <w:tcPr>
            <w:tcW w:w="623"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0.02</w:t>
            </w:r>
          </w:p>
        </w:tc>
        <w:tc>
          <w:tcPr>
            <w:tcW w:w="580"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1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72"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59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73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22"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氮氧化物</w:t>
            </w:r>
          </w:p>
        </w:tc>
        <w:tc>
          <w:tcPr>
            <w:tcW w:w="623" w:type="pct"/>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0.21</w:t>
            </w:r>
          </w:p>
        </w:tc>
        <w:tc>
          <w:tcPr>
            <w:tcW w:w="580"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1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72"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DA003</w:t>
            </w:r>
          </w:p>
        </w:tc>
        <w:tc>
          <w:tcPr>
            <w:tcW w:w="598"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val="en-US" w:eastAsia="zh-CN"/>
              </w:rPr>
              <w:t>镁板轧机废气</w:t>
            </w:r>
          </w:p>
        </w:tc>
        <w:tc>
          <w:tcPr>
            <w:tcW w:w="736"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环保措施失效</w:t>
            </w:r>
          </w:p>
        </w:tc>
        <w:tc>
          <w:tcPr>
            <w:tcW w:w="622"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VOCs</w:t>
            </w:r>
          </w:p>
        </w:tc>
        <w:tc>
          <w:tcPr>
            <w:tcW w:w="623"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0.04</w:t>
            </w:r>
          </w:p>
        </w:tc>
        <w:tc>
          <w:tcPr>
            <w:tcW w:w="580"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16"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672"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DA004</w:t>
            </w:r>
          </w:p>
        </w:tc>
        <w:tc>
          <w:tcPr>
            <w:tcW w:w="598"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eastAsia="zh-CN"/>
              </w:rPr>
              <w:t>等离子喷涂</w:t>
            </w:r>
            <w:r>
              <w:rPr>
                <w:rFonts w:hint="eastAsia" w:ascii="Times New Roman" w:hAnsi="Times New Roman" w:cs="Times New Roman"/>
                <w:color w:val="auto"/>
                <w:kern w:val="2"/>
                <w:sz w:val="21"/>
                <w:szCs w:val="21"/>
                <w:lang w:eastAsia="zh-CN"/>
              </w:rPr>
              <w:t>废气</w:t>
            </w:r>
          </w:p>
        </w:tc>
        <w:tc>
          <w:tcPr>
            <w:tcW w:w="736"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环保措施失效</w:t>
            </w:r>
          </w:p>
        </w:tc>
        <w:tc>
          <w:tcPr>
            <w:tcW w:w="106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eastAsia="zh-CN"/>
              </w:rPr>
              <w:t>颗粒物</w:t>
            </w:r>
          </w:p>
        </w:tc>
        <w:tc>
          <w:tcPr>
            <w:tcW w:w="1063"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2.08</w:t>
            </w:r>
          </w:p>
        </w:tc>
        <w:tc>
          <w:tcPr>
            <w:tcW w:w="580"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16"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672"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DA005</w:t>
            </w:r>
          </w:p>
        </w:tc>
        <w:tc>
          <w:tcPr>
            <w:tcW w:w="598"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喷漆和烘干</w:t>
            </w:r>
          </w:p>
        </w:tc>
        <w:tc>
          <w:tcPr>
            <w:tcW w:w="736"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环保措施失效</w:t>
            </w:r>
          </w:p>
        </w:tc>
        <w:tc>
          <w:tcPr>
            <w:tcW w:w="106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eastAsia="zh-CN"/>
              </w:rPr>
              <w:t>颗粒物</w:t>
            </w:r>
          </w:p>
        </w:tc>
        <w:tc>
          <w:tcPr>
            <w:tcW w:w="1063"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0.92</w:t>
            </w:r>
          </w:p>
        </w:tc>
        <w:tc>
          <w:tcPr>
            <w:tcW w:w="580"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16"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672" w:type="pct"/>
            <w:vMerge w:val="restar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598"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73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color w:val="auto"/>
                <w:sz w:val="21"/>
                <w:szCs w:val="21"/>
              </w:rPr>
            </w:pPr>
          </w:p>
        </w:tc>
        <w:tc>
          <w:tcPr>
            <w:tcW w:w="106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VOCs</w:t>
            </w:r>
          </w:p>
        </w:tc>
        <w:tc>
          <w:tcPr>
            <w:tcW w:w="623" w:type="pct"/>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580"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16"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c>
          <w:tcPr>
            <w:tcW w:w="672" w:type="pct"/>
            <w:vMerge w:val="continue"/>
            <w:tcBorders>
              <w:tl2br w:val="nil"/>
              <w:tr2bl w:val="nil"/>
            </w:tcBorders>
            <w:vAlign w:val="center"/>
          </w:tcPr>
          <w:p>
            <w:pPr>
              <w:pStyle w:val="91"/>
              <w:pageBreakBefore w:val="0"/>
              <w:kinsoku/>
              <w:wordWrap/>
              <w:overflowPunct w:val="0"/>
              <w:topLinePunct/>
              <w:autoSpaceDE w:val="0"/>
              <w:autoSpaceDN w:val="0"/>
              <w:bidi w:val="0"/>
              <w:jc w:val="center"/>
              <w:rPr>
                <w:rFonts w:hint="default" w:ascii="Times New Roman" w:hAnsi="Times New Roman" w:eastAsia="宋体" w:cs="Times New Roman"/>
                <w:color w:val="auto"/>
                <w:sz w:val="21"/>
                <w:szCs w:val="21"/>
                <w:u w:val="none" w:color="auto"/>
              </w:rPr>
            </w:pPr>
          </w:p>
        </w:tc>
      </w:tr>
    </w:tbl>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为减少废气处理措施非正常工况，要求建设单位定期对废气处理设施进行巡查，一旦发生不正常排放，则停止生产，维修废气处理设备。</w:t>
      </w:r>
    </w:p>
    <w:p>
      <w:pPr>
        <w:pStyle w:val="8"/>
        <w:pageBreakBefore w:val="0"/>
        <w:tabs>
          <w:tab w:val="left" w:pos="0"/>
        </w:tabs>
        <w:kinsoku/>
        <w:wordWrap/>
        <w:overflowPunct w:val="0"/>
        <w:topLinePunct/>
        <w:autoSpaceDE w:val="0"/>
        <w:autoSpaceDN w:val="0"/>
        <w:bidi w:val="0"/>
        <w:ind w:firstLine="480"/>
        <w:rPr>
          <w:rFonts w:hint="default" w:ascii="Times New Roman" w:hAnsi="Times New Roman" w:eastAsia="宋体" w:cs="Times New Roman"/>
          <w:color w:val="auto"/>
          <w:u w:val="none" w:color="auto"/>
        </w:rPr>
      </w:pPr>
      <w:r>
        <w:rPr>
          <w:rFonts w:hint="eastAsia" w:cs="Times New Roman"/>
          <w:color w:val="auto"/>
          <w:u w:val="none" w:color="auto"/>
          <w:lang w:val="en-US" w:eastAsia="zh-CN"/>
        </w:rPr>
        <w:t>5.2.1.4</w:t>
      </w:r>
      <w:r>
        <w:rPr>
          <w:rFonts w:hint="default" w:ascii="Times New Roman" w:hAnsi="Times New Roman" w:eastAsia="宋体" w:cs="Times New Roman"/>
          <w:color w:val="auto"/>
          <w:u w:val="none" w:color="auto"/>
        </w:rPr>
        <w:t>污染物排放量核算</w:t>
      </w:r>
    </w:p>
    <w:p>
      <w:pPr>
        <w:pageBreakBefore w:val="0"/>
        <w:numPr>
          <w:ilvl w:val="0"/>
          <w:numId w:val="3"/>
        </w:numPr>
        <w:kinsoku/>
        <w:wordWrap/>
        <w:overflowPunct w:val="0"/>
        <w:topLinePunct/>
        <w:autoSpaceDE w:val="0"/>
        <w:autoSpaceDN w:val="0"/>
        <w:bidi w:val="0"/>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有组织污染物排放量核算：</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w:t>
      </w:r>
      <w:r>
        <w:rPr>
          <w:rFonts w:hint="eastAsia" w:cs="Times New Roman"/>
          <w:color w:val="auto"/>
          <w:sz w:val="24"/>
          <w:szCs w:val="24"/>
          <w:u w:val="none" w:color="auto"/>
          <w:lang w:val="en-US" w:eastAsia="zh-CN"/>
        </w:rPr>
        <w:t>20</w:t>
      </w:r>
      <w:r>
        <w:rPr>
          <w:rFonts w:hint="default" w:ascii="Times New Roman" w:hAnsi="Times New Roman" w:eastAsia="宋体" w:cs="Times New Roman"/>
          <w:color w:val="auto"/>
          <w:sz w:val="24"/>
          <w:szCs w:val="24"/>
          <w:u w:val="none" w:color="auto"/>
        </w:rPr>
        <w:t>大气污染物有组织排放量核算表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071"/>
        <w:gridCol w:w="1484"/>
        <w:gridCol w:w="1661"/>
        <w:gridCol w:w="1524"/>
        <w:gridCol w:w="16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序号</w:t>
            </w:r>
          </w:p>
        </w:tc>
        <w:tc>
          <w:tcPr>
            <w:tcW w:w="6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排放口编号</w:t>
            </w:r>
          </w:p>
        </w:tc>
        <w:tc>
          <w:tcPr>
            <w:tcW w:w="870"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污染物</w:t>
            </w:r>
          </w:p>
        </w:tc>
        <w:tc>
          <w:tcPr>
            <w:tcW w:w="974"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核算排放浓度/(mg/m</w:t>
            </w:r>
            <w:r>
              <w:rPr>
                <w:rFonts w:hint="default" w:ascii="Times New Roman" w:hAnsi="Times New Roman" w:eastAsia="宋体" w:cs="Times New Roman"/>
                <w:color w:val="auto"/>
                <w:kern w:val="2"/>
                <w:sz w:val="21"/>
                <w:szCs w:val="21"/>
                <w:u w:val="none" w:color="auto"/>
                <w:vertAlign w:val="superscript"/>
              </w:rPr>
              <w:t>3</w:t>
            </w:r>
            <w:r>
              <w:rPr>
                <w:rFonts w:hint="default" w:ascii="Times New Roman" w:hAnsi="Times New Roman" w:eastAsia="宋体" w:cs="Times New Roman"/>
                <w:color w:val="auto"/>
                <w:kern w:val="2"/>
                <w:sz w:val="21"/>
                <w:szCs w:val="21"/>
                <w:u w:val="none" w:color="auto"/>
              </w:rPr>
              <w:t>)</w:t>
            </w:r>
          </w:p>
        </w:tc>
        <w:tc>
          <w:tcPr>
            <w:tcW w:w="89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核算排放速率/(kg/h)</w:t>
            </w:r>
          </w:p>
        </w:tc>
        <w:tc>
          <w:tcPr>
            <w:tcW w:w="941"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w:t>
            </w:r>
          </w:p>
        </w:tc>
        <w:tc>
          <w:tcPr>
            <w:tcW w:w="628"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w:t>
            </w:r>
          </w:p>
        </w:tc>
        <w:tc>
          <w:tcPr>
            <w:tcW w:w="870"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w:t>
            </w:r>
          </w:p>
        </w:tc>
        <w:tc>
          <w:tcPr>
            <w:tcW w:w="974"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w:t>
            </w:r>
          </w:p>
        </w:tc>
        <w:tc>
          <w:tcPr>
            <w:tcW w:w="893"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w:t>
            </w:r>
          </w:p>
        </w:tc>
        <w:tc>
          <w:tcPr>
            <w:tcW w:w="941" w:type="pc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2"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w:t>
            </w:r>
          </w:p>
        </w:tc>
        <w:tc>
          <w:tcPr>
            <w:tcW w:w="628"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DA001</w:t>
            </w: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颗粒物</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0.89</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0.027</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2" w:type="pct"/>
            <w:vMerge w:val="continue"/>
            <w:vAlign w:val="center"/>
          </w:tcPr>
          <w:p>
            <w:pPr>
              <w:pStyle w:val="91"/>
              <w:pageBreakBefore w:val="0"/>
              <w:kinsoku/>
              <w:wordWrap/>
              <w:overflowPunct w:val="0"/>
              <w:topLinePunct/>
              <w:autoSpaceDE w:val="0"/>
              <w:autoSpaceDN w:val="0"/>
              <w:bidi w:val="0"/>
              <w:ind w:right="113"/>
              <w:rPr>
                <w:color w:val="auto"/>
                <w:sz w:val="21"/>
                <w:szCs w:val="21"/>
              </w:rPr>
            </w:pPr>
          </w:p>
        </w:tc>
        <w:tc>
          <w:tcPr>
            <w:tcW w:w="628" w:type="pct"/>
            <w:vMerge w:val="continue"/>
            <w:vAlign w:val="center"/>
          </w:tcPr>
          <w:p>
            <w:pPr>
              <w:pStyle w:val="91"/>
              <w:pageBreakBefore w:val="0"/>
              <w:kinsoku/>
              <w:wordWrap/>
              <w:overflowPunct w:val="0"/>
              <w:topLinePunct/>
              <w:autoSpaceDE w:val="0"/>
              <w:autoSpaceDN w:val="0"/>
              <w:bidi w:val="0"/>
              <w:ind w:right="113"/>
              <w:rPr>
                <w:color w:val="auto"/>
                <w:sz w:val="21"/>
                <w:szCs w:val="21"/>
              </w:rPr>
            </w:pP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氯化氢</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cs="Times New Roman" w:eastAsiaTheme="minorEastAsia"/>
                <w:color w:val="auto"/>
                <w:sz w:val="21"/>
                <w:szCs w:val="21"/>
                <w:lang w:val="en-US" w:eastAsia="zh-CN"/>
              </w:rPr>
              <w:t>1.53</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spacing w:val="11"/>
                <w:sz w:val="21"/>
                <w:szCs w:val="21"/>
                <w:u w:val="none" w:color="auto"/>
                <w:lang w:val="en-US" w:eastAsia="zh-CN"/>
              </w:rPr>
              <w:t>0.046</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spacing w:val="11"/>
                <w:sz w:val="21"/>
                <w:szCs w:val="21"/>
                <w:u w:val="none" w:color="auto"/>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2" w:type="pct"/>
            <w:vMerge w:val="continue"/>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rPr>
            </w:pPr>
          </w:p>
        </w:tc>
        <w:tc>
          <w:tcPr>
            <w:tcW w:w="628" w:type="pct"/>
            <w:vMerge w:val="continue"/>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rPr>
            </w:pP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氟化物</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val="en-US" w:eastAsia="zh-CN"/>
              </w:rPr>
              <w:t>0.23</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val="en-US" w:eastAsia="zh-CN"/>
              </w:rPr>
              <w:t>0.007</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2"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w:t>
            </w:r>
          </w:p>
        </w:tc>
        <w:tc>
          <w:tcPr>
            <w:tcW w:w="628" w:type="pct"/>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DA002</w:t>
            </w: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颗粒物</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spacing w:val="-1"/>
                <w:sz w:val="21"/>
                <w:szCs w:val="21"/>
                <w:u w:val="none" w:color="auto"/>
                <w:lang w:val="en-US" w:eastAsia="zh-CN"/>
              </w:rPr>
              <w:t>3.82</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0.03</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sz w:val="21"/>
                <w:szCs w:val="21"/>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2" w:type="pct"/>
            <w:vMerge w:val="continue"/>
            <w:vAlign w:val="center"/>
          </w:tcPr>
          <w:p>
            <w:pPr>
              <w:pStyle w:val="91"/>
              <w:pageBreakBefore w:val="0"/>
              <w:kinsoku/>
              <w:wordWrap/>
              <w:overflowPunct w:val="0"/>
              <w:topLinePunct/>
              <w:autoSpaceDE w:val="0"/>
              <w:autoSpaceDN w:val="0"/>
              <w:bidi w:val="0"/>
              <w:ind w:right="113"/>
              <w:rPr>
                <w:color w:val="auto"/>
                <w:sz w:val="21"/>
                <w:szCs w:val="21"/>
              </w:rPr>
            </w:pPr>
          </w:p>
        </w:tc>
        <w:tc>
          <w:tcPr>
            <w:tcW w:w="628" w:type="pct"/>
            <w:vMerge w:val="continue"/>
            <w:vAlign w:val="center"/>
          </w:tcPr>
          <w:p>
            <w:pPr>
              <w:pStyle w:val="91"/>
              <w:pageBreakBefore w:val="0"/>
              <w:kinsoku/>
              <w:wordWrap/>
              <w:overflowPunct w:val="0"/>
              <w:topLinePunct/>
              <w:autoSpaceDE w:val="0"/>
              <w:autoSpaceDN w:val="0"/>
              <w:bidi w:val="0"/>
              <w:ind w:right="113"/>
              <w:rPr>
                <w:color w:val="auto"/>
                <w:sz w:val="21"/>
                <w:szCs w:val="21"/>
              </w:rPr>
            </w:pP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二氧化硫</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spacing w:val="-1"/>
                <w:sz w:val="21"/>
                <w:szCs w:val="21"/>
                <w:u w:val="none" w:color="auto"/>
                <w:lang w:val="en-US" w:eastAsia="zh-CN"/>
              </w:rPr>
              <w:t>2.69</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0.02</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2" w:type="pct"/>
            <w:vMerge w:val="continue"/>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rPr>
            </w:pPr>
          </w:p>
        </w:tc>
        <w:tc>
          <w:tcPr>
            <w:tcW w:w="628" w:type="pct"/>
            <w:vMerge w:val="continue"/>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rPr>
            </w:pP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氮氧化物</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spacing w:val="-1"/>
                <w:sz w:val="21"/>
                <w:szCs w:val="21"/>
                <w:u w:val="none" w:color="auto"/>
                <w:lang w:val="en-US" w:eastAsia="zh-CN"/>
              </w:rPr>
              <w:t>12.59</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0.21</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lang w:val="en-US" w:eastAsia="zh-CN"/>
              </w:rPr>
              <w:t>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92" w:type="pct"/>
            <w:vMerge w:val="restar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val="en-US" w:eastAsia="zh-CN"/>
              </w:rPr>
              <w:t>3</w:t>
            </w:r>
          </w:p>
        </w:tc>
        <w:tc>
          <w:tcPr>
            <w:tcW w:w="628" w:type="pct"/>
            <w:vMerge w:val="restart"/>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sz w:val="21"/>
                <w:szCs w:val="21"/>
                <w:u w:val="none" w:color="auto"/>
                <w:lang w:eastAsia="zh-CN"/>
              </w:rPr>
            </w:pPr>
            <w:r>
              <w:rPr>
                <w:rFonts w:hint="default" w:ascii="Times New Roman" w:hAnsi="Times New Roman" w:eastAsia="宋体" w:cs="Times New Roman"/>
                <w:color w:val="auto"/>
                <w:kern w:val="2"/>
                <w:sz w:val="21"/>
                <w:szCs w:val="21"/>
                <w:u w:val="none" w:color="auto"/>
              </w:rPr>
              <w:t>DA00</w:t>
            </w:r>
            <w:r>
              <w:rPr>
                <w:rFonts w:hint="eastAsia" w:ascii="Times New Roman" w:hAnsi="Times New Roman" w:eastAsia="宋体" w:cs="Times New Roman"/>
                <w:color w:val="auto"/>
                <w:kern w:val="2"/>
                <w:sz w:val="21"/>
                <w:szCs w:val="21"/>
                <w:u w:val="none" w:color="auto"/>
                <w:lang w:val="en-US" w:eastAsia="zh-CN"/>
              </w:rPr>
              <w:t>3</w:t>
            </w: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cs="Times New Roman"/>
                <w:color w:val="auto"/>
                <w:kern w:val="2"/>
                <w:sz w:val="21"/>
                <w:szCs w:val="21"/>
                <w:lang w:eastAsia="zh-CN"/>
              </w:rPr>
              <w:t>颗粒物</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1.84</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val="en-US" w:eastAsia="zh-CN"/>
              </w:rPr>
              <w:t>0.018</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92" w:type="pct"/>
            <w:vMerge w:val="continue"/>
            <w:vAlign w:val="center"/>
          </w:tcPr>
          <w:p>
            <w:pPr>
              <w:pStyle w:val="91"/>
              <w:pageBreakBefore w:val="0"/>
              <w:kinsoku/>
              <w:wordWrap/>
              <w:overflowPunct w:val="0"/>
              <w:topLinePunct/>
              <w:autoSpaceDE w:val="0"/>
              <w:autoSpaceDN w:val="0"/>
              <w:bidi w:val="0"/>
              <w:ind w:right="113"/>
              <w:rPr>
                <w:color w:val="auto"/>
                <w:sz w:val="21"/>
                <w:szCs w:val="21"/>
              </w:rPr>
            </w:pPr>
          </w:p>
        </w:tc>
        <w:tc>
          <w:tcPr>
            <w:tcW w:w="628" w:type="pct"/>
            <w:vMerge w:val="continue"/>
            <w:vAlign w:val="center"/>
          </w:tcPr>
          <w:p>
            <w:pPr>
              <w:pStyle w:val="91"/>
              <w:pageBreakBefore w:val="0"/>
              <w:kinsoku/>
              <w:wordWrap/>
              <w:overflowPunct w:val="0"/>
              <w:topLinePunct/>
              <w:autoSpaceDE w:val="0"/>
              <w:autoSpaceDN w:val="0"/>
              <w:bidi w:val="0"/>
              <w:ind w:right="113"/>
              <w:rPr>
                <w:color w:val="auto"/>
                <w:sz w:val="21"/>
                <w:szCs w:val="21"/>
              </w:rPr>
            </w:pPr>
          </w:p>
        </w:tc>
        <w:tc>
          <w:tcPr>
            <w:tcW w:w="870"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VOCs</w:t>
            </w:r>
          </w:p>
        </w:tc>
        <w:tc>
          <w:tcPr>
            <w:tcW w:w="974"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32.45</w:t>
            </w:r>
          </w:p>
        </w:tc>
        <w:tc>
          <w:tcPr>
            <w:tcW w:w="893"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0.05</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0" w:type="pct"/>
            <w:gridSpan w:val="2"/>
            <w:vMerge w:val="restart"/>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有组织排放总计</w:t>
            </w:r>
          </w:p>
        </w:tc>
        <w:tc>
          <w:tcPr>
            <w:tcW w:w="2738"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颗粒物</w:t>
            </w:r>
          </w:p>
        </w:tc>
        <w:tc>
          <w:tcPr>
            <w:tcW w:w="941" w:type="pct"/>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0" w:type="pct"/>
            <w:gridSpan w:val="2"/>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738"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氯化氢</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0" w:type="pct"/>
            <w:gridSpan w:val="2"/>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738"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氟化物</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spacing w:val="11"/>
                <w:sz w:val="21"/>
                <w:szCs w:val="21"/>
                <w:u w:val="none" w:color="auto"/>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0" w:type="pct"/>
            <w:gridSpan w:val="2"/>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738"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二氧化硫</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sz w:val="21"/>
                <w:szCs w:val="21"/>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0" w:type="pct"/>
            <w:gridSpan w:val="2"/>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738" w:type="pct"/>
            <w:gridSpan w:val="3"/>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eastAsia="zh-CN"/>
              </w:rPr>
              <w:t>氮氧化物</w:t>
            </w:r>
          </w:p>
        </w:tc>
        <w:tc>
          <w:tcPr>
            <w:tcW w:w="941" w:type="pct"/>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lang w:val="en-US" w:eastAsia="zh-CN"/>
              </w:rPr>
              <w:t>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0" w:type="pct"/>
            <w:gridSpan w:val="2"/>
            <w:vMerge w:val="continue"/>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p>
        </w:tc>
        <w:tc>
          <w:tcPr>
            <w:tcW w:w="2738" w:type="pct"/>
            <w:gridSpan w:val="3"/>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sz w:val="21"/>
                <w:szCs w:val="21"/>
                <w:u w:val="none" w:color="auto"/>
              </w:rPr>
            </w:pPr>
            <w:r>
              <w:rPr>
                <w:rFonts w:hint="eastAsia" w:ascii="Times New Roman" w:hAnsi="Times New Roman" w:cs="Times New Roman"/>
                <w:color w:val="auto"/>
                <w:kern w:val="2"/>
                <w:sz w:val="21"/>
                <w:szCs w:val="21"/>
                <w:lang w:val="en-US" w:eastAsia="zh-CN"/>
              </w:rPr>
              <w:t>VOCs</w:t>
            </w:r>
          </w:p>
        </w:tc>
        <w:tc>
          <w:tcPr>
            <w:tcW w:w="941" w:type="pct"/>
            <w:vAlign w:val="center"/>
          </w:tcPr>
          <w:p>
            <w:pPr>
              <w:pStyle w:val="91"/>
              <w:pageBreakBefore w:val="0"/>
              <w:kinsoku/>
              <w:wordWrap/>
              <w:overflowPunct w:val="0"/>
              <w:topLinePunct/>
              <w:autoSpaceDE w:val="0"/>
              <w:autoSpaceDN w:val="0"/>
              <w:bidi w:val="0"/>
              <w:ind w:right="113"/>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0.62</w:t>
            </w:r>
          </w:p>
        </w:tc>
      </w:tr>
    </w:tbl>
    <w:p>
      <w:pPr>
        <w:pageBreakBefore w:val="0"/>
        <w:numPr>
          <w:ilvl w:val="0"/>
          <w:numId w:val="3"/>
        </w:numPr>
        <w:kinsoku/>
        <w:wordWrap/>
        <w:overflowPunct w:val="0"/>
        <w:topLinePunct/>
        <w:autoSpaceDE w:val="0"/>
        <w:autoSpaceDN w:val="0"/>
        <w:bidi w:val="0"/>
        <w:adjustRightInd w:val="0"/>
        <w:snapToGrid w:val="0"/>
        <w:spacing w:before="156" w:beforeLines="50"/>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无组织污染物排放量核算：</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.2-2</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大气污染物无组织排放量核算表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8"/>
        <w:gridCol w:w="900"/>
        <w:gridCol w:w="957"/>
        <w:gridCol w:w="897"/>
        <w:gridCol w:w="1045"/>
        <w:gridCol w:w="1893"/>
        <w:gridCol w:w="1015"/>
        <w:gridCol w:w="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序号</w:t>
            </w:r>
          </w:p>
        </w:tc>
        <w:tc>
          <w:tcPr>
            <w:tcW w:w="375"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排放口编号</w:t>
            </w:r>
          </w:p>
        </w:tc>
        <w:tc>
          <w:tcPr>
            <w:tcW w:w="528"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产污环节</w:t>
            </w:r>
          </w:p>
        </w:tc>
        <w:tc>
          <w:tcPr>
            <w:tcW w:w="1087" w:type="pct"/>
            <w:gridSpan w:val="2"/>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污染物</w:t>
            </w:r>
          </w:p>
        </w:tc>
        <w:tc>
          <w:tcPr>
            <w:tcW w:w="613"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主要污染防治措施</w:t>
            </w:r>
          </w:p>
        </w:tc>
        <w:tc>
          <w:tcPr>
            <w:tcW w:w="1703"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国家或地方污染物排放标准</w:t>
            </w:r>
          </w:p>
        </w:tc>
        <w:tc>
          <w:tcPr>
            <w:tcW w:w="442"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375"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28"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1087" w:type="pct"/>
            <w:gridSpan w:val="2"/>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613"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1107"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标准名称</w:t>
            </w: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浓度限值/(mg/m</w:t>
            </w:r>
            <w:r>
              <w:rPr>
                <w:rFonts w:hint="default" w:ascii="Times New Roman" w:hAnsi="Times New Roman" w:eastAsia="宋体" w:cs="Times New Roman"/>
                <w:color w:val="auto"/>
                <w:kern w:val="2"/>
                <w:u w:val="none" w:color="auto"/>
                <w:vertAlign w:val="superscript"/>
              </w:rPr>
              <w:t>3</w:t>
            </w:r>
            <w:r>
              <w:rPr>
                <w:rFonts w:hint="default" w:ascii="Times New Roman" w:hAnsi="Times New Roman" w:eastAsia="宋体" w:cs="Times New Roman"/>
                <w:color w:val="auto"/>
                <w:kern w:val="2"/>
                <w:u w:val="none" w:color="auto"/>
              </w:rPr>
              <w:t>)</w:t>
            </w:r>
          </w:p>
        </w:tc>
        <w:tc>
          <w:tcPr>
            <w:tcW w:w="442"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1</w:t>
            </w:r>
          </w:p>
        </w:tc>
        <w:tc>
          <w:tcPr>
            <w:tcW w:w="375"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w:t>
            </w:r>
          </w:p>
        </w:tc>
        <w:tc>
          <w:tcPr>
            <w:tcW w:w="528"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熔炼车间</w:t>
            </w:r>
          </w:p>
        </w:tc>
        <w:tc>
          <w:tcPr>
            <w:tcW w:w="108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sz w:val="21"/>
                <w:szCs w:val="21"/>
                <w:lang w:eastAsia="zh-CN"/>
              </w:rPr>
              <w:t>颗粒物</w:t>
            </w:r>
          </w:p>
        </w:tc>
        <w:tc>
          <w:tcPr>
            <w:tcW w:w="613"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t>
            </w:r>
          </w:p>
        </w:tc>
        <w:tc>
          <w:tcPr>
            <w:tcW w:w="1107"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《大气污染物综合排放标准》（GB16297-1996）表2中排放标准限值</w:t>
            </w: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1.0</w:t>
            </w:r>
          </w:p>
        </w:tc>
        <w:tc>
          <w:tcPr>
            <w:tcW w:w="442"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val="en-US" w:eastAsia="zh-CN"/>
              </w:rPr>
              <w:t>1.016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375"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28"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108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氯化氢</w:t>
            </w:r>
          </w:p>
        </w:tc>
        <w:tc>
          <w:tcPr>
            <w:tcW w:w="613"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1107"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0.2</w:t>
            </w:r>
          </w:p>
        </w:tc>
        <w:tc>
          <w:tcPr>
            <w:tcW w:w="442"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375"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28"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108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氟化物</w:t>
            </w:r>
          </w:p>
        </w:tc>
        <w:tc>
          <w:tcPr>
            <w:tcW w:w="613"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w:t>
            </w:r>
          </w:p>
        </w:tc>
        <w:tc>
          <w:tcPr>
            <w:tcW w:w="1107"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0.02</w:t>
            </w:r>
          </w:p>
        </w:tc>
        <w:tc>
          <w:tcPr>
            <w:tcW w:w="442"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2</w:t>
            </w:r>
          </w:p>
        </w:tc>
        <w:tc>
          <w:tcPr>
            <w:tcW w:w="37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w:t>
            </w:r>
          </w:p>
        </w:tc>
        <w:tc>
          <w:tcPr>
            <w:tcW w:w="528"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cs="Times New Roman"/>
                <w:color w:val="auto"/>
                <w:kern w:val="2"/>
                <w:sz w:val="21"/>
                <w:szCs w:val="21"/>
                <w:lang w:val="en-US" w:eastAsia="zh-CN"/>
              </w:rPr>
              <w:t>镁板轧机</w:t>
            </w:r>
            <w:r>
              <w:rPr>
                <w:rFonts w:hint="eastAsia" w:ascii="Times New Roman" w:hAnsi="Times New Roman" w:cs="Times New Roman"/>
                <w:color w:val="auto"/>
                <w:kern w:val="2"/>
                <w:sz w:val="21"/>
                <w:szCs w:val="21"/>
                <w:lang w:val="en-US" w:eastAsia="zh-CN"/>
              </w:rPr>
              <w:t>车间</w:t>
            </w:r>
          </w:p>
        </w:tc>
        <w:tc>
          <w:tcPr>
            <w:tcW w:w="108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eastAsia" w:ascii="Times New Roman" w:hAnsi="Times New Roman" w:eastAsia="宋体" w:cs="Times New Roman"/>
                <w:color w:val="auto"/>
                <w:kern w:val="2"/>
                <w:u w:val="none" w:color="auto"/>
                <w:lang w:eastAsia="zh-CN"/>
              </w:rPr>
            </w:pPr>
            <w:r>
              <w:rPr>
                <w:rFonts w:hint="default" w:ascii="Times New Roman" w:hAnsi="Times New Roman" w:eastAsia="宋体" w:cs="Times New Roman"/>
                <w:color w:val="auto"/>
                <w:kern w:val="2"/>
                <w:u w:val="none" w:color="auto"/>
              </w:rPr>
              <w:t>VOCs</w:t>
            </w:r>
            <w:r>
              <w:rPr>
                <w:rFonts w:hint="eastAsia" w:ascii="Times New Roman" w:hAnsi="Times New Roman" w:eastAsia="宋体" w:cs="Times New Roman"/>
                <w:color w:val="auto"/>
                <w:kern w:val="2"/>
                <w:u w:val="none" w:color="auto"/>
                <w:lang w:eastAsia="zh-CN"/>
              </w:rPr>
              <w:t>（以非甲烷总烃计）</w:t>
            </w:r>
          </w:p>
        </w:tc>
        <w:tc>
          <w:tcPr>
            <w:tcW w:w="613"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w:t>
            </w:r>
          </w:p>
        </w:tc>
        <w:tc>
          <w:tcPr>
            <w:tcW w:w="1107"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4</w:t>
            </w:r>
          </w:p>
        </w:tc>
        <w:tc>
          <w:tcPr>
            <w:tcW w:w="442"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49"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eastAsia"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3</w:t>
            </w:r>
          </w:p>
        </w:tc>
        <w:tc>
          <w:tcPr>
            <w:tcW w:w="375"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28" w:type="pct"/>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表面处理车间（喷涂加喷漆）</w:t>
            </w:r>
          </w:p>
        </w:tc>
        <w:tc>
          <w:tcPr>
            <w:tcW w:w="108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cs="Times New Roman"/>
                <w:color w:val="auto"/>
                <w:kern w:val="2"/>
                <w:sz w:val="21"/>
                <w:szCs w:val="21"/>
                <w:lang w:eastAsia="zh-CN"/>
              </w:rPr>
              <w:t>颗粒物</w:t>
            </w:r>
          </w:p>
        </w:tc>
        <w:tc>
          <w:tcPr>
            <w:tcW w:w="613"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w:t>
            </w:r>
          </w:p>
        </w:tc>
        <w:tc>
          <w:tcPr>
            <w:tcW w:w="1107"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1.0</w:t>
            </w:r>
          </w:p>
        </w:tc>
        <w:tc>
          <w:tcPr>
            <w:tcW w:w="442"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u w:val="none" w:color="auto"/>
              </w:rPr>
            </w:pPr>
            <w:r>
              <w:rPr>
                <w:rFonts w:hint="eastAsia" w:ascii="Times New Roman" w:hAnsi="Times New Roman" w:cs="Times New Roman"/>
                <w:color w:val="auto"/>
                <w:sz w:val="21"/>
                <w:szCs w:val="21"/>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49"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color w:val="auto"/>
              </w:rPr>
            </w:pPr>
          </w:p>
        </w:tc>
        <w:tc>
          <w:tcPr>
            <w:tcW w:w="375"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color w:val="auto"/>
              </w:rPr>
            </w:pPr>
          </w:p>
        </w:tc>
        <w:tc>
          <w:tcPr>
            <w:tcW w:w="528"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color w:val="auto"/>
              </w:rPr>
            </w:pPr>
          </w:p>
        </w:tc>
        <w:tc>
          <w:tcPr>
            <w:tcW w:w="108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VOCs</w:t>
            </w:r>
            <w:r>
              <w:rPr>
                <w:rFonts w:hint="eastAsia" w:ascii="Times New Roman" w:hAnsi="Times New Roman" w:eastAsia="宋体" w:cs="Times New Roman"/>
                <w:color w:val="auto"/>
                <w:kern w:val="2"/>
                <w:u w:val="none" w:color="auto"/>
                <w:lang w:eastAsia="zh-CN"/>
              </w:rPr>
              <w:t>（以非甲烷总烃计）</w:t>
            </w:r>
          </w:p>
        </w:tc>
        <w:tc>
          <w:tcPr>
            <w:tcW w:w="613"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w:t>
            </w:r>
          </w:p>
        </w:tc>
        <w:tc>
          <w:tcPr>
            <w:tcW w:w="1107" w:type="pct"/>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595"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eastAsia"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4</w:t>
            </w:r>
          </w:p>
        </w:tc>
        <w:tc>
          <w:tcPr>
            <w:tcW w:w="442" w:type="pct"/>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sz w:val="21"/>
                <w:szCs w:val="21"/>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pct"/>
            <w:gridSpan w:val="4"/>
            <w:vMerge w:val="restart"/>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无组织排放总计</w:t>
            </w:r>
          </w:p>
        </w:tc>
        <w:tc>
          <w:tcPr>
            <w:tcW w:w="2249" w:type="pct"/>
            <w:gridSpan w:val="3"/>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sz w:val="21"/>
                <w:szCs w:val="21"/>
                <w:lang w:eastAsia="zh-CN"/>
              </w:rPr>
              <w:t>颗粒物</w:t>
            </w:r>
          </w:p>
        </w:tc>
        <w:tc>
          <w:tcPr>
            <w:tcW w:w="103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lang w:val="en-US"/>
              </w:rPr>
            </w:pPr>
            <w:r>
              <w:rPr>
                <w:rFonts w:hint="eastAsia" w:ascii="Times New Roman" w:hAnsi="Times New Roman" w:cs="Times New Roman"/>
                <w:color w:val="auto"/>
                <w:kern w:val="2"/>
                <w:sz w:val="21"/>
                <w:szCs w:val="21"/>
                <w:lang w:val="en-US" w:eastAsia="zh-CN"/>
              </w:rPr>
              <w:t>2.116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pct"/>
            <w:gridSpan w:val="4"/>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2249" w:type="pct"/>
            <w:gridSpan w:val="3"/>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氯化氢</w:t>
            </w:r>
          </w:p>
        </w:tc>
        <w:tc>
          <w:tcPr>
            <w:tcW w:w="103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pct"/>
            <w:gridSpan w:val="4"/>
            <w:vMerge w:val="continue"/>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2249" w:type="pct"/>
            <w:gridSpan w:val="3"/>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氟化物</w:t>
            </w:r>
          </w:p>
        </w:tc>
        <w:tc>
          <w:tcPr>
            <w:tcW w:w="103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pct"/>
            <w:gridSpan w:val="4"/>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p>
        </w:tc>
        <w:tc>
          <w:tcPr>
            <w:tcW w:w="2249" w:type="pct"/>
            <w:gridSpan w:val="3"/>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VOCs</w:t>
            </w:r>
            <w:r>
              <w:rPr>
                <w:rFonts w:hint="eastAsia" w:ascii="Times New Roman" w:hAnsi="Times New Roman" w:eastAsia="宋体" w:cs="Times New Roman"/>
                <w:color w:val="auto"/>
                <w:kern w:val="2"/>
                <w:u w:val="none" w:color="auto"/>
                <w:lang w:eastAsia="zh-CN"/>
              </w:rPr>
              <w:t>（以非甲烷总烃计）</w:t>
            </w:r>
          </w:p>
        </w:tc>
        <w:tc>
          <w:tcPr>
            <w:tcW w:w="1037" w:type="pct"/>
            <w:gridSpan w:val="2"/>
            <w:vAlign w:val="center"/>
          </w:tcPr>
          <w:p>
            <w:pPr>
              <w:pStyle w:val="91"/>
              <w:keepNext w:val="0"/>
              <w:keepLines w:val="0"/>
              <w:pageBreakBefore w:val="0"/>
              <w:widowControl w:val="0"/>
              <w:kinsoku/>
              <w:wordWrap/>
              <w:overflowPunct w:val="0"/>
              <w:topLinePunct/>
              <w:autoSpaceDE w:val="0"/>
              <w:autoSpaceDN w:val="0"/>
              <w:bidi w:val="0"/>
              <w:adjustRightInd w:val="0"/>
              <w:snapToGrid w:val="0"/>
              <w:ind w:right="0"/>
              <w:jc w:val="center"/>
              <w:textAlignment w:val="auto"/>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0.165</w:t>
            </w:r>
          </w:p>
        </w:tc>
      </w:tr>
    </w:tbl>
    <w:p>
      <w:pPr>
        <w:pageBreakBefore w:val="0"/>
        <w:numPr>
          <w:ilvl w:val="0"/>
          <w:numId w:val="3"/>
        </w:numPr>
        <w:kinsoku/>
        <w:wordWrap/>
        <w:overflowPunct w:val="0"/>
        <w:topLinePunct/>
        <w:autoSpaceDE w:val="0"/>
        <w:autoSpaceDN w:val="0"/>
        <w:bidi w:val="0"/>
        <w:adjustRightInd w:val="0"/>
        <w:snapToGrid w:val="0"/>
        <w:spacing w:line="520" w:lineRule="exact"/>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大气污染物年排放量核算：</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.2-2</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大气污染物年排放量核算表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4"/>
        <w:gridCol w:w="2842"/>
        <w:gridCol w:w="28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序号</w:t>
            </w:r>
          </w:p>
        </w:tc>
        <w:tc>
          <w:tcPr>
            <w:tcW w:w="166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污染物</w:t>
            </w:r>
          </w:p>
        </w:tc>
        <w:tc>
          <w:tcPr>
            <w:tcW w:w="166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1</w:t>
            </w:r>
          </w:p>
        </w:tc>
        <w:tc>
          <w:tcPr>
            <w:tcW w:w="166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VOCs（以非甲烷总烃计）</w:t>
            </w:r>
          </w:p>
        </w:tc>
        <w:tc>
          <w:tcPr>
            <w:tcW w:w="166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0.785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2</w:t>
            </w:r>
          </w:p>
        </w:tc>
        <w:tc>
          <w:tcPr>
            <w:tcW w:w="166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颗粒物</w:t>
            </w:r>
          </w:p>
        </w:tc>
        <w:tc>
          <w:tcPr>
            <w:tcW w:w="166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3.372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3</w:t>
            </w:r>
          </w:p>
        </w:tc>
        <w:tc>
          <w:tcPr>
            <w:tcW w:w="2842"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氯化氢</w:t>
            </w:r>
          </w:p>
        </w:tc>
        <w:tc>
          <w:tcPr>
            <w:tcW w:w="166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rPr>
            </w:pPr>
            <w:r>
              <w:rPr>
                <w:rFonts w:hint="default" w:ascii="Times New Roman" w:hAnsi="Times New Roman" w:eastAsia="宋体" w:cs="Times New Roman"/>
                <w:color w:val="auto"/>
                <w:kern w:val="2"/>
                <w:u w:val="none" w:color="auto"/>
              </w:rPr>
              <w:t>4</w:t>
            </w:r>
          </w:p>
        </w:tc>
        <w:tc>
          <w:tcPr>
            <w:tcW w:w="2842" w:type="dxa"/>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u w:val="none" w:color="auto"/>
              </w:rPr>
            </w:pPr>
            <w:r>
              <w:rPr>
                <w:rFonts w:hint="eastAsia" w:ascii="Times New Roman" w:hAnsi="Times New Roman" w:cs="Times New Roman"/>
                <w:color w:val="auto"/>
                <w:kern w:val="2"/>
                <w:sz w:val="21"/>
                <w:szCs w:val="21"/>
                <w:lang w:eastAsia="zh-CN"/>
              </w:rPr>
              <w:t>氟化物</w:t>
            </w:r>
          </w:p>
        </w:tc>
        <w:tc>
          <w:tcPr>
            <w:tcW w:w="166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5</w:t>
            </w:r>
          </w:p>
        </w:tc>
        <w:tc>
          <w:tcPr>
            <w:tcW w:w="284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二氧化硫</w:t>
            </w:r>
          </w:p>
        </w:tc>
        <w:tc>
          <w:tcPr>
            <w:tcW w:w="2840"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u w:val="none" w:color="auto"/>
              </w:rPr>
            </w:pPr>
            <w:r>
              <w:rPr>
                <w:rFonts w:hint="eastAsia" w:ascii="Times New Roman" w:hAnsi="Times New Roman" w:cs="Times New Roman"/>
                <w:color w:val="auto"/>
                <w:sz w:val="21"/>
                <w:szCs w:val="21"/>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l2br w:val="nil"/>
              <w:tr2bl w:val="nil"/>
            </w:tcBorders>
            <w:vAlign w:val="center"/>
          </w:tcPr>
          <w:p>
            <w:pPr>
              <w:pStyle w:val="91"/>
              <w:pageBreakBefore w:val="0"/>
              <w:kinsoku/>
              <w:wordWrap/>
              <w:overflowPunct w:val="0"/>
              <w:topLinePunct/>
              <w:autoSpaceDE w:val="0"/>
              <w:autoSpaceDN w:val="0"/>
              <w:bidi w:val="0"/>
              <w:rPr>
                <w:rFonts w:hint="eastAsia" w:ascii="Times New Roman" w:hAnsi="Times New Roman" w:eastAsia="宋体" w:cs="Times New Roman"/>
                <w:color w:val="auto"/>
                <w:kern w:val="2"/>
                <w:u w:val="none" w:color="auto"/>
                <w:lang w:val="en-US" w:eastAsia="zh-CN"/>
              </w:rPr>
            </w:pPr>
            <w:r>
              <w:rPr>
                <w:rFonts w:hint="eastAsia" w:ascii="Times New Roman" w:hAnsi="Times New Roman" w:eastAsia="宋体" w:cs="Times New Roman"/>
                <w:color w:val="auto"/>
                <w:kern w:val="2"/>
                <w:u w:val="none" w:color="auto"/>
                <w:lang w:val="en-US" w:eastAsia="zh-CN"/>
              </w:rPr>
              <w:t>6</w:t>
            </w:r>
          </w:p>
        </w:tc>
        <w:tc>
          <w:tcPr>
            <w:tcW w:w="284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氮氧化物</w:t>
            </w:r>
          </w:p>
        </w:tc>
        <w:tc>
          <w:tcPr>
            <w:tcW w:w="2840"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kern w:val="2"/>
                <w:u w:val="none" w:color="auto"/>
              </w:rPr>
            </w:pPr>
            <w:r>
              <w:rPr>
                <w:rFonts w:hint="eastAsia" w:ascii="Times New Roman" w:hAnsi="Times New Roman" w:eastAsia="宋体" w:cs="Times New Roman"/>
                <w:color w:val="auto"/>
                <w:kern w:val="2"/>
                <w:sz w:val="21"/>
                <w:szCs w:val="21"/>
                <w:lang w:val="en-US" w:eastAsia="zh-CN"/>
              </w:rPr>
              <w:t>1.45</w:t>
            </w:r>
          </w:p>
        </w:tc>
      </w:tr>
    </w:tbl>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30" w:name="_Toc23401"/>
      <w:bookmarkStart w:id="231" w:name="_Toc4143"/>
      <w:r>
        <w:rPr>
          <w:rFonts w:hint="default" w:ascii="Times New Roman" w:hAnsi="Times New Roman" w:eastAsia="宋体" w:cs="Times New Roman"/>
          <w:color w:val="auto"/>
          <w:highlight w:val="none"/>
          <w:u w:val="none" w:color="auto"/>
        </w:rPr>
        <w:t>5.2.2地表水环境影响预测与评价</w:t>
      </w:r>
      <w:bookmarkEnd w:id="221"/>
      <w:bookmarkEnd w:id="222"/>
      <w:bookmarkEnd w:id="230"/>
      <w:bookmarkEnd w:id="231"/>
    </w:p>
    <w:p>
      <w:pPr>
        <w:pageBreakBefore w:val="0"/>
        <w:kinsoku/>
        <w:wordWrap/>
        <w:overflowPunct w:val="0"/>
        <w:topLinePunct/>
        <w:autoSpaceDE w:val="0"/>
        <w:autoSpaceDN w:val="0"/>
        <w:bidi w:val="0"/>
        <w:spacing w:line="360" w:lineRule="auto"/>
        <w:ind w:firstLine="482" w:firstLineChars="200"/>
        <w:outlineLvl w:val="3"/>
        <w:rPr>
          <w:rFonts w:ascii="Times New Roman" w:hAnsi="Times New Roman" w:eastAsia="宋体" w:cs="Times New Roman"/>
          <w:b/>
          <w:bCs/>
          <w:color w:val="auto"/>
          <w:sz w:val="24"/>
        </w:rPr>
      </w:pPr>
      <w:bookmarkStart w:id="232" w:name="_Toc823"/>
      <w:bookmarkStart w:id="233" w:name="_Toc41310116"/>
      <w:bookmarkStart w:id="234" w:name="_Toc17905"/>
      <w:r>
        <w:rPr>
          <w:rFonts w:hint="eastAsia" w:ascii="Times New Roman" w:hAnsi="Times New Roman" w:eastAsia="宋体" w:cs="Times New Roman"/>
          <w:b/>
          <w:bCs/>
          <w:color w:val="auto"/>
          <w:sz w:val="24"/>
          <w:lang w:val="en-US" w:eastAsia="zh-CN"/>
        </w:rPr>
        <w:t>5.2.2.1</w:t>
      </w:r>
      <w:r>
        <w:rPr>
          <w:rFonts w:ascii="Times New Roman" w:hAnsi="Times New Roman" w:eastAsia="宋体" w:cs="Times New Roman"/>
          <w:b/>
          <w:bCs/>
          <w:color w:val="auto"/>
          <w:sz w:val="24"/>
        </w:rPr>
        <w:t>评价等级</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根据《环境影响评价技术导则地表水环境》（HJ2.3-2018）：建设项目地表水环境影响评价等级按照影响类型、排放方式、排放量或影响情况、受纳水体环境质量现状、水环境保护目标等综合确定。</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hint="eastAsia" w:ascii="Calibri" w:hAnsi="Calibri" w:eastAsia="宋体" w:cs="Times New Roman"/>
          <w:color w:val="auto"/>
          <w:sz w:val="24"/>
        </w:rPr>
        <w:t>本</w:t>
      </w:r>
      <w:r>
        <w:rPr>
          <w:rFonts w:ascii="Calibri" w:hAnsi="Calibri" w:eastAsia="宋体" w:cs="Times New Roman"/>
          <w:color w:val="auto"/>
          <w:sz w:val="24"/>
        </w:rPr>
        <w:t>项目将配套</w:t>
      </w:r>
      <w:r>
        <w:rPr>
          <w:rFonts w:hint="eastAsia" w:ascii="Calibri" w:hAnsi="Calibri" w:eastAsia="宋体" w:cs="Times New Roman"/>
          <w:color w:val="auto"/>
          <w:sz w:val="24"/>
        </w:rPr>
        <w:t>建设</w:t>
      </w:r>
      <w:r>
        <w:rPr>
          <w:rFonts w:ascii="Calibri" w:hAnsi="Calibri" w:eastAsia="宋体" w:cs="Times New Roman"/>
          <w:color w:val="auto"/>
          <w:sz w:val="24"/>
        </w:rPr>
        <w:t>生产废水处理设施，并建立分类收集处理系统</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本项目含油废水经过隔油沉淀</w:t>
      </w:r>
      <w:r>
        <w:rPr>
          <w:rFonts w:hint="eastAsia" w:ascii="Times New Roman" w:hAnsi="Times New Roman" w:eastAsia="宋体" w:cs="Times New Roman"/>
          <w:color w:val="auto"/>
          <w:sz w:val="24"/>
          <w:lang w:val="en-US" w:eastAsia="zh-CN"/>
        </w:rPr>
        <w:t>+混凝气浮处理后与</w:t>
      </w:r>
      <w:r>
        <w:rPr>
          <w:rFonts w:ascii="Times New Roman" w:hAnsi="Times New Roman" w:eastAsia="宋体" w:cs="Times New Roman"/>
          <w:color w:val="auto"/>
          <w:sz w:val="24"/>
        </w:rPr>
        <w:t>生活污水经</w:t>
      </w:r>
      <w:r>
        <w:rPr>
          <w:rFonts w:hint="eastAsia" w:ascii="Times New Roman" w:hAnsi="Times New Roman" w:eastAsia="宋体" w:cs="Times New Roman"/>
          <w:color w:val="auto"/>
          <w:sz w:val="24"/>
          <w:lang w:eastAsia="zh-CN"/>
        </w:rPr>
        <w:t>化粪</w:t>
      </w:r>
      <w:r>
        <w:rPr>
          <w:rFonts w:ascii="Times New Roman" w:hAnsi="Times New Roman" w:eastAsia="宋体" w:cs="Times New Roman"/>
          <w:color w:val="auto"/>
          <w:sz w:val="24"/>
        </w:rPr>
        <w:t>池预处理后达《污水综合排放标准》</w:t>
      </w:r>
      <w:r>
        <w:rPr>
          <w:rFonts w:hint="eastAsia" w:ascii="Times New Roman" w:hAnsi="Times New Roman" w:eastAsia="宋体" w:cs="Times New Roman"/>
          <w:color w:val="auto"/>
          <w:sz w:val="24"/>
        </w:rPr>
        <w:t>(GB8978-1996)</w:t>
      </w:r>
      <w:r>
        <w:rPr>
          <w:rFonts w:ascii="Times New Roman" w:hAnsi="Times New Roman" w:eastAsia="宋体" w:cs="Times New Roman"/>
          <w:color w:val="auto"/>
          <w:sz w:val="24"/>
        </w:rPr>
        <w:t>表4的三级标准及污水处理厂</w:t>
      </w:r>
      <w:r>
        <w:rPr>
          <w:rFonts w:hint="eastAsia" w:ascii="Times New Roman" w:hAnsi="Times New Roman" w:eastAsia="宋体" w:cs="Times New Roman"/>
          <w:color w:val="auto"/>
          <w:sz w:val="24"/>
        </w:rPr>
        <w:t>的纳管协议标准</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通过</w:t>
      </w:r>
      <w:r>
        <w:rPr>
          <w:rFonts w:hint="eastAsia" w:ascii="Times New Roman" w:hAnsi="Times New Roman" w:eastAsia="宋体" w:cs="Times New Roman"/>
          <w:color w:val="auto"/>
          <w:sz w:val="24"/>
          <w:lang w:eastAsia="zh-CN"/>
        </w:rPr>
        <w:t>废水总排口</w:t>
      </w:r>
      <w:r>
        <w:rPr>
          <w:rFonts w:hint="eastAsia" w:ascii="Times New Roman" w:hAnsi="Times New Roman" w:eastAsia="宋体" w:cs="Times New Roman"/>
          <w:color w:val="auto"/>
          <w:sz w:val="24"/>
        </w:rPr>
        <w:t>（DW001）</w:t>
      </w:r>
      <w:r>
        <w:rPr>
          <w:rFonts w:ascii="Times New Roman" w:hAnsi="Times New Roman" w:eastAsia="宋体" w:cs="Times New Roman"/>
          <w:color w:val="auto"/>
          <w:sz w:val="24"/>
        </w:rPr>
        <w:t>排入市政污水管网，经城陵矶临港产业新区污水处理厂处理达《城镇污水处理厂污染物排放标准》（GB18918-2002）及修改单中一级A标准，经象骨港汇入长江。因此本项目属间接排放建设项目，地表水环境影响评价等级为三级B。</w:t>
      </w:r>
    </w:p>
    <w:p>
      <w:pPr>
        <w:pageBreakBefore w:val="0"/>
        <w:kinsoku/>
        <w:wordWrap/>
        <w:overflowPunct w:val="0"/>
        <w:topLinePunct/>
        <w:autoSpaceDE w:val="0"/>
        <w:autoSpaceDN w:val="0"/>
        <w:bidi w:val="0"/>
        <w:adjustRightInd w:val="0"/>
        <w:spacing w:line="360" w:lineRule="auto"/>
        <w:ind w:firstLine="426" w:firstLineChars="177"/>
        <w:jc w:val="left"/>
        <w:outlineLvl w:val="3"/>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5.2.2.2</w:t>
      </w:r>
      <w:r>
        <w:rPr>
          <w:rFonts w:ascii="Times New Roman" w:hAnsi="Times New Roman" w:eastAsia="宋体" w:cs="Times New Roman"/>
          <w:b/>
          <w:bCs/>
          <w:color w:val="auto"/>
          <w:sz w:val="24"/>
        </w:rPr>
        <w:t>评价范围</w:t>
      </w:r>
    </w:p>
    <w:p>
      <w:pPr>
        <w:pageBreakBefore w:val="0"/>
        <w:kinsoku/>
        <w:wordWrap/>
        <w:overflowPunct w:val="0"/>
        <w:topLinePunct/>
        <w:autoSpaceDE w:val="0"/>
        <w:autoSpaceDN w:val="0"/>
        <w:bidi w:val="0"/>
        <w:adjustRightInd w:val="0"/>
        <w:spacing w:line="360" w:lineRule="auto"/>
        <w:ind w:firstLine="424" w:firstLineChars="177"/>
        <w:jc w:val="left"/>
        <w:rPr>
          <w:rFonts w:ascii="Times New Roman" w:hAnsi="Times New Roman" w:eastAsia="Calibri" w:cs="Times New Roman"/>
          <w:color w:val="auto"/>
          <w:kern w:val="0"/>
          <w:sz w:val="24"/>
        </w:rPr>
      </w:pPr>
      <w:r>
        <w:rPr>
          <w:rFonts w:ascii="Times New Roman" w:hAnsi="Times New Roman" w:eastAsia="宋体" w:cs="Times New Roman"/>
          <w:color w:val="auto"/>
          <w:kern w:val="0"/>
          <w:sz w:val="24"/>
        </w:rPr>
        <w:t>根据《环境影响评价技术导则地表水环境》（HJ2.3-2018）中“5.3.2.2三级B，其评价范围应符合以下要求：a)应满足其依托污水处理设施环境可行性分析的要求；b)涉及地表水环境风险的，应覆盖环境风险影响范围所及的水环境保护目标水域。</w:t>
      </w:r>
    </w:p>
    <w:p>
      <w:pPr>
        <w:pageBreakBefore w:val="0"/>
        <w:kinsoku/>
        <w:wordWrap/>
        <w:overflowPunct w:val="0"/>
        <w:topLinePunct/>
        <w:autoSpaceDE w:val="0"/>
        <w:autoSpaceDN w:val="0"/>
        <w:bidi w:val="0"/>
        <w:adjustRightInd w:val="0"/>
        <w:spacing w:line="360" w:lineRule="auto"/>
        <w:ind w:firstLine="426" w:firstLineChars="177"/>
        <w:jc w:val="left"/>
        <w:outlineLvl w:val="3"/>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5.2.2.3水污染控制和水环境影响减缓措施有效性评价</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①生活污水</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生活污水</w:t>
      </w:r>
      <w:r>
        <w:rPr>
          <w:rFonts w:hint="eastAsia" w:ascii="Times New Roman" w:hAnsi="Times New Roman" w:eastAsia="宋体" w:cs="Times New Roman"/>
          <w:color w:val="auto"/>
          <w:sz w:val="24"/>
          <w:lang w:eastAsia="zh-CN"/>
        </w:rPr>
        <w:t>经化粪池</w:t>
      </w:r>
      <w:r>
        <w:rPr>
          <w:rFonts w:ascii="Times New Roman" w:hAnsi="Times New Roman" w:eastAsia="宋体" w:cs="Times New Roman"/>
          <w:color w:val="auto"/>
          <w:sz w:val="24"/>
        </w:rPr>
        <w:t>预处理后达《污水综合排放标准》</w:t>
      </w:r>
      <w:r>
        <w:rPr>
          <w:rFonts w:hint="eastAsia" w:ascii="Times New Roman" w:hAnsi="Times New Roman" w:eastAsia="宋体" w:cs="Times New Roman"/>
          <w:color w:val="auto"/>
          <w:sz w:val="24"/>
        </w:rPr>
        <w:t>(GB8978-1996)</w:t>
      </w:r>
      <w:r>
        <w:rPr>
          <w:rFonts w:ascii="Times New Roman" w:hAnsi="Times New Roman" w:eastAsia="宋体" w:cs="Times New Roman"/>
          <w:color w:val="auto"/>
          <w:sz w:val="24"/>
        </w:rPr>
        <w:t>表4的三级标准及污水处理厂</w:t>
      </w:r>
      <w:r>
        <w:rPr>
          <w:rFonts w:hint="eastAsia" w:ascii="Times New Roman" w:hAnsi="Times New Roman" w:eastAsia="宋体" w:cs="Times New Roman"/>
          <w:color w:val="auto"/>
          <w:sz w:val="24"/>
        </w:rPr>
        <w:t>的纳管协议标准</w:t>
      </w:r>
      <w:r>
        <w:rPr>
          <w:rFonts w:ascii="Times New Roman" w:hAnsi="Times New Roman" w:eastAsia="宋体" w:cs="Times New Roman"/>
          <w:color w:val="auto"/>
          <w:sz w:val="24"/>
        </w:rPr>
        <w:t>后，排入市政污水管网。</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②生产废水</w:t>
      </w:r>
    </w:p>
    <w:p>
      <w:pPr>
        <w:pageBreakBefore w:val="0"/>
        <w:kinsoku/>
        <w:wordWrap/>
        <w:overflowPunct w:val="0"/>
        <w:topLinePunct/>
        <w:autoSpaceDE w:val="0"/>
        <w:autoSpaceDN w:val="0"/>
        <w:bidi w:val="0"/>
        <w:adjustRightInd w:val="0"/>
        <w:spacing w:line="360" w:lineRule="auto"/>
        <w:ind w:firstLine="424" w:firstLineChars="177"/>
        <w:jc w:val="left"/>
        <w:rPr>
          <w:rFonts w:hint="eastAsia" w:ascii="Times New Roman" w:hAnsi="Times New Roman" w:eastAsia="宋体" w:cs="Times New Roman"/>
          <w:color w:val="auto"/>
          <w:sz w:val="24"/>
          <w:lang w:val="en-US" w:eastAsia="zh-CN"/>
        </w:rPr>
      </w:pPr>
      <w:r>
        <w:rPr>
          <w:rFonts w:ascii="Times New Roman" w:hAnsi="Times New Roman" w:eastAsia="宋体" w:cs="Times New Roman"/>
          <w:color w:val="auto"/>
          <w:sz w:val="24"/>
        </w:rPr>
        <w:t>本项目将配套建设生产废水处理设施，并建立分类收集处理系统。</w:t>
      </w:r>
      <w:r>
        <w:rPr>
          <w:rFonts w:hint="eastAsia" w:ascii="Times New Roman" w:hAnsi="Times New Roman" w:eastAsia="宋体" w:cs="Times New Roman"/>
          <w:color w:val="auto"/>
          <w:sz w:val="24"/>
        </w:rPr>
        <w:t>本项目运行过程产生的生产废水</w:t>
      </w:r>
      <w:r>
        <w:rPr>
          <w:rFonts w:hint="eastAsia" w:ascii="Times New Roman" w:hAnsi="Times New Roman" w:eastAsia="宋体" w:cs="Times New Roman"/>
          <w:color w:val="auto"/>
          <w:sz w:val="24"/>
          <w:lang w:eastAsia="zh-CN"/>
        </w:rPr>
        <w:t>主要为冷却工序产生的少量排污水，拟通过隔油沉淀处理，预处理后达到</w:t>
      </w:r>
      <w:r>
        <w:rPr>
          <w:rFonts w:ascii="Times New Roman" w:hAnsi="Times New Roman" w:eastAsia="宋体" w:cs="Times New Roman"/>
          <w:color w:val="auto"/>
          <w:sz w:val="24"/>
        </w:rPr>
        <w:t>《污水综合排放标准》</w:t>
      </w:r>
      <w:r>
        <w:rPr>
          <w:rFonts w:hint="eastAsia" w:ascii="Times New Roman" w:hAnsi="Times New Roman" w:eastAsia="宋体" w:cs="Times New Roman"/>
          <w:color w:val="auto"/>
          <w:sz w:val="24"/>
        </w:rPr>
        <w:t>(GB8978-1996)</w:t>
      </w:r>
      <w:r>
        <w:rPr>
          <w:rFonts w:ascii="Times New Roman" w:hAnsi="Times New Roman" w:eastAsia="宋体" w:cs="Times New Roman"/>
          <w:color w:val="auto"/>
          <w:sz w:val="24"/>
        </w:rPr>
        <w:t>表4的三级标准及污水处理厂</w:t>
      </w:r>
      <w:r>
        <w:rPr>
          <w:rFonts w:hint="eastAsia" w:ascii="Times New Roman" w:hAnsi="Times New Roman" w:eastAsia="宋体" w:cs="Times New Roman"/>
          <w:color w:val="auto"/>
          <w:sz w:val="24"/>
        </w:rPr>
        <w:t>的纳管协议标准</w:t>
      </w:r>
      <w:r>
        <w:rPr>
          <w:rFonts w:ascii="Times New Roman" w:hAnsi="Times New Roman" w:eastAsia="宋体" w:cs="Times New Roman"/>
          <w:color w:val="auto"/>
          <w:sz w:val="24"/>
        </w:rPr>
        <w:t>后，排入市政污水管网。</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隔油池的基本原理：隔油池利用油滴与水的密度差产生上浮作用来去除食堂含油废水中可浮性油类物质的一种废水预处理构筑物。隔油池的构造多采用平流式，含油废水通过配水槽进入平面为矩形的隔油池，沿水平方向缓慢流动，在流动中油品上浮水面，由集油管或设置在池面的刮油机推送到集油管中流入脱水罐。</w:t>
      </w:r>
    </w:p>
    <w:p>
      <w:pPr>
        <w:pageBreakBefore w:val="0"/>
        <w:kinsoku/>
        <w:wordWrap/>
        <w:overflowPunct w:val="0"/>
        <w:topLinePunct/>
        <w:autoSpaceDE w:val="0"/>
        <w:autoSpaceDN w:val="0"/>
        <w:bidi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本项主要为生活污水和冷却排污水，水质成分比较简单，经过预处理后能够满足污水处理厂</w:t>
      </w:r>
      <w:r>
        <w:rPr>
          <w:rFonts w:ascii="Times New Roman" w:hAnsi="Times New Roman" w:eastAsia="宋体" w:cs="Times New Roman"/>
          <w:color w:val="auto"/>
          <w:sz w:val="24"/>
        </w:rPr>
        <w:t>《污水综合排放标准》</w:t>
      </w:r>
      <w:r>
        <w:rPr>
          <w:rFonts w:hint="eastAsia" w:ascii="Times New Roman" w:hAnsi="Times New Roman" w:eastAsia="宋体" w:cs="Times New Roman"/>
          <w:color w:val="auto"/>
          <w:sz w:val="24"/>
        </w:rPr>
        <w:t>(GB8978-1996)</w:t>
      </w:r>
      <w:r>
        <w:rPr>
          <w:rFonts w:ascii="Times New Roman" w:hAnsi="Times New Roman" w:eastAsia="宋体" w:cs="Times New Roman"/>
          <w:color w:val="auto"/>
          <w:sz w:val="24"/>
        </w:rPr>
        <w:t>表4的三级标准及污水处理厂</w:t>
      </w:r>
      <w:r>
        <w:rPr>
          <w:rFonts w:hint="eastAsia" w:ascii="Times New Roman" w:hAnsi="Times New Roman" w:eastAsia="宋体" w:cs="Times New Roman"/>
          <w:color w:val="auto"/>
          <w:sz w:val="24"/>
        </w:rPr>
        <w:t>的纳管协议标准</w:t>
      </w:r>
      <w:r>
        <w:rPr>
          <w:rFonts w:hint="eastAsia" w:ascii="Times New Roman" w:hAnsi="Times New Roman" w:eastAsia="宋体" w:cs="Times New Roman"/>
          <w:color w:val="auto"/>
          <w:sz w:val="24"/>
          <w:lang w:eastAsia="zh-CN"/>
        </w:rPr>
        <w:t>。</w:t>
      </w:r>
    </w:p>
    <w:p>
      <w:pPr>
        <w:pageBreakBefore w:val="0"/>
        <w:kinsoku/>
        <w:wordWrap/>
        <w:overflowPunct w:val="0"/>
        <w:topLinePunct/>
        <w:autoSpaceDE w:val="0"/>
        <w:autoSpaceDN w:val="0"/>
        <w:bidi w:val="0"/>
        <w:adjustRightInd w:val="0"/>
        <w:spacing w:line="360" w:lineRule="auto"/>
        <w:ind w:firstLine="426" w:firstLineChars="177"/>
        <w:jc w:val="left"/>
        <w:outlineLvl w:val="3"/>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5.2.2.4本项目废水纳入湖南三峡环境临港水质净化厂处理的可行性分析</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kern w:val="0"/>
          <w:sz w:val="24"/>
          <w:u w:val="none"/>
          <w:lang w:bidi="ar"/>
        </w:rPr>
      </w:pPr>
      <w:r>
        <w:rPr>
          <w:rFonts w:hint="eastAsia" w:ascii="Times New Roman" w:hAnsi="Times New Roman" w:eastAsia="宋体" w:cs="Times New Roman"/>
          <w:color w:val="auto"/>
          <w:kern w:val="0"/>
          <w:sz w:val="24"/>
          <w:u w:val="none"/>
          <w:lang w:eastAsia="zh-CN" w:bidi="ar"/>
        </w:rPr>
        <w:t>湖南三峡环境临港水质净化厂（原</w:t>
      </w:r>
      <w:r>
        <w:rPr>
          <w:rFonts w:ascii="Times New Roman" w:hAnsi="Times New Roman" w:eastAsia="宋体" w:cs="Times New Roman"/>
          <w:color w:val="auto"/>
          <w:kern w:val="0"/>
          <w:sz w:val="24"/>
          <w:u w:val="none"/>
        </w:rPr>
        <w:t>城陵矶临港产业新区污水处理厂</w:t>
      </w:r>
      <w:r>
        <w:rPr>
          <w:rFonts w:hint="eastAsia" w:ascii="Times New Roman" w:hAnsi="Times New Roman" w:eastAsia="宋体" w:cs="Times New Roman"/>
          <w:color w:val="auto"/>
          <w:kern w:val="0"/>
          <w:sz w:val="24"/>
          <w:u w:val="none"/>
          <w:lang w:eastAsia="zh-CN" w:bidi="ar"/>
        </w:rPr>
        <w:t>）</w:t>
      </w:r>
      <w:r>
        <w:rPr>
          <w:rFonts w:ascii="Times New Roman" w:hAnsi="Times New Roman" w:eastAsia="宋体" w:cs="Times New Roman"/>
          <w:color w:val="auto"/>
          <w:kern w:val="0"/>
          <w:sz w:val="24"/>
          <w:u w:val="none"/>
          <w:lang w:bidi="ar"/>
        </w:rPr>
        <w:t>东邻沿江大道，西靠长江大堤，处于云港路与沿江路的交界处，于2014年7月取得岳阳市环境保护局环评批复，2016年建成，设计处理能力3万吨/天，主要采用CASS工艺，管道接纳标准为COD≤500mg/L、</w:t>
      </w:r>
      <w:r>
        <w:rPr>
          <w:rFonts w:hint="eastAsia" w:ascii="Times New Roman" w:hAnsi="Times New Roman" w:eastAsia="宋体" w:cs="Times New Roman"/>
          <w:color w:val="auto"/>
          <w:kern w:val="0"/>
          <w:sz w:val="24"/>
          <w:u w:val="none"/>
          <w:lang w:bidi="ar"/>
        </w:rPr>
        <w:t>BOD</w:t>
      </w:r>
      <w:r>
        <w:rPr>
          <w:rFonts w:hint="eastAsia" w:ascii="Times New Roman" w:hAnsi="Times New Roman" w:eastAsia="宋体" w:cs="Times New Roman"/>
          <w:color w:val="auto"/>
          <w:kern w:val="0"/>
          <w:sz w:val="24"/>
          <w:u w:val="none"/>
          <w:vertAlign w:val="subscript"/>
          <w:lang w:bidi="ar"/>
        </w:rPr>
        <w:t>5</w:t>
      </w:r>
      <w:r>
        <w:rPr>
          <w:rFonts w:ascii="Times New Roman" w:hAnsi="Times New Roman" w:eastAsia="宋体" w:cs="Times New Roman"/>
          <w:color w:val="auto"/>
          <w:kern w:val="0"/>
          <w:sz w:val="24"/>
          <w:u w:val="none"/>
          <w:lang w:bidi="ar"/>
        </w:rPr>
        <w:t>≤300mg/L、SS≤400mg/L、</w:t>
      </w:r>
      <w:r>
        <w:rPr>
          <w:rFonts w:hint="eastAsia" w:ascii="Times New Roman" w:hAnsi="Times New Roman" w:eastAsia="宋体" w:cs="Times New Roman"/>
          <w:color w:val="auto"/>
          <w:kern w:val="0"/>
          <w:sz w:val="24"/>
          <w:u w:val="none"/>
          <w:lang w:bidi="ar"/>
        </w:rPr>
        <w:t>NH</w:t>
      </w:r>
      <w:r>
        <w:rPr>
          <w:rFonts w:hint="eastAsia" w:ascii="Times New Roman" w:hAnsi="Times New Roman" w:eastAsia="宋体" w:cs="Times New Roman"/>
          <w:color w:val="auto"/>
          <w:kern w:val="0"/>
          <w:sz w:val="24"/>
          <w:u w:val="none"/>
          <w:vertAlign w:val="subscript"/>
          <w:lang w:bidi="ar"/>
        </w:rPr>
        <w:t>3</w:t>
      </w:r>
      <w:r>
        <w:rPr>
          <w:rFonts w:ascii="Times New Roman" w:hAnsi="Times New Roman" w:eastAsia="宋体" w:cs="Times New Roman"/>
          <w:color w:val="auto"/>
          <w:kern w:val="0"/>
          <w:sz w:val="24"/>
          <w:u w:val="none"/>
          <w:lang w:bidi="ar"/>
        </w:rPr>
        <w:t>-N≤</w:t>
      </w:r>
      <w:r>
        <w:rPr>
          <w:rFonts w:hint="eastAsia" w:ascii="Times New Roman" w:hAnsi="Times New Roman" w:eastAsia="宋体" w:cs="Times New Roman"/>
          <w:color w:val="auto"/>
          <w:kern w:val="0"/>
          <w:sz w:val="24"/>
          <w:u w:val="none"/>
          <w:lang w:val="en-US" w:eastAsia="zh-CN" w:bidi="ar"/>
        </w:rPr>
        <w:t>30</w:t>
      </w:r>
      <w:r>
        <w:rPr>
          <w:rFonts w:ascii="Times New Roman" w:hAnsi="Times New Roman" w:eastAsia="宋体" w:cs="Times New Roman"/>
          <w:color w:val="auto"/>
          <w:kern w:val="0"/>
          <w:sz w:val="24"/>
          <w:u w:val="none"/>
          <w:lang w:bidi="ar"/>
        </w:rPr>
        <w:t>mg/L、TN≤</w:t>
      </w:r>
      <w:r>
        <w:rPr>
          <w:rFonts w:hint="eastAsia" w:ascii="Times New Roman" w:hAnsi="Times New Roman" w:eastAsia="宋体" w:cs="Times New Roman"/>
          <w:color w:val="auto"/>
          <w:kern w:val="0"/>
          <w:sz w:val="24"/>
          <w:u w:val="none"/>
          <w:lang w:val="en-US" w:eastAsia="zh-CN" w:bidi="ar"/>
        </w:rPr>
        <w:t>4</w:t>
      </w:r>
      <w:r>
        <w:rPr>
          <w:rFonts w:ascii="Times New Roman" w:hAnsi="Times New Roman" w:eastAsia="宋体" w:cs="Times New Roman"/>
          <w:color w:val="auto"/>
          <w:kern w:val="0"/>
          <w:sz w:val="24"/>
          <w:u w:val="none"/>
          <w:lang w:bidi="ar"/>
        </w:rPr>
        <w:t>0mg/L、TP≤</w:t>
      </w:r>
      <w:r>
        <w:rPr>
          <w:rFonts w:hint="eastAsia" w:ascii="Times New Roman" w:hAnsi="Times New Roman" w:eastAsia="宋体" w:cs="Times New Roman"/>
          <w:color w:val="auto"/>
          <w:kern w:val="0"/>
          <w:sz w:val="24"/>
          <w:u w:val="none"/>
          <w:lang w:val="en-US" w:eastAsia="zh-CN" w:bidi="ar"/>
        </w:rPr>
        <w:t>3</w:t>
      </w:r>
      <w:r>
        <w:rPr>
          <w:rFonts w:ascii="Times New Roman" w:hAnsi="Times New Roman" w:eastAsia="宋体" w:cs="Times New Roman"/>
          <w:color w:val="auto"/>
          <w:kern w:val="0"/>
          <w:sz w:val="24"/>
          <w:u w:val="none"/>
          <w:lang w:bidi="ar"/>
        </w:rPr>
        <w:t>mg/L、石油类≤15mg/L，出水水质大道《城镇污水处理厂污染物排放标准》（GB18918-2002）一级A标准。项目选址区域的污水管网</w:t>
      </w:r>
      <w:r>
        <w:rPr>
          <w:rFonts w:hint="eastAsia" w:ascii="Times New Roman" w:hAnsi="Times New Roman" w:eastAsia="宋体" w:cs="Times New Roman"/>
          <w:color w:val="auto"/>
          <w:kern w:val="0"/>
          <w:sz w:val="24"/>
          <w:u w:val="none"/>
          <w:lang w:eastAsia="zh-CN" w:bidi="ar"/>
        </w:rPr>
        <w:t>已</w:t>
      </w:r>
      <w:r>
        <w:rPr>
          <w:rFonts w:ascii="Times New Roman" w:hAnsi="Times New Roman" w:eastAsia="宋体" w:cs="Times New Roman"/>
          <w:color w:val="auto"/>
          <w:kern w:val="0"/>
          <w:sz w:val="24"/>
          <w:u w:val="none"/>
          <w:lang w:bidi="ar"/>
        </w:rPr>
        <w:t>与</w:t>
      </w:r>
      <w:r>
        <w:rPr>
          <w:rFonts w:hint="eastAsia" w:ascii="Times New Roman" w:hAnsi="Times New Roman" w:eastAsia="宋体" w:cs="Times New Roman"/>
          <w:color w:val="auto"/>
          <w:kern w:val="0"/>
          <w:sz w:val="24"/>
          <w:u w:val="none"/>
          <w:lang w:eastAsia="zh-CN" w:bidi="ar"/>
        </w:rPr>
        <w:t>湖南三峡环境临港水质净化厂</w:t>
      </w:r>
      <w:r>
        <w:rPr>
          <w:rFonts w:ascii="Times New Roman" w:hAnsi="Times New Roman" w:eastAsia="宋体" w:cs="Times New Roman"/>
          <w:color w:val="auto"/>
          <w:kern w:val="0"/>
          <w:sz w:val="24"/>
          <w:u w:val="none"/>
          <w:lang w:bidi="ar"/>
        </w:rPr>
        <w:t>完成对接。</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FF0000"/>
          <w:sz w:val="24"/>
          <w:u w:val="none"/>
        </w:rPr>
      </w:pPr>
      <w:r>
        <w:rPr>
          <w:rFonts w:hint="eastAsia" w:ascii="Times New Roman" w:hAnsi="Times New Roman" w:eastAsia="宋体" w:cs="Times New Roman"/>
          <w:color w:val="FF0000"/>
          <w:kern w:val="0"/>
          <w:sz w:val="24"/>
          <w:u w:val="none"/>
          <w:lang w:eastAsia="zh-CN" w:bidi="ar"/>
        </w:rPr>
        <w:t>湖南三峡环境临港水质净化厂</w:t>
      </w:r>
      <w:r>
        <w:rPr>
          <w:rFonts w:ascii="Times New Roman" w:hAnsi="Times New Roman" w:eastAsia="宋体" w:cs="Times New Roman"/>
          <w:color w:val="FF0000"/>
          <w:sz w:val="24"/>
          <w:u w:val="none"/>
        </w:rPr>
        <w:t>处理能力为30000t/d，</w:t>
      </w:r>
      <w:r>
        <w:rPr>
          <w:rFonts w:hint="eastAsia" w:ascii="Times New Roman" w:hAnsi="Times New Roman" w:eastAsia="宋体" w:cs="Times New Roman"/>
          <w:color w:val="FF0000"/>
          <w:sz w:val="24"/>
          <w:u w:val="none"/>
        </w:rPr>
        <w:t>根据现剩余处理水量约有20000</w:t>
      </w:r>
      <w:r>
        <w:rPr>
          <w:rFonts w:ascii="Times New Roman" w:hAnsi="Times New Roman" w:eastAsia="宋体" w:cs="Times New Roman"/>
          <w:color w:val="FF0000"/>
          <w:sz w:val="24"/>
          <w:u w:val="none"/>
        </w:rPr>
        <w:t>t/d</w:t>
      </w:r>
      <w:r>
        <w:rPr>
          <w:rFonts w:hint="eastAsia" w:ascii="Times New Roman" w:hAnsi="Times New Roman" w:eastAsia="宋体" w:cs="Times New Roman"/>
          <w:color w:val="FF0000"/>
          <w:sz w:val="24"/>
          <w:u w:val="none"/>
        </w:rPr>
        <w:t>，</w:t>
      </w:r>
      <w:r>
        <w:rPr>
          <w:rFonts w:ascii="Times New Roman" w:hAnsi="Times New Roman" w:eastAsia="宋体" w:cs="Times New Roman"/>
          <w:color w:val="FF0000"/>
          <w:sz w:val="24"/>
          <w:u w:val="none"/>
        </w:rPr>
        <w:t>本项目产生的污水</w:t>
      </w:r>
      <w:r>
        <w:rPr>
          <w:rFonts w:hint="eastAsia" w:ascii="Times New Roman" w:hAnsi="Times New Roman" w:eastAsia="宋体" w:cs="Times New Roman"/>
          <w:color w:val="FF0000"/>
          <w:sz w:val="24"/>
          <w:u w:val="none"/>
          <w:lang w:val="en-US" w:eastAsia="zh-CN"/>
        </w:rPr>
        <w:t>54.6</w:t>
      </w:r>
      <w:r>
        <w:rPr>
          <w:rFonts w:hint="eastAsia" w:ascii="Times New Roman" w:hAnsi="Times New Roman" w:eastAsia="宋体" w:cs="Times New Roman"/>
          <w:color w:val="FF0000"/>
          <w:sz w:val="24"/>
          <w:u w:val="none"/>
        </w:rPr>
        <w:t>m</w:t>
      </w:r>
      <w:r>
        <w:rPr>
          <w:rFonts w:hint="eastAsia" w:ascii="Times New Roman" w:hAnsi="Times New Roman" w:eastAsia="宋体" w:cs="Times New Roman"/>
          <w:color w:val="FF0000"/>
          <w:sz w:val="24"/>
          <w:u w:val="none"/>
          <w:vertAlign w:val="superscript"/>
        </w:rPr>
        <w:t>3</w:t>
      </w:r>
      <w:r>
        <w:rPr>
          <w:rFonts w:ascii="Times New Roman" w:hAnsi="Times New Roman" w:eastAsia="宋体" w:cs="Times New Roman"/>
          <w:color w:val="FF0000"/>
          <w:sz w:val="24"/>
          <w:u w:val="none"/>
        </w:rPr>
        <w:t>/d</w:t>
      </w:r>
      <w:r>
        <w:rPr>
          <w:rFonts w:hint="eastAsia" w:ascii="Times New Roman" w:hAnsi="Times New Roman" w:eastAsia="宋体" w:cs="Times New Roman"/>
          <w:color w:val="FF0000"/>
          <w:sz w:val="24"/>
          <w:u w:val="none"/>
        </w:rPr>
        <w:t>（其中生产废水</w:t>
      </w:r>
      <w:r>
        <w:rPr>
          <w:rFonts w:hint="eastAsia" w:ascii="Times New Roman" w:hAnsi="Times New Roman" w:eastAsia="宋体" w:cs="Times New Roman"/>
          <w:color w:val="FF0000"/>
          <w:sz w:val="24"/>
          <w:u w:val="none"/>
          <w:lang w:val="en-US" w:eastAsia="zh-CN"/>
        </w:rPr>
        <w:t>2.4</w:t>
      </w:r>
      <w:r>
        <w:rPr>
          <w:rFonts w:hint="eastAsia" w:ascii="Times New Roman" w:hAnsi="Times New Roman" w:eastAsia="宋体" w:cs="Times New Roman"/>
          <w:color w:val="FF0000"/>
          <w:sz w:val="24"/>
          <w:u w:val="none"/>
        </w:rPr>
        <w:t>m</w:t>
      </w:r>
      <w:r>
        <w:rPr>
          <w:rFonts w:hint="eastAsia" w:ascii="Times New Roman" w:hAnsi="Times New Roman" w:eastAsia="宋体" w:cs="Times New Roman"/>
          <w:color w:val="FF0000"/>
          <w:sz w:val="24"/>
          <w:u w:val="none"/>
          <w:vertAlign w:val="superscript"/>
        </w:rPr>
        <w:t>3</w:t>
      </w:r>
      <w:r>
        <w:rPr>
          <w:rFonts w:ascii="Times New Roman" w:hAnsi="Times New Roman" w:eastAsia="宋体" w:cs="Times New Roman"/>
          <w:color w:val="FF0000"/>
          <w:sz w:val="24"/>
          <w:u w:val="none"/>
        </w:rPr>
        <w:t>/d</w:t>
      </w:r>
      <w:r>
        <w:rPr>
          <w:rFonts w:hint="eastAsia" w:ascii="Times New Roman" w:hAnsi="Times New Roman" w:eastAsia="宋体" w:cs="Times New Roman"/>
          <w:color w:val="FF0000"/>
          <w:sz w:val="24"/>
          <w:u w:val="none"/>
        </w:rPr>
        <w:t>，其中生活污水</w:t>
      </w:r>
      <w:r>
        <w:rPr>
          <w:rFonts w:hint="eastAsia" w:ascii="Times New Roman" w:hAnsi="Times New Roman" w:eastAsia="宋体" w:cs="Times New Roman"/>
          <w:color w:val="FF0000"/>
          <w:sz w:val="24"/>
          <w:u w:val="none"/>
          <w:lang w:val="en-US" w:eastAsia="zh-CN"/>
        </w:rPr>
        <w:t>52.2</w:t>
      </w:r>
      <w:r>
        <w:rPr>
          <w:rFonts w:hint="eastAsia" w:ascii="Times New Roman" w:hAnsi="Times New Roman" w:eastAsia="宋体" w:cs="Times New Roman"/>
          <w:color w:val="FF0000"/>
          <w:sz w:val="24"/>
          <w:u w:val="none"/>
        </w:rPr>
        <w:t>m</w:t>
      </w:r>
      <w:r>
        <w:rPr>
          <w:rFonts w:hint="eastAsia" w:ascii="Times New Roman" w:hAnsi="Times New Roman" w:eastAsia="宋体" w:cs="Times New Roman"/>
          <w:color w:val="FF0000"/>
          <w:sz w:val="24"/>
          <w:u w:val="none"/>
          <w:vertAlign w:val="superscript"/>
        </w:rPr>
        <w:t>3</w:t>
      </w:r>
      <w:r>
        <w:rPr>
          <w:rFonts w:ascii="Times New Roman" w:hAnsi="Times New Roman" w:eastAsia="宋体" w:cs="Times New Roman"/>
          <w:color w:val="FF0000"/>
          <w:sz w:val="24"/>
          <w:u w:val="none"/>
        </w:rPr>
        <w:t>/d</w:t>
      </w:r>
      <w:r>
        <w:rPr>
          <w:rFonts w:hint="eastAsia" w:ascii="Times New Roman" w:hAnsi="Times New Roman" w:eastAsia="宋体" w:cs="Times New Roman"/>
          <w:color w:val="FF0000"/>
          <w:sz w:val="24"/>
          <w:u w:val="none"/>
        </w:rPr>
        <w:t>），</w:t>
      </w:r>
      <w:r>
        <w:rPr>
          <w:rFonts w:ascii="Times New Roman" w:hAnsi="Times New Roman" w:eastAsia="宋体" w:cs="Times New Roman"/>
          <w:color w:val="FF0000"/>
          <w:sz w:val="24"/>
          <w:u w:val="none"/>
        </w:rPr>
        <w:t>占其</w:t>
      </w:r>
      <w:r>
        <w:rPr>
          <w:rFonts w:hint="eastAsia" w:ascii="Times New Roman" w:hAnsi="Times New Roman" w:eastAsia="宋体" w:cs="Times New Roman"/>
          <w:color w:val="FF0000"/>
          <w:sz w:val="24"/>
          <w:u w:val="none"/>
        </w:rPr>
        <w:t>剩余</w:t>
      </w:r>
      <w:r>
        <w:rPr>
          <w:rFonts w:ascii="Times New Roman" w:hAnsi="Times New Roman" w:eastAsia="宋体" w:cs="Times New Roman"/>
          <w:color w:val="FF0000"/>
          <w:sz w:val="24"/>
          <w:u w:val="none"/>
        </w:rPr>
        <w:t>处理能力的</w:t>
      </w:r>
      <w:r>
        <w:rPr>
          <w:rFonts w:hint="eastAsia" w:ascii="Times New Roman" w:hAnsi="Times New Roman" w:eastAsia="宋体" w:cs="Times New Roman"/>
          <w:color w:val="FF0000"/>
          <w:sz w:val="24"/>
          <w:u w:val="none"/>
          <w:lang w:val="en-US" w:eastAsia="zh-CN"/>
        </w:rPr>
        <w:t>0.27</w:t>
      </w:r>
      <w:r>
        <w:rPr>
          <w:rFonts w:ascii="Times New Roman" w:hAnsi="Times New Roman" w:eastAsia="宋体" w:cs="Times New Roman"/>
          <w:color w:val="FF0000"/>
          <w:sz w:val="24"/>
          <w:u w:val="none"/>
        </w:rPr>
        <w:t>%，且本项目外排</w:t>
      </w:r>
      <w:r>
        <w:rPr>
          <w:rFonts w:hint="eastAsia" w:ascii="Times New Roman" w:hAnsi="Times New Roman" w:eastAsia="宋体" w:cs="Times New Roman"/>
          <w:color w:val="FF0000"/>
          <w:sz w:val="24"/>
          <w:u w:val="none"/>
        </w:rPr>
        <w:t>生产</w:t>
      </w:r>
      <w:r>
        <w:rPr>
          <w:rFonts w:ascii="Times New Roman" w:hAnsi="Times New Roman" w:eastAsia="宋体" w:cs="Times New Roman"/>
          <w:color w:val="FF0000"/>
          <w:sz w:val="24"/>
          <w:u w:val="none"/>
        </w:rPr>
        <w:t>废水</w:t>
      </w:r>
      <w:r>
        <w:rPr>
          <w:rFonts w:hint="eastAsia" w:ascii="Times New Roman" w:hAnsi="Times New Roman" w:eastAsia="宋体" w:cs="Times New Roman"/>
          <w:color w:val="FF0000"/>
          <w:sz w:val="24"/>
          <w:u w:val="none"/>
        </w:rPr>
        <w:t>经厂区自建污水处理站处理后，各项污染物指标已达到</w:t>
      </w:r>
      <w:r>
        <w:rPr>
          <w:rFonts w:hint="eastAsia" w:ascii="Times New Roman" w:hAnsi="Times New Roman" w:eastAsia="宋体" w:cs="Times New Roman"/>
          <w:color w:val="FF0000"/>
          <w:sz w:val="24"/>
          <w:u w:val="none"/>
          <w:lang w:eastAsia="zh-CN"/>
        </w:rPr>
        <w:t>湖南三峡环境临港水质净化厂</w:t>
      </w:r>
      <w:r>
        <w:rPr>
          <w:rFonts w:hint="eastAsia" w:ascii="Times New Roman" w:hAnsi="Times New Roman" w:eastAsia="宋体" w:cs="Times New Roman"/>
          <w:color w:val="FF0000"/>
          <w:sz w:val="24"/>
          <w:u w:val="none"/>
        </w:rPr>
        <w:t>的纳管协议标准</w:t>
      </w:r>
      <w:r>
        <w:rPr>
          <w:rFonts w:ascii="Times New Roman" w:hAnsi="Times New Roman" w:eastAsia="宋体" w:cs="Times New Roman"/>
          <w:color w:val="FF0000"/>
          <w:sz w:val="24"/>
          <w:u w:val="none"/>
        </w:rPr>
        <w:t>，</w:t>
      </w:r>
      <w:r>
        <w:rPr>
          <w:rFonts w:hint="eastAsia" w:ascii="Times New Roman" w:hAnsi="Times New Roman" w:eastAsia="宋体" w:cs="Times New Roman"/>
          <w:color w:val="FF0000"/>
          <w:sz w:val="24"/>
          <w:u w:val="none"/>
        </w:rPr>
        <w:t>生活污水</w:t>
      </w:r>
      <w:r>
        <w:rPr>
          <w:rFonts w:ascii="Times New Roman" w:hAnsi="Times New Roman" w:eastAsia="宋体" w:cs="Times New Roman"/>
          <w:color w:val="FF0000"/>
          <w:sz w:val="24"/>
          <w:u w:val="none"/>
        </w:rPr>
        <w:t>经隔油池处理后可达到污水处理厂</w:t>
      </w:r>
      <w:r>
        <w:rPr>
          <w:rFonts w:hint="eastAsia" w:ascii="Times New Roman" w:hAnsi="Times New Roman" w:eastAsia="宋体" w:cs="Times New Roman"/>
          <w:color w:val="FF0000"/>
          <w:sz w:val="24"/>
          <w:u w:val="none"/>
        </w:rPr>
        <w:t>的纳管协议标准</w:t>
      </w:r>
      <w:r>
        <w:rPr>
          <w:rFonts w:ascii="Times New Roman" w:hAnsi="Times New Roman" w:eastAsia="宋体" w:cs="Times New Roman"/>
          <w:color w:val="FF0000"/>
          <w:sz w:val="24"/>
          <w:u w:val="none"/>
        </w:rPr>
        <w:t>要求，不会对污水处理厂水处理工艺造成冲击，因此本项目废水经</w:t>
      </w:r>
      <w:r>
        <w:rPr>
          <w:rFonts w:hint="eastAsia" w:ascii="Times New Roman" w:hAnsi="Times New Roman" w:eastAsia="宋体" w:cs="Times New Roman"/>
          <w:color w:val="FF0000"/>
          <w:sz w:val="24"/>
          <w:u w:val="none"/>
          <w:lang w:eastAsia="zh-CN"/>
        </w:rPr>
        <w:t>湖南三峡环境临港水质净化厂</w:t>
      </w:r>
      <w:r>
        <w:rPr>
          <w:rFonts w:ascii="Times New Roman" w:hAnsi="Times New Roman" w:eastAsia="宋体" w:cs="Times New Roman"/>
          <w:color w:val="FF0000"/>
          <w:sz w:val="24"/>
          <w:u w:val="none"/>
        </w:rPr>
        <w:t>处理达标后经象骨港汇入长江，对其水质影响是可以接受的。</w:t>
      </w:r>
    </w:p>
    <w:p>
      <w:pPr>
        <w:pageBreakBefore w:val="0"/>
        <w:kinsoku/>
        <w:wordWrap/>
        <w:overflowPunct w:val="0"/>
        <w:topLinePunct/>
        <w:autoSpaceDE w:val="0"/>
        <w:autoSpaceDN w:val="0"/>
        <w:bidi w:val="0"/>
        <w:spacing w:line="360" w:lineRule="auto"/>
        <w:ind w:firstLine="482" w:firstLineChars="200"/>
        <w:outlineLvl w:val="3"/>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5.2.2.5</w:t>
      </w:r>
      <w:r>
        <w:rPr>
          <w:rFonts w:ascii="Times New Roman" w:hAnsi="Times New Roman" w:eastAsia="宋体" w:cs="Times New Roman"/>
          <w:b/>
          <w:bCs/>
          <w:color w:val="auto"/>
          <w:sz w:val="24"/>
        </w:rPr>
        <w:t>污染源排放量核算</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本项目为间接排放，根据《环境影响评价技术导则地表水环境》（HJ2.3-2018）中“8.3.2间接排放建设项目污染源排放量核算根据依托污水处理设施的控制要求核算确定。”</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项目水污染排排放量核算见下表。</w:t>
      </w:r>
    </w:p>
    <w:p>
      <w:pPr>
        <w:pageBreakBefore w:val="0"/>
        <w:kinsoku/>
        <w:wordWrap/>
        <w:overflowPunct w:val="0"/>
        <w:topLinePunct/>
        <w:autoSpaceDE w:val="0"/>
        <w:autoSpaceDN w:val="0"/>
        <w:bidi w:val="0"/>
        <w:adjustRightInd w:val="0"/>
        <w:spacing w:line="360" w:lineRule="auto"/>
        <w:ind w:firstLine="426" w:firstLineChars="177"/>
        <w:jc w:val="center"/>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表5.2-23废项目废水类别、污染物及污染治理设施信息表</w:t>
      </w:r>
    </w:p>
    <w:tbl>
      <w:tblPr>
        <w:tblStyle w:val="4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19"/>
        <w:gridCol w:w="963"/>
        <w:gridCol w:w="791"/>
        <w:gridCol w:w="722"/>
        <w:gridCol w:w="794"/>
        <w:gridCol w:w="875"/>
        <w:gridCol w:w="883"/>
        <w:gridCol w:w="779"/>
        <w:gridCol w:w="669"/>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8"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废水类别</w:t>
            </w:r>
          </w:p>
        </w:tc>
        <w:tc>
          <w:tcPr>
            <w:tcW w:w="571"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污染物种类</w:t>
            </w:r>
          </w:p>
        </w:tc>
        <w:tc>
          <w:tcPr>
            <w:tcW w:w="469"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排放去向</w:t>
            </w:r>
          </w:p>
        </w:tc>
        <w:tc>
          <w:tcPr>
            <w:tcW w:w="428"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排放规律</w:t>
            </w:r>
          </w:p>
        </w:tc>
        <w:tc>
          <w:tcPr>
            <w:tcW w:w="1514" w:type="pct"/>
            <w:gridSpan w:val="3"/>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污染治理设施</w:t>
            </w:r>
          </w:p>
        </w:tc>
        <w:tc>
          <w:tcPr>
            <w:tcW w:w="462"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排放口编号</w:t>
            </w:r>
          </w:p>
        </w:tc>
        <w:tc>
          <w:tcPr>
            <w:tcW w:w="397"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排放口设置是否符合要求</w:t>
            </w:r>
          </w:p>
        </w:tc>
        <w:tc>
          <w:tcPr>
            <w:tcW w:w="787" w:type="pct"/>
            <w:vMerge w:val="restart"/>
            <w:vAlign w:val="center"/>
          </w:tcPr>
          <w:p>
            <w:pPr>
              <w:pageBreakBefore w:val="0"/>
              <w:kinsoku/>
              <w:wordWrap/>
              <w:overflowPunct w:val="0"/>
              <w:topLinePunct/>
              <w:autoSpaceDE w:val="0"/>
              <w:autoSpaceDN w:val="0"/>
              <w:bidi w:val="0"/>
              <w:adjustRightInd w:val="0"/>
              <w:snapToGrid w:val="0"/>
              <w:spacing w:line="320" w:lineRule="exact"/>
              <w:jc w:val="center"/>
              <w:textAlignment w:val="baseline"/>
              <w:rPr>
                <w:rFonts w:ascii="Times New Roman" w:hAnsi="Times New Roman" w:eastAsia="宋体" w:cs="Times New Roman"/>
                <w:b w:val="0"/>
                <w:color w:val="auto"/>
                <w:sz w:val="21"/>
                <w:szCs w:val="21"/>
                <w:lang w:val="en-US" w:eastAsia="zh-CN" w:bidi="ar-SA"/>
              </w:rPr>
            </w:pPr>
            <w:r>
              <w:rPr>
                <w:rFonts w:ascii="Times New Roman" w:hAnsi="Times New Roman" w:eastAsia="宋体" w:cs="Times New Roman"/>
                <w:b w:val="0"/>
                <w:color w:val="auto"/>
                <w:sz w:val="21"/>
                <w:szCs w:val="21"/>
                <w:lang w:val="en-US" w:eastAsia="zh-CN" w:bidi="ar-SA"/>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8"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7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6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28"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污染治理设施编号</w:t>
            </w:r>
          </w:p>
        </w:tc>
        <w:tc>
          <w:tcPr>
            <w:tcW w:w="519"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污染治理设施名称</w:t>
            </w:r>
          </w:p>
        </w:tc>
        <w:tc>
          <w:tcPr>
            <w:tcW w:w="523"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污染治理设施工艺</w:t>
            </w:r>
          </w:p>
        </w:tc>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97"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787"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8"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全厂</w:t>
            </w:r>
            <w:r>
              <w:rPr>
                <w:rFonts w:ascii="Times New Roman" w:hAnsi="Times New Roman" w:eastAsia="宋体" w:cs="Times New Roman"/>
                <w:color w:val="auto"/>
                <w:sz w:val="21"/>
                <w:szCs w:val="21"/>
                <w:lang w:val="en-US" w:eastAsia="zh-CN" w:bidi="ar-SA"/>
              </w:rPr>
              <w:t>废水</w:t>
            </w:r>
          </w:p>
        </w:tc>
        <w:tc>
          <w:tcPr>
            <w:tcW w:w="571"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COD、</w:t>
            </w:r>
            <w:r>
              <w:rPr>
                <w:rFonts w:hint="eastAsia" w:ascii="Times New Roman" w:hAnsi="Times New Roman" w:eastAsia="宋体" w:cs="Times New Roman"/>
                <w:color w:val="auto"/>
                <w:sz w:val="21"/>
                <w:szCs w:val="21"/>
                <w:lang w:val="en-US" w:eastAsia="zh-CN" w:bidi="ar-SA"/>
              </w:rPr>
              <w:t>BOD</w:t>
            </w:r>
            <w:r>
              <w:rPr>
                <w:rFonts w:hint="eastAsia" w:ascii="Times New Roman" w:hAnsi="Times New Roman" w:eastAsia="宋体" w:cs="Times New Roman"/>
                <w:color w:val="auto"/>
                <w:sz w:val="21"/>
                <w:szCs w:val="21"/>
                <w:vertAlign w:val="subscript"/>
                <w:lang w:val="en-US" w:eastAsia="zh-CN" w:bidi="ar-SA"/>
              </w:rPr>
              <w:t>5</w:t>
            </w:r>
            <w:r>
              <w:rPr>
                <w:rFonts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NH</w:t>
            </w:r>
            <w:r>
              <w:rPr>
                <w:rFonts w:hint="eastAsia" w:ascii="Times New Roman" w:hAnsi="Times New Roman" w:eastAsia="宋体" w:cs="Times New Roman"/>
                <w:color w:val="auto"/>
                <w:sz w:val="21"/>
                <w:szCs w:val="21"/>
                <w:vertAlign w:val="subscript"/>
                <w:lang w:val="en-US" w:eastAsia="zh-CN" w:bidi="ar-SA"/>
              </w:rPr>
              <w:t>3</w:t>
            </w:r>
            <w:r>
              <w:rPr>
                <w:rFonts w:ascii="Times New Roman" w:hAnsi="Times New Roman" w:eastAsia="宋体" w:cs="Times New Roman"/>
                <w:color w:val="auto"/>
                <w:sz w:val="21"/>
                <w:szCs w:val="21"/>
                <w:lang w:val="en-US" w:eastAsia="zh-CN" w:bidi="ar-SA"/>
              </w:rPr>
              <w:t>-N、TP、SS、动植物油</w:t>
            </w:r>
            <w:r>
              <w:rPr>
                <w:rFonts w:hint="eastAsia" w:ascii="Times New Roman" w:hAnsi="Times New Roman" w:eastAsia="宋体" w:cs="Times New Roman"/>
                <w:color w:val="auto"/>
                <w:sz w:val="21"/>
                <w:szCs w:val="21"/>
                <w:lang w:val="en-US" w:eastAsia="zh-CN" w:bidi="ar-SA"/>
              </w:rPr>
              <w:t>、石油类</w:t>
            </w:r>
          </w:p>
        </w:tc>
        <w:tc>
          <w:tcPr>
            <w:tcW w:w="469"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市政污水管网</w:t>
            </w:r>
          </w:p>
        </w:tc>
        <w:tc>
          <w:tcPr>
            <w:tcW w:w="428"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间歇排放，流量稳定，无周期性规律</w:t>
            </w:r>
          </w:p>
        </w:tc>
        <w:tc>
          <w:tcPr>
            <w:tcW w:w="47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w:t>
            </w:r>
          </w:p>
        </w:tc>
        <w:tc>
          <w:tcPr>
            <w:tcW w:w="519"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隔油池</w:t>
            </w:r>
          </w:p>
        </w:tc>
        <w:tc>
          <w:tcPr>
            <w:tcW w:w="523"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隔油</w:t>
            </w:r>
          </w:p>
        </w:tc>
        <w:tc>
          <w:tcPr>
            <w:tcW w:w="462"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DW001</w:t>
            </w:r>
          </w:p>
        </w:tc>
        <w:tc>
          <w:tcPr>
            <w:tcW w:w="397"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☑是□否</w:t>
            </w:r>
          </w:p>
        </w:tc>
        <w:tc>
          <w:tcPr>
            <w:tcW w:w="787"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☑企业总排□雨水排放□清净下水排放□温排水排放□车间或车间处理设施排放口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8"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7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6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28"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1"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TW001</w:t>
            </w:r>
          </w:p>
        </w:tc>
        <w:tc>
          <w:tcPr>
            <w:tcW w:w="519"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含油废水处理设施</w:t>
            </w:r>
          </w:p>
        </w:tc>
        <w:tc>
          <w:tcPr>
            <w:tcW w:w="523"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隔油沉淀+混凝+气浮</w:t>
            </w:r>
          </w:p>
        </w:tc>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97"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787"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r>
    </w:tbl>
    <w:p>
      <w:pPr>
        <w:pageBreakBefore w:val="0"/>
        <w:kinsoku/>
        <w:wordWrap/>
        <w:overflowPunct w:val="0"/>
        <w:topLinePunct/>
        <w:autoSpaceDE w:val="0"/>
        <w:autoSpaceDN w:val="0"/>
        <w:bidi w:val="0"/>
        <w:adjustRightInd w:val="0"/>
        <w:spacing w:line="360" w:lineRule="auto"/>
        <w:ind w:firstLine="426" w:firstLineChars="177"/>
        <w:jc w:val="center"/>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表5.2-24废水间接排放口基本情况表</w:t>
      </w:r>
    </w:p>
    <w:tbl>
      <w:tblPr>
        <w:tblStyle w:val="4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79"/>
        <w:gridCol w:w="1209"/>
        <w:gridCol w:w="1112"/>
        <w:gridCol w:w="768"/>
        <w:gridCol w:w="534"/>
        <w:gridCol w:w="654"/>
        <w:gridCol w:w="654"/>
        <w:gridCol w:w="698"/>
        <w:gridCol w:w="968"/>
        <w:gridCol w:w="1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排放口编号</w:t>
            </w:r>
          </w:p>
        </w:tc>
        <w:tc>
          <w:tcPr>
            <w:tcW w:w="1259" w:type="pct"/>
            <w:gridSpan w:val="2"/>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排放口地理坐标</w:t>
            </w:r>
          </w:p>
        </w:tc>
        <w:tc>
          <w:tcPr>
            <w:tcW w:w="473"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废水排放量（t/d）</w:t>
            </w:r>
          </w:p>
        </w:tc>
        <w:tc>
          <w:tcPr>
            <w:tcW w:w="334"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排放去向</w:t>
            </w:r>
          </w:p>
        </w:tc>
        <w:tc>
          <w:tcPr>
            <w:tcW w:w="405"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排放规律</w:t>
            </w:r>
          </w:p>
        </w:tc>
        <w:tc>
          <w:tcPr>
            <w:tcW w:w="405"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间歇排放时段</w:t>
            </w:r>
          </w:p>
        </w:tc>
        <w:tc>
          <w:tcPr>
            <w:tcW w:w="1659" w:type="pct"/>
            <w:gridSpan w:val="3"/>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经度</w:t>
            </w:r>
          </w:p>
        </w:tc>
        <w:tc>
          <w:tcPr>
            <w:tcW w:w="599"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纬度</w:t>
            </w: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名称</w:t>
            </w: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污染物种类</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标准浓度限值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DW001</w:t>
            </w:r>
          </w:p>
        </w:tc>
        <w:tc>
          <w:tcPr>
            <w:tcW w:w="660"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113.2305720</w:t>
            </w:r>
          </w:p>
        </w:tc>
        <w:tc>
          <w:tcPr>
            <w:tcW w:w="599"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29.5237377</w:t>
            </w:r>
          </w:p>
        </w:tc>
        <w:tc>
          <w:tcPr>
            <w:tcW w:w="473" w:type="pct"/>
            <w:vMerge w:val="restar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54.6</w:t>
            </w:r>
          </w:p>
        </w:tc>
        <w:tc>
          <w:tcPr>
            <w:tcW w:w="334"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城市污水处理厂</w:t>
            </w:r>
          </w:p>
        </w:tc>
        <w:tc>
          <w:tcPr>
            <w:tcW w:w="405"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间歇排放，流量稳定，无周期性规律</w:t>
            </w:r>
          </w:p>
        </w:tc>
        <w:tc>
          <w:tcPr>
            <w:tcW w:w="405"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w:t>
            </w:r>
          </w:p>
        </w:tc>
        <w:tc>
          <w:tcPr>
            <w:tcW w:w="431"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城陵矶临港产业新区污水处理厂</w:t>
            </w: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pH值</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6~9（无量纲）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COD</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50mg/L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BOD</w:t>
            </w:r>
            <w:r>
              <w:rPr>
                <w:rFonts w:hint="eastAsia" w:ascii="Times New Roman" w:hAnsi="Times New Roman" w:eastAsia="宋体" w:cs="Times New Roman"/>
                <w:color w:val="auto"/>
                <w:sz w:val="21"/>
                <w:szCs w:val="21"/>
                <w:vertAlign w:val="subscript"/>
                <w:lang w:val="en-US" w:eastAsia="zh-CN" w:bidi="ar-SA"/>
              </w:rPr>
              <w:t>5</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10mg/L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SS</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10mg/L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NH</w:t>
            </w:r>
            <w:r>
              <w:rPr>
                <w:rFonts w:hint="eastAsia" w:ascii="Times New Roman" w:hAnsi="Times New Roman" w:eastAsia="宋体" w:cs="Times New Roman"/>
                <w:color w:val="auto"/>
                <w:sz w:val="21"/>
                <w:szCs w:val="21"/>
                <w:vertAlign w:val="subscript"/>
                <w:lang w:val="en-US" w:eastAsia="zh-CN" w:bidi="ar-SA"/>
              </w:rPr>
              <w:t>3</w:t>
            </w:r>
            <w:r>
              <w:rPr>
                <w:rFonts w:ascii="Times New Roman" w:hAnsi="Times New Roman" w:eastAsia="宋体" w:cs="Times New Roman"/>
                <w:color w:val="auto"/>
                <w:sz w:val="21"/>
                <w:szCs w:val="21"/>
                <w:lang w:val="en-US" w:eastAsia="zh-CN" w:bidi="ar-SA"/>
              </w:rPr>
              <w:t>-N</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TP</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6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9"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73"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334"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431"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591"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动植物油</w:t>
            </w:r>
          </w:p>
        </w:tc>
        <w:tc>
          <w:tcPr>
            <w:tcW w:w="636"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1.0mg/L</w:t>
            </w:r>
          </w:p>
        </w:tc>
      </w:tr>
    </w:tbl>
    <w:p>
      <w:pPr>
        <w:pageBreakBefore w:val="0"/>
        <w:kinsoku/>
        <w:wordWrap/>
        <w:overflowPunct w:val="0"/>
        <w:topLinePunct/>
        <w:autoSpaceDE w:val="0"/>
        <w:autoSpaceDN w:val="0"/>
        <w:bidi w:val="0"/>
        <w:adjustRightInd w:val="0"/>
        <w:spacing w:line="360" w:lineRule="auto"/>
        <w:ind w:firstLine="426" w:firstLineChars="177"/>
        <w:jc w:val="center"/>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表5.2-25废水污染物排放执行标准表</w:t>
      </w:r>
    </w:p>
    <w:tbl>
      <w:tblPr>
        <w:tblStyle w:val="204"/>
        <w:tblW w:w="517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9"/>
        <w:gridCol w:w="1111"/>
        <w:gridCol w:w="1514"/>
        <w:gridCol w:w="2762"/>
        <w:gridCol w:w="25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restar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序号</w:t>
            </w:r>
          </w:p>
        </w:tc>
        <w:tc>
          <w:tcPr>
            <w:tcW w:w="643" w:type="pct"/>
            <w:vMerge w:val="restar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排放口编号</w:t>
            </w:r>
          </w:p>
        </w:tc>
        <w:tc>
          <w:tcPr>
            <w:tcW w:w="876" w:type="pct"/>
            <w:vMerge w:val="restar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污染物种类</w:t>
            </w:r>
          </w:p>
        </w:tc>
        <w:tc>
          <w:tcPr>
            <w:tcW w:w="3092" w:type="pct"/>
            <w:gridSpan w:val="2"/>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国家或地方污染物排放标准及其他按规定商定的排放协议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598"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名称</w:t>
            </w: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浓度限值/（mg/L）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restar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1</w:t>
            </w:r>
          </w:p>
        </w:tc>
        <w:tc>
          <w:tcPr>
            <w:tcW w:w="643" w:type="pct"/>
            <w:vMerge w:val="restar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DW001</w:t>
            </w: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pH</w:t>
            </w:r>
          </w:p>
        </w:tc>
        <w:tc>
          <w:tcPr>
            <w:tcW w:w="1598" w:type="pct"/>
            <w:vMerge w:val="restar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《污水综合排放标准》（GB8978-1996）中表4三级标准</w:t>
            </w:r>
            <w:r>
              <w:rPr>
                <w:rFonts w:hint="eastAsia" w:ascii="Times New Roman" w:hAnsi="Times New Roman" w:eastAsia="宋体" w:cs="Times New Roman"/>
                <w:color w:val="auto"/>
                <w:sz w:val="21"/>
                <w:szCs w:val="21"/>
                <w:lang w:val="en-US" w:eastAsia="zh-CN" w:bidi="ar-SA"/>
              </w:rPr>
              <w:t>及临港污水处理厂的纳管协议标准</w:t>
            </w: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6~9（无量纲）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COD</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BOD</w:t>
            </w:r>
            <w:r>
              <w:rPr>
                <w:rFonts w:hint="eastAsia" w:ascii="Times New Roman" w:hAnsi="Times New Roman" w:eastAsia="宋体" w:cs="Times New Roman"/>
                <w:color w:val="auto"/>
                <w:sz w:val="21"/>
                <w:szCs w:val="21"/>
                <w:vertAlign w:val="subscript"/>
                <w:lang w:val="en-US" w:eastAsia="zh-CN" w:bidi="ar-SA"/>
              </w:rPr>
              <w:t>5</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SS</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氨氮</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总磷</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动植物油</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7"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643"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876"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石油类</w:t>
            </w:r>
          </w:p>
        </w:tc>
        <w:tc>
          <w:tcPr>
            <w:tcW w:w="1598" w:type="pct"/>
            <w:vMerge w:val="continue"/>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sz w:val="21"/>
                <w:szCs w:val="21"/>
                <w:lang w:val="en-US" w:eastAsia="zh-CN" w:bidi="ar-SA"/>
              </w:rPr>
            </w:pPr>
          </w:p>
        </w:tc>
        <w:tc>
          <w:tcPr>
            <w:tcW w:w="1493" w:type="pct"/>
            <w:tcBorders>
              <w:tl2br w:val="nil"/>
              <w:tr2bl w:val="nil"/>
            </w:tcBorders>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w:t>
            </w:r>
          </w:p>
        </w:tc>
      </w:tr>
    </w:tbl>
    <w:p>
      <w:pPr>
        <w:pageBreakBefore w:val="0"/>
        <w:kinsoku/>
        <w:wordWrap/>
        <w:overflowPunct w:val="0"/>
        <w:topLinePunct/>
        <w:autoSpaceDE w:val="0"/>
        <w:autoSpaceDN w:val="0"/>
        <w:bidi w:val="0"/>
        <w:adjustRightInd w:val="0"/>
        <w:spacing w:line="360" w:lineRule="auto"/>
        <w:ind w:firstLine="426" w:firstLineChars="177"/>
        <w:jc w:val="center"/>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表5.2-26废水污染物排放信息表</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667"/>
        <w:gridCol w:w="1678"/>
        <w:gridCol w:w="1660"/>
        <w:gridCol w:w="2349"/>
        <w:gridCol w:w="19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序号</w:t>
            </w:r>
          </w:p>
        </w:tc>
        <w:tc>
          <w:tcPr>
            <w:tcW w:w="100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排放口编号</w:t>
            </w: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污染物种类</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排放浓度</w:t>
            </w:r>
            <w:r>
              <w:rPr>
                <w:rFonts w:ascii="Times New Roman" w:hAnsi="Times New Roman" w:eastAsia="宋体" w:cs="Times New Roman"/>
                <w:color w:val="auto"/>
                <w:kern w:val="2"/>
                <w:sz w:val="21"/>
                <w:szCs w:val="21"/>
                <w:lang w:val="zh-TW" w:eastAsia="zh-CN" w:bidi="ar-SA"/>
              </w:rPr>
              <w:t>/</w:t>
            </w:r>
            <w:r>
              <w:rPr>
                <w:rFonts w:ascii="Times New Roman" w:hAnsi="Times New Roman" w:eastAsia="宋体" w:cs="Times New Roman"/>
                <w:color w:val="auto"/>
                <w:kern w:val="2"/>
                <w:sz w:val="21"/>
                <w:szCs w:val="21"/>
                <w:lang w:val="en-US" w:eastAsia="zh-CN" w:bidi="ar-SA"/>
              </w:rPr>
              <w:t>(mg/L)</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年排放量</w:t>
            </w:r>
            <w:r>
              <w:rPr>
                <w:rFonts w:ascii="Times New Roman" w:hAnsi="Times New Roman" w:eastAsia="宋体" w:cs="Times New Roman"/>
                <w:color w:val="auto"/>
                <w:kern w:val="2"/>
                <w:sz w:val="21"/>
                <w:szCs w:val="21"/>
                <w:lang w:val="zh-TW" w:eastAsia="zh-CN" w:bidi="ar-SA"/>
              </w:rPr>
              <w:t>/</w:t>
            </w:r>
            <w:r>
              <w:rPr>
                <w:rFonts w:ascii="Times New Roman" w:hAnsi="Times New Roman" w:eastAsia="宋体" w:cs="Times New Roman"/>
                <w:color w:val="auto"/>
                <w:kern w:val="2"/>
                <w:sz w:val="21"/>
                <w:szCs w:val="21"/>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005" w:type="pct"/>
            <w:vMerge w:val="restar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w:t>
            </w:r>
            <w:r>
              <w:rPr>
                <w:rFonts w:ascii="Times New Roman" w:hAnsi="Times New Roman" w:eastAsia="宋体" w:cs="Times New Roman"/>
                <w:color w:val="auto"/>
                <w:kern w:val="2"/>
                <w:sz w:val="21"/>
                <w:szCs w:val="21"/>
                <w:lang w:val="en-US" w:eastAsia="zh-CN" w:bidi="ar-SA"/>
              </w:rPr>
              <w:t>W00</w:t>
            </w:r>
            <w:r>
              <w:rPr>
                <w:rFonts w:hint="eastAsia" w:ascii="Times New Roman" w:hAnsi="Times New Roman" w:eastAsia="宋体" w:cs="Times New Roman"/>
                <w:color w:val="auto"/>
                <w:kern w:val="2"/>
                <w:sz w:val="21"/>
                <w:szCs w:val="21"/>
                <w:lang w:val="en-US" w:eastAsia="zh-CN" w:bidi="ar-SA"/>
              </w:rPr>
              <w:t>1</w:t>
            </w: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COD</w:t>
            </w:r>
            <w:r>
              <w:rPr>
                <w:rFonts w:hint="eastAsia" w:ascii="Times New Roman" w:hAnsi="Times New Roman" w:eastAsia="宋体" w:cs="Times New Roman"/>
                <w:color w:val="auto"/>
                <w:kern w:val="2"/>
                <w:sz w:val="21"/>
                <w:szCs w:val="21"/>
                <w:vertAlign w:val="subscript"/>
                <w:lang w:val="en-US" w:eastAsia="zh-CN" w:bidi="ar-SA"/>
              </w:rPr>
              <w:t>cr</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50</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10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BOD</w:t>
            </w:r>
            <w:r>
              <w:rPr>
                <w:rFonts w:hint="eastAsia" w:ascii="Times New Roman" w:hAnsi="Times New Roman" w:eastAsia="宋体" w:cs="Times New Roman"/>
                <w:color w:val="auto"/>
                <w:kern w:val="2"/>
                <w:sz w:val="21"/>
                <w:szCs w:val="21"/>
                <w:vertAlign w:val="subscript"/>
                <w:lang w:val="en-US" w:eastAsia="zh-CN" w:bidi="ar-SA"/>
              </w:rPr>
              <w:t>5</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10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SS</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10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NH</w:t>
            </w:r>
            <w:r>
              <w:rPr>
                <w:rFonts w:hint="eastAsia" w:ascii="Times New Roman" w:hAnsi="Times New Roman" w:eastAsia="宋体" w:cs="Times New Roman"/>
                <w:color w:val="auto"/>
                <w:kern w:val="2"/>
                <w:sz w:val="21"/>
                <w:szCs w:val="21"/>
                <w:vertAlign w:val="subscript"/>
                <w:lang w:val="en-US" w:eastAsia="zh-CN" w:bidi="ar-SA"/>
              </w:rPr>
              <w:t>3</w:t>
            </w:r>
            <w:r>
              <w:rPr>
                <w:rFonts w:ascii="Times New Roman" w:hAnsi="Times New Roman" w:eastAsia="宋体" w:cs="Times New Roman"/>
                <w:color w:val="auto"/>
                <w:kern w:val="2"/>
                <w:sz w:val="21"/>
                <w:szCs w:val="21"/>
                <w:lang w:val="en-US" w:eastAsia="zh-CN" w:bidi="ar-SA"/>
              </w:rPr>
              <w:t>-N</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5</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10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TP</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0.5</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10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动植物油</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0"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1005" w:type="pct"/>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restar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全厂排放口合计</w:t>
            </w: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COD</w:t>
            </w:r>
            <w:r>
              <w:rPr>
                <w:rFonts w:hint="eastAsia" w:ascii="Times New Roman" w:hAnsi="Times New Roman" w:eastAsia="宋体" w:cs="Times New Roman"/>
                <w:color w:val="auto"/>
                <w:kern w:val="2"/>
                <w:sz w:val="21"/>
                <w:szCs w:val="21"/>
                <w:vertAlign w:val="subscript"/>
                <w:lang w:val="en-US" w:eastAsia="zh-CN" w:bidi="ar-SA"/>
              </w:rPr>
              <w:t>cr</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50</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BOD</w:t>
            </w:r>
            <w:r>
              <w:rPr>
                <w:rFonts w:hint="eastAsia" w:ascii="Times New Roman" w:hAnsi="Times New Roman" w:eastAsia="宋体" w:cs="Times New Roman"/>
                <w:color w:val="auto"/>
                <w:kern w:val="2"/>
                <w:sz w:val="21"/>
                <w:szCs w:val="21"/>
                <w:vertAlign w:val="subscript"/>
                <w:lang w:val="en-US" w:eastAsia="zh-CN" w:bidi="ar-SA"/>
              </w:rPr>
              <w:t>5</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SS</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NH</w:t>
            </w:r>
            <w:r>
              <w:rPr>
                <w:rFonts w:hint="eastAsia" w:ascii="Times New Roman" w:hAnsi="Times New Roman" w:eastAsia="宋体" w:cs="Times New Roman"/>
                <w:color w:val="auto"/>
                <w:kern w:val="2"/>
                <w:sz w:val="21"/>
                <w:szCs w:val="21"/>
                <w:vertAlign w:val="subscript"/>
                <w:lang w:val="en-US" w:eastAsia="zh-CN" w:bidi="ar-SA"/>
              </w:rPr>
              <w:t>3</w:t>
            </w:r>
            <w:r>
              <w:rPr>
                <w:rFonts w:ascii="Times New Roman" w:hAnsi="Times New Roman" w:eastAsia="宋体" w:cs="Times New Roman"/>
                <w:color w:val="auto"/>
                <w:kern w:val="2"/>
                <w:sz w:val="21"/>
                <w:szCs w:val="21"/>
                <w:lang w:val="en-US" w:eastAsia="zh-CN" w:bidi="ar-SA"/>
              </w:rPr>
              <w:t>-N</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5</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TP</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0.5</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动植物油</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406" w:type="pct"/>
            <w:gridSpan w:val="2"/>
            <w:vMerge w:val="continue"/>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p>
        </w:tc>
        <w:tc>
          <w:tcPr>
            <w:tcW w:w="995"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p>
        </w:tc>
        <w:tc>
          <w:tcPr>
            <w:tcW w:w="1408"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190" w:type="pct"/>
            <w:vAlign w:val="center"/>
          </w:tcPr>
          <w:p>
            <w:pPr>
              <w:pageBreakBefore w:val="0"/>
              <w:kinsoku/>
              <w:wordWrap/>
              <w:overflowPunct w:val="0"/>
              <w:topLinePunct/>
              <w:autoSpaceDE w:val="0"/>
              <w:autoSpaceDN w:val="0"/>
              <w:bidi w:val="0"/>
              <w:spacing w:line="26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r>
    </w:tbl>
    <w:p>
      <w:pPr>
        <w:pageBreakBefore w:val="0"/>
        <w:kinsoku/>
        <w:wordWrap/>
        <w:overflowPunct w:val="0"/>
        <w:topLinePunct/>
        <w:autoSpaceDE w:val="0"/>
        <w:autoSpaceDN w:val="0"/>
        <w:bidi w:val="0"/>
        <w:adjustRightInd w:val="0"/>
        <w:spacing w:line="360" w:lineRule="auto"/>
        <w:ind w:firstLine="426" w:firstLineChars="177"/>
        <w:jc w:val="left"/>
        <w:outlineLvl w:val="3"/>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5.2.2.6</w:t>
      </w:r>
      <w:r>
        <w:rPr>
          <w:rFonts w:hint="default" w:ascii="Times New Roman" w:hAnsi="Times New Roman" w:eastAsia="宋体" w:cs="Times New Roman"/>
          <w:b/>
          <w:bCs/>
          <w:color w:val="auto"/>
          <w:sz w:val="24"/>
        </w:rPr>
        <w:t>评价结论</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含油废</w:t>
      </w:r>
      <w:r>
        <w:rPr>
          <w:rFonts w:hint="default" w:ascii="Times New Roman" w:hAnsi="Times New Roman" w:eastAsia="宋体" w:cs="Times New Roman"/>
          <w:color w:val="auto"/>
          <w:sz w:val="24"/>
          <w:lang w:eastAsia="zh-CN"/>
        </w:rPr>
        <w:t>水</w:t>
      </w:r>
      <w:r>
        <w:rPr>
          <w:rFonts w:hint="default" w:ascii="Times New Roman" w:hAnsi="Times New Roman" w:eastAsia="宋体" w:cs="Times New Roman"/>
          <w:color w:val="auto"/>
          <w:sz w:val="24"/>
        </w:rPr>
        <w:t>经预处理与</w:t>
      </w:r>
      <w:r>
        <w:rPr>
          <w:rFonts w:hint="default" w:ascii="Times New Roman" w:hAnsi="Times New Roman" w:eastAsia="宋体" w:cs="Times New Roman"/>
          <w:color w:val="auto"/>
          <w:sz w:val="24"/>
          <w:lang w:eastAsia="zh-CN"/>
        </w:rPr>
        <w:t>生活污水一同通</w:t>
      </w:r>
      <w:r>
        <w:rPr>
          <w:rFonts w:hint="default" w:ascii="Times New Roman" w:hAnsi="Times New Roman" w:eastAsia="宋体" w:cs="Times New Roman"/>
          <w:color w:val="auto"/>
          <w:sz w:val="24"/>
        </w:rPr>
        <w:t>过生产废水排放口（DW00</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排入市政污水管网，经湖南三峡环境临港水质净化厂处理达《城镇污水处理厂污染物排放标准》（GB18918-2002）及修改单中一级A标准，经象骨港汇入长江。项目水污染控制和水环境影响减缓措施技术可行，经济合理，项目废水经处理后，对地表水环境影响不大，环境影响可接受。</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35" w:name="_Toc20742"/>
      <w:r>
        <w:rPr>
          <w:rFonts w:hint="default" w:ascii="Times New Roman" w:hAnsi="Times New Roman" w:eastAsia="宋体" w:cs="Times New Roman"/>
          <w:color w:val="auto"/>
          <w:highlight w:val="none"/>
          <w:u w:val="none" w:color="auto"/>
        </w:rPr>
        <w:t>5.2.3地下水环境影响分析</w:t>
      </w:r>
      <w:bookmarkEnd w:id="232"/>
      <w:bookmarkEnd w:id="233"/>
      <w:bookmarkEnd w:id="234"/>
      <w:bookmarkEnd w:id="235"/>
    </w:p>
    <w:p>
      <w:pPr>
        <w:pStyle w:val="8"/>
        <w:pageBreakBefore w:val="0"/>
        <w:tabs>
          <w:tab w:val="left" w:pos="0"/>
        </w:tabs>
        <w:kinsoku/>
        <w:wordWrap/>
        <w:overflowPunct w:val="0"/>
        <w:topLinePunct/>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u w:val="none" w:color="auto"/>
        </w:rPr>
      </w:pPr>
      <w:bookmarkStart w:id="236" w:name="_Toc27703"/>
      <w:bookmarkStart w:id="237" w:name="_Toc9534"/>
      <w:r>
        <w:rPr>
          <w:rFonts w:hint="eastAsia" w:cs="Times New Roman"/>
          <w:color w:val="auto"/>
          <w:sz w:val="24"/>
          <w:szCs w:val="24"/>
          <w:highlight w:val="none"/>
          <w:u w:val="none" w:color="auto"/>
          <w:lang w:val="en-US" w:eastAsia="zh-CN"/>
        </w:rPr>
        <w:t>5.2.3.1</w:t>
      </w:r>
      <w:r>
        <w:rPr>
          <w:rFonts w:hint="default" w:ascii="Times New Roman" w:hAnsi="Times New Roman" w:eastAsia="宋体" w:cs="Times New Roman"/>
          <w:color w:val="auto"/>
          <w:sz w:val="24"/>
          <w:szCs w:val="24"/>
          <w:u w:val="none" w:color="auto"/>
        </w:rPr>
        <w:t>水文地质概况</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1、区域地质构造</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岳阳市属幕阜山脉向江汉平原过渡地带，地貌多样、交相穿插，整个地势由东南向西北倾斜。地表组成物质65%为变质岩，其余为沙质岩，土壤组成以第四纪红色粘土和第四纪全新河、湖沉积物为主。工业园属低山丘陵地形，用地多为山地和河湖，园区内丘岗与盆地相穿插、平原与湖泊交错，海拔高程40—60米，最大高差为35米左右。根据《中国地震烈度区划图》，该区地震设防烈度为6度。</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2、厂区岩土分层及其特征</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依据场地已有地质资料，项目区场地各地层从上至下依次为：</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（1）人工填土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褐黄、褐红、灰黑等色。主要由粘性土、砂土、碎石或少量建筑垃圾组成，结构松散，其中碎石粒径2～15cm，次棱角状，含量约20%～40%。场地内普遍分布，层厚1.5～3.8m。为Ⅱ级普通土。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（2）第四系上全新全新统湖沼沉积淤泥质粘土层</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淤泥质粘土：浅灰、灰黑色，局部混砂及腐木，很湿～饱和，软塑状为主，局部可塑，光滑，摇振反应慢，干强度高，韧性高，压缩性高，局部表现为粘土（含淤泥质）场地内普遍分布，为Ⅱ级普通土。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（3）第四系全新统可塑粉质粘土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褐灰色、褐黄色，粉粒成分为主，粘粒成分次之，稍有光泽，无摇震反应，中等干强度，韧性中，中等压缩性，标贯击数5—8击，呈可塑状态，层厚0.7～3.4m。</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（4）第四系全新统硬塑粉质粘土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褐黄色，粉粒成分为主，粘粒成分次之，稍有光滑，无摇震反应，较高干强度，韧性较高，含铁锰氧化物，结构密实，较低压缩性，呈硬塑状态，层厚为0.7～5.2m。</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（5）第四系上更新统坚硬粉质粘土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黄褐色、褐红色，粉粒成分为主，粘粒成分次之，上部含少量铁锰氧化物，稍有光泽，无摇震反应，干强度高，韧性高，密实，较低压缩性，具网纹状构造，层厚2.3～6.7m。</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（6）第四系上更新统冲洪积层</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粉质粘土，浅黄、灰白等色，湿，可塑～硬塑，光滑，摇振反应无，干强度中等，韧性中等，压缩性中等，底部偶见砾砂夹层。层顶标高-15.89～-12.04m，层顶深度18.20～24.00m，层厚1.70～5.50m，为Ⅱ级普通土。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（7）前震旦系冷家溪群崔家坳组中风化板岩</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Ⅳ类，岩芯呈碎块状、块状、短柱状，局部钻孔内呈柱状体，采取率较高，勘探深度2.0～11.0m。</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（8）前震旦系冷家溪群崔家坳组微风化板岩</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青灰色，泥质成分，变余结构，中厚层夹薄层状，产状陡，岩石微弱风化，属较软岩，强度高，坚硬，板状结构，裂隙不甚发育，层理清晰，结构面以裂隙面和层面为主，组合一般，岩体较完整，岩石基本质量等级为Ⅳ类，岩芯呈碎块状、块状、短柱状，采取率较高。</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3、场地地下水条件</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项目区地下水主要赋存在杂填土以下，粉质粘土以上，接受大气降水和地表水补给，地下水径流条件较好，水量较小，由地下水原始的山坡向冲沟河道排泄，在项目评价区范围内，地下水总体由东北往西南排泄。</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4、地下水开发利用现状</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spacing w:val="6"/>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项目所在区域用水由工业园区统一提供，不采用地下水，项目地下水评价范围内无集中式饮用水源，无矿泉水、温泉等特殊地下水资源。</w:t>
      </w:r>
    </w:p>
    <w:p>
      <w:pPr>
        <w:pStyle w:val="8"/>
        <w:pageBreakBefore w:val="0"/>
        <w:tabs>
          <w:tab w:val="left" w:pos="0"/>
        </w:tabs>
        <w:kinsoku/>
        <w:wordWrap/>
        <w:overflowPunct w:val="0"/>
        <w:topLinePunct/>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5.2.3.2</w:t>
      </w:r>
      <w:r>
        <w:rPr>
          <w:rFonts w:hint="default" w:ascii="Times New Roman" w:hAnsi="Times New Roman" w:eastAsia="宋体" w:cs="Times New Roman"/>
          <w:color w:val="auto"/>
          <w:sz w:val="24"/>
          <w:szCs w:val="24"/>
          <w:u w:val="none" w:color="auto"/>
        </w:rPr>
        <w:t>地下水水质影响分析</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环境影响评价技术导则地下水环境》（HJ610-2016），本项目厂区划分为重点防渗区及一般防渗区，根据防渗级别采取不同的防渗材料，地下水防渗措施均能符合行业普遍采取的成熟措施。为防止项目运营对地下水的影响，根据工程特点和当地的实际情况，按照“源头控制、分区防治”的原则。</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（1）实施源头控制措施</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①本项目对产生的废水进行合理的治理和综合利用，尽量从源头减少可能污染物的产生。</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②严格按照国家相关规范要求，对管道、设备、粪便储存及处理的构筑物采取相应的措施，以防止和降低可能污染物的跑冒滴漏，将废水、物料泄漏的环境事故降低到最低程度。</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污水排放是造成地表水污染从而造成地下水污染的重要原因。因此，防止地下水污染最根本的方法就是减少废水的排放。本项目产生的含重金属废水，实现综合利用，无外排，从而减少对地下水可能造成的污染。</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④进行质量体系认证，实现“质量、安全、环境”三位一体的全面质量管理目标。建立有关规章制度和岗位责任制。</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（2）分区防渗措施</w:t>
      </w:r>
    </w:p>
    <w:p>
      <w:pPr>
        <w:pageBreakBefore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根据本项目厂区可能泄露至地面区域污染物的性质和生产单元的构筑方式，将厂区划分为重点防渗区、一般防渗区和简单防渗区，针对不同的区域提出相应的防渗要求。</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根据《环境影响评价技术导则地下水环境》（HJ610-2016），地下水防渗分区要求见下表。</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.2-2</w:t>
      </w:r>
      <w:r>
        <w:rPr>
          <w:rFonts w:hint="eastAsia"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rPr>
        <w:t>地下水污染防渗区参照表</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568"/>
        <w:gridCol w:w="1285"/>
        <w:gridCol w:w="2282"/>
        <w:gridCol w:w="19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防渗分区</w:t>
            </w: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天然包气带防污性能</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污染控制难易程度</w:t>
            </w:r>
          </w:p>
        </w:tc>
        <w:tc>
          <w:tcPr>
            <w:tcW w:w="2280"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污染物类型</w:t>
            </w:r>
          </w:p>
        </w:tc>
        <w:tc>
          <w:tcPr>
            <w:tcW w:w="192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防渗技术要求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重点防渗区</w:t>
            </w: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弱</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难</w:t>
            </w:r>
          </w:p>
        </w:tc>
        <w:tc>
          <w:tcPr>
            <w:tcW w:w="2280"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重金属、持久性有机污染物</w:t>
            </w:r>
          </w:p>
        </w:tc>
        <w:tc>
          <w:tcPr>
            <w:tcW w:w="1929"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等效黏土防渗层Mb≥6.0m，K≤1×10</w:t>
            </w:r>
            <w:r>
              <w:rPr>
                <w:rFonts w:hint="default" w:ascii="Times New Roman" w:hAnsi="Times New Roman" w:eastAsia="宋体" w:cs="Times New Roman"/>
                <w:color w:val="auto"/>
                <w:u w:val="none" w:color="auto"/>
                <w:vertAlign w:val="superscript"/>
              </w:rPr>
              <w:t>-7</w:t>
            </w:r>
            <w:r>
              <w:rPr>
                <w:rFonts w:hint="default" w:ascii="Times New Roman" w:hAnsi="Times New Roman" w:eastAsia="宋体" w:cs="Times New Roman"/>
                <w:color w:val="auto"/>
                <w:u w:val="none" w:color="auto"/>
              </w:rPr>
              <w:t>cm/s；或参照GB18598执行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中-强</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难</w:t>
            </w:r>
          </w:p>
        </w:tc>
        <w:tc>
          <w:tcPr>
            <w:tcW w:w="2280"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929"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弱</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易</w:t>
            </w:r>
          </w:p>
        </w:tc>
        <w:tc>
          <w:tcPr>
            <w:tcW w:w="2280"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929"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一般防渗区</w:t>
            </w: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弱</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易-难</w:t>
            </w:r>
          </w:p>
        </w:tc>
        <w:tc>
          <w:tcPr>
            <w:tcW w:w="2280"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其他类型</w:t>
            </w:r>
          </w:p>
        </w:tc>
        <w:tc>
          <w:tcPr>
            <w:tcW w:w="1929"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等效黏土防渗层Mb≥1.5m，K≤1×10</w:t>
            </w:r>
            <w:r>
              <w:rPr>
                <w:rFonts w:hint="default" w:ascii="Times New Roman" w:hAnsi="Times New Roman" w:eastAsia="宋体" w:cs="Times New Roman"/>
                <w:color w:val="auto"/>
                <w:u w:val="none" w:color="auto"/>
                <w:vertAlign w:val="superscript"/>
              </w:rPr>
              <w:t>-7</w:t>
            </w:r>
            <w:r>
              <w:rPr>
                <w:rFonts w:hint="default" w:ascii="Times New Roman" w:hAnsi="Times New Roman" w:eastAsia="宋体" w:cs="Times New Roman"/>
                <w:color w:val="auto"/>
                <w:u w:val="none" w:color="auto"/>
              </w:rPr>
              <w:t>cm/s；或参照GB16889执行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中-强</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难</w:t>
            </w:r>
          </w:p>
        </w:tc>
        <w:tc>
          <w:tcPr>
            <w:tcW w:w="2280"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929"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中</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易</w:t>
            </w:r>
          </w:p>
        </w:tc>
        <w:tc>
          <w:tcPr>
            <w:tcW w:w="2280"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重金属、持久性有机物污染物</w:t>
            </w:r>
          </w:p>
        </w:tc>
        <w:tc>
          <w:tcPr>
            <w:tcW w:w="1929"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强</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易</w:t>
            </w:r>
          </w:p>
        </w:tc>
        <w:tc>
          <w:tcPr>
            <w:tcW w:w="2280"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929"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6"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简单防渗区</w:t>
            </w:r>
          </w:p>
        </w:tc>
        <w:tc>
          <w:tcPr>
            <w:tcW w:w="1567"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中-强</w:t>
            </w:r>
          </w:p>
        </w:tc>
        <w:tc>
          <w:tcPr>
            <w:tcW w:w="1284"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易</w:t>
            </w:r>
          </w:p>
        </w:tc>
        <w:tc>
          <w:tcPr>
            <w:tcW w:w="2280"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其他类型</w:t>
            </w:r>
          </w:p>
        </w:tc>
        <w:tc>
          <w:tcPr>
            <w:tcW w:w="192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一般地面硬化</w:t>
            </w:r>
          </w:p>
        </w:tc>
      </w:tr>
    </w:tbl>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5.2-28</w:t>
      </w:r>
      <w:r>
        <w:rPr>
          <w:rFonts w:hint="default" w:ascii="Times New Roman" w:hAnsi="Times New Roman" w:eastAsia="宋体" w:cs="Times New Roman"/>
          <w:color w:val="auto"/>
          <w:sz w:val="24"/>
          <w:szCs w:val="24"/>
          <w:u w:val="none" w:color="auto"/>
        </w:rPr>
        <w:t>项目地下水污染分区防治措施表</w:t>
      </w:r>
    </w:p>
    <w:tbl>
      <w:tblPr>
        <w:tblStyle w:val="40"/>
        <w:tblW w:w="505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2"/>
        <w:gridCol w:w="1544"/>
        <w:gridCol w:w="58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998"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分区类别</w:t>
            </w: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场所名称</w:t>
            </w:r>
          </w:p>
        </w:tc>
        <w:tc>
          <w:tcPr>
            <w:tcW w:w="5866"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防渗要求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998"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重点污染防治区</w:t>
            </w: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危废暂存间</w:t>
            </w:r>
          </w:p>
        </w:tc>
        <w:tc>
          <w:tcPr>
            <w:tcW w:w="5866"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地坪地基必须采用粘土材料，且厚度不得低于100cm。粘土材料的渗透系数≤10</w:t>
            </w:r>
            <w:r>
              <w:rPr>
                <w:rFonts w:hint="default" w:ascii="Times New Roman" w:hAnsi="Times New Roman" w:eastAsia="宋体" w:cs="Times New Roman"/>
                <w:color w:val="auto"/>
                <w:u w:val="none" w:color="auto"/>
                <w:vertAlign w:val="superscript"/>
              </w:rPr>
              <w:t>-7</w:t>
            </w:r>
            <w:r>
              <w:rPr>
                <w:rFonts w:hint="default" w:ascii="Times New Roman" w:hAnsi="Times New Roman" w:eastAsia="宋体" w:cs="Times New Roman"/>
                <w:color w:val="auto"/>
                <w:u w:val="none" w:color="auto"/>
              </w:rPr>
              <w:t>cm/s，在无法满足100cm厚粘土基础垫层的情况下，可采用30cm厚普通粘土垫层，并加铺2毫米厚高密度聚乙烯，或至少2mm厚的其它人工防渗材料，渗透系数≤10</w:t>
            </w:r>
            <w:r>
              <w:rPr>
                <w:rFonts w:hint="default" w:ascii="Times New Roman" w:hAnsi="Times New Roman" w:eastAsia="宋体" w:cs="Times New Roman"/>
                <w:color w:val="auto"/>
                <w:u w:val="none" w:color="auto"/>
                <w:vertAlign w:val="superscript"/>
              </w:rPr>
              <w:t>-10</w:t>
            </w:r>
            <w:r>
              <w:rPr>
                <w:rFonts w:hint="default" w:ascii="Times New Roman" w:hAnsi="Times New Roman" w:eastAsia="宋体" w:cs="Times New Roman"/>
                <w:color w:val="auto"/>
                <w:u w:val="none" w:color="auto"/>
              </w:rPr>
              <w:t>cm/s。危险废物暂存间、生产废水处理站池壁及事故收集池采用防渗混凝土+HDPE膜（1.5mm厚、渗透系数不高于1.0×10</w:t>
            </w:r>
            <w:r>
              <w:rPr>
                <w:rFonts w:hint="default" w:ascii="Times New Roman" w:hAnsi="Times New Roman" w:eastAsia="宋体" w:cs="Times New Roman"/>
                <w:color w:val="auto"/>
                <w:u w:val="none" w:color="auto"/>
                <w:vertAlign w:val="superscript"/>
              </w:rPr>
              <w:t>-11</w:t>
            </w:r>
            <w:r>
              <w:rPr>
                <w:rFonts w:hint="default" w:ascii="Times New Roman" w:hAnsi="Times New Roman" w:eastAsia="宋体" w:cs="Times New Roman"/>
                <w:color w:val="auto"/>
                <w:u w:val="none" w:color="auto"/>
              </w:rPr>
              <w:t>cm/s的HDPE膜作为防渗层）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998"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危化品仓库</w:t>
            </w:r>
          </w:p>
        </w:tc>
        <w:tc>
          <w:tcPr>
            <w:tcW w:w="586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998"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污水处理站</w:t>
            </w:r>
          </w:p>
        </w:tc>
        <w:tc>
          <w:tcPr>
            <w:tcW w:w="586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998"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事故应急池</w:t>
            </w:r>
          </w:p>
        </w:tc>
        <w:tc>
          <w:tcPr>
            <w:tcW w:w="586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998"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排水管网</w:t>
            </w:r>
          </w:p>
        </w:tc>
        <w:tc>
          <w:tcPr>
            <w:tcW w:w="5866"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沟渠用砖砌后再用水泥硬化防渗，加强巡检，定期监测排水管线密封性，杜绝污水渗漏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998"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一般污染防治区</w:t>
            </w: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生产厂房</w:t>
            </w:r>
          </w:p>
        </w:tc>
        <w:tc>
          <w:tcPr>
            <w:tcW w:w="5866"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采用抗渗等级不低于P1级的抗渗混凝土（渗透系数约0.4×10</w:t>
            </w:r>
            <w:r>
              <w:rPr>
                <w:rFonts w:hint="default" w:ascii="Times New Roman" w:hAnsi="Times New Roman" w:eastAsia="宋体" w:cs="Times New Roman"/>
                <w:color w:val="auto"/>
                <w:u w:val="none" w:color="auto"/>
                <w:vertAlign w:val="superscript"/>
              </w:rPr>
              <w:t>-7</w:t>
            </w:r>
            <w:r>
              <w:rPr>
                <w:rFonts w:hint="default" w:ascii="Times New Roman" w:hAnsi="Times New Roman" w:eastAsia="宋体" w:cs="Times New Roman"/>
                <w:color w:val="auto"/>
                <w:u w:val="none" w:color="auto"/>
              </w:rPr>
              <w:t>cm/s，厚度不低于20cm）硬化地面。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998"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一般固废暂存间</w:t>
            </w:r>
          </w:p>
        </w:tc>
        <w:tc>
          <w:tcPr>
            <w:tcW w:w="586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998"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简单防渗区</w:t>
            </w: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办公区</w:t>
            </w:r>
          </w:p>
        </w:tc>
        <w:tc>
          <w:tcPr>
            <w:tcW w:w="5866" w:type="dxa"/>
            <w:vMerge w:val="restart"/>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硬化措施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998"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c>
          <w:tcPr>
            <w:tcW w:w="1539" w:type="dxa"/>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厂区道路</w:t>
            </w:r>
          </w:p>
        </w:tc>
        <w:tc>
          <w:tcPr>
            <w:tcW w:w="5866" w:type="dxa"/>
            <w:vMerge w:val="continue"/>
            <w:tcBorders>
              <w:tl2br w:val="nil"/>
              <w:tr2bl w:val="nil"/>
            </w:tcBorders>
            <w:vAlign w:val="center"/>
          </w:tcPr>
          <w:p>
            <w:pPr>
              <w:pStyle w:val="91"/>
              <w:pageBreakBefore w:val="0"/>
              <w:kinsoku/>
              <w:wordWrap/>
              <w:overflowPunct w:val="0"/>
              <w:topLinePunct/>
              <w:autoSpaceDE w:val="0"/>
              <w:autoSpaceDN w:val="0"/>
              <w:bidi w:val="0"/>
              <w:adjustRightInd w:val="0"/>
              <w:snapToGrid w:val="0"/>
              <w:rPr>
                <w:rFonts w:hint="default" w:ascii="Times New Roman" w:hAnsi="Times New Roman" w:eastAsia="宋体" w:cs="Times New Roman"/>
                <w:color w:val="auto"/>
                <w:u w:val="none" w:color="auto"/>
              </w:rPr>
            </w:pPr>
          </w:p>
        </w:tc>
      </w:tr>
    </w:tbl>
    <w:p>
      <w:pPr>
        <w:pageBreakBefore w:val="0"/>
        <w:widowControl w:val="0"/>
        <w:kinsoku/>
        <w:wordWrap/>
        <w:overflowPunct w:val="0"/>
        <w:topLinePunct/>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在采取上述措施后，项目生产废水渗漏的可能性不大，因此通过包气带垂直渗透进入地下水的可能性小，对地下水影响很小。</w:t>
      </w:r>
    </w:p>
    <w:p>
      <w:pPr>
        <w:pStyle w:val="7"/>
        <w:bidi w:val="0"/>
        <w:rPr>
          <w:rFonts w:hint="default"/>
          <w:color w:val="auto"/>
        </w:rPr>
      </w:pPr>
      <w:bookmarkStart w:id="238" w:name="_Toc8513"/>
      <w:r>
        <w:rPr>
          <w:rFonts w:hint="eastAsia"/>
          <w:color w:val="auto"/>
          <w:lang w:val="en-US" w:eastAsia="zh-CN"/>
        </w:rPr>
        <w:t>5.2.4</w:t>
      </w:r>
      <w:r>
        <w:rPr>
          <w:rFonts w:hint="default"/>
          <w:color w:val="auto"/>
        </w:rPr>
        <w:t>营运期噪声环境影响分析</w:t>
      </w:r>
      <w:bookmarkEnd w:id="236"/>
      <w:bookmarkEnd w:id="238"/>
    </w:p>
    <w:p>
      <w:pPr>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建设项目投产后的设备噪声对声学环境的影响评价范围控制在厂界和厂界外200m范围内进行。根据《环境影响评价技术导则声环境》（HJ2.4-2021）中对噪声源强的分类，项目噪声源按声源性质可以分为流动声源和固定声源两大类，机动车辆为流动声源，场内固定的产噪设备为固定声源。在本项目中，项目工业噪声源强主要为固定声源，流动声源主要为货车。根据平面布局及工程分析分析，项目流动声源在停车及低速情况下产生的噪声影响基本可控制在厂区内，项目主要噪声源为各生产车间内设备运行时产生的噪声。因此，本项目根据导则对工业噪声预测。污染源及源强见下表。</w:t>
      </w:r>
    </w:p>
    <w:p>
      <w:pPr>
        <w:pStyle w:val="308"/>
        <w:pageBreakBefore w:val="0"/>
        <w:widowControl w:val="0"/>
        <w:tabs>
          <w:tab w:val="left" w:pos="0"/>
        </w:tabs>
        <w:kinsoku/>
        <w:wordWrap/>
        <w:overflowPunct w:val="0"/>
        <w:topLinePunct/>
        <w:autoSpaceDE w:val="0"/>
        <w:autoSpaceDN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.2-</w:t>
      </w:r>
      <w:r>
        <w:rPr>
          <w:rFonts w:hint="eastAsia" w:cs="Times New Roman"/>
          <w:color w:val="auto"/>
          <w:sz w:val="24"/>
          <w:szCs w:val="24"/>
          <w:u w:val="none" w:color="auto"/>
          <w:lang w:val="en-US" w:eastAsia="zh-CN"/>
        </w:rPr>
        <w:t>29</w:t>
      </w:r>
      <w:r>
        <w:rPr>
          <w:rFonts w:hint="default" w:ascii="Times New Roman" w:hAnsi="Times New Roman" w:eastAsia="宋体" w:cs="Times New Roman"/>
          <w:color w:val="auto"/>
          <w:sz w:val="24"/>
          <w:szCs w:val="24"/>
          <w:u w:val="none" w:color="auto"/>
        </w:rPr>
        <w:t>主要设备噪声源强一览表</w:t>
      </w:r>
    </w:p>
    <w:tbl>
      <w:tblPr>
        <w:tblStyle w:val="204"/>
        <w:tblW w:w="85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193"/>
        <w:gridCol w:w="855"/>
        <w:gridCol w:w="1184"/>
        <w:gridCol w:w="1320"/>
        <w:gridCol w:w="1184"/>
        <w:gridCol w:w="981"/>
        <w:gridCol w:w="9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所处</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位置</w:t>
            </w: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(台/</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套)</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单台设备</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声级值</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(dB(A))</w:t>
            </w: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治理措施</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降噪效果(dB(A))</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噪声</w:t>
            </w:r>
          </w:p>
        </w:tc>
        <w:tc>
          <w:tcPr>
            <w:tcW w:w="99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噪声源叠加值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车间</w:t>
            </w: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熔炼炉</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w:t>
            </w:r>
          </w:p>
        </w:tc>
        <w:tc>
          <w:tcPr>
            <w:tcW w:w="1320"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采取基础减</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震、车间墙</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体隔声、隔</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声罩、风机</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进出口设置</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消声器等措</w:t>
            </w:r>
          </w:p>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55</w:t>
            </w:r>
          </w:p>
        </w:tc>
        <w:tc>
          <w:tcPr>
            <w:tcW w:w="996"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铸锭机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r>
              <w:rPr>
                <w:rFonts w:hint="eastAsia" w:ascii="Times New Roman" w:hAnsi="Times New Roman" w:cs="Times New Roman"/>
                <w:color w:val="auto"/>
                <w:sz w:val="21"/>
                <w:szCs w:val="21"/>
                <w:vertAlign w:val="baseline"/>
                <w:lang w:val="en-US" w:eastAsia="zh-CN"/>
              </w:rPr>
              <w:t>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r>
              <w:rPr>
                <w:rFonts w:hint="eastAsia" w:ascii="Times New Roman" w:hAnsi="Times New Roman" w:cs="Times New Roman"/>
                <w:color w:val="auto"/>
                <w:sz w:val="21"/>
                <w:szCs w:val="21"/>
                <w:vertAlign w:val="baseline"/>
                <w:lang w:val="en-US" w:eastAsia="zh-CN"/>
              </w:rPr>
              <w:t>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空压机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立式铣床</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切割机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95</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模锻机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c>
          <w:tcPr>
            <w:tcW w:w="1320"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磨砂机</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w:t>
            </w: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65</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2"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93"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泵类</w:t>
            </w:r>
          </w:p>
        </w:tc>
        <w:tc>
          <w:tcPr>
            <w:tcW w:w="85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w:t>
            </w:r>
          </w:p>
        </w:tc>
        <w:tc>
          <w:tcPr>
            <w:tcW w:w="13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c>
          <w:tcPr>
            <w:tcW w:w="118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98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65</w:t>
            </w:r>
          </w:p>
        </w:tc>
        <w:tc>
          <w:tcPr>
            <w:tcW w:w="996"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pStyle w:val="8"/>
        <w:pageBreakBefore w:val="0"/>
        <w:tabs>
          <w:tab w:val="left" w:pos="0"/>
        </w:tabs>
        <w:kinsoku/>
        <w:wordWrap/>
        <w:overflowPunct w:val="0"/>
        <w:topLinePunct/>
        <w:autoSpaceDE w:val="0"/>
        <w:autoSpaceDN w:val="0"/>
        <w:bidi w:val="0"/>
        <w:ind w:left="-480" w:firstLineChars="0"/>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5.2.4.1</w:t>
      </w:r>
      <w:r>
        <w:rPr>
          <w:rFonts w:hint="default" w:ascii="Times New Roman" w:hAnsi="Times New Roman" w:eastAsia="宋体" w:cs="Times New Roman"/>
          <w:color w:val="auto"/>
          <w:sz w:val="24"/>
          <w:szCs w:val="24"/>
          <w:u w:val="none" w:color="auto"/>
        </w:rPr>
        <w:t>预测模式</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根据工程分析提供的噪声源参数，采用《环境影响评价技术导则声环境》（HJ2.4-20</w:t>
      </w:r>
      <w:r>
        <w:rPr>
          <w:rFonts w:hint="eastAsia" w:ascii="Times New Roman" w:hAnsi="Times New Roman" w:eastAsia="宋体" w:cs="Times New Roman"/>
          <w:color w:val="auto"/>
          <w:sz w:val="24"/>
          <w:szCs w:val="24"/>
          <w:u w:val="none" w:color="auto"/>
          <w:lang w:val="en-US" w:eastAsia="zh-CN"/>
        </w:rPr>
        <w:t>21</w:t>
      </w:r>
      <w:r>
        <w:rPr>
          <w:rFonts w:hint="default" w:ascii="Times New Roman" w:hAnsi="Times New Roman" w:eastAsia="宋体" w:cs="Times New Roman"/>
          <w:color w:val="auto"/>
          <w:sz w:val="24"/>
          <w:szCs w:val="24"/>
          <w:u w:val="none" w:color="auto"/>
        </w:rPr>
        <w:t>）规定的声级计算公式进行影响预测。</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①对在预测点产生的等效声级贡献值，计算公式如下：</w:t>
      </w:r>
    </w:p>
    <w:p>
      <w:pPr>
        <w:pStyle w:val="15"/>
        <w:pageBreakBefore w:val="0"/>
        <w:kinsoku/>
        <w:wordWrap/>
        <w:overflowPunct w:val="0"/>
        <w:topLinePunct/>
        <w:autoSpaceDE w:val="0"/>
        <w:autoSpaceDN w:val="0"/>
        <w:bidi w:val="0"/>
        <w:spacing w:line="360" w:lineRule="auto"/>
        <w:ind w:firstLine="360"/>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object>
          <v:shape id="_x0000_i1037" o:spt="75" type="#_x0000_t75" style="height:37.55pt;width:144pt;" o:ole="t" filled="f" o:preferrelative="t" stroked="f" coordsize="21600,21600">
            <v:path/>
            <v:fill on="f" focussize="0,0"/>
            <v:stroke on="f" joinstyle="miter"/>
            <v:imagedata r:id="rId67" o:title=""/>
            <o:lock v:ext="edit" aspectratio="t"/>
            <w10:wrap type="none"/>
            <w10:anchorlock/>
          </v:shape>
          <o:OLEObject Type="Embed" ProgID="Equation.3" ShapeID="_x0000_i1037" DrawAspect="Content" ObjectID="_1468075737" r:id="rId66">
            <o:LockedField>false</o:LockedField>
          </o:OLEObject>
        </w:objec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式中：</w:t>
      </w:r>
      <w:r>
        <w:rPr>
          <w:rFonts w:hint="default" w:ascii="Times New Roman" w:hAnsi="Times New Roman" w:eastAsia="宋体" w:cs="Times New Roman"/>
          <w:color w:val="auto"/>
          <w:sz w:val="24"/>
          <w:szCs w:val="24"/>
          <w:u w:val="none" w:color="auto"/>
        </w:rPr>
        <w:object>
          <v:shape id="_x0000_i1038" o:spt="75" type="#_x0000_t75" style="height:18.15pt;width:21.9pt;" o:ole="t" filled="f" o:preferrelative="t" stroked="f" coordsize="21600,21600">
            <v:path/>
            <v:fill on="f" focussize="0,0"/>
            <v:stroke on="f" joinstyle="miter"/>
            <v:imagedata r:id="rId69" o:title=""/>
            <o:lock v:ext="edit" aspectratio="t"/>
            <w10:wrap type="none"/>
            <w10:anchorlock/>
          </v:shape>
          <o:OLEObject Type="Embed" ProgID="Equation.3" ShapeID="_x0000_i1038" DrawAspect="Content" ObjectID="_1468075738" r:id="rId68">
            <o:LockedField>false</o:LockedField>
          </o:OLEObject>
        </w:object>
      </w:r>
      <w:r>
        <w:rPr>
          <w:rFonts w:hint="default" w:ascii="Times New Roman" w:hAnsi="Times New Roman" w:eastAsia="宋体" w:cs="Times New Roman"/>
          <w:color w:val="auto"/>
          <w:sz w:val="24"/>
          <w:szCs w:val="24"/>
          <w:u w:val="none" w:color="auto"/>
        </w:rPr>
        <w:t>—建设项目声源在预测点的等效声级贡献值，dB(A)；</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object>
          <v:shape id="_x0000_i1039" o:spt="75" type="#_x0000_t75" style="height:18.15pt;width:18.15pt;" o:ole="t" filled="f" o:preferrelative="t" stroked="f" coordsize="21600,21600">
            <v:path/>
            <v:fill on="f" focussize="0,0"/>
            <v:stroke on="f" joinstyle="miter"/>
            <v:imagedata r:id="rId71" o:title=""/>
            <o:lock v:ext="edit" aspectratio="t"/>
            <w10:wrap type="none"/>
            <w10:anchorlock/>
          </v:shape>
          <o:OLEObject Type="Embed" ProgID="Equation.3" ShapeID="_x0000_i1039" DrawAspect="Content" ObjectID="_1468075739" r:id="rId70">
            <o:LockedField>false</o:LockedField>
          </o:OLEObject>
        </w:objec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rPr>
        <w:object>
          <v:shape id="_x0000_i1040" o:spt="75" type="#_x0000_t75" style="height:12.5pt;width:6.9pt;" o:ole="t" filled="f" o:preferrelative="t" stroked="f" coordsize="21600,21600">
            <v:path/>
            <v:fill on="f" focussize="0,0"/>
            <v:stroke on="f" joinstyle="miter"/>
            <v:imagedata r:id="rId73" o:title=""/>
            <o:lock v:ext="edit" aspectratio="t"/>
            <w10:wrap type="none"/>
            <w10:anchorlock/>
          </v:shape>
          <o:OLEObject Type="Embed" ProgID="Equation.3" ShapeID="_x0000_i1040" DrawAspect="Content" ObjectID="_1468075740" r:id="rId72">
            <o:LockedField>false</o:LockedField>
          </o:OLEObject>
        </w:object>
      </w:r>
      <w:r>
        <w:rPr>
          <w:rFonts w:hint="default" w:ascii="Times New Roman" w:hAnsi="Times New Roman" w:eastAsia="宋体" w:cs="Times New Roman"/>
          <w:color w:val="auto"/>
          <w:sz w:val="24"/>
          <w:szCs w:val="24"/>
          <w:u w:val="none" w:color="auto"/>
        </w:rPr>
        <w:t>声源在预测点产生的A声级，dB(A)；</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object>
          <v:shape id="_x0000_i1041" o:spt="75" type="#_x0000_t75" style="height:12.5pt;width:11.25pt;" o:ole="t" filled="f" o:preferrelative="t" stroked="f" coordsize="21600,21600">
            <v:path/>
            <v:fill on="f" focussize="0,0"/>
            <v:stroke on="f" joinstyle="miter"/>
            <v:imagedata r:id="rId75" o:title=""/>
            <o:lock v:ext="edit" aspectratio="t"/>
            <w10:wrap type="none"/>
            <w10:anchorlock/>
          </v:shape>
          <o:OLEObject Type="Embed" ProgID="Equation.3" ShapeID="_x0000_i1041" DrawAspect="Content" ObjectID="_1468075741" r:id="rId74">
            <o:LockedField>false</o:LockedField>
          </o:OLEObject>
        </w:object>
      </w:r>
      <w:r>
        <w:rPr>
          <w:rFonts w:hint="default" w:ascii="Times New Roman" w:hAnsi="Times New Roman" w:eastAsia="宋体" w:cs="Times New Roman"/>
          <w:color w:val="auto"/>
          <w:sz w:val="24"/>
          <w:szCs w:val="24"/>
          <w:u w:val="none" w:color="auto"/>
        </w:rPr>
        <w:t>—预测计算的时间段，s；</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object>
          <v:shape id="_x0000_i1042" o:spt="75" type="#_x0000_t75" style="height:18.15pt;width:10.65pt;" o:ole="t" filled="f" o:preferrelative="t" stroked="f" coordsize="21600,21600">
            <v:path/>
            <v:fill on="f" focussize="0,0"/>
            <v:stroke on="f" joinstyle="miter"/>
            <v:imagedata r:id="rId77" o:title=""/>
            <o:lock v:ext="edit" aspectratio="t"/>
            <w10:wrap type="none"/>
            <w10:anchorlock/>
          </v:shape>
          <o:OLEObject Type="Embed" ProgID="Equation.3" ShapeID="_x0000_i1042" DrawAspect="Content" ObjectID="_1468075742" r:id="rId76">
            <o:LockedField>false</o:LockedField>
          </o:OLEObject>
        </w:objec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rPr>
        <w:object>
          <v:shape id="_x0000_i1043" o:spt="75" type="#_x0000_t75" style="height:12.5pt;width:6.9pt;" o:ole="t" filled="f" o:preferrelative="t" stroked="f" coordsize="21600,21600">
            <v:path/>
            <v:fill on="f" focussize="0,0"/>
            <v:stroke on="f" joinstyle="miter"/>
            <v:imagedata r:id="rId73" o:title=""/>
            <o:lock v:ext="edit" aspectratio="t"/>
            <w10:wrap type="none"/>
            <w10:anchorlock/>
          </v:shape>
          <o:OLEObject Type="Embed" ProgID="Equation.3" ShapeID="_x0000_i1043" DrawAspect="Content" ObjectID="_1468075743" r:id="rId78">
            <o:LockedField>false</o:LockedField>
          </o:OLEObject>
        </w:object>
      </w:r>
      <w:r>
        <w:rPr>
          <w:rFonts w:hint="default" w:ascii="Times New Roman" w:hAnsi="Times New Roman" w:eastAsia="宋体" w:cs="Times New Roman"/>
          <w:color w:val="auto"/>
          <w:sz w:val="24"/>
          <w:szCs w:val="24"/>
          <w:u w:val="none" w:color="auto"/>
        </w:rPr>
        <w:t>声源在</w:t>
      </w:r>
      <w:r>
        <w:rPr>
          <w:rFonts w:hint="default" w:ascii="Times New Roman" w:hAnsi="Times New Roman" w:eastAsia="宋体" w:cs="Times New Roman"/>
          <w:color w:val="auto"/>
          <w:sz w:val="24"/>
          <w:szCs w:val="24"/>
          <w:u w:val="none" w:color="auto"/>
        </w:rPr>
        <w:object>
          <v:shape id="_x0000_i1044" o:spt="75" type="#_x0000_t75" style="height:12.5pt;width:11.25pt;" o:ole="t" filled="f" o:preferrelative="t" stroked="f" coordsize="21600,21600">
            <v:path/>
            <v:fill on="f" focussize="0,0"/>
            <v:stroke on="f" joinstyle="miter"/>
            <v:imagedata r:id="rId75" o:title=""/>
            <o:lock v:ext="edit" aspectratio="t"/>
            <w10:wrap type="none"/>
            <w10:anchorlock/>
          </v:shape>
          <o:OLEObject Type="Embed" ProgID="Equation.3" ShapeID="_x0000_i1044" DrawAspect="Content" ObjectID="_1468075744" r:id="rId79">
            <o:LockedField>false</o:LockedField>
          </o:OLEObject>
        </w:object>
      </w:r>
      <w:r>
        <w:rPr>
          <w:rFonts w:hint="default" w:ascii="Times New Roman" w:hAnsi="Times New Roman" w:eastAsia="宋体" w:cs="Times New Roman"/>
          <w:color w:val="auto"/>
          <w:sz w:val="24"/>
          <w:szCs w:val="24"/>
          <w:u w:val="none" w:color="auto"/>
        </w:rPr>
        <w:t>时段内的运行时间，s。</w:t>
      </w:r>
    </w:p>
    <w:p>
      <w:pPr>
        <w:pageBreakBefore w:val="0"/>
        <w:kinsoku/>
        <w:wordWrap/>
        <w:overflowPunct w:val="0"/>
        <w:topLinePunct/>
        <w:autoSpaceDE w:val="0"/>
        <w:autoSpaceDN w:val="0"/>
        <w:bidi w:val="0"/>
        <w:spacing w:line="360" w:lineRule="auto"/>
        <w:ind w:firstLine="480"/>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object>
          <v:shape id="_x0000_i1045" o:spt="75" type="#_x0000_t75" style="height:25.65pt;width:189.1pt;" o:ole="t" filled="f" o:preferrelative="t" stroked="f" coordsize="21600,21600">
            <v:path/>
            <v:fill on="f" focussize="0,0"/>
            <v:stroke on="f" joinstyle="miter"/>
            <v:imagedata r:id="rId81" o:title=""/>
            <o:lock v:ext="edit" aspectratio="t"/>
            <w10:wrap type="none"/>
            <w10:anchorlock/>
          </v:shape>
          <o:OLEObject Type="Embed" ProgID="Equation.3" ShapeID="_x0000_i1045" DrawAspect="Content" ObjectID="_1468075745" r:id="rId80">
            <o:LockedField>false</o:LockedField>
          </o:OLEObject>
        </w:objec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式中：</w:t>
      </w:r>
      <w:r>
        <w:rPr>
          <w:rFonts w:hint="default" w:ascii="Times New Roman" w:hAnsi="Times New Roman" w:eastAsia="宋体" w:cs="Times New Roman"/>
          <w:color w:val="auto"/>
          <w:sz w:val="24"/>
          <w:szCs w:val="24"/>
          <w:u w:val="none" w:color="auto"/>
        </w:rPr>
        <w:object>
          <v:shape id="_x0000_i1046" o:spt="75" type="#_x0000_t75" style="height:18.15pt;width:21.9pt;" o:ole="t" filled="f" o:preferrelative="t" stroked="f" coordsize="21600,21600">
            <v:path/>
            <v:fill on="f" focussize="0,0"/>
            <v:stroke on="f" joinstyle="miter"/>
            <v:imagedata r:id="rId69" o:title=""/>
            <o:lock v:ext="edit" aspectratio="t"/>
            <w10:wrap type="none"/>
            <w10:anchorlock/>
          </v:shape>
          <o:OLEObject Type="Embed" ProgID="Equation.3" ShapeID="_x0000_i1046" DrawAspect="Content" ObjectID="_1468075746" r:id="rId82">
            <o:LockedField>false</o:LockedField>
          </o:OLEObject>
        </w:object>
      </w:r>
      <w:r>
        <w:rPr>
          <w:rFonts w:hint="default" w:ascii="Times New Roman" w:hAnsi="Times New Roman" w:eastAsia="宋体" w:cs="Times New Roman"/>
          <w:color w:val="auto"/>
          <w:sz w:val="24"/>
          <w:szCs w:val="24"/>
          <w:u w:val="none" w:color="auto"/>
        </w:rPr>
        <w:t>—建设项目声源在预测点的等效声级贡献值，dB(A)；</w:t>
      </w:r>
    </w:p>
    <w:p>
      <w:pPr>
        <w:pageBreakBefore w:val="0"/>
        <w:kinsoku/>
        <w:wordWrap/>
        <w:overflowPunct w:val="0"/>
        <w:topLinePunct/>
        <w:autoSpaceDE w:val="0"/>
        <w:autoSpaceDN w:val="0"/>
        <w:bidi w:val="0"/>
        <w:adjustRightInd w:val="0"/>
        <w:snapToGrid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object>
          <v:shape id="_x0000_i1047" o:spt="75" type="#_x0000_t75" style="height:18.15pt;width:19.4pt;" o:ole="t" filled="f" o:preferrelative="t" stroked="f" coordsize="21600,21600">
            <v:path/>
            <v:fill on="f" focussize="0,0"/>
            <v:stroke on="f" joinstyle="miter"/>
            <v:imagedata r:id="rId84" o:title=""/>
            <o:lock v:ext="edit" aspectratio="t"/>
            <w10:wrap type="none"/>
            <w10:anchorlock/>
          </v:shape>
          <o:OLEObject Type="Embed" ProgID="Equation.3" ShapeID="_x0000_i1047" DrawAspect="Content" ObjectID="_1468075747" r:id="rId83">
            <o:LockedField>false</o:LockedField>
          </o:OLEObject>
        </w:object>
      </w:r>
      <w:r>
        <w:rPr>
          <w:rFonts w:hint="default" w:ascii="Times New Roman" w:hAnsi="Times New Roman" w:eastAsia="宋体" w:cs="Times New Roman"/>
          <w:color w:val="auto"/>
          <w:sz w:val="24"/>
          <w:szCs w:val="24"/>
          <w:u w:val="none" w:color="auto"/>
        </w:rPr>
        <w:t>—预测点的背景值，dB(A)。</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③户外声传播衰减计算</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户外声传播衰减包括几何发散（Adiv）、大气吸收（Aatm）、地面效应（Agr）、屏障屏蔽（Abar）、其他多方面效应（Amisc）引起的衰减。</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距声源点r处的A声级按下式计算：</w:t>
      </w:r>
    </w:p>
    <w:p>
      <w:pPr>
        <w:pageBreakBefore w:val="0"/>
        <w:kinsoku/>
        <w:wordWrap/>
        <w:overflowPunct w:val="0"/>
        <w:topLinePunct/>
        <w:autoSpaceDE w:val="0"/>
        <w:autoSpaceDN w:val="0"/>
        <w:bidi w:val="0"/>
        <w:spacing w:line="360" w:lineRule="auto"/>
        <w:ind w:firstLine="480"/>
        <w:jc w:val="center"/>
        <w:rPr>
          <w:rFonts w:hint="default" w:ascii="Times New Roman" w:hAnsi="Times New Roman" w:eastAsia="宋体" w:cs="Times New Roman"/>
          <w:color w:val="auto"/>
          <w:position w:val="5"/>
          <w:sz w:val="24"/>
          <w:szCs w:val="24"/>
          <w:u w:val="none" w:color="auto"/>
        </w:rPr>
      </w:pPr>
      <w:r>
        <w:rPr>
          <w:rFonts w:hint="default" w:ascii="Times New Roman" w:hAnsi="Times New Roman" w:eastAsia="宋体" w:cs="Times New Roman"/>
          <w:color w:val="auto"/>
          <w:position w:val="5"/>
          <w:sz w:val="24"/>
          <w:szCs w:val="24"/>
          <w:u w:val="none" w:color="auto"/>
        </w:rPr>
        <w:t>L</w:t>
      </w:r>
      <w:r>
        <w:rPr>
          <w:rFonts w:hint="default" w:ascii="Times New Roman" w:hAnsi="Times New Roman" w:eastAsia="宋体" w:cs="Times New Roman"/>
          <w:color w:val="auto"/>
          <w:sz w:val="24"/>
          <w:szCs w:val="24"/>
          <w:u w:val="none" w:color="auto"/>
        </w:rPr>
        <w:t>p</w:t>
      </w:r>
      <w:r>
        <w:rPr>
          <w:rFonts w:hint="default" w:ascii="Times New Roman" w:hAnsi="Times New Roman" w:eastAsia="宋体" w:cs="Times New Roman"/>
          <w:color w:val="auto"/>
          <w:position w:val="5"/>
          <w:sz w:val="24"/>
          <w:szCs w:val="24"/>
          <w:u w:val="none" w:color="auto"/>
        </w:rPr>
        <w:t>r=L</w:t>
      </w:r>
      <w:r>
        <w:rPr>
          <w:rFonts w:hint="default" w:ascii="Times New Roman" w:hAnsi="Times New Roman" w:eastAsia="宋体" w:cs="Times New Roman"/>
          <w:color w:val="auto"/>
          <w:sz w:val="24"/>
          <w:szCs w:val="24"/>
          <w:u w:val="none" w:color="auto"/>
        </w:rPr>
        <w:t>p</w:t>
      </w:r>
      <w:r>
        <w:rPr>
          <w:rFonts w:hint="default" w:ascii="Times New Roman" w:hAnsi="Times New Roman" w:eastAsia="宋体" w:cs="Times New Roman"/>
          <w:color w:val="auto"/>
          <w:position w:val="5"/>
          <w:sz w:val="24"/>
          <w:szCs w:val="24"/>
          <w:u w:val="none" w:color="auto"/>
        </w:rPr>
        <w:t>r</w:t>
      </w:r>
      <w:r>
        <w:rPr>
          <w:rFonts w:hint="default" w:ascii="Times New Roman" w:hAnsi="Times New Roman" w:eastAsia="宋体" w:cs="Times New Roman"/>
          <w:color w:val="auto"/>
          <w:sz w:val="24"/>
          <w:szCs w:val="24"/>
          <w:u w:val="none" w:color="auto"/>
        </w:rPr>
        <w:t>0</w:t>
      </w:r>
      <w:r>
        <w:rPr>
          <w:rFonts w:hint="default" w:ascii="Times New Roman" w:hAnsi="Times New Roman" w:eastAsia="宋体" w:cs="Times New Roman"/>
          <w:color w:val="auto"/>
          <w:position w:val="5"/>
          <w:sz w:val="24"/>
          <w:szCs w:val="24"/>
          <w:u w:val="none" w:color="auto"/>
        </w:rPr>
        <w:t>−（A</w:t>
      </w:r>
      <w:r>
        <w:rPr>
          <w:rFonts w:hint="default" w:ascii="Times New Roman" w:hAnsi="Times New Roman" w:eastAsia="宋体" w:cs="Times New Roman"/>
          <w:color w:val="auto"/>
          <w:sz w:val="24"/>
          <w:szCs w:val="24"/>
          <w:u w:val="none" w:color="auto"/>
        </w:rPr>
        <w:t>div</w:t>
      </w:r>
      <w:r>
        <w:rPr>
          <w:rFonts w:hint="default" w:ascii="Times New Roman" w:hAnsi="Times New Roman" w:eastAsia="宋体" w:cs="Times New Roman"/>
          <w:color w:val="auto"/>
          <w:position w:val="5"/>
          <w:sz w:val="24"/>
          <w:szCs w:val="24"/>
          <w:u w:val="none" w:color="auto"/>
        </w:rPr>
        <w:t>+A</w:t>
      </w:r>
      <w:r>
        <w:rPr>
          <w:rFonts w:hint="default" w:ascii="Times New Roman" w:hAnsi="Times New Roman" w:eastAsia="宋体" w:cs="Times New Roman"/>
          <w:color w:val="auto"/>
          <w:sz w:val="24"/>
          <w:szCs w:val="24"/>
          <w:u w:val="none" w:color="auto"/>
        </w:rPr>
        <w:t>atm</w:t>
      </w:r>
      <w:r>
        <w:rPr>
          <w:rFonts w:hint="default" w:ascii="Times New Roman" w:hAnsi="Times New Roman" w:eastAsia="宋体" w:cs="Times New Roman"/>
          <w:color w:val="auto"/>
          <w:position w:val="5"/>
          <w:sz w:val="24"/>
          <w:szCs w:val="24"/>
          <w:u w:val="none" w:color="auto"/>
        </w:rPr>
        <w:t>+A</w:t>
      </w:r>
      <w:r>
        <w:rPr>
          <w:rFonts w:hint="default" w:ascii="Times New Roman" w:hAnsi="Times New Roman" w:eastAsia="宋体" w:cs="Times New Roman"/>
          <w:color w:val="auto"/>
          <w:sz w:val="24"/>
          <w:szCs w:val="24"/>
          <w:u w:val="none" w:color="auto"/>
        </w:rPr>
        <w:t>gr</w:t>
      </w:r>
      <w:r>
        <w:rPr>
          <w:rFonts w:hint="default" w:ascii="Times New Roman" w:hAnsi="Times New Roman" w:eastAsia="宋体" w:cs="Times New Roman"/>
          <w:color w:val="auto"/>
          <w:position w:val="5"/>
          <w:sz w:val="24"/>
          <w:szCs w:val="24"/>
          <w:u w:val="none" w:color="auto"/>
        </w:rPr>
        <w:t>+A</w:t>
      </w:r>
      <w:r>
        <w:rPr>
          <w:rFonts w:hint="default" w:ascii="Times New Roman" w:hAnsi="Times New Roman" w:eastAsia="宋体" w:cs="Times New Roman"/>
          <w:color w:val="auto"/>
          <w:sz w:val="24"/>
          <w:szCs w:val="24"/>
          <w:u w:val="none" w:color="auto"/>
        </w:rPr>
        <w:t>bar</w:t>
      </w:r>
      <w:r>
        <w:rPr>
          <w:rFonts w:hint="default" w:ascii="Times New Roman" w:hAnsi="Times New Roman" w:eastAsia="宋体" w:cs="Times New Roman"/>
          <w:color w:val="auto"/>
          <w:position w:val="5"/>
          <w:sz w:val="24"/>
          <w:szCs w:val="24"/>
          <w:u w:val="none" w:color="auto"/>
        </w:rPr>
        <w:t>+A</w:t>
      </w:r>
      <w:r>
        <w:rPr>
          <w:rFonts w:hint="default" w:ascii="Times New Roman" w:hAnsi="Times New Roman" w:eastAsia="宋体" w:cs="Times New Roman"/>
          <w:color w:val="auto"/>
          <w:sz w:val="24"/>
          <w:szCs w:val="24"/>
          <w:u w:val="none" w:color="auto"/>
        </w:rPr>
        <w:t>misc</w:t>
      </w:r>
      <w:r>
        <w:rPr>
          <w:rFonts w:hint="default" w:ascii="Times New Roman" w:hAnsi="Times New Roman" w:eastAsia="宋体" w:cs="Times New Roman"/>
          <w:color w:val="auto"/>
          <w:position w:val="5"/>
          <w:sz w:val="24"/>
          <w:szCs w:val="24"/>
          <w:u w:val="none" w:color="auto"/>
        </w:rPr>
        <w:t>）</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在预测中考虑反射引起的修正、屏障引起的衰减、双绕射、室内声源等效室外声源等影响和计算方法</w:t>
      </w:r>
    </w:p>
    <w:p>
      <w:pPr>
        <w:pageBreakBefore w:val="0"/>
        <w:kinsoku/>
        <w:wordWrap/>
        <w:overflowPunct w:val="0"/>
        <w:topLinePunct/>
        <w:autoSpaceDE w:val="0"/>
        <w:autoSpaceDN w:val="0"/>
        <w:bidi w:val="0"/>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由工程分析给出的噪声源强、厂区平面布局及上述预测模式，预测本项目厂界噪声值见表</w:t>
      </w:r>
      <w:r>
        <w:rPr>
          <w:rFonts w:hint="eastAsia" w:ascii="Times New Roman" w:hAnsi="Times New Roman" w:eastAsia="宋体" w:cs="Times New Roman"/>
          <w:color w:val="auto"/>
          <w:sz w:val="24"/>
          <w:szCs w:val="24"/>
          <w:u w:val="none" w:color="auto"/>
          <w:lang w:val="en-US" w:eastAsia="zh-CN"/>
        </w:rPr>
        <w:t>5.2-30</w:t>
      </w:r>
      <w:r>
        <w:rPr>
          <w:rFonts w:hint="default" w:ascii="Times New Roman" w:hAnsi="Times New Roman" w:eastAsia="宋体" w:cs="Times New Roman"/>
          <w:color w:val="auto"/>
          <w:sz w:val="24"/>
          <w:szCs w:val="24"/>
          <w:u w:val="none" w:color="auto"/>
        </w:rPr>
        <w:t>。</w:t>
      </w:r>
    </w:p>
    <w:p>
      <w:pPr>
        <w:pStyle w:val="308"/>
        <w:pageBreakBefore w:val="0"/>
        <w:tabs>
          <w:tab w:val="left" w:pos="0"/>
        </w:tabs>
        <w:kinsoku/>
        <w:wordWrap/>
        <w:overflowPunct w:val="0"/>
        <w:topLinePunct/>
        <w:autoSpaceDE w:val="0"/>
        <w:autoSpaceDN w:val="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w:t>
      </w:r>
      <w:r>
        <w:rPr>
          <w:rFonts w:hint="eastAsia" w:cs="Times New Roman"/>
          <w:color w:val="auto"/>
          <w:sz w:val="24"/>
          <w:szCs w:val="24"/>
          <w:u w:val="none" w:color="auto"/>
          <w:lang w:val="en-US" w:eastAsia="zh-CN"/>
        </w:rPr>
        <w:t>5.2</w:t>
      </w:r>
      <w:r>
        <w:rPr>
          <w:rFonts w:hint="default" w:ascii="Times New Roman" w:hAnsi="Times New Roman" w:eastAsia="宋体" w:cs="Times New Roman"/>
          <w:color w:val="auto"/>
          <w:sz w:val="24"/>
          <w:szCs w:val="24"/>
          <w:u w:val="none" w:color="auto"/>
        </w:rPr>
        <w:t>-30噪声预测结果</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737"/>
        <w:gridCol w:w="1748"/>
        <w:gridCol w:w="1718"/>
        <w:gridCol w:w="15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w:t>
            </w:r>
          </w:p>
        </w:tc>
        <w:tc>
          <w:tcPr>
            <w:tcW w:w="1018"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东厂界</w:t>
            </w:r>
          </w:p>
        </w:tc>
        <w:tc>
          <w:tcPr>
            <w:tcW w:w="102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南厂界</w:t>
            </w:r>
          </w:p>
        </w:tc>
        <w:tc>
          <w:tcPr>
            <w:tcW w:w="100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西厂界</w:t>
            </w:r>
          </w:p>
        </w:tc>
        <w:tc>
          <w:tcPr>
            <w:tcW w:w="932"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时段</w:t>
            </w:r>
          </w:p>
        </w:tc>
        <w:tc>
          <w:tcPr>
            <w:tcW w:w="1018"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贡献值dB（A）</w:t>
            </w:r>
          </w:p>
        </w:tc>
        <w:tc>
          <w:tcPr>
            <w:tcW w:w="102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贡献值dB（A）</w:t>
            </w:r>
          </w:p>
        </w:tc>
        <w:tc>
          <w:tcPr>
            <w:tcW w:w="100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贡献值dB（A）</w:t>
            </w:r>
          </w:p>
        </w:tc>
        <w:tc>
          <w:tcPr>
            <w:tcW w:w="932"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贡献值dB（A）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昼间</w:t>
            </w:r>
          </w:p>
        </w:tc>
        <w:tc>
          <w:tcPr>
            <w:tcW w:w="1018"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53.06</w:t>
            </w:r>
          </w:p>
        </w:tc>
        <w:tc>
          <w:tcPr>
            <w:tcW w:w="102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41.47</w:t>
            </w:r>
          </w:p>
        </w:tc>
        <w:tc>
          <w:tcPr>
            <w:tcW w:w="100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50.08</w:t>
            </w:r>
          </w:p>
        </w:tc>
        <w:tc>
          <w:tcPr>
            <w:tcW w:w="932"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6"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夜间</w:t>
            </w:r>
          </w:p>
        </w:tc>
        <w:tc>
          <w:tcPr>
            <w:tcW w:w="1018"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53.06</w:t>
            </w:r>
          </w:p>
        </w:tc>
        <w:tc>
          <w:tcPr>
            <w:tcW w:w="1025"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41.47</w:t>
            </w:r>
          </w:p>
        </w:tc>
        <w:tc>
          <w:tcPr>
            <w:tcW w:w="1007"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50.08</w:t>
            </w:r>
          </w:p>
        </w:tc>
        <w:tc>
          <w:tcPr>
            <w:tcW w:w="932" w:type="pct"/>
            <w:tcBorders>
              <w:tl2br w:val="nil"/>
              <w:tr2bl w:val="nil"/>
            </w:tcBorders>
            <w:vAlign w:val="center"/>
          </w:tcPr>
          <w:p>
            <w:pPr>
              <w:pStyle w:val="91"/>
              <w:pageBreakBefore w:val="0"/>
              <w:kinsoku/>
              <w:wordWrap/>
              <w:overflowPunct w:val="0"/>
              <w:topLinePunct/>
              <w:autoSpaceDE w:val="0"/>
              <w:autoSpaceDN w:val="0"/>
              <w:bidi w:val="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41.36</w:t>
            </w:r>
          </w:p>
        </w:tc>
      </w:tr>
    </w:tbl>
    <w:p>
      <w:pPr>
        <w:keepNext w:val="0"/>
        <w:keepLines w:val="0"/>
        <w:pageBreakBefore w:val="0"/>
        <w:widowControl w:val="0"/>
        <w:kinsoku/>
        <w:wordWrap/>
        <w:overflowPunct w:val="0"/>
        <w:topLinePunct/>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结果表明，项目噪声源通过基础门窗隔声、距离衰减后，项目拟建地厂界噪声</w:t>
      </w:r>
      <w:r>
        <w:rPr>
          <w:rFonts w:hint="eastAsia" w:ascii="Times New Roman" w:hAnsi="Times New Roman" w:eastAsia="宋体" w:cs="Times New Roman"/>
          <w:color w:val="auto"/>
          <w:sz w:val="24"/>
          <w:szCs w:val="24"/>
          <w:u w:val="none" w:color="auto"/>
          <w:lang w:eastAsia="zh-CN"/>
        </w:rPr>
        <w:t>贡献值</w:t>
      </w:r>
      <w:r>
        <w:rPr>
          <w:rFonts w:hint="default" w:ascii="Times New Roman" w:hAnsi="Times New Roman" w:eastAsia="宋体" w:cs="Times New Roman"/>
          <w:color w:val="auto"/>
          <w:sz w:val="24"/>
          <w:szCs w:val="24"/>
          <w:u w:val="none" w:color="auto"/>
        </w:rPr>
        <w:t>均能满足《工业企业厂界环境噪声排放标准》（GB12348-2008）3类功能区中昼、夜间标准要求。但为了保证周边声环境质量，本环评仍对项目提出有关要求保证有效地降低噪声，具体如下：</w:t>
      </w:r>
    </w:p>
    <w:p>
      <w:pPr>
        <w:keepNext w:val="0"/>
        <w:keepLines w:val="0"/>
        <w:pageBreakBefore w:val="0"/>
        <w:widowControl w:val="0"/>
        <w:kinsoku/>
        <w:wordWrap/>
        <w:overflowPunct w:val="0"/>
        <w:topLinePunct/>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①尽可能选用功能好、噪音低的生产设备；</w:t>
      </w:r>
    </w:p>
    <w:p>
      <w:pPr>
        <w:keepNext w:val="0"/>
        <w:keepLines w:val="0"/>
        <w:pageBreakBefore w:val="0"/>
        <w:widowControl w:val="0"/>
        <w:kinsoku/>
        <w:wordWrap/>
        <w:overflowPunct w:val="0"/>
        <w:topLinePunct/>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②加强生产机械的日常维护并对老化和性能降低的旧设备进行及时更换，以此降低磨擦，减小噪声强度；</w:t>
      </w:r>
    </w:p>
    <w:p>
      <w:pPr>
        <w:keepNext w:val="0"/>
        <w:keepLines w:val="0"/>
        <w:pageBreakBefore w:val="0"/>
        <w:widowControl w:val="0"/>
        <w:kinsoku/>
        <w:wordWrap/>
        <w:overflowPunct w:val="0"/>
        <w:topLinePunct/>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③噪声对岗位操作工人影响较大时，应给施工人员佩戴耳塞，以减少噪声对施工人员的影响，并定期给员工做身体检查。</w:t>
      </w:r>
    </w:p>
    <w:bookmarkEnd w:id="237"/>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39" w:name="_Toc19272"/>
      <w:bookmarkStart w:id="240" w:name="_Toc13703"/>
      <w:bookmarkStart w:id="241" w:name="_Toc41310118"/>
      <w:bookmarkStart w:id="242" w:name="_Toc3128"/>
      <w:r>
        <w:rPr>
          <w:rFonts w:hint="default" w:ascii="Times New Roman" w:hAnsi="Times New Roman" w:eastAsia="宋体" w:cs="Times New Roman"/>
          <w:color w:val="auto"/>
          <w:highlight w:val="none"/>
          <w:u w:val="none" w:color="auto"/>
        </w:rPr>
        <w:t>5.2.5运营期固体废物环境影响分析</w:t>
      </w:r>
      <w:bookmarkEnd w:id="239"/>
      <w:bookmarkEnd w:id="240"/>
      <w:bookmarkEnd w:id="241"/>
      <w:bookmarkEnd w:id="242"/>
    </w:p>
    <w:p>
      <w:pPr>
        <w:pStyle w:val="8"/>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43" w:name="_Toc15998"/>
      <w:r>
        <w:rPr>
          <w:rFonts w:hint="default" w:ascii="Times New Roman" w:hAnsi="Times New Roman" w:eastAsia="宋体" w:cs="Times New Roman"/>
          <w:color w:val="auto"/>
          <w:highlight w:val="none"/>
          <w:u w:val="none" w:color="auto"/>
        </w:rPr>
        <w:t>5.2.5.1固体废物的种类及产生情况</w:t>
      </w:r>
      <w:bookmarkEnd w:id="243"/>
    </w:p>
    <w:p>
      <w:pPr>
        <w:pStyle w:val="58"/>
        <w:pageBreakBefore w:val="0"/>
        <w:kinsoku/>
        <w:wordWrap/>
        <w:overflowPunct w:val="0"/>
        <w:topLinePunct/>
        <w:autoSpaceDE w:val="0"/>
        <w:autoSpaceDN w:val="0"/>
        <w:bidi w:val="0"/>
        <w:ind w:firstLine="480"/>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全厂区运行期产生的固体废物分为危险废物、一般固废和生活垃圾。</w:t>
      </w:r>
    </w:p>
    <w:p>
      <w:pPr>
        <w:pStyle w:val="58"/>
        <w:pageBreakBefore w:val="0"/>
        <w:kinsoku/>
        <w:wordWrap/>
        <w:overflowPunct w:val="0"/>
        <w:topLinePunct/>
        <w:autoSpaceDE w:val="0"/>
        <w:autoSpaceDN w:val="0"/>
        <w:bidi w:val="0"/>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Cs w:val="24"/>
          <w:highlight w:val="none"/>
          <w:u w:val="none" w:color="auto"/>
        </w:rPr>
        <w:t>本项目固体废物产生量及处置措施见表5.2-3</w:t>
      </w:r>
      <w:r>
        <w:rPr>
          <w:rFonts w:hint="eastAsia" w:ascii="Times New Roman" w:hAnsi="Times New Roman" w:eastAsia="宋体" w:cs="Times New Roman"/>
          <w:color w:val="auto"/>
          <w:szCs w:val="24"/>
          <w:highlight w:val="none"/>
          <w:u w:val="none" w:color="auto"/>
          <w:lang w:val="en-US" w:eastAsia="zh-CN"/>
        </w:rPr>
        <w:t>1</w:t>
      </w:r>
      <w:r>
        <w:rPr>
          <w:rFonts w:hint="default" w:ascii="Times New Roman" w:hAnsi="Times New Roman" w:eastAsia="宋体" w:cs="Times New Roman"/>
          <w:color w:val="auto"/>
          <w:szCs w:val="24"/>
          <w:highlight w:val="none"/>
          <w:u w:val="none" w:color="auto"/>
        </w:rPr>
        <w:t>。</w:t>
      </w:r>
    </w:p>
    <w:p>
      <w:pPr>
        <w:pStyle w:val="62"/>
        <w:pageBreakBefore w:val="0"/>
        <w:kinsoku/>
        <w:wordWrap/>
        <w:overflowPunct w:val="0"/>
        <w:topLinePunct/>
        <w:autoSpaceDE w:val="0"/>
        <w:autoSpaceDN w:val="0"/>
        <w:bidi w:val="0"/>
        <w:rPr>
          <w:rFonts w:hint="default" w:ascii="Times New Roman" w:hAnsi="Times New Roman" w:eastAsia="宋体" w:cs="Times New Roman"/>
          <w:bCs/>
          <w:color w:val="auto"/>
          <w:highlight w:val="none"/>
          <w:u w:val="none" w:color="auto"/>
        </w:rPr>
      </w:pPr>
      <w:r>
        <w:rPr>
          <w:rFonts w:hint="default" w:ascii="Times New Roman" w:hAnsi="Times New Roman" w:eastAsia="宋体" w:cs="Times New Roman"/>
          <w:color w:val="auto"/>
          <w:szCs w:val="21"/>
          <w:highlight w:val="none"/>
          <w:u w:val="none" w:color="auto"/>
        </w:rPr>
        <w:br w:type="page"/>
      </w:r>
      <w:r>
        <w:rPr>
          <w:rFonts w:hint="default" w:ascii="Times New Roman" w:hAnsi="Times New Roman" w:eastAsia="宋体" w:cs="Times New Roman"/>
          <w:bCs/>
          <w:color w:val="auto"/>
          <w:highlight w:val="none"/>
          <w:u w:val="none" w:color="auto"/>
        </w:rPr>
        <w:t>表5.2-3</w:t>
      </w:r>
      <w:r>
        <w:rPr>
          <w:rFonts w:hint="eastAsia" w:cs="Times New Roman"/>
          <w:bCs/>
          <w:color w:val="auto"/>
          <w:highlight w:val="none"/>
          <w:u w:val="none" w:color="auto"/>
          <w:lang w:val="en-US" w:eastAsia="zh-CN"/>
        </w:rPr>
        <w:t>1</w:t>
      </w:r>
      <w:r>
        <w:rPr>
          <w:rFonts w:hint="default" w:ascii="Times New Roman" w:hAnsi="Times New Roman" w:eastAsia="宋体" w:cs="Times New Roman"/>
          <w:bCs/>
          <w:color w:val="auto"/>
          <w:highlight w:val="none"/>
          <w:u w:val="none" w:color="auto"/>
        </w:rPr>
        <w:t>项目固体废物产生情况及处置措施一览表</w:t>
      </w:r>
    </w:p>
    <w:tbl>
      <w:tblPr>
        <w:tblStyle w:val="204"/>
        <w:tblW w:w="8521"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19"/>
        <w:gridCol w:w="1716"/>
        <w:gridCol w:w="2409"/>
        <w:gridCol w:w="1282"/>
        <w:gridCol w:w="23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固废名称</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属性类别</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排放量(t/a)</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生活垃圾</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环卫部门清运处置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snapToGrid w:val="0"/>
                <w:color w:val="auto"/>
                <w:spacing w:val="7"/>
                <w:kern w:val="0"/>
                <w:sz w:val="21"/>
                <w:szCs w:val="21"/>
                <w:u w:val="none" w:color="auto"/>
              </w:rPr>
              <w:t>镁熔渣</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一般固废</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49.9</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spacing w:val="7"/>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废边角料及残次品</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一般固废</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eastAsia="宋体" w:cs="Times New Roman"/>
                <w:snapToGrid w:val="0"/>
                <w:color w:val="auto"/>
                <w:spacing w:val="7"/>
                <w:kern w:val="0"/>
                <w:sz w:val="21"/>
                <w:szCs w:val="21"/>
                <w:u w:val="none" w:color="auto"/>
              </w:rPr>
              <w:t>144.5</w:t>
            </w:r>
          </w:p>
        </w:tc>
        <w:tc>
          <w:tcPr>
            <w:tcW w:w="239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回用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含油滤料及含油污泥</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危险废物(编号HW</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8，代码900-210-08</w:t>
            </w:r>
            <w:r>
              <w:rPr>
                <w:rFonts w:hint="eastAsia" w:ascii="Times New Roman" w:hAnsi="Times New Roman" w:cs="Times New Roman"/>
                <w:color w:val="auto"/>
                <w:sz w:val="21"/>
                <w:szCs w:val="21"/>
                <w:vertAlign w:val="baseline"/>
                <w:lang w:val="en-US" w:eastAsia="zh-CN"/>
              </w:rPr>
              <w:t>）</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2.16</w:t>
            </w:r>
          </w:p>
        </w:tc>
        <w:tc>
          <w:tcPr>
            <w:tcW w:w="2395" w:type="dxa"/>
            <w:vMerge w:val="restar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暂存于危废暂存间，交由有资质的单位处理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废活性炭</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危险废物(编号HW49，代码900-039-49)</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239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171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废矿物油</w:t>
            </w:r>
          </w:p>
        </w:tc>
        <w:tc>
          <w:tcPr>
            <w:tcW w:w="2409"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危险废物(编号HW08，代码900-214-08)</w:t>
            </w:r>
          </w:p>
        </w:tc>
        <w:tc>
          <w:tcPr>
            <w:tcW w:w="128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395" w:type="dxa"/>
            <w:vMerge w:val="continue"/>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p>
        </w:tc>
      </w:tr>
    </w:tbl>
    <w:p>
      <w:pPr>
        <w:pStyle w:val="8"/>
        <w:pageBreakBefore w:val="0"/>
        <w:widowControl w:val="0"/>
        <w:kinsoku/>
        <w:wordWrap/>
        <w:overflowPunct w:val="0"/>
        <w:topLinePunct/>
        <w:autoSpaceDE w:val="0"/>
        <w:autoSpaceDN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u w:val="none" w:color="auto"/>
        </w:rPr>
      </w:pPr>
      <w:bookmarkStart w:id="244" w:name="_Toc20250"/>
      <w:r>
        <w:rPr>
          <w:rFonts w:hint="default" w:ascii="Times New Roman" w:hAnsi="Times New Roman" w:eastAsia="宋体" w:cs="Times New Roman"/>
          <w:color w:val="auto"/>
          <w:sz w:val="24"/>
          <w:szCs w:val="24"/>
          <w:highlight w:val="none"/>
          <w:u w:val="none" w:color="auto"/>
        </w:rPr>
        <w:t>5.2.5.2危废暂存</w:t>
      </w:r>
      <w:r>
        <w:rPr>
          <w:rFonts w:hint="default" w:ascii="Times New Roman" w:hAnsi="Times New Roman" w:eastAsia="宋体" w:cs="Times New Roman"/>
          <w:color w:val="auto"/>
          <w:sz w:val="24"/>
          <w:szCs w:val="24"/>
          <w:highlight w:val="none"/>
          <w:u w:val="none" w:color="auto"/>
          <w:lang w:val="en-US" w:eastAsia="zh-CN"/>
        </w:rPr>
        <w:t>建设</w:t>
      </w:r>
      <w:r>
        <w:rPr>
          <w:rFonts w:hint="default" w:ascii="Times New Roman" w:hAnsi="Times New Roman" w:eastAsia="宋体" w:cs="Times New Roman"/>
          <w:color w:val="auto"/>
          <w:sz w:val="24"/>
          <w:szCs w:val="24"/>
          <w:highlight w:val="none"/>
          <w:u w:val="none" w:color="auto"/>
        </w:rPr>
        <w:t>要求</w:t>
      </w:r>
      <w:bookmarkEnd w:id="244"/>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危废暂存间应严格按照</w:t>
      </w:r>
      <w:r>
        <w:rPr>
          <w:rFonts w:hint="default" w:ascii="Times New Roman" w:hAnsi="Times New Roman" w:eastAsia="宋体" w:cs="Times New Roman"/>
          <w:color w:val="auto"/>
          <w:sz w:val="24"/>
          <w:highlight w:val="none"/>
          <w:u w:val="none" w:color="auto"/>
        </w:rPr>
        <w:t>危险废物执行《危险废物贮存污染控制标准》(GB18597-20</w:t>
      </w:r>
      <w:r>
        <w:rPr>
          <w:rFonts w:hint="eastAsia" w:ascii="Times New Roman" w:hAnsi="Times New Roman" w:eastAsia="宋体" w:cs="Times New Roman"/>
          <w:color w:val="auto"/>
          <w:sz w:val="24"/>
          <w:highlight w:val="none"/>
          <w:u w:val="none" w:color="auto"/>
          <w:lang w:val="en-US" w:eastAsia="zh-CN"/>
        </w:rPr>
        <w:t>23</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sz w:val="24"/>
          <w:szCs w:val="24"/>
          <w:highlight w:val="none"/>
          <w:u w:val="none" w:color="auto"/>
        </w:rPr>
        <w:t>的要求进行建设，为仓库式，相关要求如下：</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（1）暂存间地面基础必须防渗，防渗层为至少1米厚粘土层（渗透系数≤10厘米/秒），或2毫米厚高密度聚乙烯，或至少2毫米厚的其它人工材料，渗透系数≤10厘米/秒。同时应有隔离及防风、防雨、防晒措施。</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）在贮存库内或通过贮存分区方式贮存液态危险废物的，应具有液体泄漏堵截设施，堵截设施最小容积不应低于对应贮存区域最大液态废物容器容积或液态废物总储量1/10（二者取较大者）。</w:t>
      </w:r>
    </w:p>
    <w:p>
      <w:pPr>
        <w:pStyle w:val="8"/>
        <w:pageBreakBefore w:val="0"/>
        <w:widowControl w:val="0"/>
        <w:kinsoku/>
        <w:wordWrap/>
        <w:overflowPunct w:val="0"/>
        <w:topLinePunct/>
        <w:autoSpaceDE w:val="0"/>
        <w:autoSpaceDN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u w:val="none" w:color="auto"/>
        </w:rPr>
      </w:pPr>
      <w:bookmarkStart w:id="245" w:name="_Toc15655"/>
      <w:r>
        <w:rPr>
          <w:rFonts w:hint="default" w:ascii="Times New Roman" w:hAnsi="Times New Roman" w:eastAsia="宋体" w:cs="Times New Roman"/>
          <w:color w:val="auto"/>
          <w:sz w:val="24"/>
          <w:szCs w:val="24"/>
          <w:highlight w:val="none"/>
          <w:u w:val="none" w:color="auto"/>
        </w:rPr>
        <w:t>5.2.5.3固废管理要求</w:t>
      </w:r>
      <w:bookmarkEnd w:id="245"/>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eastAsia="zh-CN"/>
        </w:rPr>
        <w:t>实验室废酸碱试剂及包装参照</w:t>
      </w:r>
      <w:r>
        <w:rPr>
          <w:rFonts w:hint="default" w:ascii="Times New Roman" w:hAnsi="Times New Roman" w:eastAsia="宋体" w:cs="Times New Roman"/>
          <w:color w:val="auto"/>
          <w:sz w:val="24"/>
          <w:szCs w:val="24"/>
          <w:highlight w:val="none"/>
          <w:u w:val="none" w:color="auto"/>
        </w:rPr>
        <w:t>湖南省生态环境厅关于印发《湖南省实验室危险废物环境管理指南》的通知</w:t>
      </w:r>
      <w:r>
        <w:rPr>
          <w:rFonts w:hint="eastAsia" w:ascii="Times New Roman" w:hAnsi="Times New Roman" w:eastAsia="宋体" w:cs="Times New Roman"/>
          <w:color w:val="auto"/>
          <w:sz w:val="24"/>
          <w:szCs w:val="24"/>
          <w:highlight w:val="none"/>
          <w:u w:val="none" w:color="auto"/>
          <w:lang w:eastAsia="zh-CN"/>
        </w:rPr>
        <w:t>（湘环发</w:t>
      </w:r>
      <w:r>
        <w:rPr>
          <w:rFonts w:hint="eastAsia" w:ascii="Times New Roman" w:hAnsi="Times New Roman" w:eastAsia="宋体" w:cs="Times New Roman"/>
          <w:color w:val="auto"/>
          <w:sz w:val="24"/>
          <w:szCs w:val="24"/>
          <w:highlight w:val="none"/>
          <w:u w:val="none" w:color="auto"/>
          <w:lang w:val="en-US" w:eastAsia="zh-CN"/>
        </w:rPr>
        <w:t>{2021}12号</w:t>
      </w:r>
      <w:r>
        <w:rPr>
          <w:rFonts w:hint="eastAsia" w:ascii="Times New Roman" w:hAnsi="Times New Roman" w:eastAsia="宋体" w:cs="Times New Roman"/>
          <w:color w:val="auto"/>
          <w:sz w:val="24"/>
          <w:szCs w:val="24"/>
          <w:highlight w:val="none"/>
          <w:u w:val="none" w:color="auto"/>
          <w:lang w:eastAsia="zh-CN"/>
        </w:rPr>
        <w:t>）要求收集处理。</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（1）须做好危险废物情况的纪录，记录上须注明危险废物的名称、来源、数量、特性和包装容器的类别、入库日期、堆放库位、废物出库日期及接收单位名称，并对各类固废分类堆存。</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（2）加强固废在厂内和厂外的转运管理，严格废渣转运通道，尽量减少固废撒落，对撒落的固废进行及时清扫，避免二次污染。</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（3）定期对库进行检查，发现破损，应及时进行修理。</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（4）收集、贮存、运输、利用、处置危险废物的设施、场所，危险废物的容器和包装物必须按</w:t>
      </w:r>
      <w:r>
        <w:rPr>
          <w:rFonts w:hint="default" w:ascii="Times New Roman" w:hAnsi="Times New Roman" w:eastAsia="宋体" w:cs="Times New Roman"/>
          <w:color w:val="auto"/>
          <w:sz w:val="24"/>
          <w:highlight w:val="none"/>
          <w:u w:val="none" w:color="auto"/>
        </w:rPr>
        <w:t>《危险废物贮存污染控制标准》(GB18597-20</w:t>
      </w:r>
      <w:r>
        <w:rPr>
          <w:rFonts w:hint="eastAsia" w:ascii="Times New Roman" w:hAnsi="Times New Roman" w:eastAsia="宋体" w:cs="Times New Roman"/>
          <w:color w:val="auto"/>
          <w:sz w:val="24"/>
          <w:highlight w:val="none"/>
          <w:u w:val="none" w:color="auto"/>
          <w:lang w:val="en-US" w:eastAsia="zh-CN"/>
        </w:rPr>
        <w:t>23</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sz w:val="24"/>
          <w:szCs w:val="24"/>
          <w:highlight w:val="none"/>
          <w:u w:val="none" w:color="auto"/>
        </w:rPr>
        <w:t>设置危险废物识别标志。</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（5）按照危险废物特性分类进行收集、贮存，危险废物包装容器上标识明确；危险废物按种类分别存放，且不同类废物间有明显的间隔（如过道等）。</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（6）加强对危险固废的日常管理，并按国家有关危险废物管理办法，办理好危险废物的贮存、转移手续。</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（7）在转移危险废物前，向环保部门报批危险废物转移计划，并得到批准。</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（8）转移危险废物的，按照《危险废物转移联单管理办法》有关规定，如实填写转移联单中产生单位栏目，并加盖公章。</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（9）建立危险废物贮存台账，并如实记录危险废物贮存情况。</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（10）有与危险废物经营单位签订的委托利用、处置危险废物合同。</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（11）贮存期限不超过一年；延长贮存期限的，报经环保部门批准。</w:t>
      </w:r>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12）相关管理人员和从事危险废物收集、运送、暂存、利用和处置等工作人员掌握国家相关法律法规、规章和有关规范性文件的规定；熟悉本单位指定的危险废物管理规章制度、工作流程和应急预案等各项要求；掌握危险废物分类收集、运送、暂存的正确方法和操作程序。</w:t>
      </w:r>
    </w:p>
    <w:p>
      <w:pPr>
        <w:pStyle w:val="8"/>
        <w:pageBreakBefore w:val="0"/>
        <w:widowControl w:val="0"/>
        <w:kinsoku/>
        <w:wordWrap/>
        <w:overflowPunct w:val="0"/>
        <w:topLinePunct/>
        <w:autoSpaceDE w:val="0"/>
        <w:autoSpaceDN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u w:val="none" w:color="auto"/>
        </w:rPr>
      </w:pPr>
      <w:bookmarkStart w:id="246" w:name="_Toc4303"/>
      <w:r>
        <w:rPr>
          <w:rFonts w:hint="default" w:ascii="Times New Roman" w:hAnsi="Times New Roman" w:eastAsia="宋体" w:cs="Times New Roman"/>
          <w:color w:val="auto"/>
          <w:sz w:val="24"/>
          <w:szCs w:val="24"/>
          <w:highlight w:val="none"/>
          <w:u w:val="none" w:color="auto"/>
        </w:rPr>
        <w:t>5.2.5.4固废影响评价小结</w:t>
      </w:r>
      <w:bookmarkEnd w:id="246"/>
    </w:p>
    <w:p>
      <w:pPr>
        <w:pStyle w:val="58"/>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按照湖南省关于固体废物转移处置的有关要求，该项目产生的过滤机械杂质、废机油、废片碱包装材料等危险废物，如果需要进行跨省转移处置仍需通过各级环保部门进行行政审批。以上所有固废要按照“减量化、资源化、无害化”处理原则，加强固体废物的内部管理，建立固体废物产生、外运、处置及最终去向的详细账单，按废物转移交换处置管理办法实施追踪管理；各类固废在厂内暂存措施应分别按照</w:t>
      </w:r>
      <w:r>
        <w:rPr>
          <w:rFonts w:hint="default" w:ascii="Times New Roman" w:hAnsi="Times New Roman" w:eastAsia="宋体" w:cs="Times New Roman"/>
          <w:color w:val="auto"/>
          <w:kern w:val="0"/>
          <w:sz w:val="24"/>
          <w:szCs w:val="24"/>
          <w:highlight w:val="none"/>
          <w:u w:val="none" w:color="auto"/>
        </w:rPr>
        <w:t>《一般工业固体废物贮存和填埋污染控制标准》</w:t>
      </w:r>
      <w:r>
        <w:rPr>
          <w:rFonts w:hint="default" w:ascii="Times New Roman" w:hAnsi="Times New Roman" w:eastAsia="宋体" w:cs="Times New Roman"/>
          <w:color w:val="auto"/>
          <w:kern w:val="0"/>
          <w:sz w:val="24"/>
          <w:szCs w:val="24"/>
          <w:highlight w:val="none"/>
          <w:u w:val="none" w:color="auto"/>
          <w:lang w:eastAsia="zh-CN"/>
        </w:rPr>
        <w:t>（</w:t>
      </w:r>
      <w:r>
        <w:rPr>
          <w:rFonts w:hint="default" w:ascii="Times New Roman" w:hAnsi="Times New Roman" w:eastAsia="宋体" w:cs="Times New Roman"/>
          <w:color w:val="auto"/>
          <w:kern w:val="0"/>
          <w:sz w:val="24"/>
          <w:szCs w:val="24"/>
          <w:highlight w:val="none"/>
          <w:u w:val="none" w:color="auto"/>
        </w:rPr>
        <w:t>GB18599-2020</w:t>
      </w:r>
      <w:r>
        <w:rPr>
          <w:rFonts w:hint="default" w:ascii="Times New Roman" w:hAnsi="Times New Roman" w:eastAsia="宋体" w:cs="Times New Roman"/>
          <w:color w:val="auto"/>
          <w:kern w:val="0"/>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和</w:t>
      </w:r>
      <w:r>
        <w:rPr>
          <w:rFonts w:hint="default" w:ascii="Times New Roman" w:hAnsi="Times New Roman" w:eastAsia="宋体" w:cs="Times New Roman"/>
          <w:color w:val="auto"/>
          <w:sz w:val="24"/>
          <w:highlight w:val="none"/>
          <w:u w:val="none" w:color="auto"/>
        </w:rPr>
        <w:t>《危险废物贮存污染控制标准》(GB18597-20</w:t>
      </w:r>
      <w:r>
        <w:rPr>
          <w:rFonts w:hint="eastAsia" w:ascii="Times New Roman" w:hAnsi="Times New Roman" w:eastAsia="宋体" w:cs="Times New Roman"/>
          <w:color w:val="auto"/>
          <w:sz w:val="24"/>
          <w:highlight w:val="none"/>
          <w:u w:val="none" w:color="auto"/>
          <w:lang w:val="en-US" w:eastAsia="zh-CN"/>
        </w:rPr>
        <w:t>23</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sz w:val="24"/>
          <w:szCs w:val="24"/>
          <w:highlight w:val="none"/>
          <w:u w:val="none" w:color="auto"/>
        </w:rPr>
        <w:t>实施，采取防渗透、防泄漏、防中途流失措施，并落实安全管理责任，确保固废零排放，避免发生二次污染。</w:t>
      </w:r>
    </w:p>
    <w:p>
      <w:pPr>
        <w:pStyle w:val="7"/>
        <w:bidi w:val="0"/>
        <w:rPr>
          <w:rFonts w:hint="default"/>
          <w:color w:val="auto"/>
        </w:rPr>
      </w:pPr>
      <w:bookmarkStart w:id="247" w:name="_Toc4603"/>
      <w:bookmarkStart w:id="248" w:name="_Toc1054"/>
      <w:bookmarkStart w:id="249" w:name="_Toc41310119"/>
      <w:bookmarkStart w:id="250" w:name="_Toc13115"/>
      <w:r>
        <w:rPr>
          <w:rFonts w:hint="default"/>
          <w:color w:val="auto"/>
        </w:rPr>
        <w:t>5.2.6营运期土壤环境影响分析</w:t>
      </w:r>
      <w:bookmarkEnd w:id="247"/>
      <w:bookmarkEnd w:id="248"/>
      <w:bookmarkEnd w:id="249"/>
      <w:bookmarkEnd w:id="250"/>
    </w:p>
    <w:p>
      <w:pPr>
        <w:pStyle w:val="58"/>
        <w:pageBreakBefore w:val="0"/>
        <w:widowControl w:val="0"/>
        <w:kinsoku/>
        <w:wordWrap/>
        <w:overflowPunct w:val="0"/>
        <w:topLinePunct/>
        <w:autoSpaceDE w:val="0"/>
        <w:autoSpaceDN w:val="0"/>
        <w:bidi w:val="0"/>
        <w:adjustRightInd/>
        <w:snapToGrid/>
        <w:spacing w:after="0" w:line="360" w:lineRule="auto"/>
        <w:ind w:left="0" w:leftChars="0" w:firstLine="482" w:firstLineChars="200"/>
        <w:textAlignment w:val="auto"/>
        <w:outlineLvl w:val="3"/>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5.2.6.1</w:t>
      </w:r>
      <w:r>
        <w:rPr>
          <w:rFonts w:hint="default" w:ascii="Times New Roman" w:hAnsi="Times New Roman" w:eastAsia="宋体" w:cs="Times New Roman"/>
          <w:b/>
          <w:bCs/>
          <w:color w:val="auto"/>
          <w:sz w:val="24"/>
          <w:szCs w:val="24"/>
          <w:highlight w:val="none"/>
          <w:u w:val="none" w:color="auto"/>
        </w:rPr>
        <w:t>土壤环境污染影响识别</w:t>
      </w:r>
    </w:p>
    <w:p>
      <w:pPr>
        <w:pStyle w:val="20"/>
        <w:pageBreakBefore w:val="0"/>
        <w:widowControl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bookmarkStart w:id="251" w:name="_Toc19735"/>
      <w:r>
        <w:rPr>
          <w:rFonts w:hint="default" w:ascii="Times New Roman" w:hAnsi="Times New Roman" w:eastAsia="宋体" w:cs="Times New Roman"/>
          <w:color w:val="auto"/>
          <w:sz w:val="24"/>
          <w:szCs w:val="24"/>
          <w:u w:val="none" w:color="auto"/>
        </w:rPr>
        <w:t>根据《环境影响评价技术导则-土壤环境》（HJ964-2018），本项目土壤环评影响评价等级为二级，根据导则8.7预测与评价方法中8.7.3“评价工作等级为一级、二级的建设项目，预测方法可参见附录E或进行类比分析”。根据《环境影响评价技术导则-土壤环境》（HJ964-2018）中工作等级的划分依据，本项目属于</w:t>
      </w:r>
      <w:r>
        <w:rPr>
          <w:rFonts w:hint="default" w:ascii="Times New Roman" w:hAnsi="Times New Roman" w:eastAsia="宋体" w:cs="Times New Roman"/>
          <w:color w:val="auto"/>
          <w:sz w:val="24"/>
          <w:highlight w:val="none"/>
          <w:u w:val="none" w:color="auto"/>
        </w:rPr>
        <w:t>Ⅱ</w:t>
      </w:r>
      <w:r>
        <w:rPr>
          <w:rFonts w:hint="default" w:ascii="Times New Roman" w:hAnsi="Times New Roman" w:eastAsia="宋体" w:cs="Times New Roman"/>
          <w:color w:val="auto"/>
          <w:sz w:val="24"/>
          <w:szCs w:val="24"/>
          <w:u w:val="none" w:color="auto"/>
        </w:rPr>
        <w:t>类建设项目（属于制造业，</w:t>
      </w:r>
      <w:r>
        <w:rPr>
          <w:rFonts w:hint="default" w:ascii="Times New Roman" w:hAnsi="Times New Roman" w:eastAsia="宋体" w:cs="Times New Roman"/>
          <w:color w:val="auto"/>
          <w:sz w:val="24"/>
          <w:highlight w:val="none"/>
          <w:u w:val="none" w:color="auto"/>
        </w:rPr>
        <w:t>有色金属铸造及合金制造</w:t>
      </w:r>
      <w:r>
        <w:rPr>
          <w:rFonts w:hint="default" w:ascii="Times New Roman" w:hAnsi="Times New Roman" w:eastAsia="宋体" w:cs="Times New Roman"/>
          <w:color w:val="auto"/>
          <w:sz w:val="24"/>
          <w:szCs w:val="24"/>
          <w:u w:val="none" w:color="auto"/>
        </w:rPr>
        <w:t>），污染影响型；敏感类型为不敏感，占地规模为中型，根据导则要求确定本项目土壤环境评价工作等级为</w:t>
      </w:r>
      <w:r>
        <w:rPr>
          <w:rFonts w:hint="eastAsia" w:ascii="Times New Roman" w:hAnsi="Times New Roman" w:eastAsia="宋体" w:cs="Times New Roman"/>
          <w:color w:val="auto"/>
          <w:sz w:val="24"/>
          <w:szCs w:val="24"/>
          <w:u w:val="none" w:color="auto"/>
          <w:lang w:eastAsia="zh-CN"/>
        </w:rPr>
        <w:t>三</w:t>
      </w:r>
      <w:r>
        <w:rPr>
          <w:rFonts w:hint="default" w:ascii="Times New Roman" w:hAnsi="Times New Roman" w:eastAsia="宋体" w:cs="Times New Roman"/>
          <w:color w:val="auto"/>
          <w:sz w:val="24"/>
          <w:szCs w:val="24"/>
          <w:u w:val="none" w:color="auto"/>
        </w:rPr>
        <w:t>级。本项目土壤环境影响评价范围为</w:t>
      </w:r>
      <w:r>
        <w:rPr>
          <w:rFonts w:hint="default" w:ascii="Times New Roman" w:hAnsi="Times New Roman" w:eastAsia="宋体" w:cs="Times New Roman"/>
          <w:color w:val="auto"/>
          <w:spacing w:val="6"/>
          <w:sz w:val="24"/>
          <w:highlight w:val="none"/>
          <w:u w:val="none" w:color="auto"/>
          <w:lang w:eastAsia="zh-CN"/>
        </w:rPr>
        <w:t>项目占地面积范围及周围</w:t>
      </w:r>
      <w:r>
        <w:rPr>
          <w:rFonts w:hint="default" w:ascii="Times New Roman" w:hAnsi="Times New Roman" w:eastAsia="宋体" w:cs="Times New Roman"/>
          <w:color w:val="auto"/>
          <w:spacing w:val="6"/>
          <w:sz w:val="24"/>
          <w:highlight w:val="none"/>
          <w:u w:val="none" w:color="auto"/>
        </w:rPr>
        <w:t>0.</w:t>
      </w:r>
      <w:r>
        <w:rPr>
          <w:rFonts w:hint="default" w:ascii="Times New Roman" w:hAnsi="Times New Roman" w:eastAsia="宋体" w:cs="Times New Roman"/>
          <w:color w:val="auto"/>
          <w:spacing w:val="6"/>
          <w:sz w:val="24"/>
          <w:highlight w:val="none"/>
          <w:u w:val="none" w:color="auto"/>
          <w:lang w:val="en-US" w:eastAsia="zh-CN"/>
        </w:rPr>
        <w:t>05</w:t>
      </w:r>
      <w:r>
        <w:rPr>
          <w:rFonts w:hint="default" w:ascii="Times New Roman" w:hAnsi="Times New Roman" w:eastAsia="宋体" w:cs="Times New Roman"/>
          <w:color w:val="auto"/>
          <w:spacing w:val="6"/>
          <w:sz w:val="24"/>
          <w:highlight w:val="none"/>
          <w:u w:val="none" w:color="auto"/>
        </w:rPr>
        <w:t>km的范围内。</w:t>
      </w:r>
    </w:p>
    <w:p>
      <w:pPr>
        <w:pStyle w:val="8"/>
        <w:pageBreakBefore w:val="0"/>
        <w:tabs>
          <w:tab w:val="left" w:pos="0"/>
        </w:tabs>
        <w:kinsoku/>
        <w:wordWrap/>
        <w:overflowPunct w:val="0"/>
        <w:topLinePunct/>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5.2.6.2</w:t>
      </w:r>
      <w:r>
        <w:rPr>
          <w:rFonts w:hint="default" w:ascii="Times New Roman" w:hAnsi="Times New Roman" w:eastAsia="宋体" w:cs="Times New Roman"/>
          <w:color w:val="auto"/>
          <w:sz w:val="24"/>
          <w:szCs w:val="24"/>
          <w:u w:val="none" w:color="auto"/>
        </w:rPr>
        <w:t>土壤污染种类</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土壤污染物的种类繁多，按污染物的性质一般可分为4类，即有机污染物、重金属、放射性元素和病原微生物。</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有机污染：作为影响土壤环境的主要污染物，有毒、有害的有机化合物在环境中不断积累，到一定时间或在一定条件下有可能给整个生态系统带来灾难性的后果。</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重金属：污染物在土壤中移动性差、滞留时间长、不能被微生物降解并可经水、植物等介质最终影响人类健康。</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放射性元素：主要来源于大气层核实验的沉降物，以及原子能和平利用过程中所排放的各种废气、废水和废渣。含有放射性元素的物质不可避免地随自然沉降、雨水冲刷和废弃物堆放而污染土壤。</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病原微生物：主要包括病原菌和病毒等，人若直接接触含有病原微生物的土壤，可能会对健康带来影响；若食用被土壤污染的蔬菜、水果等则间接受到污染。</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本项目对土壤环境的污染主要是有机污染物质。</w:t>
      </w:r>
    </w:p>
    <w:p>
      <w:pPr>
        <w:pStyle w:val="20"/>
        <w:pageBreakBefore w:val="0"/>
        <w:kinsoku/>
        <w:wordWrap/>
        <w:overflowPunct w:val="0"/>
        <w:topLinePunct/>
        <w:autoSpaceDE w:val="0"/>
        <w:autoSpaceDN w:val="0"/>
        <w:bidi w:val="0"/>
        <w:adjustRightInd/>
        <w:snapToGrid/>
        <w:spacing w:line="360" w:lineRule="auto"/>
        <w:ind w:left="0" w:firstLine="482" w:firstLineChars="200"/>
        <w:textAlignment w:val="auto"/>
        <w:outlineLvl w:val="3"/>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5.2.6.2土壤受污染的特点</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1、隐蔽性和滞后性</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大气、水和固废污染等问题一般都比较直观，通过感官就能发现。而土壤污染则不同，往往要通过对土壤样品进行分析化验和农作物的残留检测，甚至通过研究对人畜健康状况的影响才能确定。因此，土壤污染从产生污染到出现问题通常会滞后较长的时间，且一般都不太容易受到重视。</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2、累积性</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污染物质在大气和水体中，一般都比在土壤中更容易迁移。这使得污染物质在土壤中并不像在大气和水体中那样容易扩散和稀释，因此容易在土壤中不断积累而超标，同时也使土壤污染具有很强的地域性。</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3、不可逆转性</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重金属对土壤的污染基本上是一个不可转的过程，许多有机化学物质的污染也需要较长的时间才能降解。</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4、难治理性</w:t>
      </w:r>
    </w:p>
    <w:p>
      <w:pPr>
        <w:pStyle w:val="20"/>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如果大气和水体受到污染，切断污染源之后通过稀释和自净化作用也有可能使污染问题不断逆转，但是积累在污染土壤中的难降解污染物则很难靠稀释作用和自净化作用来消除。土壤污染一旦发生，仅仅依靠切断污染源的方法则往往很难恢复，有时要靠换土、淋洗土壤等方法才能解决问题，其他治理技术可能见效较慢。因此，治理污染土壤通常成本较高，治理周期较长。</w:t>
      </w:r>
    </w:p>
    <w:p>
      <w:pPr>
        <w:pStyle w:val="8"/>
        <w:pageBreakBefore w:val="0"/>
        <w:tabs>
          <w:tab w:val="left" w:pos="0"/>
        </w:tabs>
        <w:kinsoku/>
        <w:wordWrap/>
        <w:overflowPunct w:val="0"/>
        <w:topLinePunct/>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5.2.6.3</w:t>
      </w:r>
      <w:r>
        <w:rPr>
          <w:rFonts w:hint="default" w:ascii="Times New Roman" w:hAnsi="Times New Roman" w:eastAsia="宋体" w:cs="Times New Roman"/>
          <w:color w:val="auto"/>
          <w:sz w:val="24"/>
          <w:szCs w:val="24"/>
          <w:u w:val="none" w:color="auto"/>
        </w:rPr>
        <w:t>对土壤环境影响分析</w:t>
      </w:r>
    </w:p>
    <w:p>
      <w:pPr>
        <w:pStyle w:val="20"/>
        <w:pageBreakBefore w:val="0"/>
        <w:numPr>
          <w:ilvl w:val="0"/>
          <w:numId w:val="4"/>
        </w:numPr>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污染途径</w:t>
      </w:r>
    </w:p>
    <w:p>
      <w:pPr>
        <w:keepNext w:val="0"/>
        <w:keepLines w:val="0"/>
        <w:pageBreakBefore w:val="0"/>
        <w:widowControl/>
        <w:suppressLineNumbers w:val="0"/>
        <w:kinsoku/>
        <w:wordWrap/>
        <w:overflowPunct w:val="0"/>
        <w:topLinePunct/>
        <w:autoSpaceDE w:val="0"/>
        <w:autoSpaceDN w:val="0"/>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位于湖南城陵矶临港产业新区内，租赁标准厂房，根据项目工程分析，本项目主要生产废气为VOCs、粉尘、酸雾等。本项目排放的废气中具有沉降作用的主要为粉尘，但本项目涉及的粉尘颗粒主要成分为铝、</w:t>
      </w:r>
      <w:r>
        <w:rPr>
          <w:rFonts w:hint="eastAsia" w:ascii="Times New Roman" w:hAnsi="Times New Roman" w:eastAsia="宋体" w:cs="Times New Roman"/>
          <w:color w:val="auto"/>
          <w:sz w:val="24"/>
          <w:szCs w:val="24"/>
          <w:u w:val="none" w:color="auto"/>
          <w:lang w:eastAsia="zh-CN"/>
        </w:rPr>
        <w:t>镁</w:t>
      </w:r>
      <w:r>
        <w:rPr>
          <w:rFonts w:hint="default" w:ascii="Times New Roman" w:hAnsi="Times New Roman" w:eastAsia="宋体" w:cs="Times New Roman"/>
          <w:color w:val="auto"/>
          <w:sz w:val="24"/>
          <w:szCs w:val="24"/>
          <w:u w:val="none" w:color="auto"/>
        </w:rPr>
        <w:t>等，非毒性物质，对主导风向下风向的居民危害较小，以及对周边土壤污染较小，因此本次评价不考虑大气污染物沉降污染。</w:t>
      </w:r>
      <w:r>
        <w:rPr>
          <w:rFonts w:hint="default" w:ascii="Times New Roman" w:hAnsi="Times New Roman" w:eastAsia="宋体" w:cs="Times New Roman"/>
          <w:color w:val="auto"/>
          <w:sz w:val="24"/>
          <w:szCs w:val="24"/>
          <w:u w:val="none" w:color="auto"/>
          <w:lang w:val="en-US" w:eastAsia="zh-CN"/>
        </w:rPr>
        <w:t>本项目</w:t>
      </w:r>
      <w:r>
        <w:rPr>
          <w:rFonts w:hint="default" w:ascii="Times New Roman" w:hAnsi="Times New Roman" w:eastAsia="宋体" w:cs="Times New Roman"/>
          <w:color w:val="auto"/>
          <w:sz w:val="24"/>
          <w:szCs w:val="24"/>
          <w:u w:val="none" w:color="auto"/>
        </w:rPr>
        <w:t>污染物垂直入渗影响主要可能是污水处理站、危废暂存间，</w:t>
      </w:r>
      <w:r>
        <w:rPr>
          <w:rFonts w:hint="eastAsia" w:ascii="Times New Roman" w:hAnsi="Times New Roman" w:eastAsia="宋体" w:cs="Times New Roman"/>
          <w:color w:val="auto"/>
          <w:sz w:val="24"/>
          <w:szCs w:val="24"/>
          <w:u w:val="none" w:color="auto"/>
          <w:lang w:eastAsia="zh-CN"/>
        </w:rPr>
        <w:t>均为</w:t>
      </w:r>
      <w:r>
        <w:rPr>
          <w:rFonts w:hint="default" w:ascii="Times New Roman" w:hAnsi="Times New Roman" w:eastAsia="宋体" w:cs="Times New Roman"/>
          <w:color w:val="auto"/>
          <w:sz w:val="24"/>
          <w:szCs w:val="24"/>
          <w:u w:val="none" w:color="auto"/>
        </w:rPr>
        <w:t>重点防渗区，本环评对重点防渗区提出了更严格的防渗要求，因此污染物</w:t>
      </w:r>
      <w:r>
        <w:rPr>
          <w:rFonts w:hint="default" w:ascii="Times New Roman" w:hAnsi="Times New Roman" w:eastAsia="宋体" w:cs="Times New Roman"/>
          <w:color w:val="auto"/>
          <w:kern w:val="0"/>
          <w:sz w:val="24"/>
          <w:szCs w:val="24"/>
          <w:u w:val="none" w:color="auto"/>
          <w:lang w:val="en-US" w:eastAsia="zh-CN" w:bidi="ar"/>
        </w:rPr>
        <w:t>通过地面垂直入渗进入土壤的几率很小。</w:t>
      </w:r>
    </w:p>
    <w:p>
      <w:pPr>
        <w:pStyle w:val="8"/>
        <w:pageBreakBefore w:val="0"/>
        <w:tabs>
          <w:tab w:val="left" w:pos="0"/>
        </w:tabs>
        <w:kinsoku/>
        <w:wordWrap/>
        <w:overflowPunct w:val="0"/>
        <w:topLinePunct/>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5.2.6.4</w:t>
      </w:r>
      <w:r>
        <w:rPr>
          <w:rFonts w:hint="default" w:ascii="Times New Roman" w:hAnsi="Times New Roman" w:eastAsia="宋体" w:cs="Times New Roman"/>
          <w:color w:val="auto"/>
          <w:sz w:val="24"/>
          <w:szCs w:val="24"/>
          <w:u w:val="none" w:color="auto"/>
        </w:rPr>
        <w:t>土壤环境保护措施与对策</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根据《环境影响评价技术导则土壤环境》（HJ964-2018）、《工矿用地土壤环境管理办法（试行）》（部令第3号）等要求，拟建项目应采取如下土壤污染控制措施：</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（1）源头控制措施</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通过对设备及生产厂房、危险化学品仓库、危险废物暂存间、污水处理设施等加强管理，减少或避免非正常事故。大力推广闭路循环、清洁工艺，以减少污染物排放；控制污染物排放的数量和浓度，使之符合排放标准和总量控制要求。</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（2）过程防控措施</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严格按照防渗分区及防渗要求，对各构筑物采取相应的防渗措施；危险化学品仓库、污水收集管道及生产装置等存在土壤污染风险的设施，应当按照国家有关标准和规范的要求，设计、建设和安装有关防腐蚀、防泄漏设施，从而控制污染物通过垂直入渗影响土壤环境。</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建立土壤污染隐患排查治理制度，定期对重点区域、重点设施开展隐患排查。发现污染隐患的，应当制定整改方案，及时采取技术、管理措施消除隐患。隐患排查、治理情况应当如实记录并建立档案。</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按照相关技术规范要求，自行或者委托第三方定期开展土壤监测，重点监测存在污染隐患的区域和设施周边的土壤、地下水，并按照规定公开相关信息。</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（2）环境跟踪监测方案</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项目根据《环境影响评价技术导则土壤环境》（HJ964-2018)，制定土壤环境跟踪监测计划，建立跟踪监测制度。</w:t>
      </w:r>
    </w:p>
    <w:p>
      <w:pPr>
        <w:pStyle w:val="8"/>
        <w:pageBreakBefore w:val="0"/>
        <w:tabs>
          <w:tab w:val="left" w:pos="0"/>
        </w:tabs>
        <w:kinsoku/>
        <w:wordWrap/>
        <w:overflowPunct w:val="0"/>
        <w:topLinePunct/>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5.2.6.5</w:t>
      </w:r>
      <w:r>
        <w:rPr>
          <w:rFonts w:hint="default" w:ascii="Times New Roman" w:hAnsi="Times New Roman" w:eastAsia="宋体" w:cs="Times New Roman"/>
          <w:color w:val="auto"/>
          <w:sz w:val="24"/>
          <w:szCs w:val="24"/>
          <w:u w:val="none" w:color="auto"/>
        </w:rPr>
        <w:t>结论</w:t>
      </w:r>
    </w:p>
    <w:p>
      <w:pPr>
        <w:pageBreakBefore w:val="0"/>
        <w:kinsoku/>
        <w:wordWrap/>
        <w:overflowPunct w:val="0"/>
        <w:topLinePunct/>
        <w:autoSpaceDE w:val="0"/>
        <w:autoSpaceDN w:val="0"/>
        <w:bidi w:val="0"/>
        <w:adjustRightInd/>
        <w:snapToGrid/>
        <w:spacing w:line="360" w:lineRule="auto"/>
        <w:ind w:left="0" w:firstLine="47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
          <w:sz w:val="24"/>
          <w:szCs w:val="24"/>
          <w:u w:val="none" w:color="auto"/>
          <w:lang w:val="en-US" w:eastAsia="zh-CN"/>
        </w:rPr>
        <w:t>本项目</w:t>
      </w:r>
      <w:r>
        <w:rPr>
          <w:rFonts w:hint="default" w:ascii="Times New Roman" w:hAnsi="Times New Roman" w:eastAsia="宋体" w:cs="Times New Roman"/>
          <w:color w:val="auto"/>
          <w:spacing w:val="-5"/>
          <w:sz w:val="24"/>
          <w:szCs w:val="24"/>
          <w:u w:val="none" w:color="auto"/>
        </w:rPr>
        <w:t>在做好风险防范措施、落实跟踪监测制度的情</w:t>
      </w:r>
      <w:r>
        <w:rPr>
          <w:rFonts w:hint="default" w:ascii="Times New Roman" w:hAnsi="Times New Roman" w:eastAsia="宋体" w:cs="Times New Roman"/>
          <w:color w:val="auto"/>
          <w:sz w:val="24"/>
          <w:szCs w:val="24"/>
          <w:u w:val="none" w:color="auto"/>
        </w:rPr>
        <w:t>况下，本项目土壤影响在可接受范围。</w:t>
      </w:r>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52" w:name="_Toc26297"/>
      <w:r>
        <w:rPr>
          <w:rFonts w:hint="default" w:ascii="Times New Roman" w:hAnsi="Times New Roman" w:eastAsia="宋体" w:cs="Times New Roman"/>
          <w:color w:val="auto"/>
          <w:highlight w:val="none"/>
          <w:u w:val="none" w:color="auto"/>
        </w:rPr>
        <w:t>5.2.7营运期环境风险影响分析</w:t>
      </w:r>
      <w:bookmarkEnd w:id="251"/>
      <w:bookmarkEnd w:id="252"/>
    </w:p>
    <w:p>
      <w:pPr>
        <w:pageBreakBefore w:val="0"/>
        <w:kinsoku/>
        <w:wordWrap/>
        <w:overflowPunct w:val="0"/>
        <w:topLinePunct/>
        <w:autoSpaceDE w:val="0"/>
        <w:autoSpaceDN w:val="0"/>
        <w:bidi w:val="0"/>
        <w:adjustRightInd/>
        <w:snapToGrid/>
        <w:spacing w:line="360" w:lineRule="auto"/>
        <w:ind w:left="0" w:firstLine="482" w:firstLineChars="200"/>
        <w:textAlignment w:val="auto"/>
        <w:outlineLvl w:val="3"/>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.1环境风险评价目的</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在外界因素的破坏下，具有发生火灾、爆炸、有毒有害物料泄漏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(1)根据项目特点，对项目装置和储运设施在生产过程中存在的各种事故风险因素及隐患进行识别，提出技术防范措施；</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(2)分析和预测建设项目可能发生的突发性事件或事故，引起有毒、有害、易燃和易爆等物质泄漏到环境中所导致的后果(包括自然环境和社会环境)，预测其对人身安全与环境的影响和损害程度；</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(3)根据风险事件的预测结果，有针对性地提出合理、切实可行的防范减缓措施、应急处理计划和应急预案，以及现场监控报警系统，使得建设项目事故率、损失情况和环境影响达到可接受水平。</w:t>
      </w:r>
    </w:p>
    <w:p>
      <w:pPr>
        <w:pageBreakBefore w:val="0"/>
        <w:kinsoku/>
        <w:wordWrap/>
        <w:overflowPunct w:val="0"/>
        <w:topLinePunct/>
        <w:autoSpaceDE w:val="0"/>
        <w:autoSpaceDN w:val="0"/>
        <w:bidi w:val="0"/>
        <w:adjustRightInd/>
        <w:snapToGrid/>
        <w:spacing w:line="360" w:lineRule="auto"/>
        <w:ind w:left="0" w:firstLine="482" w:firstLineChars="200"/>
        <w:textAlignment w:val="auto"/>
        <w:outlineLvl w:val="3"/>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.2风险调查</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1、危险物质数量和分布情况</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原辅材料涉及的主要危险物质有废铝料、天然气，中间产物和产品涉及的危险物质主要为废气排放的氯化氢、氟化物等，由于排放后立即随大气扩散，因此不计入厂区内危险物质存在量计算，以及生产过程产生的危险废物。项目危险物质基本情况见表5.2</w:t>
      </w:r>
      <w:r>
        <w:rPr>
          <w:rFonts w:hint="eastAsia" w:ascii="Times New Roman" w:hAnsi="Times New Roman" w:eastAsia="宋体" w:cs="Times New Roman"/>
          <w:color w:val="auto"/>
          <w:sz w:val="24"/>
          <w:szCs w:val="24"/>
          <w:u w:val="none" w:color="auto"/>
          <w:lang w:val="en-US" w:eastAsia="zh-CN"/>
        </w:rPr>
        <w:t>-32</w:t>
      </w:r>
      <w:r>
        <w:rPr>
          <w:rFonts w:hint="default" w:ascii="Times New Roman" w:hAnsi="Times New Roman" w:eastAsia="宋体" w:cs="Times New Roman"/>
          <w:color w:val="auto"/>
          <w:sz w:val="24"/>
          <w:szCs w:val="24"/>
          <w:u w:val="none" w:color="auto"/>
        </w:rPr>
        <w:t>。</w:t>
      </w:r>
    </w:p>
    <w:p>
      <w:pPr>
        <w:pageBreakBefore w:val="0"/>
        <w:widowControl/>
        <w:kinsoku/>
        <w:wordWrap/>
        <w:overflowPunct w:val="0"/>
        <w:topLinePunct/>
        <w:autoSpaceDE w:val="0"/>
        <w:autoSpaceDN w:val="0"/>
        <w:bidi w:val="0"/>
        <w:adjustRightInd w:val="0"/>
        <w:snapToGrid w:val="0"/>
        <w:spacing w:before="1" w:line="226" w:lineRule="auto"/>
        <w:ind w:left="2903"/>
        <w:jc w:val="left"/>
        <w:textAlignment w:val="baseline"/>
        <w:rPr>
          <w:rFonts w:hint="default" w:ascii="Times New Roman" w:hAnsi="Times New Roman" w:eastAsia="宋体" w:cs="Times New Roman"/>
          <w:b/>
          <w:bCs/>
          <w:color w:val="auto"/>
          <w:kern w:val="2"/>
          <w:sz w:val="24"/>
          <w:szCs w:val="22"/>
          <w:highlight w:val="none"/>
          <w:u w:val="none" w:color="auto"/>
          <w:lang w:val="en-US" w:eastAsia="zh-CN" w:bidi="ar-SA"/>
        </w:rPr>
      </w:pPr>
      <w:r>
        <w:rPr>
          <w:rFonts w:hint="default" w:ascii="Times New Roman" w:hAnsi="Times New Roman" w:eastAsia="宋体" w:cs="Times New Roman"/>
          <w:b/>
          <w:bCs/>
          <w:color w:val="auto"/>
          <w:kern w:val="2"/>
          <w:sz w:val="24"/>
          <w:szCs w:val="22"/>
          <w:highlight w:val="none"/>
          <w:u w:val="none" w:color="auto"/>
          <w:lang w:val="en-US" w:eastAsia="zh-CN" w:bidi="ar-SA"/>
        </w:rPr>
        <w:t>表5.2</w:t>
      </w:r>
      <w:r>
        <w:rPr>
          <w:rFonts w:hint="eastAsia" w:ascii="Times New Roman" w:hAnsi="Times New Roman" w:eastAsia="宋体" w:cs="Times New Roman"/>
          <w:b/>
          <w:bCs/>
          <w:color w:val="auto"/>
          <w:kern w:val="2"/>
          <w:sz w:val="24"/>
          <w:szCs w:val="22"/>
          <w:highlight w:val="none"/>
          <w:u w:val="none" w:color="auto"/>
          <w:lang w:val="en-US" w:eastAsia="zh-CN" w:bidi="ar-SA"/>
        </w:rPr>
        <w:t>-32</w:t>
      </w:r>
      <w:r>
        <w:rPr>
          <w:rFonts w:hint="default" w:ascii="Times New Roman" w:hAnsi="Times New Roman" w:eastAsia="宋体" w:cs="Times New Roman"/>
          <w:b/>
          <w:bCs/>
          <w:color w:val="auto"/>
          <w:kern w:val="2"/>
          <w:sz w:val="24"/>
          <w:szCs w:val="22"/>
          <w:highlight w:val="none"/>
          <w:u w:val="none" w:color="auto"/>
          <w:lang w:val="en-US" w:eastAsia="zh-CN" w:bidi="ar-SA"/>
        </w:rPr>
        <w:t>危险物质基本情况</w:t>
      </w:r>
    </w:p>
    <w:p>
      <w:pPr>
        <w:pageBreakBefore w:val="0"/>
        <w:widowControl/>
        <w:kinsoku/>
        <w:wordWrap/>
        <w:overflowPunct w:val="0"/>
        <w:topLinePunct/>
        <w:autoSpaceDE w:val="0"/>
        <w:autoSpaceDN w:val="0"/>
        <w:bidi w:val="0"/>
        <w:adjustRightInd w:val="0"/>
        <w:snapToGrid w:val="0"/>
        <w:spacing w:line="132" w:lineRule="exact"/>
        <w:jc w:val="left"/>
        <w:textAlignment w:val="baseline"/>
        <w:rPr>
          <w:rFonts w:hint="default" w:ascii="Times New Roman" w:hAnsi="Times New Roman" w:eastAsia="宋体" w:cs="Times New Roman"/>
          <w:snapToGrid w:val="0"/>
          <w:color w:val="auto"/>
          <w:kern w:val="0"/>
          <w:szCs w:val="21"/>
          <w:u w:val="none" w:color="auto"/>
        </w:rPr>
      </w:pPr>
    </w:p>
    <w:tbl>
      <w:tblPr>
        <w:tblStyle w:val="204"/>
        <w:tblW w:w="8522"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2"/>
        <w:gridCol w:w="1536"/>
        <w:gridCol w:w="1196"/>
        <w:gridCol w:w="1287"/>
        <w:gridCol w:w="1816"/>
        <w:gridCol w:w="20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2" w:type="dxa"/>
            <w:tcBorders>
              <w:tl2br w:val="nil"/>
              <w:tr2bl w:val="nil"/>
            </w:tcBorders>
            <w:textDirection w:val="tbRlV"/>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序号</w:t>
            </w:r>
          </w:p>
        </w:tc>
        <w:tc>
          <w:tcPr>
            <w:tcW w:w="153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危险物质名称</w:t>
            </w:r>
          </w:p>
        </w:tc>
        <w:tc>
          <w:tcPr>
            <w:tcW w:w="119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类别</w:t>
            </w:r>
          </w:p>
        </w:tc>
        <w:tc>
          <w:tcPr>
            <w:tcW w:w="1287"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分布情况</w:t>
            </w:r>
          </w:p>
        </w:tc>
        <w:tc>
          <w:tcPr>
            <w:tcW w:w="181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年使用量或产生量(t)</w:t>
            </w:r>
          </w:p>
        </w:tc>
        <w:tc>
          <w:tcPr>
            <w:tcW w:w="2055"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生产、使用、储存过程中最大量(t)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153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天然气</w:t>
            </w:r>
          </w:p>
        </w:tc>
        <w:tc>
          <w:tcPr>
            <w:tcW w:w="119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燃料</w:t>
            </w:r>
          </w:p>
        </w:tc>
        <w:tc>
          <w:tcPr>
            <w:tcW w:w="1287"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工艺管道</w:t>
            </w:r>
          </w:p>
        </w:tc>
        <w:tc>
          <w:tcPr>
            <w:tcW w:w="181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77.6</w:t>
            </w:r>
            <w:r>
              <w:rPr>
                <w:rFonts w:hint="default" w:ascii="Times New Roman" w:hAnsi="Times New Roman" w:eastAsia="宋体" w:cs="Times New Roman"/>
                <w:color w:val="auto"/>
                <w:u w:val="none" w:color="auto"/>
              </w:rPr>
              <w:t>万m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/a</w:t>
            </w:r>
          </w:p>
        </w:tc>
        <w:tc>
          <w:tcPr>
            <w:tcW w:w="2055"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w:t>
            </w:r>
            <w:r>
              <w:rPr>
                <w:rFonts w:hint="eastAsia" w:ascii="Times New Roman" w:hAnsi="Times New Roman" w:eastAsia="宋体" w:cs="Times New Roman"/>
                <w:color w:val="auto"/>
                <w:u w:val="none" w:color="auto"/>
                <w:lang w:val="en-US" w:eastAsia="zh-CN"/>
              </w:rPr>
              <w:t>43</w:t>
            </w:r>
            <w:r>
              <w:rPr>
                <w:rFonts w:hint="default" w:ascii="Times New Roman" w:hAnsi="Times New Roman" w:eastAsia="宋体" w:cs="Times New Roman"/>
                <w:color w:val="auto"/>
                <w:u w:val="none" w:color="auto"/>
              </w:rPr>
              <w:t>t/h(</w:t>
            </w:r>
            <w:r>
              <w:rPr>
                <w:rFonts w:hint="eastAsia" w:ascii="Times New Roman" w:hAnsi="Times New Roman" w:eastAsia="宋体" w:cs="Times New Roman"/>
                <w:color w:val="auto"/>
                <w:u w:val="none" w:color="auto"/>
                <w:lang w:val="en-US" w:eastAsia="zh-CN"/>
              </w:rPr>
              <w:t>600</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val="en-US" w:eastAsia="zh-CN"/>
              </w:rPr>
              <w:t>2</w:t>
            </w:r>
          </w:p>
        </w:tc>
        <w:tc>
          <w:tcPr>
            <w:tcW w:w="153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废矿物油</w:t>
            </w:r>
          </w:p>
        </w:tc>
        <w:tc>
          <w:tcPr>
            <w:tcW w:w="119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危险废物</w:t>
            </w:r>
          </w:p>
        </w:tc>
        <w:tc>
          <w:tcPr>
            <w:tcW w:w="1287"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危废暂存间</w:t>
            </w:r>
          </w:p>
        </w:tc>
        <w:tc>
          <w:tcPr>
            <w:tcW w:w="181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w:t>
            </w:r>
          </w:p>
        </w:tc>
        <w:tc>
          <w:tcPr>
            <w:tcW w:w="2055"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val="en-US" w:eastAsia="zh-CN"/>
              </w:rPr>
              <w:t>3</w:t>
            </w:r>
          </w:p>
        </w:tc>
        <w:tc>
          <w:tcPr>
            <w:tcW w:w="153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润滑油</w:t>
            </w:r>
          </w:p>
        </w:tc>
        <w:tc>
          <w:tcPr>
            <w:tcW w:w="119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辅料</w:t>
            </w:r>
          </w:p>
        </w:tc>
        <w:tc>
          <w:tcPr>
            <w:tcW w:w="1287"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生产车间</w:t>
            </w:r>
          </w:p>
        </w:tc>
        <w:tc>
          <w:tcPr>
            <w:tcW w:w="181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w:t>
            </w:r>
          </w:p>
        </w:tc>
        <w:tc>
          <w:tcPr>
            <w:tcW w:w="2055"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2"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w:t>
            </w:r>
          </w:p>
        </w:tc>
        <w:tc>
          <w:tcPr>
            <w:tcW w:w="153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水性油漆</w:t>
            </w:r>
          </w:p>
        </w:tc>
        <w:tc>
          <w:tcPr>
            <w:tcW w:w="119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辅料</w:t>
            </w:r>
          </w:p>
        </w:tc>
        <w:tc>
          <w:tcPr>
            <w:tcW w:w="1287"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生产车间</w:t>
            </w:r>
          </w:p>
        </w:tc>
        <w:tc>
          <w:tcPr>
            <w:tcW w:w="1816"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10</w:t>
            </w:r>
          </w:p>
        </w:tc>
        <w:tc>
          <w:tcPr>
            <w:tcW w:w="2055" w:type="dxa"/>
            <w:tcBorders>
              <w:tl2br w:val="nil"/>
              <w:tr2bl w:val="nil"/>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w:t>
            </w:r>
          </w:p>
        </w:tc>
      </w:tr>
    </w:tbl>
    <w:p>
      <w:pPr>
        <w:pageBreakBefore w:val="0"/>
        <w:widowControl/>
        <w:kinsoku/>
        <w:wordWrap/>
        <w:overflowPunct w:val="0"/>
        <w:topLinePunct/>
        <w:autoSpaceDE w:val="0"/>
        <w:autoSpaceDN w:val="0"/>
        <w:bidi w:val="0"/>
        <w:adjustRightInd w:val="0"/>
        <w:snapToGrid w:val="0"/>
        <w:spacing w:before="35" w:line="240" w:lineRule="auto"/>
        <w:ind w:left="606"/>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
          <w:kern w:val="0"/>
          <w:sz w:val="24"/>
          <w:szCs w:val="24"/>
          <w:u w:val="none" w:color="auto"/>
        </w:rPr>
        <w:t>2、</w:t>
      </w:r>
      <w:r>
        <w:rPr>
          <w:rFonts w:hint="default" w:ascii="Times New Roman" w:hAnsi="Times New Roman" w:eastAsia="宋体" w:cs="Times New Roman"/>
          <w:snapToGrid w:val="0"/>
          <w:color w:val="auto"/>
          <w:spacing w:val="1"/>
          <w:kern w:val="0"/>
          <w:sz w:val="24"/>
          <w:szCs w:val="24"/>
          <w:u w:val="none" w:color="auto"/>
        </w:rPr>
        <w:t>生产工艺特点</w:t>
      </w:r>
    </w:p>
    <w:p>
      <w:pPr>
        <w:pageBreakBefore w:val="0"/>
        <w:widowControl/>
        <w:kinsoku/>
        <w:wordWrap/>
        <w:overflowPunct w:val="0"/>
        <w:topLinePunct/>
        <w:autoSpaceDE w:val="0"/>
        <w:autoSpaceDN w:val="0"/>
        <w:bidi w:val="0"/>
        <w:adjustRightInd w:val="0"/>
        <w:snapToGrid w:val="0"/>
        <w:spacing w:before="166" w:line="375" w:lineRule="auto"/>
        <w:ind w:left="129" w:right="84" w:firstLine="480"/>
        <w:jc w:val="left"/>
        <w:textAlignment w:val="baseline"/>
        <w:rPr>
          <w:rFonts w:hint="default" w:ascii="Times New Roman" w:hAnsi="Times New Roman" w:eastAsia="宋体" w:cs="Times New Roman"/>
          <w:snapToGrid w:val="0"/>
          <w:color w:val="auto"/>
          <w:kern w:val="0"/>
          <w:sz w:val="24"/>
          <w:szCs w:val="24"/>
          <w:u w:val="none" w:color="auto"/>
        </w:rPr>
      </w:pPr>
      <w:r>
        <w:rPr>
          <w:rFonts w:hint="eastAsia" w:ascii="Times New Roman" w:hAnsi="Times New Roman" w:eastAsia="宋体" w:cs="Times New Roman"/>
          <w:snapToGrid w:val="0"/>
          <w:color w:val="auto"/>
          <w:spacing w:val="7"/>
          <w:kern w:val="0"/>
          <w:sz w:val="24"/>
          <w:szCs w:val="24"/>
          <w:u w:val="none" w:color="auto"/>
          <w:lang w:eastAsia="zh-CN"/>
        </w:rPr>
        <w:t>项目</w:t>
      </w:r>
      <w:r>
        <w:rPr>
          <w:rFonts w:hint="default" w:ascii="Times New Roman" w:hAnsi="Times New Roman" w:eastAsia="宋体" w:cs="Times New Roman"/>
          <w:snapToGrid w:val="0"/>
          <w:color w:val="auto"/>
          <w:spacing w:val="7"/>
          <w:kern w:val="0"/>
          <w:sz w:val="24"/>
          <w:szCs w:val="24"/>
          <w:u w:val="none" w:color="auto"/>
        </w:rPr>
        <w:t>工艺生产线涉及的熔炼炉等为高温设备，项目使用</w:t>
      </w:r>
      <w:r>
        <w:rPr>
          <w:rFonts w:hint="eastAsia" w:ascii="Times New Roman" w:hAnsi="Times New Roman" w:eastAsia="宋体" w:cs="Times New Roman"/>
          <w:snapToGrid w:val="0"/>
          <w:color w:val="auto"/>
          <w:spacing w:val="7"/>
          <w:kern w:val="0"/>
          <w:sz w:val="24"/>
          <w:szCs w:val="24"/>
          <w:u w:val="none" w:color="auto"/>
          <w:lang w:eastAsia="zh-CN"/>
        </w:rPr>
        <w:t>电能和</w:t>
      </w:r>
      <w:r>
        <w:rPr>
          <w:rFonts w:hint="default" w:ascii="Times New Roman" w:hAnsi="Times New Roman" w:eastAsia="宋体" w:cs="Times New Roman"/>
          <w:snapToGrid w:val="0"/>
          <w:color w:val="auto"/>
          <w:spacing w:val="3"/>
          <w:kern w:val="0"/>
          <w:sz w:val="24"/>
          <w:szCs w:val="24"/>
          <w:u w:val="none" w:color="auto"/>
        </w:rPr>
        <w:t>天</w:t>
      </w:r>
      <w:r>
        <w:rPr>
          <w:rFonts w:hint="default" w:ascii="Times New Roman" w:hAnsi="Times New Roman" w:eastAsia="宋体" w:cs="Times New Roman"/>
          <w:snapToGrid w:val="0"/>
          <w:color w:val="auto"/>
          <w:spacing w:val="9"/>
          <w:kern w:val="0"/>
          <w:sz w:val="24"/>
          <w:szCs w:val="24"/>
          <w:u w:val="none" w:color="auto"/>
        </w:rPr>
        <w:t>然</w:t>
      </w:r>
      <w:r>
        <w:rPr>
          <w:rFonts w:hint="default" w:ascii="Times New Roman" w:hAnsi="Times New Roman" w:eastAsia="宋体" w:cs="Times New Roman"/>
          <w:snapToGrid w:val="0"/>
          <w:color w:val="auto"/>
          <w:spacing w:val="7"/>
          <w:kern w:val="0"/>
          <w:sz w:val="24"/>
          <w:szCs w:val="24"/>
          <w:u w:val="none" w:color="auto"/>
        </w:rPr>
        <w:t>气为燃料。生产的过程中主要风险为天然气泄漏及熔炼炉等高温设备</w:t>
      </w:r>
      <w:r>
        <w:rPr>
          <w:rFonts w:hint="default" w:ascii="Times New Roman" w:hAnsi="Times New Roman" w:eastAsia="宋体" w:cs="Times New Roman"/>
          <w:snapToGrid w:val="0"/>
          <w:color w:val="auto"/>
          <w:spacing w:val="9"/>
          <w:kern w:val="0"/>
          <w:sz w:val="24"/>
          <w:szCs w:val="24"/>
          <w:u w:val="none" w:color="auto"/>
        </w:rPr>
        <w:t>发</w:t>
      </w:r>
      <w:r>
        <w:rPr>
          <w:rFonts w:hint="default" w:ascii="Times New Roman" w:hAnsi="Times New Roman" w:eastAsia="宋体" w:cs="Times New Roman"/>
          <w:snapToGrid w:val="0"/>
          <w:color w:val="auto"/>
          <w:spacing w:val="7"/>
          <w:kern w:val="0"/>
          <w:sz w:val="24"/>
          <w:szCs w:val="24"/>
          <w:u w:val="none" w:color="auto"/>
        </w:rPr>
        <w:t>生故障。其中项目不设天然气储存设施，由园区预留的供气管道接入。天然气</w:t>
      </w:r>
      <w:r>
        <w:rPr>
          <w:rFonts w:hint="default" w:ascii="Times New Roman" w:hAnsi="Times New Roman" w:eastAsia="宋体" w:cs="Times New Roman"/>
          <w:snapToGrid w:val="0"/>
          <w:color w:val="auto"/>
          <w:spacing w:val="11"/>
          <w:kern w:val="0"/>
          <w:sz w:val="24"/>
          <w:szCs w:val="24"/>
          <w:u w:val="none" w:color="auto"/>
        </w:rPr>
        <w:t>管</w:t>
      </w:r>
      <w:r>
        <w:rPr>
          <w:rFonts w:hint="default" w:ascii="Times New Roman" w:hAnsi="Times New Roman" w:eastAsia="宋体" w:cs="Times New Roman"/>
          <w:snapToGrid w:val="0"/>
          <w:color w:val="auto"/>
          <w:spacing w:val="8"/>
          <w:kern w:val="0"/>
          <w:sz w:val="24"/>
          <w:szCs w:val="24"/>
          <w:u w:val="none" w:color="auto"/>
        </w:rPr>
        <w:t>网出现的潜在风险主要有：管道接头、阀门、法兰等处腐蚀穿孔，导致泄漏，</w:t>
      </w:r>
      <w:r>
        <w:rPr>
          <w:rFonts w:hint="default" w:ascii="Times New Roman" w:hAnsi="Times New Roman" w:eastAsia="宋体" w:cs="Times New Roman"/>
          <w:snapToGrid w:val="0"/>
          <w:color w:val="auto"/>
          <w:spacing w:val="11"/>
          <w:kern w:val="0"/>
          <w:sz w:val="24"/>
          <w:szCs w:val="24"/>
          <w:u w:val="none" w:color="auto"/>
        </w:rPr>
        <w:t>遇</w:t>
      </w:r>
      <w:r>
        <w:rPr>
          <w:rFonts w:hint="default" w:ascii="Times New Roman" w:hAnsi="Times New Roman" w:eastAsia="宋体" w:cs="Times New Roman"/>
          <w:snapToGrid w:val="0"/>
          <w:color w:val="auto"/>
          <w:spacing w:val="9"/>
          <w:kern w:val="0"/>
          <w:sz w:val="24"/>
          <w:szCs w:val="24"/>
          <w:u w:val="none" w:color="auto"/>
        </w:rPr>
        <w:t>着火源时可能进一步引发火灾、爆炸等事故。</w:t>
      </w:r>
    </w:p>
    <w:p>
      <w:pPr>
        <w:pageBreakBefore w:val="0"/>
        <w:kinsoku/>
        <w:wordWrap/>
        <w:overflowPunct w:val="0"/>
        <w:topLinePunct/>
        <w:autoSpaceDE w:val="0"/>
        <w:autoSpaceDN w:val="0"/>
        <w:bidi w:val="0"/>
        <w:adjustRightInd/>
        <w:snapToGrid/>
        <w:spacing w:line="360" w:lineRule="auto"/>
        <w:ind w:left="0" w:firstLine="482" w:firstLineChars="200"/>
        <w:textAlignment w:val="auto"/>
        <w:outlineLvl w:val="3"/>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3风险潜势初判</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(1)危险物质数量与临界量比值(Q)</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危险物质数量与临界量比值(Q)为每种危险物质在厂界内的最大存在总量与其在《建设项目环境风险评价技术导则》(HJ169-2018)附录B中对应临界量的比值Q，当只涉及一种危险物质时，计算该物质的总量与其临界量比值，即</w:t>
      </w:r>
    </w:p>
    <w:p>
      <w:pPr>
        <w:pageBreakBefore w:val="0"/>
        <w:kinsoku/>
        <w:wordWrap/>
        <w:overflowPunct w:val="0"/>
        <w:topLinePunct/>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为Q；当存在多种危险物质时，则按照下式计算物质总量与其临界量比值(Q)：</w:t>
      </w:r>
    </w:p>
    <w:p>
      <w:pPr>
        <w:pageBreakBefore w:val="0"/>
        <w:widowControl/>
        <w:kinsoku/>
        <w:wordWrap/>
        <w:overflowPunct w:val="0"/>
        <w:topLinePunct/>
        <w:autoSpaceDE w:val="0"/>
        <w:autoSpaceDN w:val="0"/>
        <w:bidi w:val="0"/>
        <w:adjustRightInd w:val="0"/>
        <w:snapToGrid w:val="0"/>
        <w:spacing w:before="158" w:line="624" w:lineRule="exact"/>
        <w:ind w:firstLine="3471"/>
        <w:jc w:val="left"/>
        <w:textAlignment w:val="center"/>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drawing>
          <wp:inline distT="0" distB="0" distL="0" distR="0">
            <wp:extent cx="1323975" cy="396240"/>
            <wp:effectExtent l="0" t="0" r="1905" b="0"/>
            <wp:docPr id="171" name="IM 98"/>
            <wp:cNvGraphicFramePr/>
            <a:graphic xmlns:a="http://schemas.openxmlformats.org/drawingml/2006/main">
              <a:graphicData uri="http://schemas.openxmlformats.org/drawingml/2006/picture">
                <pic:pic xmlns:pic="http://schemas.openxmlformats.org/drawingml/2006/picture">
                  <pic:nvPicPr>
                    <pic:cNvPr id="171" name="IM 98"/>
                    <pic:cNvPicPr/>
                  </pic:nvPicPr>
                  <pic:blipFill>
                    <a:blip r:embed="rId85"/>
                    <a:stretch>
                      <a:fillRect/>
                    </a:stretch>
                  </pic:blipFill>
                  <pic:spPr>
                    <a:xfrm>
                      <a:off x="0" y="0"/>
                      <a:ext cx="1324355" cy="396240"/>
                    </a:xfrm>
                    <a:prstGeom prst="rect">
                      <a:avLst/>
                    </a:prstGeom>
                  </pic:spPr>
                </pic:pic>
              </a:graphicData>
            </a:graphic>
          </wp:inline>
        </w:drawing>
      </w:r>
    </w:p>
    <w:p>
      <w:pPr>
        <w:pageBreakBefore w:val="0"/>
        <w:widowControl/>
        <w:kinsoku/>
        <w:wordWrap/>
        <w:overflowPunct w:val="0"/>
        <w:topLinePunct/>
        <w:autoSpaceDE w:val="0"/>
        <w:autoSpaceDN w:val="0"/>
        <w:bidi w:val="0"/>
        <w:adjustRightInd w:val="0"/>
        <w:snapToGrid w:val="0"/>
        <w:spacing w:before="129" w:line="468" w:lineRule="exact"/>
        <w:ind w:left="615"/>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
          <w:kern w:val="0"/>
          <w:position w:val="14"/>
          <w:sz w:val="24"/>
          <w:szCs w:val="24"/>
          <w:u w:val="none" w:color="auto"/>
        </w:rPr>
        <w:t>式中：</w:t>
      </w:r>
      <w:r>
        <w:rPr>
          <w:rFonts w:hint="default" w:ascii="Times New Roman" w:hAnsi="Times New Roman" w:eastAsia="宋体" w:cs="Times New Roman"/>
          <w:snapToGrid w:val="0"/>
          <w:color w:val="auto"/>
          <w:kern w:val="0"/>
          <w:position w:val="14"/>
          <w:sz w:val="24"/>
          <w:szCs w:val="24"/>
          <w:u w:val="none" w:color="auto"/>
        </w:rPr>
        <w:t>q</w:t>
      </w:r>
      <w:r>
        <w:rPr>
          <w:rFonts w:hint="default" w:ascii="Times New Roman" w:hAnsi="Times New Roman" w:eastAsia="宋体" w:cs="Times New Roman"/>
          <w:snapToGrid w:val="0"/>
          <w:color w:val="auto"/>
          <w:spacing w:val="-1"/>
          <w:kern w:val="0"/>
          <w:position w:val="13"/>
          <w:sz w:val="24"/>
          <w:szCs w:val="24"/>
          <w:u w:val="none" w:color="auto"/>
        </w:rPr>
        <w:t>1</w:t>
      </w:r>
      <w:r>
        <w:rPr>
          <w:rFonts w:hint="default" w:ascii="Times New Roman" w:hAnsi="Times New Roman" w:eastAsia="宋体" w:cs="Times New Roman"/>
          <w:snapToGrid w:val="0"/>
          <w:color w:val="auto"/>
          <w:spacing w:val="-1"/>
          <w:kern w:val="0"/>
          <w:position w:val="14"/>
          <w:sz w:val="24"/>
          <w:szCs w:val="24"/>
          <w:u w:val="none" w:color="auto"/>
        </w:rPr>
        <w:t>，</w:t>
      </w:r>
      <w:r>
        <w:rPr>
          <w:rFonts w:hint="default" w:ascii="Times New Roman" w:hAnsi="Times New Roman" w:eastAsia="宋体" w:cs="Times New Roman"/>
          <w:snapToGrid w:val="0"/>
          <w:color w:val="auto"/>
          <w:kern w:val="0"/>
          <w:position w:val="14"/>
          <w:sz w:val="24"/>
          <w:szCs w:val="24"/>
          <w:u w:val="none" w:color="auto"/>
        </w:rPr>
        <w:t>q</w:t>
      </w:r>
      <w:r>
        <w:rPr>
          <w:rFonts w:hint="default" w:ascii="Times New Roman" w:hAnsi="Times New Roman" w:eastAsia="宋体" w:cs="Times New Roman"/>
          <w:snapToGrid w:val="0"/>
          <w:color w:val="auto"/>
          <w:spacing w:val="-1"/>
          <w:kern w:val="0"/>
          <w:position w:val="13"/>
          <w:sz w:val="24"/>
          <w:szCs w:val="24"/>
          <w:u w:val="none" w:color="auto"/>
        </w:rPr>
        <w:t>2</w:t>
      </w:r>
      <w:r>
        <w:rPr>
          <w:rFonts w:hint="default" w:ascii="Times New Roman" w:hAnsi="Times New Roman" w:eastAsia="宋体" w:cs="Times New Roman"/>
          <w:snapToGrid w:val="0"/>
          <w:color w:val="auto"/>
          <w:spacing w:val="-1"/>
          <w:kern w:val="0"/>
          <w:position w:val="14"/>
          <w:sz w:val="24"/>
          <w:szCs w:val="24"/>
          <w:u w:val="none" w:color="auto"/>
        </w:rPr>
        <w:t>，…，</w:t>
      </w:r>
      <w:r>
        <w:rPr>
          <w:rFonts w:hint="default" w:ascii="Times New Roman" w:hAnsi="Times New Roman" w:eastAsia="宋体" w:cs="Times New Roman"/>
          <w:snapToGrid w:val="0"/>
          <w:color w:val="auto"/>
          <w:kern w:val="0"/>
          <w:position w:val="14"/>
          <w:sz w:val="24"/>
          <w:szCs w:val="24"/>
          <w:u w:val="none" w:color="auto"/>
        </w:rPr>
        <w:t>q</w:t>
      </w:r>
      <w:r>
        <w:rPr>
          <w:rFonts w:hint="default" w:ascii="Times New Roman" w:hAnsi="Times New Roman" w:eastAsia="宋体" w:cs="Times New Roman"/>
          <w:snapToGrid w:val="0"/>
          <w:color w:val="auto"/>
          <w:kern w:val="0"/>
          <w:position w:val="13"/>
          <w:sz w:val="24"/>
          <w:szCs w:val="24"/>
          <w:u w:val="none" w:color="auto"/>
        </w:rPr>
        <w:t>n</w:t>
      </w:r>
      <w:r>
        <w:rPr>
          <w:rFonts w:hint="default" w:ascii="Times New Roman" w:hAnsi="Times New Roman" w:eastAsia="宋体" w:cs="Times New Roman"/>
          <w:snapToGrid w:val="0"/>
          <w:color w:val="auto"/>
          <w:spacing w:val="-1"/>
          <w:kern w:val="0"/>
          <w:position w:val="14"/>
          <w:sz w:val="24"/>
          <w:szCs w:val="24"/>
          <w:u w:val="none" w:color="auto"/>
        </w:rPr>
        <w:t>——每</w:t>
      </w:r>
      <w:r>
        <w:rPr>
          <w:rFonts w:hint="default" w:ascii="Times New Roman" w:hAnsi="Times New Roman" w:eastAsia="宋体" w:cs="Times New Roman"/>
          <w:snapToGrid w:val="0"/>
          <w:color w:val="auto"/>
          <w:kern w:val="0"/>
          <w:position w:val="14"/>
          <w:sz w:val="24"/>
          <w:szCs w:val="24"/>
          <w:u w:val="none" w:color="auto"/>
        </w:rPr>
        <w:t>种危险物质的最大存在量，t；</w:t>
      </w:r>
    </w:p>
    <w:p>
      <w:pPr>
        <w:pageBreakBefore w:val="0"/>
        <w:widowControl/>
        <w:kinsoku/>
        <w:wordWrap/>
        <w:overflowPunct w:val="0"/>
        <w:topLinePunct/>
        <w:autoSpaceDE w:val="0"/>
        <w:autoSpaceDN w:val="0"/>
        <w:bidi w:val="0"/>
        <w:adjustRightInd w:val="0"/>
        <w:snapToGrid w:val="0"/>
        <w:spacing w:line="323" w:lineRule="exact"/>
        <w:ind w:left="609"/>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
          <w:kern w:val="0"/>
          <w:position w:val="2"/>
          <w:sz w:val="24"/>
          <w:szCs w:val="24"/>
          <w:u w:val="none" w:color="auto"/>
        </w:rPr>
        <w:t>Q</w:t>
      </w:r>
      <w:r>
        <w:rPr>
          <w:rFonts w:hint="default" w:ascii="Times New Roman" w:hAnsi="Times New Roman" w:eastAsia="宋体" w:cs="Times New Roman"/>
          <w:snapToGrid w:val="0"/>
          <w:color w:val="auto"/>
          <w:spacing w:val="-2"/>
          <w:kern w:val="0"/>
          <w:position w:val="1"/>
          <w:sz w:val="24"/>
          <w:szCs w:val="24"/>
          <w:u w:val="none" w:color="auto"/>
        </w:rPr>
        <w:t>1</w:t>
      </w:r>
      <w:r>
        <w:rPr>
          <w:rFonts w:hint="default" w:ascii="Times New Roman" w:hAnsi="Times New Roman" w:eastAsia="宋体" w:cs="Times New Roman"/>
          <w:snapToGrid w:val="0"/>
          <w:color w:val="auto"/>
          <w:spacing w:val="-2"/>
          <w:kern w:val="0"/>
          <w:position w:val="2"/>
          <w:sz w:val="24"/>
          <w:szCs w:val="24"/>
          <w:u w:val="none" w:color="auto"/>
        </w:rPr>
        <w:t>，Q</w:t>
      </w:r>
      <w:r>
        <w:rPr>
          <w:rFonts w:hint="default" w:ascii="Times New Roman" w:hAnsi="Times New Roman" w:eastAsia="宋体" w:cs="Times New Roman"/>
          <w:snapToGrid w:val="0"/>
          <w:color w:val="auto"/>
          <w:spacing w:val="-2"/>
          <w:kern w:val="0"/>
          <w:position w:val="1"/>
          <w:sz w:val="24"/>
          <w:szCs w:val="24"/>
          <w:u w:val="none" w:color="auto"/>
        </w:rPr>
        <w:t>2</w:t>
      </w:r>
      <w:r>
        <w:rPr>
          <w:rFonts w:hint="default" w:ascii="Times New Roman" w:hAnsi="Times New Roman" w:eastAsia="宋体" w:cs="Times New Roman"/>
          <w:snapToGrid w:val="0"/>
          <w:color w:val="auto"/>
          <w:spacing w:val="-2"/>
          <w:kern w:val="0"/>
          <w:position w:val="2"/>
          <w:sz w:val="24"/>
          <w:szCs w:val="24"/>
          <w:u w:val="none" w:color="auto"/>
        </w:rPr>
        <w:t>，…，Q</w:t>
      </w:r>
      <w:r>
        <w:rPr>
          <w:rFonts w:hint="default" w:ascii="Times New Roman" w:hAnsi="Times New Roman" w:eastAsia="宋体" w:cs="Times New Roman"/>
          <w:snapToGrid w:val="0"/>
          <w:color w:val="auto"/>
          <w:spacing w:val="-1"/>
          <w:kern w:val="0"/>
          <w:position w:val="1"/>
          <w:sz w:val="24"/>
          <w:szCs w:val="24"/>
          <w:u w:val="none" w:color="auto"/>
        </w:rPr>
        <w:t>n</w:t>
      </w:r>
      <w:r>
        <w:rPr>
          <w:rFonts w:hint="default" w:ascii="Times New Roman" w:hAnsi="Times New Roman" w:eastAsia="宋体" w:cs="Times New Roman"/>
          <w:snapToGrid w:val="0"/>
          <w:color w:val="auto"/>
          <w:spacing w:val="-2"/>
          <w:kern w:val="0"/>
          <w:position w:val="2"/>
          <w:sz w:val="24"/>
          <w:szCs w:val="24"/>
          <w:u w:val="none" w:color="auto"/>
        </w:rPr>
        <w:t>——每种危险物质的临界量，</w:t>
      </w:r>
      <w:r>
        <w:rPr>
          <w:rFonts w:hint="default" w:ascii="Times New Roman" w:hAnsi="Times New Roman" w:eastAsia="宋体" w:cs="Times New Roman"/>
          <w:snapToGrid w:val="0"/>
          <w:color w:val="auto"/>
          <w:kern w:val="0"/>
          <w:position w:val="2"/>
          <w:sz w:val="24"/>
          <w:szCs w:val="24"/>
          <w:u w:val="none" w:color="auto"/>
        </w:rPr>
        <w:t>t</w:t>
      </w:r>
      <w:r>
        <w:rPr>
          <w:rFonts w:hint="default" w:ascii="Times New Roman" w:hAnsi="Times New Roman" w:eastAsia="宋体" w:cs="Times New Roman"/>
          <w:snapToGrid w:val="0"/>
          <w:color w:val="auto"/>
          <w:spacing w:val="-2"/>
          <w:kern w:val="0"/>
          <w:position w:val="2"/>
          <w:sz w:val="24"/>
          <w:szCs w:val="24"/>
          <w:u w:val="none" w:color="auto"/>
        </w:rPr>
        <w:t>。</w:t>
      </w:r>
    </w:p>
    <w:p>
      <w:pPr>
        <w:pageBreakBefore w:val="0"/>
        <w:widowControl/>
        <w:kinsoku/>
        <w:wordWrap/>
        <w:overflowPunct w:val="0"/>
        <w:topLinePunct/>
        <w:autoSpaceDE w:val="0"/>
        <w:autoSpaceDN w:val="0"/>
        <w:bidi w:val="0"/>
        <w:adjustRightInd w:val="0"/>
        <w:snapToGrid w:val="0"/>
        <w:spacing w:before="188" w:line="219" w:lineRule="auto"/>
        <w:ind w:left="625"/>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当</w:t>
      </w:r>
      <w:r>
        <w:rPr>
          <w:rFonts w:hint="default" w:ascii="Times New Roman" w:hAnsi="Times New Roman" w:eastAsia="宋体" w:cs="Times New Roman"/>
          <w:snapToGrid w:val="0"/>
          <w:color w:val="auto"/>
          <w:kern w:val="0"/>
          <w:sz w:val="24"/>
          <w:szCs w:val="24"/>
          <w:u w:val="none" w:color="auto"/>
        </w:rPr>
        <w:t>Q</w:t>
      </w:r>
      <w:r>
        <w:rPr>
          <w:rFonts w:hint="default" w:ascii="Times New Roman" w:hAnsi="Times New Roman" w:eastAsia="宋体" w:cs="Times New Roman"/>
          <w:snapToGrid w:val="0"/>
          <w:color w:val="auto"/>
          <w:spacing w:val="7"/>
          <w:kern w:val="0"/>
          <w:sz w:val="24"/>
          <w:szCs w:val="24"/>
          <w:u w:val="none" w:color="auto"/>
        </w:rPr>
        <w:t>＜1时，该项目风险潜势为</w:t>
      </w:r>
      <w:r>
        <w:rPr>
          <w:rFonts w:hint="default" w:ascii="Times New Roman" w:hAnsi="Times New Roman" w:eastAsia="宋体" w:cs="Times New Roman"/>
          <w:snapToGrid w:val="0"/>
          <w:color w:val="auto"/>
          <w:kern w:val="0"/>
          <w:sz w:val="24"/>
          <w:szCs w:val="24"/>
          <w:u w:val="none" w:color="auto"/>
        </w:rPr>
        <w:t>I</w:t>
      </w:r>
      <w:r>
        <w:rPr>
          <w:rFonts w:hint="default" w:ascii="Times New Roman" w:hAnsi="Times New Roman" w:eastAsia="宋体" w:cs="Times New Roman"/>
          <w:snapToGrid w:val="0"/>
          <w:color w:val="auto"/>
          <w:spacing w:val="7"/>
          <w:kern w:val="0"/>
          <w:sz w:val="24"/>
          <w:szCs w:val="24"/>
          <w:u w:val="none" w:color="auto"/>
        </w:rPr>
        <w:t>；</w:t>
      </w:r>
    </w:p>
    <w:p>
      <w:pPr>
        <w:pageBreakBefore w:val="0"/>
        <w:widowControl/>
        <w:kinsoku/>
        <w:wordWrap/>
        <w:overflowPunct w:val="0"/>
        <w:topLinePunct/>
        <w:autoSpaceDE w:val="0"/>
        <w:autoSpaceDN w:val="0"/>
        <w:bidi w:val="0"/>
        <w:adjustRightInd w:val="0"/>
        <w:snapToGrid w:val="0"/>
        <w:spacing w:before="150" w:line="322" w:lineRule="exact"/>
        <w:ind w:left="625"/>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position w:val="3"/>
          <w:sz w:val="24"/>
          <w:szCs w:val="24"/>
          <w:u w:val="none" w:color="auto"/>
        </w:rPr>
        <w:t>当</w:t>
      </w:r>
      <w:r>
        <w:rPr>
          <w:rFonts w:hint="default" w:ascii="Times New Roman" w:hAnsi="Times New Roman" w:eastAsia="宋体" w:cs="Times New Roman"/>
          <w:snapToGrid w:val="0"/>
          <w:color w:val="auto"/>
          <w:spacing w:val="-7"/>
          <w:kern w:val="0"/>
          <w:position w:val="3"/>
          <w:sz w:val="24"/>
          <w:szCs w:val="24"/>
          <w:u w:val="none" w:color="auto"/>
        </w:rPr>
        <w:t>Q</w:t>
      </w:r>
      <w:r>
        <w:rPr>
          <w:rFonts w:hint="default" w:ascii="Times New Roman" w:hAnsi="Times New Roman" w:eastAsia="宋体" w:cs="Times New Roman"/>
          <w:snapToGrid w:val="0"/>
          <w:color w:val="auto"/>
          <w:spacing w:val="-14"/>
          <w:kern w:val="0"/>
          <w:position w:val="3"/>
          <w:sz w:val="24"/>
          <w:szCs w:val="24"/>
          <w:u w:val="none" w:color="auto"/>
        </w:rPr>
        <w:t>≥1</w:t>
      </w:r>
      <w:r>
        <w:rPr>
          <w:rFonts w:hint="default" w:ascii="Times New Roman" w:hAnsi="Times New Roman" w:eastAsia="宋体" w:cs="Times New Roman"/>
          <w:snapToGrid w:val="0"/>
          <w:color w:val="auto"/>
          <w:spacing w:val="-12"/>
          <w:kern w:val="0"/>
          <w:position w:val="3"/>
          <w:sz w:val="24"/>
          <w:szCs w:val="24"/>
          <w:u w:val="none" w:color="auto"/>
        </w:rPr>
        <w:t>时</w:t>
      </w:r>
      <w:r>
        <w:rPr>
          <w:rFonts w:hint="default" w:ascii="Times New Roman" w:hAnsi="Times New Roman" w:eastAsia="宋体" w:cs="Times New Roman"/>
          <w:snapToGrid w:val="0"/>
          <w:color w:val="auto"/>
          <w:spacing w:val="-7"/>
          <w:kern w:val="0"/>
          <w:position w:val="3"/>
          <w:sz w:val="24"/>
          <w:szCs w:val="24"/>
          <w:u w:val="none" w:color="auto"/>
        </w:rPr>
        <w:t>，将Q值划分为：(1)1≤Q＜10；(2)10≤Q＜100；(3)Q≥100。</w:t>
      </w:r>
    </w:p>
    <w:p>
      <w:pPr>
        <w:pageBreakBefore w:val="0"/>
        <w:widowControl/>
        <w:kinsoku/>
        <w:wordWrap/>
        <w:overflowPunct w:val="0"/>
        <w:topLinePunct/>
        <w:autoSpaceDE w:val="0"/>
        <w:autoSpaceDN w:val="0"/>
        <w:bidi w:val="0"/>
        <w:adjustRightInd w:val="0"/>
        <w:snapToGrid w:val="0"/>
        <w:spacing w:before="150" w:line="322" w:lineRule="exact"/>
        <w:ind w:left="625"/>
        <w:jc w:val="center"/>
        <w:textAlignment w:val="baseline"/>
        <w:rPr>
          <w:rFonts w:hint="default" w:ascii="Times New Roman" w:hAnsi="Times New Roman" w:eastAsia="宋体" w:cs="Times New Roman"/>
          <w:b/>
          <w:bCs/>
          <w:snapToGrid w:val="0"/>
          <w:color w:val="auto"/>
          <w:spacing w:val="-14"/>
          <w:kern w:val="0"/>
          <w:position w:val="3"/>
          <w:sz w:val="24"/>
          <w:szCs w:val="24"/>
          <w:u w:val="none" w:color="auto"/>
        </w:rPr>
      </w:pPr>
      <w:r>
        <w:rPr>
          <w:rFonts w:hint="default" w:ascii="Times New Roman" w:hAnsi="Times New Roman" w:eastAsia="宋体" w:cs="Times New Roman"/>
          <w:b/>
          <w:bCs/>
          <w:snapToGrid w:val="0"/>
          <w:color w:val="auto"/>
          <w:spacing w:val="-14"/>
          <w:kern w:val="0"/>
          <w:position w:val="3"/>
          <w:sz w:val="24"/>
          <w:szCs w:val="24"/>
          <w:u w:val="none" w:color="auto"/>
        </w:rPr>
        <w:t>表5.2</w:t>
      </w:r>
      <w:r>
        <w:rPr>
          <w:rFonts w:hint="eastAsia" w:ascii="Times New Roman" w:hAnsi="Times New Roman" w:eastAsia="宋体" w:cs="Times New Roman"/>
          <w:b/>
          <w:bCs/>
          <w:snapToGrid w:val="0"/>
          <w:color w:val="auto"/>
          <w:spacing w:val="-14"/>
          <w:kern w:val="0"/>
          <w:position w:val="3"/>
          <w:sz w:val="24"/>
          <w:szCs w:val="24"/>
          <w:u w:val="none" w:color="auto"/>
          <w:lang w:val="en-US" w:eastAsia="zh-CN"/>
        </w:rPr>
        <w:t>-33</w:t>
      </w:r>
      <w:r>
        <w:rPr>
          <w:rFonts w:hint="default" w:ascii="Times New Roman" w:hAnsi="Times New Roman" w:eastAsia="宋体" w:cs="Times New Roman"/>
          <w:b/>
          <w:bCs/>
          <w:snapToGrid w:val="0"/>
          <w:color w:val="auto"/>
          <w:spacing w:val="-14"/>
          <w:kern w:val="0"/>
          <w:position w:val="3"/>
          <w:sz w:val="24"/>
          <w:szCs w:val="24"/>
          <w:u w:val="none" w:color="auto"/>
        </w:rPr>
        <w:t>涉及的风险物质及Q值计算一览表</w:t>
      </w:r>
    </w:p>
    <w:tbl>
      <w:tblPr>
        <w:tblStyle w:val="204"/>
        <w:tblW w:w="83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4"/>
        <w:gridCol w:w="1126"/>
        <w:gridCol w:w="1060"/>
        <w:gridCol w:w="1544"/>
        <w:gridCol w:w="1220"/>
        <w:gridCol w:w="962"/>
        <w:gridCol w:w="891"/>
        <w:gridCol w:w="10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2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06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理化性质</w:t>
            </w:r>
          </w:p>
        </w:tc>
        <w:tc>
          <w:tcPr>
            <w:tcW w:w="1544"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危害特性</w:t>
            </w:r>
          </w:p>
        </w:tc>
        <w:tc>
          <w:tcPr>
            <w:tcW w:w="122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96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最大贮存量qi</w:t>
            </w:r>
          </w:p>
        </w:tc>
        <w:tc>
          <w:tcPr>
            <w:tcW w:w="891"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临界量Qi</w:t>
            </w:r>
          </w:p>
        </w:tc>
        <w:tc>
          <w:tcPr>
            <w:tcW w:w="1050"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qi/Qi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kern w:val="0"/>
                <w:sz w:val="21"/>
                <w:szCs w:val="21"/>
                <w:u w:val="none" w:color="auto"/>
              </w:rPr>
              <w:t>1</w:t>
            </w:r>
          </w:p>
        </w:tc>
        <w:tc>
          <w:tcPr>
            <w:tcW w:w="1126"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9"/>
                <w:kern w:val="0"/>
                <w:sz w:val="21"/>
                <w:szCs w:val="21"/>
                <w:u w:val="none" w:color="auto"/>
              </w:rPr>
              <w:t>废</w:t>
            </w:r>
            <w:r>
              <w:rPr>
                <w:rFonts w:hint="default" w:ascii="Times New Roman" w:hAnsi="Times New Roman" w:eastAsia="宋体" w:cs="Times New Roman"/>
                <w:snapToGrid w:val="0"/>
                <w:color w:val="auto"/>
                <w:spacing w:val="7"/>
                <w:kern w:val="0"/>
                <w:sz w:val="21"/>
                <w:szCs w:val="21"/>
                <w:u w:val="none" w:color="auto"/>
              </w:rPr>
              <w:t>矿物油</w:t>
            </w:r>
          </w:p>
        </w:tc>
        <w:tc>
          <w:tcPr>
            <w:tcW w:w="106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危</w:t>
            </w:r>
            <w:r>
              <w:rPr>
                <w:rFonts w:hint="default" w:ascii="Times New Roman" w:hAnsi="Times New Roman" w:eastAsia="宋体" w:cs="Times New Roman"/>
                <w:snapToGrid w:val="0"/>
                <w:color w:val="auto"/>
                <w:spacing w:val="7"/>
                <w:kern w:val="0"/>
                <w:sz w:val="21"/>
                <w:szCs w:val="21"/>
                <w:u w:val="none" w:color="auto"/>
              </w:rPr>
              <w:t>险固废</w:t>
            </w:r>
            <w:r>
              <w:rPr>
                <w:rFonts w:hint="default" w:ascii="Times New Roman" w:hAnsi="Times New Roman" w:eastAsia="宋体" w:cs="Times New Roman"/>
                <w:snapToGrid w:val="0"/>
                <w:color w:val="auto"/>
                <w:kern w:val="0"/>
                <w:sz w:val="21"/>
                <w:szCs w:val="21"/>
                <w:u w:val="none" w:color="auto"/>
              </w:rPr>
              <w:t>HW</w:t>
            </w:r>
            <w:r>
              <w:rPr>
                <w:rFonts w:hint="default" w:ascii="Times New Roman" w:hAnsi="Times New Roman" w:eastAsia="宋体" w:cs="Times New Roman"/>
                <w:snapToGrid w:val="0"/>
                <w:color w:val="auto"/>
                <w:spacing w:val="11"/>
                <w:kern w:val="0"/>
                <w:sz w:val="21"/>
                <w:szCs w:val="21"/>
                <w:u w:val="none" w:color="auto"/>
              </w:rPr>
              <w:t>0</w:t>
            </w:r>
            <w:r>
              <w:rPr>
                <w:rFonts w:hint="default" w:ascii="Times New Roman" w:hAnsi="Times New Roman" w:eastAsia="宋体" w:cs="Times New Roman"/>
                <w:snapToGrid w:val="0"/>
                <w:color w:val="auto"/>
                <w:spacing w:val="10"/>
                <w:kern w:val="0"/>
                <w:sz w:val="21"/>
                <w:szCs w:val="21"/>
                <w:u w:val="none" w:color="auto"/>
              </w:rPr>
              <w:t>8</w:t>
            </w:r>
          </w:p>
        </w:tc>
        <w:tc>
          <w:tcPr>
            <w:tcW w:w="154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9"/>
                <w:kern w:val="0"/>
                <w:sz w:val="21"/>
                <w:szCs w:val="21"/>
                <w:u w:val="none" w:color="auto"/>
              </w:rPr>
              <w:t>危</w:t>
            </w:r>
            <w:r>
              <w:rPr>
                <w:rFonts w:hint="default" w:ascii="Times New Roman" w:hAnsi="Times New Roman" w:eastAsia="宋体" w:cs="Times New Roman"/>
                <w:snapToGrid w:val="0"/>
                <w:color w:val="auto"/>
                <w:spacing w:val="6"/>
                <w:kern w:val="0"/>
                <w:sz w:val="21"/>
                <w:szCs w:val="21"/>
                <w:u w:val="none" w:color="auto"/>
              </w:rPr>
              <w:t>险废物</w:t>
            </w:r>
          </w:p>
        </w:tc>
        <w:tc>
          <w:tcPr>
            <w:tcW w:w="122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10"/>
                <w:kern w:val="0"/>
                <w:sz w:val="21"/>
                <w:szCs w:val="21"/>
                <w:u w:val="none" w:color="auto"/>
              </w:rPr>
              <w:t>危</w:t>
            </w:r>
            <w:r>
              <w:rPr>
                <w:rFonts w:hint="default" w:ascii="Times New Roman" w:hAnsi="Times New Roman" w:eastAsia="宋体" w:cs="Times New Roman"/>
                <w:snapToGrid w:val="0"/>
                <w:color w:val="auto"/>
                <w:spacing w:val="7"/>
                <w:kern w:val="0"/>
                <w:sz w:val="21"/>
                <w:szCs w:val="21"/>
                <w:u w:val="none" w:color="auto"/>
              </w:rPr>
              <w:t>废暂存间</w:t>
            </w:r>
          </w:p>
        </w:tc>
        <w:tc>
          <w:tcPr>
            <w:tcW w:w="962"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5"/>
                <w:kern w:val="0"/>
                <w:sz w:val="21"/>
                <w:szCs w:val="21"/>
                <w:u w:val="none" w:color="auto"/>
              </w:rPr>
              <w:t>0</w:t>
            </w:r>
            <w:r>
              <w:rPr>
                <w:rFonts w:hint="default" w:ascii="Times New Roman" w:hAnsi="Times New Roman" w:eastAsia="宋体" w:cs="Times New Roman"/>
                <w:snapToGrid w:val="0"/>
                <w:color w:val="auto"/>
                <w:spacing w:val="3"/>
                <w:kern w:val="0"/>
                <w:sz w:val="21"/>
                <w:szCs w:val="21"/>
                <w:u w:val="none" w:color="auto"/>
              </w:rPr>
              <w:t>.05</w:t>
            </w:r>
            <w:r>
              <w:rPr>
                <w:rFonts w:hint="default" w:ascii="Times New Roman" w:hAnsi="Times New Roman" w:eastAsia="宋体" w:cs="Times New Roman"/>
                <w:snapToGrid w:val="0"/>
                <w:color w:val="auto"/>
                <w:kern w:val="0"/>
                <w:sz w:val="21"/>
                <w:szCs w:val="21"/>
                <w:u w:val="none" w:color="auto"/>
              </w:rPr>
              <w:t>t</w:t>
            </w:r>
          </w:p>
        </w:tc>
        <w:tc>
          <w:tcPr>
            <w:tcW w:w="891"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2</w:t>
            </w:r>
            <w:r>
              <w:rPr>
                <w:rFonts w:hint="default" w:ascii="Times New Roman" w:hAnsi="Times New Roman" w:eastAsia="宋体" w:cs="Times New Roman"/>
                <w:snapToGrid w:val="0"/>
                <w:color w:val="auto"/>
                <w:spacing w:val="4"/>
                <w:kern w:val="0"/>
                <w:sz w:val="21"/>
                <w:szCs w:val="21"/>
                <w:u w:val="none" w:color="auto"/>
              </w:rPr>
              <w:t>500</w:t>
            </w:r>
            <w:r>
              <w:rPr>
                <w:rFonts w:hint="default" w:ascii="Times New Roman" w:hAnsi="Times New Roman" w:eastAsia="宋体" w:cs="Times New Roman"/>
                <w:snapToGrid w:val="0"/>
                <w:color w:val="auto"/>
                <w:kern w:val="0"/>
                <w:sz w:val="21"/>
                <w:szCs w:val="21"/>
                <w:u w:val="none" w:color="auto"/>
              </w:rPr>
              <w:t>t</w:t>
            </w:r>
          </w:p>
        </w:tc>
        <w:tc>
          <w:tcPr>
            <w:tcW w:w="105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0</w:t>
            </w:r>
            <w:r>
              <w:rPr>
                <w:rFonts w:hint="default" w:ascii="Times New Roman" w:hAnsi="Times New Roman" w:eastAsia="宋体" w:cs="Times New Roman"/>
                <w:snapToGrid w:val="0"/>
                <w:color w:val="auto"/>
                <w:spacing w:val="4"/>
                <w:kern w:val="0"/>
                <w:sz w:val="21"/>
                <w:szCs w:val="21"/>
                <w:u w:val="none" w:color="auto"/>
              </w:rPr>
              <w:t>.</w:t>
            </w:r>
            <w:r>
              <w:rPr>
                <w:rFonts w:hint="default" w:ascii="Times New Roman" w:hAnsi="Times New Roman" w:eastAsia="宋体" w:cs="Times New Roman"/>
                <w:snapToGrid w:val="0"/>
                <w:color w:val="auto"/>
                <w:spacing w:val="3"/>
                <w:kern w:val="0"/>
                <w:sz w:val="21"/>
                <w:szCs w:val="21"/>
                <w:u w:val="none" w:color="auto"/>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kern w:val="0"/>
                <w:sz w:val="21"/>
                <w:szCs w:val="21"/>
                <w:u w:val="none" w:color="auto"/>
              </w:rPr>
              <w:t>2</w:t>
            </w:r>
          </w:p>
        </w:tc>
        <w:tc>
          <w:tcPr>
            <w:tcW w:w="1126"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天</w:t>
            </w:r>
            <w:r>
              <w:rPr>
                <w:rFonts w:hint="default" w:ascii="Times New Roman" w:hAnsi="Times New Roman" w:eastAsia="宋体" w:cs="Times New Roman"/>
                <w:snapToGrid w:val="0"/>
                <w:color w:val="auto"/>
                <w:spacing w:val="5"/>
                <w:kern w:val="0"/>
                <w:sz w:val="21"/>
                <w:szCs w:val="21"/>
                <w:u w:val="none" w:color="auto"/>
              </w:rPr>
              <w:t>然气</w:t>
            </w:r>
          </w:p>
        </w:tc>
        <w:tc>
          <w:tcPr>
            <w:tcW w:w="106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4"/>
                <w:kern w:val="0"/>
                <w:sz w:val="21"/>
                <w:szCs w:val="21"/>
                <w:u w:val="none" w:color="auto"/>
              </w:rPr>
              <w:t>易燃易</w:t>
            </w:r>
            <w:r>
              <w:rPr>
                <w:rFonts w:hint="default" w:ascii="Times New Roman" w:hAnsi="Times New Roman" w:eastAsia="宋体" w:cs="Times New Roman"/>
                <w:snapToGrid w:val="0"/>
                <w:color w:val="auto"/>
                <w:spacing w:val="3"/>
                <w:kern w:val="0"/>
                <w:sz w:val="21"/>
                <w:szCs w:val="21"/>
                <w:u w:val="none" w:color="auto"/>
              </w:rPr>
              <w:t>爆</w:t>
            </w:r>
            <w:r>
              <w:rPr>
                <w:rFonts w:hint="default" w:ascii="Times New Roman" w:hAnsi="Times New Roman" w:eastAsia="宋体" w:cs="Times New Roman"/>
                <w:snapToGrid w:val="0"/>
                <w:color w:val="auto"/>
                <w:spacing w:val="4"/>
                <w:kern w:val="0"/>
                <w:sz w:val="21"/>
                <w:szCs w:val="21"/>
                <w:u w:val="none" w:color="auto"/>
              </w:rPr>
              <w:t>气体</w:t>
            </w:r>
          </w:p>
        </w:tc>
        <w:tc>
          <w:tcPr>
            <w:tcW w:w="154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4"/>
                <w:kern w:val="0"/>
                <w:sz w:val="21"/>
                <w:szCs w:val="21"/>
                <w:u w:val="none" w:color="auto"/>
              </w:rPr>
              <w:t>易燃易</w:t>
            </w:r>
            <w:r>
              <w:rPr>
                <w:rFonts w:hint="default" w:ascii="Times New Roman" w:hAnsi="Times New Roman" w:eastAsia="宋体" w:cs="Times New Roman"/>
                <w:snapToGrid w:val="0"/>
                <w:color w:val="auto"/>
                <w:spacing w:val="3"/>
                <w:kern w:val="0"/>
                <w:sz w:val="21"/>
                <w:szCs w:val="21"/>
                <w:u w:val="none" w:color="auto"/>
              </w:rPr>
              <w:t>爆</w:t>
            </w:r>
          </w:p>
        </w:tc>
        <w:tc>
          <w:tcPr>
            <w:tcW w:w="122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管道供给</w:t>
            </w:r>
            <w:r>
              <w:rPr>
                <w:rFonts w:hint="default" w:ascii="Times New Roman" w:hAnsi="Times New Roman" w:eastAsia="宋体" w:cs="Times New Roman"/>
                <w:snapToGrid w:val="0"/>
                <w:color w:val="auto"/>
                <w:spacing w:val="3"/>
                <w:kern w:val="0"/>
                <w:sz w:val="21"/>
                <w:szCs w:val="21"/>
                <w:u w:val="none" w:color="auto"/>
              </w:rPr>
              <w:t>(</w:t>
            </w:r>
            <w:r>
              <w:rPr>
                <w:rFonts w:hint="default" w:ascii="Times New Roman" w:hAnsi="Times New Roman" w:eastAsia="宋体" w:cs="Times New Roman"/>
                <w:snapToGrid w:val="0"/>
                <w:color w:val="auto"/>
                <w:spacing w:val="2"/>
                <w:kern w:val="0"/>
                <w:sz w:val="21"/>
                <w:szCs w:val="21"/>
                <w:u w:val="none" w:color="auto"/>
              </w:rPr>
              <w:t>在线量)</w:t>
            </w:r>
          </w:p>
        </w:tc>
        <w:tc>
          <w:tcPr>
            <w:tcW w:w="962"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3"/>
                <w:kern w:val="0"/>
                <w:sz w:val="21"/>
                <w:szCs w:val="21"/>
                <w:u w:val="none" w:color="auto"/>
              </w:rPr>
              <w:t>0.</w:t>
            </w:r>
            <w:r>
              <w:rPr>
                <w:rFonts w:hint="eastAsia" w:ascii="Times New Roman" w:hAnsi="Times New Roman" w:eastAsia="宋体" w:cs="Times New Roman"/>
                <w:snapToGrid w:val="0"/>
                <w:color w:val="auto"/>
                <w:spacing w:val="3"/>
                <w:kern w:val="0"/>
                <w:sz w:val="21"/>
                <w:szCs w:val="21"/>
                <w:u w:val="none" w:color="auto"/>
                <w:lang w:val="en-US" w:eastAsia="zh-CN"/>
              </w:rPr>
              <w:t>43</w:t>
            </w:r>
            <w:r>
              <w:rPr>
                <w:rFonts w:hint="default" w:ascii="Times New Roman" w:hAnsi="Times New Roman" w:eastAsia="宋体" w:cs="Times New Roman"/>
                <w:snapToGrid w:val="0"/>
                <w:color w:val="auto"/>
                <w:kern w:val="0"/>
                <w:sz w:val="21"/>
                <w:szCs w:val="21"/>
                <w:u w:val="none" w:color="auto"/>
              </w:rPr>
              <w:t>t</w:t>
            </w:r>
          </w:p>
        </w:tc>
        <w:tc>
          <w:tcPr>
            <w:tcW w:w="891"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5"/>
                <w:kern w:val="0"/>
                <w:sz w:val="21"/>
                <w:szCs w:val="21"/>
                <w:u w:val="none" w:color="auto"/>
              </w:rPr>
              <w:t>1</w:t>
            </w:r>
            <w:r>
              <w:rPr>
                <w:rFonts w:hint="default" w:ascii="Times New Roman" w:hAnsi="Times New Roman" w:eastAsia="宋体" w:cs="Times New Roman"/>
                <w:snapToGrid w:val="0"/>
                <w:color w:val="auto"/>
                <w:spacing w:val="-4"/>
                <w:kern w:val="0"/>
                <w:sz w:val="21"/>
                <w:szCs w:val="21"/>
                <w:u w:val="none" w:color="auto"/>
              </w:rPr>
              <w:t>0t</w:t>
            </w:r>
          </w:p>
        </w:tc>
        <w:tc>
          <w:tcPr>
            <w:tcW w:w="105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spacing w:val="4"/>
                <w:kern w:val="0"/>
                <w:sz w:val="21"/>
                <w:szCs w:val="21"/>
                <w:u w:val="none" w:color="auto"/>
              </w:rPr>
              <w:t>0</w:t>
            </w:r>
            <w:r>
              <w:rPr>
                <w:rFonts w:hint="default" w:ascii="Times New Roman" w:hAnsi="Times New Roman" w:eastAsia="宋体" w:cs="Times New Roman"/>
                <w:snapToGrid w:val="0"/>
                <w:color w:val="auto"/>
                <w:spacing w:val="3"/>
                <w:kern w:val="0"/>
                <w:sz w:val="21"/>
                <w:szCs w:val="21"/>
                <w:u w:val="none" w:color="auto"/>
              </w:rPr>
              <w:t>.0</w:t>
            </w:r>
            <w:r>
              <w:rPr>
                <w:rFonts w:hint="eastAsia" w:ascii="Times New Roman" w:hAnsi="Times New Roman" w:eastAsia="宋体" w:cs="Times New Roman"/>
                <w:snapToGrid w:val="0"/>
                <w:color w:val="auto"/>
                <w:spacing w:val="3"/>
                <w:kern w:val="0"/>
                <w:sz w:val="21"/>
                <w:szCs w:val="21"/>
                <w:u w:val="none" w:color="auto"/>
                <w:lang w:val="en-US" w:eastAsia="zh-CN"/>
              </w:rPr>
              <w:t>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kern w:val="0"/>
                <w:sz w:val="21"/>
                <w:szCs w:val="21"/>
                <w:u w:val="none" w:color="auto"/>
              </w:rPr>
              <w:t>3</w:t>
            </w:r>
          </w:p>
        </w:tc>
        <w:tc>
          <w:tcPr>
            <w:tcW w:w="1126"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eastAsia" w:ascii="Times New Roman" w:hAnsi="Times New Roman" w:eastAsia="宋体" w:cs="Times New Roman"/>
                <w:color w:val="auto"/>
                <w:u w:val="none" w:color="auto"/>
                <w:lang w:eastAsia="zh-CN"/>
              </w:rPr>
              <w:t>水性油漆</w:t>
            </w:r>
          </w:p>
        </w:tc>
        <w:tc>
          <w:tcPr>
            <w:tcW w:w="106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u w:val="none" w:color="auto"/>
                <w:lang w:eastAsia="zh-CN"/>
              </w:rPr>
            </w:pPr>
            <w:r>
              <w:rPr>
                <w:rFonts w:hint="eastAsia" w:ascii="Times New Roman" w:hAnsi="Times New Roman" w:eastAsia="宋体" w:cs="Times New Roman"/>
                <w:snapToGrid w:val="0"/>
                <w:color w:val="auto"/>
                <w:spacing w:val="-5"/>
                <w:kern w:val="0"/>
                <w:sz w:val="21"/>
                <w:szCs w:val="21"/>
                <w:u w:val="none" w:color="auto"/>
                <w:lang w:eastAsia="zh-CN"/>
              </w:rPr>
              <w:t>液体</w:t>
            </w:r>
          </w:p>
        </w:tc>
        <w:tc>
          <w:tcPr>
            <w:tcW w:w="154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4"/>
                <w:kern w:val="0"/>
                <w:sz w:val="21"/>
                <w:szCs w:val="21"/>
                <w:u w:val="none" w:color="auto"/>
              </w:rPr>
              <w:t>易燃</w:t>
            </w:r>
          </w:p>
        </w:tc>
        <w:tc>
          <w:tcPr>
            <w:tcW w:w="122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生产车</w:t>
            </w:r>
            <w:r>
              <w:rPr>
                <w:rFonts w:hint="default" w:ascii="Times New Roman" w:hAnsi="Times New Roman" w:eastAsia="宋体" w:cs="Times New Roman"/>
                <w:snapToGrid w:val="0"/>
                <w:color w:val="auto"/>
                <w:spacing w:val="6"/>
                <w:kern w:val="0"/>
                <w:sz w:val="21"/>
                <w:szCs w:val="21"/>
                <w:u w:val="none" w:color="auto"/>
              </w:rPr>
              <w:t>间</w:t>
            </w:r>
          </w:p>
        </w:tc>
        <w:tc>
          <w:tcPr>
            <w:tcW w:w="962"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ascii="Times New Roman" w:hAnsi="Times New Roman" w:eastAsia="宋体" w:cs="Times New Roman"/>
                <w:snapToGrid w:val="0"/>
                <w:color w:val="auto"/>
                <w:kern w:val="0"/>
                <w:sz w:val="21"/>
                <w:szCs w:val="21"/>
                <w:u w:val="none" w:color="auto"/>
                <w:lang w:val="en-US" w:eastAsia="zh-CN"/>
              </w:rPr>
              <w:t>0.1t</w:t>
            </w:r>
          </w:p>
        </w:tc>
        <w:tc>
          <w:tcPr>
            <w:tcW w:w="891"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ascii="Times New Roman" w:hAnsi="Times New Roman" w:eastAsia="宋体" w:cs="Times New Roman"/>
                <w:snapToGrid w:val="0"/>
                <w:color w:val="auto"/>
                <w:spacing w:val="2"/>
                <w:kern w:val="0"/>
                <w:sz w:val="21"/>
                <w:szCs w:val="21"/>
                <w:u w:val="none" w:color="auto"/>
                <w:lang w:val="en-US" w:eastAsia="zh-CN"/>
              </w:rPr>
              <w:t>500</w:t>
            </w:r>
          </w:p>
        </w:tc>
        <w:tc>
          <w:tcPr>
            <w:tcW w:w="105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ascii="Times New Roman" w:hAnsi="Times New Roman" w:eastAsia="宋体" w:cs="Times New Roman"/>
                <w:snapToGrid w:val="0"/>
                <w:color w:val="auto"/>
                <w:spacing w:val="2"/>
                <w:kern w:val="0"/>
                <w:sz w:val="21"/>
                <w:szCs w:val="21"/>
                <w:u w:val="none" w:color="auto"/>
                <w:lang w:val="en-US" w:eastAsia="zh-CN"/>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1"/>
                <w:kern w:val="0"/>
                <w:sz w:val="21"/>
                <w:szCs w:val="21"/>
                <w:u w:val="none" w:color="auto"/>
              </w:rPr>
              <w:t>4</w:t>
            </w:r>
          </w:p>
        </w:tc>
        <w:tc>
          <w:tcPr>
            <w:tcW w:w="1126"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润</w:t>
            </w:r>
            <w:r>
              <w:rPr>
                <w:rFonts w:hint="default" w:ascii="Times New Roman" w:hAnsi="Times New Roman" w:eastAsia="宋体" w:cs="Times New Roman"/>
                <w:snapToGrid w:val="0"/>
                <w:color w:val="auto"/>
                <w:spacing w:val="6"/>
                <w:kern w:val="0"/>
                <w:sz w:val="21"/>
                <w:szCs w:val="21"/>
                <w:u w:val="none" w:color="auto"/>
              </w:rPr>
              <w:t>滑油</w:t>
            </w:r>
          </w:p>
        </w:tc>
        <w:tc>
          <w:tcPr>
            <w:tcW w:w="106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2"/>
                <w:kern w:val="0"/>
                <w:sz w:val="21"/>
                <w:szCs w:val="21"/>
                <w:u w:val="none" w:color="auto"/>
              </w:rPr>
              <w:t>/</w:t>
            </w:r>
          </w:p>
        </w:tc>
        <w:tc>
          <w:tcPr>
            <w:tcW w:w="154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2"/>
                <w:kern w:val="0"/>
                <w:sz w:val="21"/>
                <w:szCs w:val="21"/>
                <w:u w:val="none" w:color="auto"/>
              </w:rPr>
              <w:t>/</w:t>
            </w:r>
          </w:p>
        </w:tc>
        <w:tc>
          <w:tcPr>
            <w:tcW w:w="122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生产车</w:t>
            </w:r>
            <w:r>
              <w:rPr>
                <w:rFonts w:hint="default" w:ascii="Times New Roman" w:hAnsi="Times New Roman" w:eastAsia="宋体" w:cs="Times New Roman"/>
                <w:snapToGrid w:val="0"/>
                <w:color w:val="auto"/>
                <w:spacing w:val="6"/>
                <w:kern w:val="0"/>
                <w:sz w:val="21"/>
                <w:szCs w:val="21"/>
                <w:u w:val="none" w:color="auto"/>
              </w:rPr>
              <w:t>间</w:t>
            </w:r>
          </w:p>
        </w:tc>
        <w:tc>
          <w:tcPr>
            <w:tcW w:w="962"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9"/>
                <w:kern w:val="0"/>
                <w:sz w:val="21"/>
                <w:szCs w:val="21"/>
                <w:u w:val="none" w:color="auto"/>
              </w:rPr>
              <w:t>0</w:t>
            </w:r>
            <w:r>
              <w:rPr>
                <w:rFonts w:hint="default" w:ascii="Times New Roman" w:hAnsi="Times New Roman" w:eastAsia="宋体" w:cs="Times New Roman"/>
                <w:snapToGrid w:val="0"/>
                <w:color w:val="auto"/>
                <w:spacing w:val="-8"/>
                <w:kern w:val="0"/>
                <w:sz w:val="21"/>
                <w:szCs w:val="21"/>
                <w:u w:val="none" w:color="auto"/>
              </w:rPr>
              <w:t>.1t</w:t>
            </w:r>
          </w:p>
        </w:tc>
        <w:tc>
          <w:tcPr>
            <w:tcW w:w="891"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2</w:t>
            </w:r>
            <w:r>
              <w:rPr>
                <w:rFonts w:hint="default" w:ascii="Times New Roman" w:hAnsi="Times New Roman" w:eastAsia="宋体" w:cs="Times New Roman"/>
                <w:snapToGrid w:val="0"/>
                <w:color w:val="auto"/>
                <w:spacing w:val="4"/>
                <w:kern w:val="0"/>
                <w:sz w:val="21"/>
                <w:szCs w:val="21"/>
                <w:u w:val="none" w:color="auto"/>
              </w:rPr>
              <w:t>500</w:t>
            </w:r>
            <w:r>
              <w:rPr>
                <w:rFonts w:hint="default" w:ascii="Times New Roman" w:hAnsi="Times New Roman" w:eastAsia="宋体" w:cs="Times New Roman"/>
                <w:snapToGrid w:val="0"/>
                <w:color w:val="auto"/>
                <w:kern w:val="0"/>
                <w:sz w:val="21"/>
                <w:szCs w:val="21"/>
                <w:u w:val="none" w:color="auto"/>
              </w:rPr>
              <w:t>t</w:t>
            </w:r>
          </w:p>
        </w:tc>
        <w:tc>
          <w:tcPr>
            <w:tcW w:w="105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0</w:t>
            </w:r>
            <w:r>
              <w:rPr>
                <w:rFonts w:hint="default" w:ascii="Times New Roman" w:hAnsi="Times New Roman" w:eastAsia="宋体" w:cs="Times New Roman"/>
                <w:snapToGrid w:val="0"/>
                <w:color w:val="auto"/>
                <w:spacing w:val="4"/>
                <w:kern w:val="0"/>
                <w:sz w:val="21"/>
                <w:szCs w:val="21"/>
                <w:u w:val="none" w:color="auto"/>
              </w:rPr>
              <w:t>.</w:t>
            </w:r>
            <w:r>
              <w:rPr>
                <w:rFonts w:hint="default" w:ascii="Times New Roman" w:hAnsi="Times New Roman" w:eastAsia="宋体" w:cs="Times New Roman"/>
                <w:snapToGrid w:val="0"/>
                <w:color w:val="auto"/>
                <w:spacing w:val="3"/>
                <w:kern w:val="0"/>
                <w:sz w:val="21"/>
                <w:szCs w:val="21"/>
                <w:u w:val="none" w:color="auto"/>
              </w:rPr>
              <w:t>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27" w:type="dxa"/>
            <w:gridSpan w:val="7"/>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7"/>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合计</w:t>
            </w:r>
          </w:p>
        </w:tc>
        <w:tc>
          <w:tcPr>
            <w:tcW w:w="1050"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7"/>
                <w:kern w:val="0"/>
                <w:sz w:val="21"/>
                <w:szCs w:val="21"/>
                <w:u w:val="none" w:color="auto"/>
                <w:lang w:val="en-US" w:eastAsia="zh-CN"/>
              </w:rPr>
            </w:pPr>
            <w:r>
              <w:rPr>
                <w:rFonts w:hint="eastAsia" w:ascii="Times New Roman" w:hAnsi="Times New Roman" w:eastAsia="宋体" w:cs="Times New Roman"/>
                <w:snapToGrid w:val="0"/>
                <w:color w:val="auto"/>
                <w:spacing w:val="7"/>
                <w:kern w:val="0"/>
                <w:sz w:val="21"/>
                <w:szCs w:val="21"/>
                <w:u w:val="none" w:color="auto"/>
                <w:lang w:val="en-US" w:eastAsia="zh-CN"/>
              </w:rPr>
              <w:t>0.04326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77" w:type="dxa"/>
            <w:gridSpan w:val="8"/>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4"/>
                <w:kern w:val="0"/>
                <w:sz w:val="21"/>
                <w:szCs w:val="21"/>
                <w:u w:val="none" w:color="auto"/>
              </w:rPr>
              <w:t>注：临界量</w:t>
            </w:r>
            <w:r>
              <w:rPr>
                <w:rFonts w:hint="default" w:ascii="Times New Roman" w:hAnsi="Times New Roman" w:eastAsia="宋体" w:cs="Times New Roman"/>
                <w:snapToGrid w:val="0"/>
                <w:color w:val="auto"/>
                <w:kern w:val="0"/>
                <w:sz w:val="21"/>
                <w:szCs w:val="21"/>
                <w:u w:val="none" w:color="auto"/>
              </w:rPr>
              <w:t>Qi</w:t>
            </w:r>
            <w:r>
              <w:rPr>
                <w:rFonts w:hint="default" w:ascii="Times New Roman" w:hAnsi="Times New Roman" w:eastAsia="宋体" w:cs="Times New Roman"/>
                <w:snapToGrid w:val="0"/>
                <w:color w:val="auto"/>
                <w:spacing w:val="4"/>
                <w:kern w:val="0"/>
                <w:sz w:val="21"/>
                <w:szCs w:val="21"/>
                <w:u w:val="none" w:color="auto"/>
              </w:rPr>
              <w:t>参照《建设项目环境风险评价技术导则》(</w:t>
            </w:r>
            <w:r>
              <w:rPr>
                <w:rFonts w:hint="default" w:ascii="Times New Roman" w:hAnsi="Times New Roman" w:eastAsia="宋体" w:cs="Times New Roman"/>
                <w:snapToGrid w:val="0"/>
                <w:color w:val="auto"/>
                <w:kern w:val="0"/>
                <w:sz w:val="21"/>
                <w:szCs w:val="21"/>
                <w:u w:val="none" w:color="auto"/>
              </w:rPr>
              <w:t>HJ</w:t>
            </w:r>
            <w:r>
              <w:rPr>
                <w:rFonts w:hint="default" w:ascii="Times New Roman" w:hAnsi="Times New Roman" w:eastAsia="宋体" w:cs="Times New Roman"/>
                <w:snapToGrid w:val="0"/>
                <w:color w:val="auto"/>
                <w:spacing w:val="4"/>
                <w:kern w:val="0"/>
                <w:sz w:val="21"/>
                <w:szCs w:val="21"/>
                <w:u w:val="none" w:color="auto"/>
              </w:rPr>
              <w:t>169-2018)附录</w:t>
            </w:r>
            <w:r>
              <w:rPr>
                <w:rFonts w:hint="default" w:ascii="Times New Roman" w:hAnsi="Times New Roman" w:eastAsia="宋体" w:cs="Times New Roman"/>
                <w:snapToGrid w:val="0"/>
                <w:color w:val="auto"/>
                <w:kern w:val="0"/>
                <w:sz w:val="21"/>
                <w:szCs w:val="21"/>
                <w:u w:val="none" w:color="auto"/>
              </w:rPr>
              <w:t>B</w:t>
            </w:r>
            <w:r>
              <w:rPr>
                <w:rFonts w:hint="default" w:ascii="Times New Roman" w:hAnsi="Times New Roman" w:eastAsia="宋体" w:cs="Times New Roman"/>
                <w:snapToGrid w:val="0"/>
                <w:color w:val="auto"/>
                <w:spacing w:val="4"/>
                <w:kern w:val="0"/>
                <w:sz w:val="21"/>
                <w:szCs w:val="21"/>
                <w:u w:val="none" w:color="auto"/>
              </w:rPr>
              <w:t>里所列</w:t>
            </w:r>
            <w:r>
              <w:rPr>
                <w:rFonts w:hint="default" w:ascii="Times New Roman" w:hAnsi="Times New Roman" w:eastAsia="宋体" w:cs="Times New Roman"/>
                <w:snapToGrid w:val="0"/>
                <w:color w:val="auto"/>
                <w:spacing w:val="3"/>
                <w:kern w:val="0"/>
                <w:sz w:val="21"/>
                <w:szCs w:val="21"/>
                <w:u w:val="none" w:color="auto"/>
              </w:rPr>
              <w:t>的</w:t>
            </w:r>
            <w:r>
              <w:rPr>
                <w:rFonts w:hint="default" w:ascii="Times New Roman" w:hAnsi="Times New Roman" w:eastAsia="宋体" w:cs="Times New Roman"/>
                <w:snapToGrid w:val="0"/>
                <w:color w:val="auto"/>
                <w:kern w:val="0"/>
                <w:sz w:val="21"/>
                <w:szCs w:val="21"/>
                <w:u w:val="none" w:color="auto"/>
              </w:rPr>
              <w:t>临</w:t>
            </w:r>
            <w:r>
              <w:rPr>
                <w:rFonts w:hint="default" w:ascii="Times New Roman" w:hAnsi="Times New Roman" w:eastAsia="宋体" w:cs="Times New Roman"/>
                <w:snapToGrid w:val="0"/>
                <w:color w:val="auto"/>
                <w:spacing w:val="15"/>
                <w:kern w:val="0"/>
                <w:sz w:val="21"/>
                <w:szCs w:val="21"/>
                <w:u w:val="none" w:color="auto"/>
              </w:rPr>
              <w:t>界</w:t>
            </w:r>
            <w:r>
              <w:rPr>
                <w:rFonts w:hint="default" w:ascii="Times New Roman" w:hAnsi="Times New Roman" w:eastAsia="宋体" w:cs="Times New Roman"/>
                <w:snapToGrid w:val="0"/>
                <w:color w:val="auto"/>
                <w:spacing w:val="10"/>
                <w:kern w:val="0"/>
                <w:sz w:val="21"/>
                <w:szCs w:val="21"/>
                <w:u w:val="none" w:color="auto"/>
              </w:rPr>
              <w:t>值，均以纯物质来计。</w:t>
            </w:r>
          </w:p>
        </w:tc>
      </w:tr>
    </w:tbl>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eastAsia" w:ascii="Times New Roman" w:hAnsi="Times New Roman" w:eastAsia="宋体" w:cs="Times New Roman"/>
          <w:snapToGrid w:val="0"/>
          <w:color w:val="auto"/>
          <w:spacing w:val="13"/>
          <w:kern w:val="0"/>
          <w:sz w:val="24"/>
          <w:szCs w:val="24"/>
          <w:u w:val="none" w:color="auto"/>
          <w:lang w:eastAsia="zh-CN"/>
        </w:rPr>
      </w:pPr>
      <w:r>
        <w:rPr>
          <w:rFonts w:hint="eastAsia" w:ascii="Times New Roman" w:hAnsi="Times New Roman" w:eastAsia="宋体" w:cs="Times New Roman"/>
          <w:snapToGrid w:val="0"/>
          <w:color w:val="auto"/>
          <w:spacing w:val="13"/>
          <w:kern w:val="0"/>
          <w:sz w:val="24"/>
          <w:szCs w:val="24"/>
          <w:u w:val="none" w:color="auto"/>
          <w:lang w:eastAsia="zh-CN"/>
        </w:rPr>
        <w:t>油漆以挥发份主要物质乙醇量按</w:t>
      </w:r>
      <w:r>
        <w:rPr>
          <w:rFonts w:hint="eastAsia" w:ascii="Times New Roman" w:hAnsi="Times New Roman" w:eastAsia="宋体" w:cs="Times New Roman"/>
          <w:snapToGrid w:val="0"/>
          <w:color w:val="auto"/>
          <w:spacing w:val="13"/>
          <w:kern w:val="0"/>
          <w:sz w:val="24"/>
          <w:szCs w:val="24"/>
          <w:u w:val="none" w:color="auto"/>
          <w:lang w:val="en-US" w:eastAsia="zh-CN"/>
        </w:rPr>
        <w:t>10%</w:t>
      </w:r>
      <w:r>
        <w:rPr>
          <w:rFonts w:hint="eastAsia" w:ascii="Times New Roman" w:hAnsi="Times New Roman" w:eastAsia="宋体" w:cs="Times New Roman"/>
          <w:snapToGrid w:val="0"/>
          <w:color w:val="auto"/>
          <w:spacing w:val="13"/>
          <w:kern w:val="0"/>
          <w:sz w:val="24"/>
          <w:szCs w:val="24"/>
          <w:u w:val="none" w:color="auto"/>
          <w:lang w:eastAsia="zh-CN"/>
        </w:rPr>
        <w:t>计算折纯。</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所以本项目危险物质的数量与临界量比值Q=</w:t>
      </w:r>
      <w:r>
        <w:rPr>
          <w:rFonts w:hint="eastAsia" w:ascii="Times New Roman" w:hAnsi="Times New Roman" w:eastAsia="宋体" w:cs="Times New Roman"/>
          <w:snapToGrid w:val="0"/>
          <w:color w:val="auto"/>
          <w:spacing w:val="13"/>
          <w:kern w:val="0"/>
          <w:sz w:val="24"/>
          <w:szCs w:val="24"/>
          <w:u w:val="none" w:color="auto"/>
          <w:lang w:val="en-US" w:eastAsia="zh-CN"/>
        </w:rPr>
        <w:t>0.04326</w:t>
      </w:r>
      <w:r>
        <w:rPr>
          <w:rFonts w:hint="default" w:ascii="Times New Roman" w:hAnsi="Times New Roman" w:eastAsia="宋体" w:cs="Times New Roman"/>
          <w:snapToGrid w:val="0"/>
          <w:color w:val="auto"/>
          <w:spacing w:val="13"/>
          <w:kern w:val="0"/>
          <w:sz w:val="24"/>
          <w:szCs w:val="24"/>
          <w:u w:val="none" w:color="auto"/>
        </w:rPr>
        <w:t>＜1，风险潜势为I。</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(2)评价等级判定</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环境风险评价工作等级划分为一级、二级、三级。根据建设项目设计的物质及工艺系统危险性和所在地的环境敏感性确定环境风险潜势，按照下表确定工作等级。风险潜势为IV及以上，进行一级评价；风险潜势为III，进行二级评价；风险潜势为II，进行三级评价；风险潜势为I，可开展简单分析。</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4" w:firstLineChars="200"/>
        <w:jc w:val="center"/>
        <w:textAlignment w:val="baseline"/>
        <w:rPr>
          <w:rFonts w:hint="default" w:ascii="Times New Roman" w:hAnsi="Times New Roman" w:eastAsia="宋体" w:cs="Times New Roman"/>
          <w:b/>
          <w:bCs/>
          <w:snapToGrid w:val="0"/>
          <w:color w:val="auto"/>
          <w:kern w:val="0"/>
          <w:sz w:val="24"/>
          <w:szCs w:val="24"/>
          <w:u w:val="none" w:color="auto"/>
        </w:rPr>
      </w:pPr>
      <w:r>
        <w:rPr>
          <w:rFonts w:hint="default" w:ascii="Times New Roman" w:hAnsi="Times New Roman" w:eastAsia="宋体" w:cs="Times New Roman"/>
          <w:b/>
          <w:bCs/>
          <w:snapToGrid w:val="0"/>
          <w:color w:val="auto"/>
          <w:spacing w:val="13"/>
          <w:kern w:val="0"/>
          <w:sz w:val="24"/>
          <w:szCs w:val="24"/>
          <w:u w:val="none" w:color="auto"/>
        </w:rPr>
        <w:t>表5.2</w:t>
      </w:r>
      <w:r>
        <w:rPr>
          <w:rFonts w:hint="eastAsia" w:ascii="Times New Roman" w:hAnsi="Times New Roman" w:eastAsia="宋体" w:cs="Times New Roman"/>
          <w:b/>
          <w:bCs/>
          <w:snapToGrid w:val="0"/>
          <w:color w:val="auto"/>
          <w:spacing w:val="13"/>
          <w:kern w:val="0"/>
          <w:sz w:val="24"/>
          <w:szCs w:val="24"/>
          <w:u w:val="none" w:color="auto"/>
          <w:lang w:val="en-US" w:eastAsia="zh-CN"/>
        </w:rPr>
        <w:t>-34</w:t>
      </w:r>
      <w:r>
        <w:rPr>
          <w:rFonts w:hint="default" w:ascii="Times New Roman" w:hAnsi="Times New Roman" w:eastAsia="宋体" w:cs="Times New Roman"/>
          <w:b/>
          <w:bCs/>
          <w:snapToGrid w:val="0"/>
          <w:color w:val="auto"/>
          <w:spacing w:val="13"/>
          <w:kern w:val="0"/>
          <w:sz w:val="24"/>
          <w:szCs w:val="24"/>
          <w:u w:val="none" w:color="auto"/>
        </w:rPr>
        <w:t>评价工作等级划分</w:t>
      </w:r>
    </w:p>
    <w:tbl>
      <w:tblPr>
        <w:tblStyle w:val="204"/>
        <w:tblW w:w="8507"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922"/>
        <w:gridCol w:w="1822"/>
        <w:gridCol w:w="836"/>
        <w:gridCol w:w="835"/>
        <w:gridCol w:w="20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环境风险潜势</w:t>
            </w:r>
          </w:p>
        </w:tc>
        <w:tc>
          <w:tcPr>
            <w:tcW w:w="182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IV、IV</w:t>
            </w:r>
            <w:r>
              <w:rPr>
                <w:rFonts w:hint="default" w:ascii="Times New Roman" w:hAnsi="Times New Roman" w:eastAsia="宋体" w:cs="Times New Roman"/>
                <w:color w:val="auto"/>
                <w:sz w:val="21"/>
                <w:szCs w:val="21"/>
                <w:vertAlign w:val="superscript"/>
              </w:rPr>
              <w:t>+</w:t>
            </w:r>
          </w:p>
        </w:tc>
        <w:tc>
          <w:tcPr>
            <w:tcW w:w="83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83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209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182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836"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835"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2092" w:type="dxa"/>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p>
        </w:tc>
      </w:tr>
    </w:tbl>
    <w:p>
      <w:pPr>
        <w:pageBreakBefore w:val="0"/>
        <w:widowControl/>
        <w:kinsoku/>
        <w:wordWrap/>
        <w:overflowPunct w:val="0"/>
        <w:topLinePunct/>
        <w:autoSpaceDE w:val="0"/>
        <w:autoSpaceDN w:val="0"/>
        <w:bidi w:val="0"/>
        <w:adjustRightInd w:val="0"/>
        <w:snapToGrid w:val="0"/>
        <w:spacing w:before="35" w:line="360" w:lineRule="auto"/>
        <w:ind w:left="605"/>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9"/>
          <w:kern w:val="0"/>
          <w:sz w:val="24"/>
          <w:szCs w:val="24"/>
          <w:u w:val="none" w:color="auto"/>
        </w:rPr>
        <w:t>综上所述，本项目评价工作等级为简单分析</w:t>
      </w:r>
      <w:r>
        <w:rPr>
          <w:rFonts w:hint="default" w:ascii="Times New Roman" w:hAnsi="Times New Roman" w:eastAsia="宋体" w:cs="Times New Roman"/>
          <w:snapToGrid w:val="0"/>
          <w:color w:val="auto"/>
          <w:spacing w:val="6"/>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4" w:firstLineChars="200"/>
        <w:jc w:val="left"/>
        <w:textAlignment w:val="baseline"/>
        <w:outlineLvl w:val="3"/>
        <w:rPr>
          <w:rFonts w:hint="default" w:ascii="Times New Roman" w:hAnsi="Times New Roman" w:eastAsia="宋体" w:cs="Times New Roman"/>
          <w:b/>
          <w:bCs/>
          <w:snapToGrid w:val="0"/>
          <w:color w:val="auto"/>
          <w:spacing w:val="13"/>
          <w:kern w:val="0"/>
          <w:sz w:val="24"/>
          <w:szCs w:val="24"/>
          <w:u w:val="none" w:color="auto"/>
        </w:rPr>
      </w:pPr>
      <w:r>
        <w:rPr>
          <w:rFonts w:hint="default" w:ascii="Times New Roman" w:hAnsi="Times New Roman" w:eastAsia="宋体" w:cs="Times New Roman"/>
          <w:b/>
          <w:bCs/>
          <w:snapToGrid w:val="0"/>
          <w:color w:val="auto"/>
          <w:spacing w:val="13"/>
          <w:kern w:val="0"/>
          <w:sz w:val="24"/>
          <w:szCs w:val="24"/>
          <w:u w:val="none" w:color="auto"/>
        </w:rPr>
        <w:t>5.2.</w:t>
      </w:r>
      <w:r>
        <w:rPr>
          <w:rFonts w:hint="eastAsia" w:ascii="Times New Roman" w:hAnsi="Times New Roman" w:eastAsia="宋体" w:cs="Times New Roman"/>
          <w:b/>
          <w:bCs/>
          <w:snapToGrid w:val="0"/>
          <w:color w:val="auto"/>
          <w:spacing w:val="13"/>
          <w:kern w:val="0"/>
          <w:sz w:val="24"/>
          <w:szCs w:val="24"/>
          <w:u w:val="none" w:color="auto"/>
          <w:lang w:val="en-US" w:eastAsia="zh-CN"/>
        </w:rPr>
        <w:t>7</w:t>
      </w:r>
      <w:r>
        <w:rPr>
          <w:rFonts w:hint="default" w:ascii="Times New Roman" w:hAnsi="Times New Roman" w:eastAsia="宋体" w:cs="Times New Roman"/>
          <w:b/>
          <w:bCs/>
          <w:snapToGrid w:val="0"/>
          <w:color w:val="auto"/>
          <w:spacing w:val="13"/>
          <w:kern w:val="0"/>
          <w:sz w:val="24"/>
          <w:szCs w:val="24"/>
          <w:u w:val="none" w:color="auto"/>
        </w:rPr>
        <w:t>.4环境敏感目标调查</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根据《建设项目环境风险评价技术导则》(HJ169-2018)相关要求，通过对评价范围内大气环境、地表水环境、地下水环境可能受影响的环境敏感目标进行调查。项目周围主要环境敏感目标分布情况详见下表。</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4" w:firstLineChars="200"/>
        <w:jc w:val="center"/>
        <w:textAlignment w:val="baseline"/>
        <w:rPr>
          <w:rFonts w:hint="default" w:ascii="Times New Roman" w:hAnsi="Times New Roman" w:eastAsia="宋体" w:cs="Times New Roman"/>
          <w:b/>
          <w:bCs/>
          <w:snapToGrid w:val="0"/>
          <w:color w:val="auto"/>
          <w:spacing w:val="13"/>
          <w:kern w:val="0"/>
          <w:sz w:val="24"/>
          <w:szCs w:val="24"/>
          <w:u w:val="none" w:color="auto"/>
        </w:rPr>
      </w:pPr>
      <w:r>
        <w:rPr>
          <w:rFonts w:hint="default" w:ascii="Times New Roman" w:hAnsi="Times New Roman" w:eastAsia="宋体" w:cs="Times New Roman"/>
          <w:b/>
          <w:bCs/>
          <w:snapToGrid w:val="0"/>
          <w:color w:val="auto"/>
          <w:spacing w:val="13"/>
          <w:kern w:val="0"/>
          <w:sz w:val="24"/>
          <w:szCs w:val="24"/>
          <w:u w:val="none" w:color="auto"/>
        </w:rPr>
        <w:t>表5.2</w:t>
      </w:r>
      <w:r>
        <w:rPr>
          <w:rFonts w:hint="eastAsia" w:ascii="Times New Roman" w:hAnsi="Times New Roman" w:eastAsia="宋体" w:cs="Times New Roman"/>
          <w:b/>
          <w:bCs/>
          <w:snapToGrid w:val="0"/>
          <w:color w:val="auto"/>
          <w:spacing w:val="13"/>
          <w:kern w:val="0"/>
          <w:sz w:val="24"/>
          <w:szCs w:val="24"/>
          <w:u w:val="none" w:color="auto"/>
          <w:lang w:val="en-US" w:eastAsia="zh-CN"/>
        </w:rPr>
        <w:t>-35</w:t>
      </w:r>
      <w:r>
        <w:rPr>
          <w:rFonts w:hint="default" w:ascii="Times New Roman" w:hAnsi="Times New Roman" w:eastAsia="宋体" w:cs="Times New Roman"/>
          <w:b/>
          <w:bCs/>
          <w:snapToGrid w:val="0"/>
          <w:color w:val="auto"/>
          <w:spacing w:val="13"/>
          <w:kern w:val="0"/>
          <w:sz w:val="24"/>
          <w:szCs w:val="24"/>
          <w:u w:val="none" w:color="auto"/>
        </w:rPr>
        <w:t>建设项目环境敏感特征表</w:t>
      </w:r>
    </w:p>
    <w:tbl>
      <w:tblPr>
        <w:tblStyle w:val="204"/>
        <w:tblW w:w="8489"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5"/>
        <w:gridCol w:w="647"/>
        <w:gridCol w:w="9"/>
        <w:gridCol w:w="1659"/>
        <w:gridCol w:w="9"/>
        <w:gridCol w:w="1064"/>
        <w:gridCol w:w="148"/>
        <w:gridCol w:w="1244"/>
        <w:gridCol w:w="89"/>
        <w:gridCol w:w="9"/>
        <w:gridCol w:w="56"/>
        <w:gridCol w:w="1294"/>
        <w:gridCol w:w="9"/>
        <w:gridCol w:w="61"/>
        <w:gridCol w:w="1357"/>
        <w:gridCol w:w="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6"/>
                <w:kern w:val="0"/>
                <w:sz w:val="20"/>
                <w:szCs w:val="20"/>
                <w:u w:val="none" w:color="auto"/>
                <w14:textOutline w14:w="3795" w14:cap="sq" w14:cmpd="sng">
                  <w14:solidFill>
                    <w14:srgbClr w14:val="000000"/>
                  </w14:solidFill>
                  <w14:prstDash w14:val="solid"/>
                  <w14:bevel/>
                </w14:textOutline>
              </w:rPr>
              <w:t>类别</w:t>
            </w:r>
          </w:p>
        </w:tc>
        <w:tc>
          <w:tcPr>
            <w:tcW w:w="7655" w:type="dxa"/>
            <w:gridSpan w:val="1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9"/>
                <w:kern w:val="0"/>
                <w:sz w:val="20"/>
                <w:szCs w:val="20"/>
                <w:u w:val="none" w:color="auto"/>
                <w14:textOutline w14:w="3795" w14:cap="sq" w14:cmpd="sng">
                  <w14:solidFill>
                    <w14:srgbClr w14:val="000000"/>
                  </w14:solidFill>
                  <w14:prstDash w14:val="solid"/>
                  <w14:bevel/>
                </w14:textOutline>
              </w:rPr>
              <w:t>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restar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sz w:val="20"/>
                <w:szCs w:val="20"/>
                <w:u w:val="none" w:color="auto"/>
              </w:rPr>
              <w:t>环境</w:t>
            </w:r>
            <w:r>
              <w:rPr>
                <w:rFonts w:hint="default" w:ascii="Times New Roman" w:hAnsi="Times New Roman" w:eastAsia="宋体" w:cs="Times New Roman"/>
                <w:snapToGrid w:val="0"/>
                <w:color w:val="auto"/>
                <w:spacing w:val="6"/>
                <w:kern w:val="0"/>
                <w:sz w:val="20"/>
                <w:szCs w:val="20"/>
                <w:u w:val="none" w:color="auto"/>
              </w:rPr>
              <w:t>空</w:t>
            </w:r>
            <w:r>
              <w:rPr>
                <w:rFonts w:hint="default" w:ascii="Times New Roman" w:hAnsi="Times New Roman" w:eastAsia="宋体" w:cs="Times New Roman"/>
                <w:snapToGrid w:val="0"/>
                <w:color w:val="auto"/>
                <w:kern w:val="0"/>
                <w:sz w:val="20"/>
                <w:szCs w:val="20"/>
                <w:u w:val="none" w:color="auto"/>
              </w:rPr>
              <w:t>气</w:t>
            </w:r>
          </w:p>
        </w:tc>
        <w:tc>
          <w:tcPr>
            <w:tcW w:w="7655" w:type="dxa"/>
            <w:gridSpan w:val="1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3"/>
                <w:kern w:val="0"/>
                <w:position w:val="1"/>
                <w:sz w:val="20"/>
                <w:szCs w:val="20"/>
                <w:u w:val="none" w:color="auto"/>
              </w:rPr>
              <w:t>厂址周边6</w:t>
            </w:r>
            <w:r>
              <w:rPr>
                <w:rFonts w:hint="default" w:ascii="Times New Roman" w:hAnsi="Times New Roman" w:eastAsia="宋体" w:cs="Times New Roman"/>
                <w:snapToGrid w:val="0"/>
                <w:color w:val="auto"/>
                <w:kern w:val="0"/>
                <w:position w:val="1"/>
                <w:sz w:val="20"/>
                <w:szCs w:val="20"/>
                <w:u w:val="none" w:color="auto"/>
              </w:rPr>
              <w:t>km</w:t>
            </w:r>
            <w:r>
              <w:rPr>
                <w:rFonts w:hint="default" w:ascii="Times New Roman" w:hAnsi="Times New Roman" w:eastAsia="宋体" w:cs="Times New Roman"/>
                <w:snapToGrid w:val="0"/>
                <w:color w:val="auto"/>
                <w:spacing w:val="3"/>
                <w:kern w:val="0"/>
                <w:position w:val="1"/>
                <w:sz w:val="20"/>
                <w:szCs w:val="20"/>
                <w:u w:val="none" w:color="auto"/>
              </w:rPr>
              <w:t>范围内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47"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5"/>
                <w:kern w:val="0"/>
                <w:sz w:val="20"/>
                <w:szCs w:val="20"/>
                <w:u w:val="none" w:color="auto"/>
              </w:rPr>
              <w:t>序号</w:t>
            </w: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8"/>
                <w:kern w:val="0"/>
                <w:sz w:val="20"/>
                <w:szCs w:val="20"/>
                <w:u w:val="none" w:color="auto"/>
              </w:rPr>
              <w:t>敏感目标名称</w:t>
            </w:r>
          </w:p>
        </w:tc>
        <w:tc>
          <w:tcPr>
            <w:tcW w:w="1073"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8"/>
                <w:kern w:val="0"/>
                <w:sz w:val="20"/>
                <w:szCs w:val="20"/>
                <w:u w:val="none" w:color="auto"/>
              </w:rPr>
              <w:t>相</w:t>
            </w:r>
            <w:r>
              <w:rPr>
                <w:rFonts w:hint="default" w:ascii="Times New Roman" w:hAnsi="Times New Roman" w:eastAsia="宋体" w:cs="Times New Roman"/>
                <w:snapToGrid w:val="0"/>
                <w:color w:val="auto"/>
                <w:spacing w:val="7"/>
                <w:kern w:val="0"/>
                <w:sz w:val="20"/>
                <w:szCs w:val="20"/>
                <w:u w:val="none" w:color="auto"/>
              </w:rPr>
              <w:t>对方位</w:t>
            </w:r>
          </w:p>
        </w:tc>
        <w:tc>
          <w:tcPr>
            <w:tcW w:w="1481"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position w:val="1"/>
                <w:sz w:val="20"/>
                <w:szCs w:val="20"/>
                <w:u w:val="none" w:color="auto"/>
              </w:rPr>
              <w:t>距离/</w:t>
            </w:r>
            <w:r>
              <w:rPr>
                <w:rFonts w:hint="default" w:ascii="Times New Roman" w:hAnsi="Times New Roman" w:eastAsia="宋体" w:cs="Times New Roman"/>
                <w:snapToGrid w:val="0"/>
                <w:color w:val="auto"/>
                <w:kern w:val="0"/>
                <w:position w:val="1"/>
                <w:sz w:val="20"/>
                <w:szCs w:val="20"/>
                <w:u w:val="none" w:color="auto"/>
              </w:rPr>
              <w:t>m</w:t>
            </w:r>
          </w:p>
        </w:tc>
        <w:tc>
          <w:tcPr>
            <w:tcW w:w="1359"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4"/>
                <w:kern w:val="0"/>
                <w:sz w:val="20"/>
                <w:szCs w:val="20"/>
                <w:u w:val="none" w:color="auto"/>
              </w:rPr>
              <w:t>属</w:t>
            </w:r>
            <w:r>
              <w:rPr>
                <w:rFonts w:hint="default" w:ascii="Times New Roman" w:hAnsi="Times New Roman" w:eastAsia="宋体" w:cs="Times New Roman"/>
                <w:snapToGrid w:val="0"/>
                <w:color w:val="auto"/>
                <w:spacing w:val="3"/>
                <w:kern w:val="0"/>
                <w:sz w:val="20"/>
                <w:szCs w:val="20"/>
                <w:u w:val="none" w:color="auto"/>
              </w:rPr>
              <w:t>性</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sz w:val="20"/>
                <w:szCs w:val="20"/>
                <w:u w:val="none" w:color="auto"/>
              </w:rPr>
              <w:t>人</w:t>
            </w:r>
            <w:r>
              <w:rPr>
                <w:rFonts w:hint="default" w:ascii="Times New Roman" w:hAnsi="Times New Roman" w:eastAsia="宋体" w:cs="Times New Roman"/>
                <w:snapToGrid w:val="0"/>
                <w:color w:val="auto"/>
                <w:spacing w:val="6"/>
                <w:kern w:val="0"/>
                <w:sz w:val="20"/>
                <w:szCs w:val="20"/>
                <w:u w:val="none" w:color="auto"/>
              </w:rPr>
              <w:t>口数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47"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kern w:val="0"/>
                <w:sz w:val="20"/>
                <w:szCs w:val="20"/>
                <w:u w:val="none" w:color="auto"/>
              </w:rPr>
              <w:t>1</w:t>
            </w:r>
          </w:p>
        </w:tc>
        <w:tc>
          <w:tcPr>
            <w:tcW w:w="1668"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eastAsia="zh-CN"/>
              </w:rPr>
              <w:t>王家屋场</w:t>
            </w:r>
          </w:p>
        </w:tc>
        <w:tc>
          <w:tcPr>
            <w:tcW w:w="1073" w:type="dxa"/>
            <w:gridSpan w:val="2"/>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N</w:t>
            </w:r>
          </w:p>
        </w:tc>
        <w:tc>
          <w:tcPr>
            <w:tcW w:w="1481" w:type="dxa"/>
            <w:gridSpan w:val="3"/>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val="en-US" w:eastAsia="zh-CN"/>
              </w:rPr>
              <w:t>800-1500</w:t>
            </w:r>
          </w:p>
        </w:tc>
        <w:tc>
          <w:tcPr>
            <w:tcW w:w="1359" w:type="dxa"/>
            <w:gridSpan w:val="3"/>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村庄</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lang w:val="en-US" w:eastAsia="zh-CN"/>
              </w:rPr>
            </w:pPr>
            <w:r>
              <w:rPr>
                <w:rFonts w:hint="eastAsia" w:ascii="Times New Roman" w:hAnsi="Times New Roman" w:eastAsia="宋体" w:cs="Times New Roman"/>
                <w:snapToGrid w:val="0"/>
                <w:color w:val="auto"/>
                <w:kern w:val="0"/>
                <w:sz w:val="20"/>
                <w:szCs w:val="20"/>
                <w:u w:val="none" w:color="auto"/>
                <w:lang w:val="en-US" w:eastAsia="zh-CN"/>
              </w:rPr>
              <w:t>128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47"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kern w:val="0"/>
                <w:sz w:val="20"/>
                <w:szCs w:val="20"/>
                <w:u w:val="none" w:color="auto"/>
              </w:rPr>
              <w:t>2</w:t>
            </w:r>
          </w:p>
        </w:tc>
        <w:tc>
          <w:tcPr>
            <w:tcW w:w="1668" w:type="dxa"/>
            <w:gridSpan w:val="2"/>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eastAsia="zh-CN"/>
              </w:rPr>
              <w:t>枫桥湖村</w:t>
            </w:r>
          </w:p>
        </w:tc>
        <w:tc>
          <w:tcPr>
            <w:tcW w:w="1073" w:type="dxa"/>
            <w:gridSpan w:val="2"/>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val="en-US" w:eastAsia="zh-CN"/>
              </w:rPr>
              <w:t>N</w:t>
            </w:r>
            <w:r>
              <w:rPr>
                <w:rFonts w:hint="default" w:ascii="Times New Roman" w:hAnsi="Times New Roman" w:eastAsia="宋体" w:cs="Times New Roman"/>
                <w:bCs/>
                <w:color w:val="auto"/>
                <w:szCs w:val="21"/>
                <w:highlight w:val="none"/>
                <w:u w:val="none" w:color="auto"/>
              </w:rPr>
              <w:t>E</w:t>
            </w:r>
          </w:p>
        </w:tc>
        <w:tc>
          <w:tcPr>
            <w:tcW w:w="1481" w:type="dxa"/>
            <w:gridSpan w:val="3"/>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val="en-US" w:eastAsia="zh-CN"/>
              </w:rPr>
              <w:t>860</w:t>
            </w:r>
          </w:p>
        </w:tc>
        <w:tc>
          <w:tcPr>
            <w:tcW w:w="1359" w:type="dxa"/>
            <w:gridSpan w:val="3"/>
            <w:tcBorders>
              <w:tl2br w:val="nil"/>
              <w:tr2bl w:val="nil"/>
            </w:tcBorders>
            <w:vAlign w:val="center"/>
          </w:tcPr>
          <w:p>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村庄</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lang w:val="en-US" w:eastAsia="zh-CN"/>
              </w:rPr>
            </w:pPr>
            <w:r>
              <w:rPr>
                <w:rFonts w:hint="eastAsia" w:ascii="Times New Roman" w:hAnsi="Times New Roman" w:eastAsia="宋体" w:cs="Times New Roman"/>
                <w:snapToGrid w:val="0"/>
                <w:color w:val="auto"/>
                <w:kern w:val="0"/>
                <w:sz w:val="20"/>
                <w:szCs w:val="20"/>
                <w:u w:val="none" w:color="auto"/>
                <w:lang w:val="en-US" w:eastAsia="zh-CN"/>
              </w:rPr>
              <w:t>160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47"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kern w:val="0"/>
                <w:sz w:val="20"/>
                <w:szCs w:val="20"/>
                <w:u w:val="none" w:color="auto"/>
              </w:rPr>
              <w:t>3</w:t>
            </w:r>
          </w:p>
        </w:tc>
        <w:tc>
          <w:tcPr>
            <w:tcW w:w="1668"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val="en-US" w:eastAsia="zh-CN"/>
              </w:rPr>
              <w:t>付家屋场</w:t>
            </w:r>
          </w:p>
        </w:tc>
        <w:tc>
          <w:tcPr>
            <w:tcW w:w="1073" w:type="dxa"/>
            <w:gridSpan w:val="2"/>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E</w:t>
            </w:r>
          </w:p>
        </w:tc>
        <w:tc>
          <w:tcPr>
            <w:tcW w:w="1481" w:type="dxa"/>
            <w:gridSpan w:val="3"/>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val="en-US" w:eastAsia="zh-CN"/>
              </w:rPr>
              <w:t>750</w:t>
            </w:r>
          </w:p>
        </w:tc>
        <w:tc>
          <w:tcPr>
            <w:tcW w:w="1359" w:type="dxa"/>
            <w:gridSpan w:val="3"/>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村庄</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lang w:val="en-US" w:eastAsia="zh-CN"/>
              </w:rPr>
            </w:pPr>
            <w:r>
              <w:rPr>
                <w:rFonts w:hint="eastAsia" w:ascii="Times New Roman" w:hAnsi="Times New Roman" w:eastAsia="宋体" w:cs="Times New Roman"/>
                <w:snapToGrid w:val="0"/>
                <w:color w:val="auto"/>
                <w:kern w:val="0"/>
                <w:sz w:val="20"/>
                <w:szCs w:val="20"/>
                <w:u w:val="none" w:color="auto"/>
                <w:lang w:val="en-US" w:eastAsia="zh-CN"/>
              </w:rPr>
              <w:t>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47"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
                <w:kern w:val="0"/>
                <w:sz w:val="20"/>
                <w:szCs w:val="20"/>
                <w:u w:val="none" w:color="auto"/>
              </w:rPr>
              <w:t>4</w:t>
            </w:r>
          </w:p>
        </w:tc>
        <w:tc>
          <w:tcPr>
            <w:tcW w:w="1668" w:type="dxa"/>
            <w:gridSpan w:val="2"/>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eastAsia" w:ascii="Times New Roman" w:hAnsi="Times New Roman" w:eastAsia="宋体" w:cs="Times New Roman"/>
                <w:bCs/>
                <w:color w:val="auto"/>
                <w:szCs w:val="21"/>
                <w:highlight w:val="none"/>
                <w:u w:val="none" w:color="auto"/>
                <w:lang w:eastAsia="zh-CN"/>
              </w:rPr>
              <w:t>陈相垄</w:t>
            </w:r>
          </w:p>
        </w:tc>
        <w:tc>
          <w:tcPr>
            <w:tcW w:w="1073" w:type="dxa"/>
            <w:gridSpan w:val="2"/>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E</w:t>
            </w:r>
          </w:p>
        </w:tc>
        <w:tc>
          <w:tcPr>
            <w:tcW w:w="1481" w:type="dxa"/>
            <w:gridSpan w:val="3"/>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28</w:t>
            </w:r>
            <w:r>
              <w:rPr>
                <w:rFonts w:hint="eastAsia" w:ascii="Times New Roman" w:hAnsi="Times New Roman" w:eastAsia="宋体" w:cs="Times New Roman"/>
                <w:bCs/>
                <w:color w:val="auto"/>
                <w:szCs w:val="21"/>
                <w:highlight w:val="none"/>
                <w:u w:val="none" w:color="auto"/>
                <w:lang w:val="en-US" w:eastAsia="zh-CN"/>
              </w:rPr>
              <w:t>0</w:t>
            </w:r>
          </w:p>
        </w:tc>
        <w:tc>
          <w:tcPr>
            <w:tcW w:w="1359" w:type="dxa"/>
            <w:gridSpan w:val="3"/>
            <w:tcBorders>
              <w:tl2br w:val="nil"/>
              <w:tr2bl w:val="nil"/>
            </w:tcBorders>
            <w:vAlign w:val="center"/>
          </w:tcPr>
          <w:p>
            <w:pPr>
              <w:pageBreakBefore w:val="0"/>
              <w:kinsoku/>
              <w:wordWrap/>
              <w:overflowPunct w:val="0"/>
              <w:topLinePunct/>
              <w:autoSpaceDE w:val="0"/>
              <w:autoSpaceDN w:val="0"/>
              <w:bidi w:val="0"/>
              <w:spacing w:before="48" w:beforeLines="20" w:after="48" w:afterLines="20"/>
              <w:ind w:left="-105" w:leftChars="-50" w:right="-105" w:rightChars="-50"/>
              <w:jc w:val="center"/>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bCs/>
                <w:color w:val="auto"/>
                <w:szCs w:val="21"/>
                <w:highlight w:val="none"/>
                <w:u w:val="none" w:color="auto"/>
              </w:rPr>
              <w:t>村庄</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lang w:val="en-US" w:eastAsia="zh-CN"/>
              </w:rPr>
            </w:pPr>
            <w:r>
              <w:rPr>
                <w:rFonts w:hint="eastAsia" w:ascii="Times New Roman" w:hAnsi="Times New Roman" w:eastAsia="宋体" w:cs="Times New Roman"/>
                <w:snapToGrid w:val="0"/>
                <w:color w:val="auto"/>
                <w:kern w:val="0"/>
                <w:sz w:val="20"/>
                <w:szCs w:val="20"/>
                <w:u w:val="none" w:color="auto"/>
                <w:lang w:val="en-US" w:eastAsia="zh-CN"/>
              </w:rPr>
              <w:t>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228" w:type="dxa"/>
            <w:gridSpan w:val="11"/>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5"/>
                <w:kern w:val="0"/>
                <w:sz w:val="20"/>
                <w:szCs w:val="20"/>
                <w:u w:val="none" w:color="auto"/>
              </w:rPr>
              <w:t>厂址周边500</w:t>
            </w:r>
            <w:r>
              <w:rPr>
                <w:rFonts w:hint="default" w:ascii="Times New Roman" w:hAnsi="Times New Roman" w:eastAsia="宋体" w:cs="Times New Roman"/>
                <w:snapToGrid w:val="0"/>
                <w:color w:val="auto"/>
                <w:kern w:val="0"/>
                <w:sz w:val="20"/>
                <w:szCs w:val="20"/>
                <w:u w:val="none" w:color="auto"/>
              </w:rPr>
              <w:t>m</w:t>
            </w:r>
            <w:r>
              <w:rPr>
                <w:rFonts w:hint="default" w:ascii="Times New Roman" w:hAnsi="Times New Roman" w:eastAsia="宋体" w:cs="Times New Roman"/>
                <w:snapToGrid w:val="0"/>
                <w:color w:val="auto"/>
                <w:spacing w:val="5"/>
                <w:kern w:val="0"/>
                <w:sz w:val="20"/>
                <w:szCs w:val="20"/>
                <w:u w:val="none" w:color="auto"/>
              </w:rPr>
              <w:t>范围内人口数小</w:t>
            </w:r>
            <w:r>
              <w:rPr>
                <w:rFonts w:hint="default" w:ascii="Times New Roman" w:hAnsi="Times New Roman" w:eastAsia="宋体" w:cs="Times New Roman"/>
                <w:snapToGrid w:val="0"/>
                <w:color w:val="auto"/>
                <w:spacing w:val="4"/>
                <w:kern w:val="0"/>
                <w:sz w:val="20"/>
                <w:szCs w:val="20"/>
                <w:u w:val="none" w:color="auto"/>
              </w:rPr>
              <w:t>计</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sz w:val="20"/>
                <w:szCs w:val="20"/>
                <w:u w:val="none" w:color="auto"/>
              </w:rPr>
              <w:t>小于500</w:t>
            </w:r>
            <w:r>
              <w:rPr>
                <w:rFonts w:hint="default" w:ascii="Times New Roman" w:hAnsi="Times New Roman" w:eastAsia="宋体" w:cs="Times New Roman"/>
                <w:snapToGrid w:val="0"/>
                <w:color w:val="auto"/>
                <w:spacing w:val="-1"/>
                <w:kern w:val="0"/>
                <w:sz w:val="20"/>
                <w:szCs w:val="20"/>
                <w:u w:val="none" w:color="auto"/>
              </w:rPr>
              <w:t>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228" w:type="dxa"/>
            <w:gridSpan w:val="11"/>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0"/>
                <w:kern w:val="0"/>
                <w:position w:val="1"/>
                <w:sz w:val="20"/>
                <w:szCs w:val="20"/>
                <w:u w:val="none" w:color="auto"/>
              </w:rPr>
              <w:t>厂</w:t>
            </w:r>
            <w:r>
              <w:rPr>
                <w:rFonts w:hint="default" w:ascii="Times New Roman" w:hAnsi="Times New Roman" w:eastAsia="宋体" w:cs="Times New Roman"/>
                <w:snapToGrid w:val="0"/>
                <w:color w:val="auto"/>
                <w:spacing w:val="6"/>
                <w:kern w:val="0"/>
                <w:position w:val="1"/>
                <w:sz w:val="20"/>
                <w:szCs w:val="20"/>
                <w:u w:val="none" w:color="auto"/>
              </w:rPr>
              <w:t>址</w:t>
            </w:r>
            <w:r>
              <w:rPr>
                <w:rFonts w:hint="default" w:ascii="Times New Roman" w:hAnsi="Times New Roman" w:eastAsia="宋体" w:cs="Times New Roman"/>
                <w:snapToGrid w:val="0"/>
                <w:color w:val="auto"/>
                <w:spacing w:val="5"/>
                <w:kern w:val="0"/>
                <w:position w:val="1"/>
                <w:sz w:val="20"/>
                <w:szCs w:val="20"/>
                <w:u w:val="none" w:color="auto"/>
              </w:rPr>
              <w:t>周边5</w:t>
            </w:r>
            <w:r>
              <w:rPr>
                <w:rFonts w:hint="default" w:ascii="Times New Roman" w:hAnsi="Times New Roman" w:eastAsia="宋体" w:cs="Times New Roman"/>
                <w:snapToGrid w:val="0"/>
                <w:color w:val="auto"/>
                <w:kern w:val="0"/>
                <w:position w:val="1"/>
                <w:sz w:val="20"/>
                <w:szCs w:val="20"/>
                <w:u w:val="none" w:color="auto"/>
              </w:rPr>
              <w:t>km</w:t>
            </w:r>
            <w:r>
              <w:rPr>
                <w:rFonts w:hint="default" w:ascii="Times New Roman" w:hAnsi="Times New Roman" w:eastAsia="宋体" w:cs="Times New Roman"/>
                <w:snapToGrid w:val="0"/>
                <w:color w:val="auto"/>
                <w:spacing w:val="5"/>
                <w:kern w:val="0"/>
                <w:position w:val="1"/>
                <w:sz w:val="20"/>
                <w:szCs w:val="20"/>
                <w:u w:val="none" w:color="auto"/>
              </w:rPr>
              <w:t>范围内人口数小计</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sz w:val="20"/>
                <w:szCs w:val="20"/>
                <w:u w:val="none" w:color="auto"/>
              </w:rPr>
              <w:t>大于5</w:t>
            </w:r>
            <w:r>
              <w:rPr>
                <w:rFonts w:hint="default" w:ascii="Times New Roman" w:hAnsi="Times New Roman" w:eastAsia="宋体" w:cs="Times New Roman"/>
                <w:snapToGrid w:val="0"/>
                <w:color w:val="auto"/>
                <w:spacing w:val="-1"/>
                <w:kern w:val="0"/>
                <w:sz w:val="20"/>
                <w:szCs w:val="20"/>
                <w:u w:val="none" w:color="auto"/>
              </w:rPr>
              <w:t>万人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restar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napToGrid w:val="0"/>
                <w:color w:val="auto"/>
                <w:kern w:val="0"/>
                <w:sz w:val="21"/>
                <w:szCs w:val="21"/>
                <w:u w:val="none" w:color="auto"/>
                <w:lang w:val="en-US" w:eastAsia="zh-CN"/>
              </w:rPr>
            </w:pPr>
            <w:r>
              <w:rPr>
                <w:rFonts w:hint="eastAsia" w:ascii="Times New Roman" w:hAnsi="Times New Roman" w:eastAsia="宋体" w:cs="Times New Roman"/>
                <w:snapToGrid w:val="0"/>
                <w:color w:val="auto"/>
                <w:kern w:val="0"/>
                <w:sz w:val="21"/>
                <w:szCs w:val="21"/>
                <w:u w:val="none" w:color="auto"/>
                <w:lang w:val="en-US" w:eastAsia="zh-CN"/>
              </w:rPr>
              <w:t>/</w:t>
            </w:r>
          </w:p>
        </w:tc>
        <w:tc>
          <w:tcPr>
            <w:tcW w:w="7664" w:type="dxa"/>
            <w:gridSpan w:val="15"/>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4"/>
                <w:kern w:val="0"/>
                <w:sz w:val="20"/>
                <w:szCs w:val="20"/>
                <w:u w:val="none" w:color="auto"/>
              </w:rPr>
              <w:t>管段周边</w:t>
            </w:r>
            <w:r>
              <w:rPr>
                <w:rFonts w:hint="default" w:ascii="Times New Roman" w:hAnsi="Times New Roman" w:eastAsia="宋体" w:cs="Times New Roman"/>
                <w:snapToGrid w:val="0"/>
                <w:color w:val="auto"/>
                <w:spacing w:val="2"/>
                <w:kern w:val="0"/>
                <w:sz w:val="20"/>
                <w:szCs w:val="20"/>
                <w:u w:val="none" w:color="auto"/>
              </w:rPr>
              <w:t>200</w:t>
            </w:r>
            <w:r>
              <w:rPr>
                <w:rFonts w:hint="default" w:ascii="Times New Roman" w:hAnsi="Times New Roman" w:eastAsia="宋体" w:cs="Times New Roman"/>
                <w:snapToGrid w:val="0"/>
                <w:color w:val="auto"/>
                <w:kern w:val="0"/>
                <w:sz w:val="20"/>
                <w:szCs w:val="20"/>
                <w:u w:val="none" w:color="auto"/>
              </w:rPr>
              <w:t>m</w:t>
            </w:r>
            <w:r>
              <w:rPr>
                <w:rFonts w:hint="default" w:ascii="Times New Roman" w:hAnsi="Times New Roman" w:eastAsia="宋体" w:cs="Times New Roman"/>
                <w:snapToGrid w:val="0"/>
                <w:color w:val="auto"/>
                <w:spacing w:val="2"/>
                <w:kern w:val="0"/>
                <w:sz w:val="20"/>
                <w:szCs w:val="20"/>
                <w:u w:val="none" w:color="auto"/>
              </w:rPr>
              <w:t>范围内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5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5"/>
                <w:kern w:val="0"/>
                <w:sz w:val="20"/>
                <w:szCs w:val="20"/>
                <w:u w:val="none" w:color="auto"/>
              </w:rPr>
              <w:t>序号</w:t>
            </w: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8"/>
                <w:kern w:val="0"/>
                <w:sz w:val="20"/>
                <w:szCs w:val="20"/>
                <w:u w:val="none" w:color="auto"/>
              </w:rPr>
              <w:t>敏感目标名称</w:t>
            </w:r>
          </w:p>
        </w:tc>
        <w:tc>
          <w:tcPr>
            <w:tcW w:w="1212"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8"/>
                <w:kern w:val="0"/>
                <w:sz w:val="20"/>
                <w:szCs w:val="20"/>
                <w:u w:val="none" w:color="auto"/>
              </w:rPr>
              <w:t>相</w:t>
            </w:r>
            <w:r>
              <w:rPr>
                <w:rFonts w:hint="default" w:ascii="Times New Roman" w:hAnsi="Times New Roman" w:eastAsia="宋体" w:cs="Times New Roman"/>
                <w:snapToGrid w:val="0"/>
                <w:color w:val="auto"/>
                <w:spacing w:val="7"/>
                <w:kern w:val="0"/>
                <w:sz w:val="20"/>
                <w:szCs w:val="20"/>
                <w:u w:val="none" w:color="auto"/>
              </w:rPr>
              <w:t>对方位</w:t>
            </w:r>
          </w:p>
        </w:tc>
        <w:tc>
          <w:tcPr>
            <w:tcW w:w="1342"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position w:val="1"/>
                <w:sz w:val="20"/>
                <w:szCs w:val="20"/>
                <w:u w:val="none" w:color="auto"/>
              </w:rPr>
              <w:t>距离/</w:t>
            </w:r>
            <w:r>
              <w:rPr>
                <w:rFonts w:hint="default" w:ascii="Times New Roman" w:hAnsi="Times New Roman" w:eastAsia="宋体" w:cs="Times New Roman"/>
                <w:snapToGrid w:val="0"/>
                <w:color w:val="auto"/>
                <w:kern w:val="0"/>
                <w:position w:val="1"/>
                <w:sz w:val="20"/>
                <w:szCs w:val="20"/>
                <w:u w:val="none" w:color="auto"/>
              </w:rPr>
              <w:t>m</w:t>
            </w:r>
          </w:p>
        </w:tc>
        <w:tc>
          <w:tcPr>
            <w:tcW w:w="1359"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4"/>
                <w:kern w:val="0"/>
                <w:sz w:val="20"/>
                <w:szCs w:val="20"/>
                <w:u w:val="none" w:color="auto"/>
              </w:rPr>
              <w:t>属</w:t>
            </w:r>
            <w:r>
              <w:rPr>
                <w:rFonts w:hint="default" w:ascii="Times New Roman" w:hAnsi="Times New Roman" w:eastAsia="宋体" w:cs="Times New Roman"/>
                <w:snapToGrid w:val="0"/>
                <w:color w:val="auto"/>
                <w:spacing w:val="3"/>
                <w:kern w:val="0"/>
                <w:sz w:val="20"/>
                <w:szCs w:val="20"/>
                <w:u w:val="none" w:color="auto"/>
              </w:rPr>
              <w:t>性</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sz w:val="20"/>
                <w:szCs w:val="20"/>
                <w:u w:val="none" w:color="auto"/>
              </w:rPr>
              <w:t>人</w:t>
            </w:r>
            <w:r>
              <w:rPr>
                <w:rFonts w:hint="default" w:ascii="Times New Roman" w:hAnsi="Times New Roman" w:eastAsia="宋体" w:cs="Times New Roman"/>
                <w:snapToGrid w:val="0"/>
                <w:color w:val="auto"/>
                <w:spacing w:val="6"/>
                <w:kern w:val="0"/>
                <w:sz w:val="20"/>
                <w:szCs w:val="20"/>
                <w:u w:val="none" w:color="auto"/>
              </w:rPr>
              <w:t>口数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5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212"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342"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359"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237" w:type="dxa"/>
            <w:gridSpan w:val="1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4"/>
                <w:kern w:val="0"/>
                <w:sz w:val="20"/>
                <w:szCs w:val="20"/>
                <w:u w:val="none" w:color="auto"/>
              </w:rPr>
              <w:t>每</w:t>
            </w:r>
            <w:r>
              <w:rPr>
                <w:rFonts w:hint="default" w:ascii="Times New Roman" w:hAnsi="Times New Roman" w:eastAsia="宋体" w:cs="Times New Roman"/>
                <w:snapToGrid w:val="0"/>
                <w:color w:val="auto"/>
                <w:spacing w:val="9"/>
                <w:kern w:val="0"/>
                <w:sz w:val="20"/>
                <w:szCs w:val="20"/>
                <w:u w:val="none" w:color="auto"/>
              </w:rPr>
              <w:t>公</w:t>
            </w:r>
            <w:r>
              <w:rPr>
                <w:rFonts w:hint="default" w:ascii="Times New Roman" w:hAnsi="Times New Roman" w:eastAsia="宋体" w:cs="Times New Roman"/>
                <w:snapToGrid w:val="0"/>
                <w:color w:val="auto"/>
                <w:spacing w:val="7"/>
                <w:kern w:val="0"/>
                <w:sz w:val="20"/>
                <w:szCs w:val="20"/>
                <w:u w:val="none" w:color="auto"/>
              </w:rPr>
              <w:t>里管段人口数(最大)</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237" w:type="dxa"/>
            <w:gridSpan w:val="1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6"/>
                <w:kern w:val="0"/>
                <w:sz w:val="20"/>
                <w:szCs w:val="20"/>
                <w:u w:val="none" w:color="auto"/>
              </w:rPr>
              <w:t>大</w:t>
            </w:r>
            <w:r>
              <w:rPr>
                <w:rFonts w:hint="default" w:ascii="Times New Roman" w:hAnsi="Times New Roman" w:eastAsia="宋体" w:cs="Times New Roman"/>
                <w:snapToGrid w:val="0"/>
                <w:color w:val="auto"/>
                <w:spacing w:val="5"/>
                <w:kern w:val="0"/>
                <w:sz w:val="20"/>
                <w:szCs w:val="20"/>
                <w:u w:val="none" w:color="auto"/>
              </w:rPr>
              <w:t>气</w:t>
            </w:r>
            <w:r>
              <w:rPr>
                <w:rFonts w:hint="default" w:ascii="Times New Roman" w:hAnsi="Times New Roman" w:eastAsia="宋体" w:cs="Times New Roman"/>
                <w:snapToGrid w:val="0"/>
                <w:color w:val="auto"/>
                <w:spacing w:val="3"/>
                <w:kern w:val="0"/>
                <w:sz w:val="20"/>
                <w:szCs w:val="20"/>
                <w:u w:val="none" w:color="auto"/>
              </w:rPr>
              <w:t>环境敏感程度</w:t>
            </w:r>
            <w:r>
              <w:rPr>
                <w:rFonts w:hint="default" w:ascii="Times New Roman" w:hAnsi="Times New Roman" w:eastAsia="宋体" w:cs="Times New Roman"/>
                <w:snapToGrid w:val="0"/>
                <w:color w:val="auto"/>
                <w:kern w:val="0"/>
                <w:sz w:val="20"/>
                <w:szCs w:val="20"/>
                <w:u w:val="none" w:color="auto"/>
              </w:rPr>
              <w:t>E</w:t>
            </w:r>
            <w:r>
              <w:rPr>
                <w:rFonts w:hint="default" w:ascii="Times New Roman" w:hAnsi="Times New Roman" w:eastAsia="宋体" w:cs="Times New Roman"/>
                <w:snapToGrid w:val="0"/>
                <w:color w:val="auto"/>
                <w:spacing w:val="3"/>
                <w:kern w:val="0"/>
                <w:sz w:val="20"/>
                <w:szCs w:val="20"/>
                <w:u w:val="none" w:color="auto"/>
              </w:rPr>
              <w:t>值</w:t>
            </w:r>
          </w:p>
        </w:tc>
        <w:tc>
          <w:tcPr>
            <w:tcW w:w="1427" w:type="dxa"/>
            <w:gridSpan w:val="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kern w:val="0"/>
                <w:sz w:val="20"/>
                <w:szCs w:val="20"/>
                <w:u w:val="none" w:color="auto"/>
              </w:rPr>
              <w:t>E</w:t>
            </w:r>
            <w:r>
              <w:rPr>
                <w:rFonts w:hint="default" w:ascii="Times New Roman" w:hAnsi="Times New Roman" w:eastAsia="宋体" w:cs="Times New Roman"/>
                <w:snapToGrid w:val="0"/>
                <w:color w:val="auto"/>
                <w:spacing w:val="5"/>
                <w:kern w:val="0"/>
                <w:sz w:val="20"/>
                <w:szCs w:val="20"/>
                <w:u w:val="none" w:color="auto"/>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restar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sz w:val="20"/>
                <w:szCs w:val="20"/>
                <w:u w:val="none" w:color="auto"/>
              </w:rPr>
              <w:t>地表</w:t>
            </w:r>
            <w:r>
              <w:rPr>
                <w:rFonts w:hint="default" w:ascii="Times New Roman" w:hAnsi="Times New Roman" w:eastAsia="宋体" w:cs="Times New Roman"/>
                <w:snapToGrid w:val="0"/>
                <w:color w:val="auto"/>
                <w:spacing w:val="6"/>
                <w:kern w:val="0"/>
                <w:sz w:val="20"/>
                <w:szCs w:val="20"/>
                <w:u w:val="none" w:color="auto"/>
              </w:rPr>
              <w:t>水</w:t>
            </w:r>
          </w:p>
        </w:tc>
        <w:tc>
          <w:tcPr>
            <w:tcW w:w="7664" w:type="dxa"/>
            <w:gridSpan w:val="15"/>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sz w:val="20"/>
                <w:szCs w:val="20"/>
                <w:u w:val="none" w:color="auto"/>
              </w:rPr>
              <w:t>受</w:t>
            </w:r>
            <w:r>
              <w:rPr>
                <w:rFonts w:hint="default" w:ascii="Times New Roman" w:hAnsi="Times New Roman" w:eastAsia="宋体" w:cs="Times New Roman"/>
                <w:snapToGrid w:val="0"/>
                <w:color w:val="auto"/>
                <w:spacing w:val="6"/>
                <w:kern w:val="0"/>
                <w:sz w:val="20"/>
                <w:szCs w:val="20"/>
                <w:u w:val="none" w:color="auto"/>
              </w:rPr>
              <w:t>纳水体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5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5"/>
                <w:kern w:val="0"/>
                <w:sz w:val="20"/>
                <w:szCs w:val="20"/>
                <w:u w:val="none" w:color="auto"/>
              </w:rPr>
              <w:t>序号</w:t>
            </w: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0"/>
                <w:kern w:val="0"/>
                <w:sz w:val="20"/>
                <w:szCs w:val="20"/>
                <w:u w:val="none" w:color="auto"/>
              </w:rPr>
              <w:t>受</w:t>
            </w:r>
            <w:r>
              <w:rPr>
                <w:rFonts w:hint="default" w:ascii="Times New Roman" w:hAnsi="Times New Roman" w:eastAsia="宋体" w:cs="Times New Roman"/>
                <w:snapToGrid w:val="0"/>
                <w:color w:val="auto"/>
                <w:spacing w:val="7"/>
                <w:kern w:val="0"/>
                <w:sz w:val="20"/>
                <w:szCs w:val="20"/>
                <w:u w:val="none" w:color="auto"/>
              </w:rPr>
              <w:t>纳水体名称</w:t>
            </w:r>
          </w:p>
        </w:tc>
        <w:tc>
          <w:tcPr>
            <w:tcW w:w="2610" w:type="dxa"/>
            <w:gridSpan w:val="6"/>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9"/>
                <w:kern w:val="0"/>
                <w:sz w:val="20"/>
                <w:szCs w:val="20"/>
                <w:u w:val="none" w:color="auto"/>
              </w:rPr>
              <w:t>排放点水域环境功</w:t>
            </w:r>
            <w:r>
              <w:rPr>
                <w:rFonts w:hint="default" w:ascii="Times New Roman" w:hAnsi="Times New Roman" w:eastAsia="宋体" w:cs="Times New Roman"/>
                <w:snapToGrid w:val="0"/>
                <w:color w:val="auto"/>
                <w:spacing w:val="8"/>
                <w:kern w:val="0"/>
                <w:sz w:val="20"/>
                <w:szCs w:val="20"/>
                <w:u w:val="none" w:color="auto"/>
              </w:rPr>
              <w:t>能</w:t>
            </w:r>
          </w:p>
        </w:tc>
        <w:tc>
          <w:tcPr>
            <w:tcW w:w="2730" w:type="dxa"/>
            <w:gridSpan w:val="5"/>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2"/>
                <w:kern w:val="0"/>
                <w:position w:val="1"/>
                <w:sz w:val="20"/>
                <w:szCs w:val="20"/>
                <w:u w:val="none" w:color="auto"/>
              </w:rPr>
              <w:t>2</w:t>
            </w:r>
            <w:r>
              <w:rPr>
                <w:rFonts w:hint="default" w:ascii="Times New Roman" w:hAnsi="Times New Roman" w:eastAsia="宋体" w:cs="Times New Roman"/>
                <w:snapToGrid w:val="0"/>
                <w:color w:val="auto"/>
                <w:spacing w:val="8"/>
                <w:kern w:val="0"/>
                <w:position w:val="1"/>
                <w:sz w:val="20"/>
                <w:szCs w:val="20"/>
                <w:u w:val="none" w:color="auto"/>
              </w:rPr>
              <w:t>4</w:t>
            </w:r>
            <w:r>
              <w:rPr>
                <w:rFonts w:hint="default" w:ascii="Times New Roman" w:hAnsi="Times New Roman" w:eastAsia="宋体" w:cs="Times New Roman"/>
                <w:snapToGrid w:val="0"/>
                <w:color w:val="auto"/>
                <w:kern w:val="0"/>
                <w:position w:val="1"/>
                <w:sz w:val="20"/>
                <w:szCs w:val="20"/>
                <w:u w:val="none" w:color="auto"/>
              </w:rPr>
              <w:t>h</w:t>
            </w:r>
            <w:r>
              <w:rPr>
                <w:rFonts w:hint="default" w:ascii="Times New Roman" w:hAnsi="Times New Roman" w:eastAsia="宋体" w:cs="Times New Roman"/>
                <w:snapToGrid w:val="0"/>
                <w:color w:val="auto"/>
                <w:spacing w:val="8"/>
                <w:kern w:val="0"/>
                <w:position w:val="1"/>
                <w:sz w:val="20"/>
                <w:szCs w:val="20"/>
                <w:u w:val="none" w:color="auto"/>
              </w:rPr>
              <w:t>内流经范围/</w:t>
            </w:r>
            <w:r>
              <w:rPr>
                <w:rFonts w:hint="default" w:ascii="Times New Roman" w:hAnsi="Times New Roman" w:eastAsia="宋体" w:cs="Times New Roman"/>
                <w:snapToGrid w:val="0"/>
                <w:color w:val="auto"/>
                <w:kern w:val="0"/>
                <w:position w:val="1"/>
                <w:sz w:val="20"/>
                <w:szCs w:val="20"/>
                <w:u w:val="none" w:color="auto"/>
              </w:rPr>
              <w:t>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5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kern w:val="0"/>
                <w:sz w:val="20"/>
                <w:szCs w:val="20"/>
                <w:u w:val="none" w:color="auto"/>
              </w:rPr>
              <w:t>1</w:t>
            </w: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napToGrid w:val="0"/>
                <w:color w:val="auto"/>
                <w:kern w:val="0"/>
                <w:sz w:val="20"/>
                <w:szCs w:val="20"/>
                <w:u w:val="none" w:color="auto"/>
                <w:lang w:eastAsia="zh-CN"/>
              </w:rPr>
            </w:pPr>
            <w:r>
              <w:rPr>
                <w:rFonts w:hint="eastAsia" w:ascii="Times New Roman" w:hAnsi="Times New Roman" w:eastAsia="宋体" w:cs="Times New Roman"/>
                <w:snapToGrid w:val="0"/>
                <w:color w:val="auto"/>
                <w:spacing w:val="5"/>
                <w:kern w:val="0"/>
                <w:sz w:val="20"/>
                <w:szCs w:val="20"/>
                <w:u w:val="none" w:color="auto"/>
                <w:lang w:eastAsia="zh-CN"/>
              </w:rPr>
              <w:t>长江</w:t>
            </w:r>
          </w:p>
        </w:tc>
        <w:tc>
          <w:tcPr>
            <w:tcW w:w="2610" w:type="dxa"/>
            <w:gridSpan w:val="6"/>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2"/>
                <w:kern w:val="0"/>
                <w:sz w:val="20"/>
                <w:szCs w:val="20"/>
                <w:u w:val="none" w:color="auto"/>
              </w:rPr>
              <w:t>《</w:t>
            </w:r>
            <w:r>
              <w:rPr>
                <w:rFonts w:hint="default" w:ascii="Times New Roman" w:hAnsi="Times New Roman" w:eastAsia="宋体" w:cs="Times New Roman"/>
                <w:snapToGrid w:val="0"/>
                <w:color w:val="auto"/>
                <w:spacing w:val="7"/>
                <w:kern w:val="0"/>
                <w:sz w:val="20"/>
                <w:szCs w:val="20"/>
                <w:u w:val="none" w:color="auto"/>
              </w:rPr>
              <w:t>地表水环境质量标准》</w:t>
            </w:r>
            <w:r>
              <w:rPr>
                <w:rFonts w:hint="default" w:ascii="Times New Roman" w:hAnsi="Times New Roman" w:eastAsia="宋体" w:cs="Times New Roman"/>
                <w:snapToGrid w:val="0"/>
                <w:color w:val="auto"/>
                <w:spacing w:val="19"/>
                <w:kern w:val="0"/>
                <w:sz w:val="20"/>
                <w:szCs w:val="20"/>
                <w:u w:val="none" w:color="auto"/>
              </w:rPr>
              <w:t>(</w:t>
            </w:r>
            <w:r>
              <w:rPr>
                <w:rFonts w:hint="default" w:ascii="Times New Roman" w:hAnsi="Times New Roman" w:eastAsia="宋体" w:cs="Times New Roman"/>
                <w:snapToGrid w:val="0"/>
                <w:color w:val="auto"/>
                <w:kern w:val="0"/>
                <w:sz w:val="20"/>
                <w:szCs w:val="20"/>
                <w:u w:val="none" w:color="auto"/>
              </w:rPr>
              <w:t>GB</w:t>
            </w:r>
            <w:r>
              <w:rPr>
                <w:rFonts w:hint="default" w:ascii="Times New Roman" w:hAnsi="Times New Roman" w:eastAsia="宋体" w:cs="Times New Roman"/>
                <w:snapToGrid w:val="0"/>
                <w:color w:val="auto"/>
                <w:spacing w:val="12"/>
                <w:kern w:val="0"/>
                <w:sz w:val="20"/>
                <w:szCs w:val="20"/>
                <w:u w:val="none" w:color="auto"/>
              </w:rPr>
              <w:t>3838-2002)中Ⅲ类</w:t>
            </w:r>
          </w:p>
        </w:tc>
        <w:tc>
          <w:tcPr>
            <w:tcW w:w="2730" w:type="dxa"/>
            <w:gridSpan w:val="5"/>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7664" w:type="dxa"/>
            <w:gridSpan w:val="15"/>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2"/>
                <w:kern w:val="0"/>
                <w:sz w:val="20"/>
                <w:szCs w:val="20"/>
                <w:u w:val="none" w:color="auto"/>
              </w:rPr>
              <w:t>项目</w:t>
            </w:r>
            <w:r>
              <w:rPr>
                <w:rFonts w:hint="default" w:ascii="Times New Roman" w:hAnsi="Times New Roman" w:eastAsia="宋体" w:cs="Times New Roman"/>
                <w:snapToGrid w:val="0"/>
                <w:color w:val="auto"/>
                <w:spacing w:val="17"/>
                <w:kern w:val="0"/>
                <w:sz w:val="20"/>
                <w:szCs w:val="20"/>
                <w:u w:val="none" w:color="auto"/>
              </w:rPr>
              <w:t>属</w:t>
            </w:r>
            <w:r>
              <w:rPr>
                <w:rFonts w:hint="default" w:ascii="Times New Roman" w:hAnsi="Times New Roman" w:eastAsia="宋体" w:cs="Times New Roman"/>
                <w:snapToGrid w:val="0"/>
                <w:color w:val="auto"/>
                <w:spacing w:val="11"/>
                <w:kern w:val="0"/>
                <w:sz w:val="20"/>
                <w:szCs w:val="20"/>
                <w:u w:val="none" w:color="auto"/>
              </w:rPr>
              <w:t>于三级</w:t>
            </w:r>
            <w:r>
              <w:rPr>
                <w:rFonts w:hint="default" w:ascii="Times New Roman" w:hAnsi="Times New Roman" w:eastAsia="宋体" w:cs="Times New Roman"/>
                <w:snapToGrid w:val="0"/>
                <w:color w:val="auto"/>
                <w:kern w:val="0"/>
                <w:sz w:val="20"/>
                <w:szCs w:val="20"/>
                <w:u w:val="none" w:color="auto"/>
              </w:rPr>
              <w:t>B</w:t>
            </w:r>
            <w:r>
              <w:rPr>
                <w:rFonts w:hint="default" w:ascii="Times New Roman" w:hAnsi="Times New Roman" w:eastAsia="宋体" w:cs="Times New Roman"/>
                <w:snapToGrid w:val="0"/>
                <w:color w:val="auto"/>
                <w:spacing w:val="11"/>
                <w:kern w:val="0"/>
                <w:sz w:val="20"/>
                <w:szCs w:val="20"/>
                <w:u w:val="none" w:color="auto"/>
              </w:rPr>
              <w:t>间接排放项目，废水排入污水处理厂处理，不直</w:t>
            </w:r>
            <w:r>
              <w:rPr>
                <w:rFonts w:hint="default" w:ascii="Times New Roman" w:hAnsi="Times New Roman" w:eastAsia="宋体" w:cs="Times New Roman"/>
                <w:snapToGrid w:val="0"/>
                <w:color w:val="auto"/>
                <w:spacing w:val="18"/>
                <w:kern w:val="0"/>
                <w:sz w:val="20"/>
                <w:szCs w:val="20"/>
                <w:u w:val="none" w:color="auto"/>
              </w:rPr>
              <w:t>接</w:t>
            </w:r>
            <w:r>
              <w:rPr>
                <w:rFonts w:hint="default" w:ascii="Times New Roman" w:hAnsi="Times New Roman" w:eastAsia="宋体" w:cs="Times New Roman"/>
                <w:snapToGrid w:val="0"/>
                <w:color w:val="auto"/>
                <w:spacing w:val="15"/>
                <w:kern w:val="0"/>
                <w:sz w:val="20"/>
                <w:szCs w:val="20"/>
                <w:u w:val="none" w:color="auto"/>
              </w:rPr>
              <w:t>外</w:t>
            </w:r>
            <w:r>
              <w:rPr>
                <w:rFonts w:hint="default" w:ascii="Times New Roman" w:hAnsi="Times New Roman" w:eastAsia="宋体" w:cs="Times New Roman"/>
                <w:snapToGrid w:val="0"/>
                <w:color w:val="auto"/>
                <w:spacing w:val="9"/>
                <w:kern w:val="0"/>
                <w:sz w:val="20"/>
                <w:szCs w:val="20"/>
                <w:u w:val="none" w:color="auto"/>
              </w:rPr>
              <w:t>排地表水体，不对地表水环境进行相应的敏感程度分级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298" w:type="dxa"/>
            <w:gridSpan w:val="1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6"/>
                <w:kern w:val="0"/>
                <w:sz w:val="20"/>
                <w:szCs w:val="20"/>
                <w:u w:val="none" w:color="auto"/>
              </w:rPr>
              <w:t>地</w:t>
            </w:r>
            <w:r>
              <w:rPr>
                <w:rFonts w:hint="default" w:ascii="Times New Roman" w:hAnsi="Times New Roman" w:eastAsia="宋体" w:cs="Times New Roman"/>
                <w:snapToGrid w:val="0"/>
                <w:color w:val="auto"/>
                <w:spacing w:val="4"/>
                <w:kern w:val="0"/>
                <w:sz w:val="20"/>
                <w:szCs w:val="20"/>
                <w:u w:val="none" w:color="auto"/>
              </w:rPr>
              <w:t>表水环境敏感程度</w:t>
            </w:r>
            <w:r>
              <w:rPr>
                <w:rFonts w:hint="default" w:ascii="Times New Roman" w:hAnsi="Times New Roman" w:eastAsia="宋体" w:cs="Times New Roman"/>
                <w:snapToGrid w:val="0"/>
                <w:color w:val="auto"/>
                <w:kern w:val="0"/>
                <w:sz w:val="20"/>
                <w:szCs w:val="20"/>
                <w:u w:val="none" w:color="auto"/>
              </w:rPr>
              <w:t>E</w:t>
            </w:r>
            <w:r>
              <w:rPr>
                <w:rFonts w:hint="default" w:ascii="Times New Roman" w:hAnsi="Times New Roman" w:eastAsia="宋体" w:cs="Times New Roman"/>
                <w:snapToGrid w:val="0"/>
                <w:color w:val="auto"/>
                <w:spacing w:val="4"/>
                <w:kern w:val="0"/>
                <w:sz w:val="20"/>
                <w:szCs w:val="20"/>
                <w:u w:val="none" w:color="auto"/>
              </w:rPr>
              <w:t>值</w:t>
            </w:r>
          </w:p>
        </w:tc>
        <w:tc>
          <w:tcPr>
            <w:tcW w:w="136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restart"/>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7"/>
                <w:kern w:val="0"/>
                <w:sz w:val="20"/>
                <w:szCs w:val="20"/>
                <w:u w:val="none" w:color="auto"/>
              </w:rPr>
              <w:t>地下</w:t>
            </w:r>
            <w:r>
              <w:rPr>
                <w:rFonts w:hint="default" w:ascii="Times New Roman" w:hAnsi="Times New Roman" w:eastAsia="宋体" w:cs="Times New Roman"/>
                <w:snapToGrid w:val="0"/>
                <w:color w:val="auto"/>
                <w:spacing w:val="6"/>
                <w:kern w:val="0"/>
                <w:sz w:val="20"/>
                <w:szCs w:val="20"/>
                <w:u w:val="none" w:color="auto"/>
              </w:rPr>
              <w:t>水</w:t>
            </w:r>
          </w:p>
        </w:tc>
        <w:tc>
          <w:tcPr>
            <w:tcW w:w="65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5"/>
                <w:kern w:val="0"/>
                <w:sz w:val="20"/>
                <w:szCs w:val="20"/>
                <w:u w:val="none" w:color="auto"/>
              </w:rPr>
              <w:t>序号</w:t>
            </w: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2"/>
                <w:kern w:val="0"/>
                <w:sz w:val="20"/>
                <w:szCs w:val="20"/>
                <w:u w:val="none" w:color="auto"/>
              </w:rPr>
              <w:t>环</w:t>
            </w:r>
            <w:r>
              <w:rPr>
                <w:rFonts w:hint="default" w:ascii="Times New Roman" w:hAnsi="Times New Roman" w:eastAsia="宋体" w:cs="Times New Roman"/>
                <w:snapToGrid w:val="0"/>
                <w:color w:val="auto"/>
                <w:spacing w:val="8"/>
                <w:kern w:val="0"/>
                <w:sz w:val="20"/>
                <w:szCs w:val="20"/>
                <w:u w:val="none" w:color="auto"/>
              </w:rPr>
              <w:t>境敏感区名称</w:t>
            </w:r>
          </w:p>
        </w:tc>
        <w:tc>
          <w:tcPr>
            <w:tcW w:w="1212"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8"/>
                <w:kern w:val="0"/>
                <w:sz w:val="20"/>
                <w:szCs w:val="20"/>
                <w:u w:val="none" w:color="auto"/>
              </w:rPr>
              <w:t>环境敏感特</w:t>
            </w:r>
            <w:r>
              <w:rPr>
                <w:rFonts w:hint="default" w:ascii="Times New Roman" w:hAnsi="Times New Roman" w:eastAsia="宋体" w:cs="Times New Roman"/>
                <w:snapToGrid w:val="0"/>
                <w:color w:val="auto"/>
                <w:kern w:val="0"/>
                <w:sz w:val="20"/>
                <w:szCs w:val="20"/>
                <w:u w:val="none" w:color="auto"/>
              </w:rPr>
              <w:t>征</w:t>
            </w:r>
          </w:p>
        </w:tc>
        <w:tc>
          <w:tcPr>
            <w:tcW w:w="124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9"/>
                <w:kern w:val="0"/>
                <w:sz w:val="20"/>
                <w:szCs w:val="20"/>
                <w:u w:val="none" w:color="auto"/>
              </w:rPr>
              <w:t>水</w:t>
            </w:r>
            <w:r>
              <w:rPr>
                <w:rFonts w:hint="default" w:ascii="Times New Roman" w:hAnsi="Times New Roman" w:eastAsia="宋体" w:cs="Times New Roman"/>
                <w:snapToGrid w:val="0"/>
                <w:color w:val="auto"/>
                <w:spacing w:val="6"/>
                <w:kern w:val="0"/>
                <w:sz w:val="20"/>
                <w:szCs w:val="20"/>
                <w:u w:val="none" w:color="auto"/>
              </w:rPr>
              <w:t>质目标</w:t>
            </w:r>
          </w:p>
        </w:tc>
        <w:tc>
          <w:tcPr>
            <w:tcW w:w="1518" w:type="dxa"/>
            <w:gridSpan w:val="6"/>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2"/>
                <w:kern w:val="0"/>
                <w:sz w:val="20"/>
                <w:szCs w:val="20"/>
                <w:u w:val="none" w:color="auto"/>
              </w:rPr>
              <w:t>包</w:t>
            </w:r>
            <w:r>
              <w:rPr>
                <w:rFonts w:hint="default" w:ascii="Times New Roman" w:hAnsi="Times New Roman" w:eastAsia="宋体" w:cs="Times New Roman"/>
                <w:snapToGrid w:val="0"/>
                <w:color w:val="auto"/>
                <w:spacing w:val="8"/>
                <w:kern w:val="0"/>
                <w:sz w:val="20"/>
                <w:szCs w:val="20"/>
                <w:u w:val="none" w:color="auto"/>
              </w:rPr>
              <w:t>气带防污性能</w:t>
            </w:r>
          </w:p>
        </w:tc>
        <w:tc>
          <w:tcPr>
            <w:tcW w:w="136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10"/>
                <w:kern w:val="0"/>
                <w:sz w:val="20"/>
                <w:szCs w:val="20"/>
                <w:u w:val="none" w:color="auto"/>
              </w:rPr>
              <w:t>与</w:t>
            </w:r>
            <w:r>
              <w:rPr>
                <w:rFonts w:hint="default" w:ascii="Times New Roman" w:hAnsi="Times New Roman" w:eastAsia="宋体" w:cs="Times New Roman"/>
                <w:snapToGrid w:val="0"/>
                <w:color w:val="auto"/>
                <w:spacing w:val="7"/>
                <w:kern w:val="0"/>
                <w:sz w:val="20"/>
                <w:szCs w:val="20"/>
                <w:u w:val="none" w:color="auto"/>
              </w:rPr>
              <w:t>下游厂界距</w:t>
            </w:r>
            <w:r>
              <w:rPr>
                <w:rFonts w:hint="default" w:ascii="Times New Roman" w:hAnsi="Times New Roman" w:eastAsia="宋体" w:cs="Times New Roman"/>
                <w:snapToGrid w:val="0"/>
                <w:color w:val="auto"/>
                <w:spacing w:val="3"/>
                <w:kern w:val="0"/>
                <w:sz w:val="20"/>
                <w:szCs w:val="20"/>
                <w:u w:val="none" w:color="auto"/>
              </w:rPr>
              <w:t>离/</w:t>
            </w:r>
            <w:r>
              <w:rPr>
                <w:rFonts w:hint="default" w:ascii="Times New Roman" w:hAnsi="Times New Roman" w:eastAsia="宋体" w:cs="Times New Roman"/>
                <w:snapToGrid w:val="0"/>
                <w:color w:val="auto"/>
                <w:kern w:val="0"/>
                <w:sz w:val="20"/>
                <w:szCs w:val="20"/>
                <w:u w:val="none" w:color="auto"/>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5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1668"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212"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24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518" w:type="dxa"/>
            <w:gridSpan w:val="6"/>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c>
          <w:tcPr>
            <w:tcW w:w="136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2"/>
                <w:kern w:val="0"/>
                <w:position w:val="2"/>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5" w:type="dxa"/>
            <w:vMerge w:val="continue"/>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p>
        </w:tc>
        <w:tc>
          <w:tcPr>
            <w:tcW w:w="6298" w:type="dxa"/>
            <w:gridSpan w:val="13"/>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spacing w:val="6"/>
                <w:kern w:val="0"/>
                <w:sz w:val="20"/>
                <w:szCs w:val="20"/>
                <w:u w:val="none" w:color="auto"/>
              </w:rPr>
              <w:t>地</w:t>
            </w:r>
            <w:r>
              <w:rPr>
                <w:rFonts w:hint="default" w:ascii="Times New Roman" w:hAnsi="Times New Roman" w:eastAsia="宋体" w:cs="Times New Roman"/>
                <w:snapToGrid w:val="0"/>
                <w:color w:val="auto"/>
                <w:spacing w:val="4"/>
                <w:kern w:val="0"/>
                <w:sz w:val="20"/>
                <w:szCs w:val="20"/>
                <w:u w:val="none" w:color="auto"/>
              </w:rPr>
              <w:t>下水环境敏感程度</w:t>
            </w:r>
            <w:r>
              <w:rPr>
                <w:rFonts w:hint="default" w:ascii="Times New Roman" w:hAnsi="Times New Roman" w:eastAsia="宋体" w:cs="Times New Roman"/>
                <w:snapToGrid w:val="0"/>
                <w:color w:val="auto"/>
                <w:kern w:val="0"/>
                <w:sz w:val="20"/>
                <w:szCs w:val="20"/>
                <w:u w:val="none" w:color="auto"/>
              </w:rPr>
              <w:t>E</w:t>
            </w:r>
            <w:r>
              <w:rPr>
                <w:rFonts w:hint="default" w:ascii="Times New Roman" w:hAnsi="Times New Roman" w:eastAsia="宋体" w:cs="Times New Roman"/>
                <w:snapToGrid w:val="0"/>
                <w:color w:val="auto"/>
                <w:spacing w:val="4"/>
                <w:kern w:val="0"/>
                <w:sz w:val="20"/>
                <w:szCs w:val="20"/>
                <w:u w:val="none" w:color="auto"/>
              </w:rPr>
              <w:t>值</w:t>
            </w:r>
          </w:p>
        </w:tc>
        <w:tc>
          <w:tcPr>
            <w:tcW w:w="1366"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0"/>
                <w:szCs w:val="20"/>
                <w:u w:val="none" w:color="auto"/>
              </w:rPr>
            </w:pPr>
            <w:r>
              <w:rPr>
                <w:rFonts w:hint="default" w:ascii="Times New Roman" w:hAnsi="Times New Roman" w:eastAsia="宋体" w:cs="Times New Roman"/>
                <w:snapToGrid w:val="0"/>
                <w:color w:val="auto"/>
                <w:kern w:val="0"/>
                <w:sz w:val="20"/>
                <w:szCs w:val="20"/>
                <w:u w:val="none" w:color="auto"/>
              </w:rPr>
              <w:t>E</w:t>
            </w:r>
            <w:r>
              <w:rPr>
                <w:rFonts w:hint="default" w:ascii="Times New Roman" w:hAnsi="Times New Roman" w:eastAsia="宋体" w:cs="Times New Roman"/>
                <w:snapToGrid w:val="0"/>
                <w:color w:val="auto"/>
                <w:spacing w:val="5"/>
                <w:kern w:val="0"/>
                <w:sz w:val="20"/>
                <w:szCs w:val="20"/>
                <w:u w:val="none" w:color="auto"/>
              </w:rPr>
              <w:t>3</w:t>
            </w:r>
          </w:p>
        </w:tc>
      </w:tr>
    </w:tbl>
    <w:p>
      <w:pPr>
        <w:pageBreakBefore w:val="0"/>
        <w:widowControl/>
        <w:kinsoku/>
        <w:wordWrap/>
        <w:overflowPunct w:val="0"/>
        <w:topLinePunct/>
        <w:autoSpaceDE w:val="0"/>
        <w:autoSpaceDN w:val="0"/>
        <w:bidi w:val="0"/>
        <w:adjustRightInd w:val="0"/>
        <w:snapToGrid w:val="0"/>
        <w:spacing w:before="30" w:line="360" w:lineRule="auto"/>
        <w:ind w:left="13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8"/>
          <w:kern w:val="0"/>
          <w:sz w:val="24"/>
          <w:szCs w:val="24"/>
          <w:u w:val="none" w:color="auto"/>
        </w:rPr>
        <w:t>注</w:t>
      </w: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9"/>
          <w:kern w:val="0"/>
          <w:sz w:val="24"/>
          <w:szCs w:val="24"/>
          <w:u w:val="none" w:color="auto"/>
        </w:rPr>
        <w:t>本项目事故情况下废水不直接排入外环境水体，不涉及地表水环境风险。</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本项目厂内各构建物分区进行防渗，项目不会影响区域地下，不涉及地下水风险。</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4" w:firstLineChars="200"/>
        <w:jc w:val="left"/>
        <w:textAlignment w:val="baseline"/>
        <w:outlineLvl w:val="3"/>
        <w:rPr>
          <w:rFonts w:hint="default" w:ascii="Times New Roman" w:hAnsi="Times New Roman" w:eastAsia="宋体" w:cs="Times New Roman"/>
          <w:b/>
          <w:bCs/>
          <w:snapToGrid w:val="0"/>
          <w:color w:val="auto"/>
          <w:spacing w:val="13"/>
          <w:kern w:val="0"/>
          <w:sz w:val="24"/>
          <w:szCs w:val="24"/>
          <w:u w:val="none" w:color="auto"/>
        </w:rPr>
      </w:pPr>
      <w:r>
        <w:rPr>
          <w:rFonts w:hint="default" w:ascii="Times New Roman" w:hAnsi="Times New Roman" w:eastAsia="宋体" w:cs="Times New Roman"/>
          <w:b/>
          <w:bCs/>
          <w:snapToGrid w:val="0"/>
          <w:color w:val="auto"/>
          <w:spacing w:val="13"/>
          <w:kern w:val="0"/>
          <w:sz w:val="24"/>
          <w:szCs w:val="24"/>
          <w:u w:val="none" w:color="auto"/>
        </w:rPr>
        <w:t>5.2.</w:t>
      </w:r>
      <w:r>
        <w:rPr>
          <w:rFonts w:hint="eastAsia" w:ascii="Times New Roman" w:hAnsi="Times New Roman" w:eastAsia="宋体" w:cs="Times New Roman"/>
          <w:b/>
          <w:bCs/>
          <w:snapToGrid w:val="0"/>
          <w:color w:val="auto"/>
          <w:spacing w:val="13"/>
          <w:kern w:val="0"/>
          <w:sz w:val="24"/>
          <w:szCs w:val="24"/>
          <w:u w:val="none" w:color="auto"/>
          <w:lang w:val="en-US" w:eastAsia="zh-CN"/>
        </w:rPr>
        <w:t>7</w:t>
      </w:r>
      <w:r>
        <w:rPr>
          <w:rFonts w:hint="default" w:ascii="Times New Roman" w:hAnsi="Times New Roman" w:eastAsia="宋体" w:cs="Times New Roman"/>
          <w:b/>
          <w:bCs/>
          <w:snapToGrid w:val="0"/>
          <w:color w:val="auto"/>
          <w:spacing w:val="13"/>
          <w:kern w:val="0"/>
          <w:sz w:val="24"/>
          <w:szCs w:val="24"/>
          <w:u w:val="none" w:color="auto"/>
        </w:rPr>
        <w:t>.5环境风险识别</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1、物质危险性识别</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2" w:firstLineChars="200"/>
        <w:jc w:val="left"/>
        <w:textAlignment w:val="baseline"/>
        <w:rPr>
          <w:rFonts w:hint="default" w:ascii="Times New Roman" w:hAnsi="Times New Roman" w:eastAsia="宋体" w:cs="Times New Roman"/>
          <w:snapToGrid w:val="0"/>
          <w:color w:val="auto"/>
          <w:spacing w:val="13"/>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本项目原辅料、产品和三废中环境风险物质有：天然气、废机油、固体类危险废物等，当固态危险废物洒落时，洒落的物料采用洁净的扫把清扫收集，采取防渗后基本不影响地下水和土壤，也不会进入到地表水环境。由于废机油产生较少，本项目不对其进行风险分析，仅对天然气进行分析，天然气属于易燃易爆物质，天然气主要化学成分详见下表，天然气理化性质及危险特性详见下表。</w:t>
      </w:r>
    </w:p>
    <w:p>
      <w:pPr>
        <w:keepNext w:val="0"/>
        <w:keepLines w:val="0"/>
        <w:pageBreakBefore w:val="0"/>
        <w:widowControl/>
        <w:kinsoku/>
        <w:wordWrap/>
        <w:overflowPunct w:val="0"/>
        <w:topLinePunct/>
        <w:autoSpaceDE w:val="0"/>
        <w:autoSpaceDN w:val="0"/>
        <w:bidi w:val="0"/>
        <w:adjustRightInd w:val="0"/>
        <w:snapToGrid w:val="0"/>
        <w:spacing w:line="360" w:lineRule="auto"/>
        <w:ind w:left="0" w:firstLine="534" w:firstLineChars="200"/>
        <w:jc w:val="center"/>
        <w:textAlignment w:val="baseline"/>
        <w:rPr>
          <w:rFonts w:hint="eastAsia" w:ascii="Times New Roman" w:hAnsi="Times New Roman" w:eastAsia="宋体" w:cs="Times New Roman"/>
          <w:b/>
          <w:bCs/>
          <w:snapToGrid w:val="0"/>
          <w:color w:val="auto"/>
          <w:spacing w:val="13"/>
          <w:kern w:val="0"/>
          <w:sz w:val="24"/>
          <w:szCs w:val="24"/>
          <w:u w:val="none" w:color="auto"/>
          <w:lang w:val="en-US" w:eastAsia="zh-CN"/>
        </w:rPr>
      </w:pPr>
      <w:r>
        <w:rPr>
          <w:rFonts w:hint="default" w:ascii="Times New Roman" w:hAnsi="Times New Roman" w:eastAsia="宋体" w:cs="Times New Roman"/>
          <w:b/>
          <w:bCs/>
          <w:snapToGrid w:val="0"/>
          <w:color w:val="auto"/>
          <w:spacing w:val="13"/>
          <w:kern w:val="0"/>
          <w:sz w:val="24"/>
          <w:szCs w:val="24"/>
          <w:u w:val="none" w:color="auto"/>
        </w:rPr>
        <w:t>5.2</w:t>
      </w:r>
      <w:r>
        <w:rPr>
          <w:rFonts w:hint="eastAsia" w:ascii="Times New Roman" w:hAnsi="Times New Roman" w:eastAsia="宋体" w:cs="Times New Roman"/>
          <w:b/>
          <w:bCs/>
          <w:snapToGrid w:val="0"/>
          <w:color w:val="auto"/>
          <w:spacing w:val="13"/>
          <w:kern w:val="0"/>
          <w:sz w:val="24"/>
          <w:szCs w:val="24"/>
          <w:u w:val="none" w:color="auto"/>
          <w:lang w:val="en-US" w:eastAsia="zh-CN"/>
        </w:rPr>
        <w:t>-36</w:t>
      </w:r>
      <w:r>
        <w:rPr>
          <w:rFonts w:hint="default" w:ascii="Times New Roman" w:hAnsi="Times New Roman" w:eastAsia="宋体" w:cs="Times New Roman"/>
          <w:b/>
          <w:bCs/>
          <w:snapToGrid w:val="0"/>
          <w:color w:val="auto"/>
          <w:spacing w:val="13"/>
          <w:kern w:val="0"/>
          <w:sz w:val="24"/>
          <w:szCs w:val="24"/>
          <w:u w:val="none" w:color="auto"/>
        </w:rPr>
        <w:t>天然气主要化学成</w:t>
      </w:r>
      <w:r>
        <w:rPr>
          <w:rFonts w:hint="eastAsia" w:ascii="Times New Roman" w:hAnsi="Times New Roman" w:eastAsia="宋体" w:cs="Times New Roman"/>
          <w:b/>
          <w:bCs/>
          <w:snapToGrid w:val="0"/>
          <w:color w:val="auto"/>
          <w:spacing w:val="13"/>
          <w:kern w:val="0"/>
          <w:sz w:val="24"/>
          <w:szCs w:val="24"/>
          <w:u w:val="none" w:color="auto"/>
          <w:lang w:eastAsia="zh-CN"/>
        </w:rPr>
        <w:t>分</w:t>
      </w:r>
    </w:p>
    <w:tbl>
      <w:tblPr>
        <w:tblStyle w:val="204"/>
        <w:tblW w:w="8525"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1210"/>
        <w:gridCol w:w="1211"/>
        <w:gridCol w:w="1213"/>
        <w:gridCol w:w="1213"/>
        <w:gridCol w:w="1213"/>
        <w:gridCol w:w="12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25"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7300" w:type="dxa"/>
            <w:gridSpan w:val="6"/>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25" w:type="dxa"/>
            <w:vMerge w:val="restart"/>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天然气</w:t>
            </w:r>
          </w:p>
        </w:tc>
        <w:tc>
          <w:tcPr>
            <w:tcW w:w="121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CH4</w:t>
            </w:r>
          </w:p>
        </w:tc>
        <w:tc>
          <w:tcPr>
            <w:tcW w:w="1211"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C2H6</w:t>
            </w:r>
          </w:p>
        </w:tc>
        <w:tc>
          <w:tcPr>
            <w:tcW w:w="1213"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C3H8</w:t>
            </w:r>
          </w:p>
        </w:tc>
        <w:tc>
          <w:tcPr>
            <w:tcW w:w="1213"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N2</w:t>
            </w:r>
          </w:p>
        </w:tc>
        <w:tc>
          <w:tcPr>
            <w:tcW w:w="1213"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CO2</w:t>
            </w:r>
          </w:p>
        </w:tc>
        <w:tc>
          <w:tcPr>
            <w:tcW w:w="124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H2S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25" w:type="dxa"/>
            <w:vMerge w:val="continue"/>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121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92.55</w:t>
            </w:r>
          </w:p>
        </w:tc>
        <w:tc>
          <w:tcPr>
            <w:tcW w:w="1211"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5.54</w:t>
            </w:r>
          </w:p>
        </w:tc>
        <w:tc>
          <w:tcPr>
            <w:tcW w:w="1213"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0.79</w:t>
            </w:r>
          </w:p>
        </w:tc>
        <w:tc>
          <w:tcPr>
            <w:tcW w:w="1213"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0.92</w:t>
            </w:r>
          </w:p>
        </w:tc>
        <w:tc>
          <w:tcPr>
            <w:tcW w:w="1213"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240" w:type="dxa"/>
            <w:tcBorders>
              <w:tl2br w:val="nil"/>
              <w:tr2bl w:val="nil"/>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≤20mg/m3</w:t>
            </w:r>
          </w:p>
        </w:tc>
      </w:tr>
    </w:tbl>
    <w:p>
      <w:pPr>
        <w:pageBreakBefore w:val="0"/>
        <w:kinsoku/>
        <w:wordWrap/>
        <w:overflowPunct w:val="0"/>
        <w:topLinePunct/>
        <w:autoSpaceDE w:val="0"/>
        <w:autoSpaceDN w:val="0"/>
        <w:bidi w:val="0"/>
        <w:rPr>
          <w:rFonts w:hint="default"/>
          <w:color w:val="auto"/>
        </w:rPr>
      </w:pPr>
      <w:r>
        <w:rPr>
          <w:rFonts w:hint="default"/>
          <w:color w:val="auto"/>
        </w:rPr>
        <w:t>5.2.8-6天然气理化性质及危险特性表</w:t>
      </w:r>
    </w:p>
    <w:p>
      <w:pPr>
        <w:pageBreakBefore w:val="0"/>
        <w:kinsoku/>
        <w:wordWrap/>
        <w:overflowPunct w:val="0"/>
        <w:topLinePunct/>
        <w:autoSpaceDE w:val="0"/>
        <w:autoSpaceDN w:val="0"/>
        <w:bidi w:val="0"/>
        <w:rPr>
          <w:rFonts w:hint="default"/>
          <w:color w:val="auto"/>
        </w:rPr>
      </w:pPr>
    </w:p>
    <w:tbl>
      <w:tblPr>
        <w:tblStyle w:val="204"/>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3880"/>
        <w:gridCol w:w="1"/>
        <w:gridCol w:w="2422"/>
        <w:gridCol w:w="1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restart"/>
            <w:tcBorders>
              <w:top w:val="single" w:color="000000" w:sz="12"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3880" w:type="dxa"/>
            <w:tcBorders>
              <w:top w:val="single" w:color="000000" w:sz="12"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中文名：天然气</w:t>
            </w:r>
          </w:p>
        </w:tc>
        <w:tc>
          <w:tcPr>
            <w:tcW w:w="4018" w:type="dxa"/>
            <w:gridSpan w:val="3"/>
            <w:tcBorders>
              <w:top w:val="single" w:color="000000" w:sz="12"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英文名：Naturalgas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危险性类别第2.1类易燃气体</w:t>
            </w:r>
          </w:p>
        </w:tc>
        <w:tc>
          <w:tcPr>
            <w:tcW w:w="2423"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危规号：21007UN</w:t>
            </w:r>
          </w:p>
        </w:tc>
        <w:tc>
          <w:tcPr>
            <w:tcW w:w="1595" w:type="dxa"/>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编号：1971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restart"/>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性状：无色、无臭气体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主要用途：是重要的有机化工原料，可用作制造炭黑、合成氨、甲醇以及其它有机化合物，亦是优良的燃料。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最大爆炸压力：(100kpa)：6.8</w:t>
            </w:r>
          </w:p>
        </w:tc>
        <w:tc>
          <w:tcPr>
            <w:tcW w:w="4018" w:type="dxa"/>
            <w:gridSpan w:val="3"/>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溶解性：溶于水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沸点/℃-160</w:t>
            </w:r>
          </w:p>
        </w:tc>
        <w:tc>
          <w:tcPr>
            <w:tcW w:w="4018" w:type="dxa"/>
            <w:gridSpan w:val="3"/>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相对密度：(水=1)约045(液化)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熔点/℃-182.5</w:t>
            </w:r>
          </w:p>
        </w:tc>
        <w:tc>
          <w:tcPr>
            <w:tcW w:w="4018" w:type="dxa"/>
            <w:gridSpan w:val="3"/>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相对密度：(空气=1)0.62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restart"/>
            <w:tcBorders>
              <w:top w:val="single" w:color="000000" w:sz="4"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燃烧热值(kj/mol)：803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1"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临界温度/℃：-82.6</w:t>
            </w:r>
          </w:p>
        </w:tc>
        <w:tc>
          <w:tcPr>
            <w:tcW w:w="4017" w:type="dxa"/>
            <w:gridSpan w:val="2"/>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临界压力/Mpa:4.62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restart"/>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3881"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燃烧性：易燃</w:t>
            </w:r>
          </w:p>
        </w:tc>
        <w:tc>
          <w:tcPr>
            <w:tcW w:w="4017" w:type="dxa"/>
            <w:gridSpan w:val="2"/>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燃烧分解产物：CO、CO2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1"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火灾危险行：甲</w:t>
            </w:r>
          </w:p>
        </w:tc>
        <w:tc>
          <w:tcPr>
            <w:tcW w:w="4017" w:type="dxa"/>
            <w:gridSpan w:val="2"/>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聚合危害不聚合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1"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爆炸极限5~14%</w:t>
            </w:r>
          </w:p>
        </w:tc>
        <w:tc>
          <w:tcPr>
            <w:tcW w:w="4017" w:type="dxa"/>
            <w:gridSpan w:val="2"/>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稳定性稳定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1"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引燃温度/℃482~632</w:t>
            </w:r>
          </w:p>
        </w:tc>
        <w:tc>
          <w:tcPr>
            <w:tcW w:w="4017" w:type="dxa"/>
            <w:gridSpan w:val="2"/>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禁忌物强氧化剂、卤素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3881" w:type="dxa"/>
            <w:gridSpan w:val="2"/>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最大爆炸压力/Mpa0.717</w:t>
            </w:r>
          </w:p>
        </w:tc>
        <w:tc>
          <w:tcPr>
            <w:tcW w:w="4017" w:type="dxa"/>
            <w:gridSpan w:val="2"/>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燃烧温度(℃)：2020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最小点火能(mj)：028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危险特性与空气混合能形成爆炸性混合物，遇明火、高热极易燃烧爆炸。与氟、氯等能发生剧烈的化学反应。其蒸气遇明火会引着回燃。若遇高热，容器内压增大，又开裂和爆炸的危险。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vMerge w:val="continue"/>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灭火方法切断气源。若不能立即切断气源，则不允许熄灭正在燃烧的气体，喷水冷却器，可能的话将容器从火场移至空旷处。雾状水、泡沫、二氧化碳。灭火器泡沫、干粉、二氧化碳、砂土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解除限制中国MAC：未制订标准；前苏联MAC；未制定标准美国TLV-TWA：未制定标准；美国TLV-STEL；未制定标准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对人体危害</w:t>
            </w: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侵入途径吸入</w:t>
            </w:r>
          </w:p>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健康危害急性中毒时，可有头昏、头痛、呕吐、乏力甚至昏迷。病程中尚可出现精神症状，步态不稳，昏迷过程久者，醒后可有运动性失语及偏瘫。长期接触天然气者，可出现神经衰弱综合征。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w:t>
            </w: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吸入脱离有毒环境，至空气新鲜处，给氧，对症治疗。注意防治脑水肿。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防护</w:t>
            </w: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控制密闭操作。提供良好的自然通风条件。呼吸系统防护；高浓度环境中，佩戴供气式呼吸器。眼睛防护：一般不需要特殊防护，高浓度接触时可戴化学安全防护眼睛。防护服：穿防静电工作服。手防护：必要时戴防护手套。其他工作现场严禁吸烟。避免高浓度吸入，进入灌或其他高浓度区作业，须有人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624" w:type="dxa"/>
            <w:tcBorders>
              <w:top w:val="single" w:color="000000" w:sz="4" w:space="0"/>
              <w:left w:val="single" w:color="000000" w:sz="12" w:space="0"/>
              <w:bottom w:val="single" w:color="000000" w:sz="4" w:space="0"/>
              <w:right w:val="single" w:color="000000" w:sz="4" w:space="0"/>
            </w:tcBorders>
            <w:textDirection w:val="tbRlV"/>
            <w:vAlign w:val="center"/>
          </w:tcPr>
          <w:p>
            <w:pPr>
              <w:pageBreakBefore w:val="0"/>
              <w:kinsoku/>
              <w:wordWrap/>
              <w:overflowPunct w:val="0"/>
              <w:topLinePunct/>
              <w:autoSpaceDE w:val="0"/>
              <w:autoSpaceDN w:val="0"/>
              <w:bidi w:val="0"/>
              <w:jc w:val="both"/>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泄露处理</w:t>
            </w:r>
          </w:p>
        </w:tc>
        <w:tc>
          <w:tcPr>
            <w:tcW w:w="7898" w:type="dxa"/>
            <w:gridSpan w:val="4"/>
            <w:tcBorders>
              <w:top w:val="single" w:color="000000" w:sz="4" w:space="0"/>
              <w:left w:val="single" w:color="000000" w:sz="4" w:space="0"/>
              <w:bottom w:val="single" w:color="000000" w:sz="4"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断火源。戴自给式呼吸器，穿一般消防防护服。合理通风，禁止泄露物进入受限制的空间(如下水道等)，以避免发生爆炸。切断气源，喷洒雾状水稀释，抽排(室内)或强力通风(室外)。漏气容器不能再用，且要经过技术处理以清除可能剩下的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24" w:type="dxa"/>
            <w:tcBorders>
              <w:top w:val="single" w:color="000000" w:sz="4" w:space="0"/>
              <w:left w:val="single" w:color="000000" w:sz="12" w:space="0"/>
              <w:bottom w:val="single" w:color="000000" w:sz="12" w:space="0"/>
              <w:right w:val="single" w:color="000000" w:sz="4" w:space="0"/>
            </w:tcBorders>
            <w:textDirection w:val="tbRlV"/>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w:t>
            </w:r>
          </w:p>
        </w:tc>
        <w:tc>
          <w:tcPr>
            <w:tcW w:w="7898" w:type="dxa"/>
            <w:gridSpan w:val="4"/>
            <w:tcBorders>
              <w:top w:val="single" w:color="000000" w:sz="4" w:space="0"/>
              <w:left w:val="single" w:color="000000" w:sz="4" w:space="0"/>
              <w:bottom w:val="single" w:color="000000" w:sz="12" w:space="0"/>
              <w:right w:val="single" w:color="000000" w:sz="12" w:space="0"/>
            </w:tcBorders>
            <w:vAlign w:val="center"/>
          </w:tcPr>
          <w:p>
            <w:pPr>
              <w:pageBreakBefore w:val="0"/>
              <w:kinsoku/>
              <w:wordWrap/>
              <w:overflowPunct w:val="0"/>
              <w:topLinePunct/>
              <w:autoSpaceDE w:val="0"/>
              <w:autoSpaceDN w:val="0"/>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压缩气体。储存于阴凉、干燥、通风良好的不燃库房。仓温不宜超过30℃。远离火种、热源。防止阳光直射。应与氧气、压缩空气、卤素(氟、氯、溴)、氧化剂等分开存放。储存间内的照明、通风等设施应采用防爆型。若是储罐存放，储罐区域要有禁火标志和防火防爆技术措施。禁止使用易产生火花的机械设备和工具。气罐车运送时要灌装适量，不可超压超量运输。搬运时轻装轻卸，防止钢瓶及附件破损。</w:t>
            </w:r>
          </w:p>
        </w:tc>
      </w:tr>
    </w:tbl>
    <w:p>
      <w:pPr>
        <w:keepNext w:val="0"/>
        <w:keepLines w:val="0"/>
        <w:pageBreakBefore w:val="0"/>
        <w:kinsoku/>
        <w:wordWrap/>
        <w:overflowPunct w:val="0"/>
        <w:topLinePunct/>
        <w:autoSpaceDE w:val="0"/>
        <w:autoSpaceDN w:val="0"/>
        <w:bidi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2、生产设施风险识别</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项目不设天然气储存设施，由园区天然气有限公司提供，通过管道输送。天然气管网出现的潜在风险主要有：管道接头、阀门、法兰等处腐蚀穿孔，导致泄漏，遇着火源时可能进一步引发火灾、爆炸等事故。</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3、影响环境途径分析</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天然气属易燃易爆物质，天然气泄露后，遇着火源易发生爆炸事故，可进一步引发火灾事故。除爆炸危害外，天然气泄漏可能对周边环境带来不利影响。</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本项目天然气接至厂外管网，经减压阀调压后，供给用户，管线进出建构筑物、设备连接处均设有电动控制阀门，室内设有检测报警装置，并与阀门连锁控制，因此，因管线破裂、接头泄露等造成的天然气泄漏量相对较小，造成的危害范围相对较小。</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4、环境风险分析</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本项目天然气采用管道输送，结合生产工艺、设备和相关项目在生产过程中可能发生的意外事故，以及项目区环境的特点，本项目环境风险的主要事故为天然气泄漏事故。天然气泄漏事故主要为泄露的天然气对大气环境影响。此外废气处理装置发生事故排放，也会对周边环境造成影响。</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0" w:firstLineChars="200"/>
        <w:jc w:val="left"/>
        <w:textAlignment w:val="baseline"/>
        <w:outlineLvl w:val="3"/>
        <w:rPr>
          <w:rFonts w:hint="default" w:ascii="Times New Roman" w:hAnsi="Times New Roman" w:eastAsia="宋体" w:cs="Times New Roman"/>
          <w:b/>
          <w:bCs/>
          <w:snapToGrid w:val="0"/>
          <w:color w:val="auto"/>
          <w:spacing w:val="7"/>
          <w:kern w:val="0"/>
          <w:sz w:val="24"/>
          <w:szCs w:val="24"/>
          <w:u w:val="none" w:color="auto"/>
        </w:rPr>
      </w:pPr>
      <w:r>
        <w:rPr>
          <w:rFonts w:hint="default" w:ascii="Times New Roman" w:hAnsi="Times New Roman" w:eastAsia="宋体" w:cs="Times New Roman"/>
          <w:b/>
          <w:bCs/>
          <w:snapToGrid w:val="0"/>
          <w:color w:val="auto"/>
          <w:spacing w:val="7"/>
          <w:kern w:val="0"/>
          <w:sz w:val="24"/>
          <w:szCs w:val="24"/>
          <w:u w:val="none" w:color="auto"/>
        </w:rPr>
        <w:t>5.2.</w:t>
      </w:r>
      <w:r>
        <w:rPr>
          <w:rFonts w:hint="eastAsia" w:ascii="Times New Roman" w:hAnsi="Times New Roman" w:eastAsia="宋体" w:cs="Times New Roman"/>
          <w:b/>
          <w:bCs/>
          <w:snapToGrid w:val="0"/>
          <w:color w:val="auto"/>
          <w:spacing w:val="7"/>
          <w:kern w:val="0"/>
          <w:sz w:val="24"/>
          <w:szCs w:val="24"/>
          <w:u w:val="none" w:color="auto"/>
          <w:lang w:val="en-US" w:eastAsia="zh-CN"/>
        </w:rPr>
        <w:t>7</w:t>
      </w:r>
      <w:r>
        <w:rPr>
          <w:rFonts w:hint="default" w:ascii="Times New Roman" w:hAnsi="Times New Roman" w:eastAsia="宋体" w:cs="Times New Roman"/>
          <w:b/>
          <w:bCs/>
          <w:snapToGrid w:val="0"/>
          <w:color w:val="auto"/>
          <w:spacing w:val="7"/>
          <w:kern w:val="0"/>
          <w:sz w:val="24"/>
          <w:szCs w:val="24"/>
          <w:u w:val="none" w:color="auto"/>
        </w:rPr>
        <w:t>.6大气风险事故影响分析</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(1)废气处理设施故障</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本项目废气事故排放有两种可能。一是生产线抽风系统如果发生故障，会造成生产线大气污染物无法有效抽出，导致无组织排放量增加；二是废气处理装置，如停止工作或者处理效率降低，废气未经处理直接排放或处理效率达不到要求。</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根据工程分析可知，项目废气处理设施正常运行时，项目排放的废气污染物浓度较低，对周围环境空气质量影响不大。若项目废气处理设施故障，各项废气污染物排放浓度增加，对周围环境空气不利影响会显著增大。</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建设单位必须在日常生产过程中加强对废气处理设施的管理，保证废气处理设施正常运行，杜绝事故排放发生。当废气处理设施出现故障不能正常运行时，应立即停止生产进行维修，避免对周围环境空气造成进一步污染。</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(2)天然气泄漏事故</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项目运行期间厂区天然气管道发生天然气泄露，遇明火将发生火灾爆炸事故，对周边的环境造成较大的影响。天然气泄露事故可能会对周围人群健康造成危害，对周边的环境空气、生态造成污染。发生火灾对环境的污染影响主要来自燃烧释放的大量的有害气体，在正常情况下，空气的组成主要有氮气、氧气、氩气、二氧化碳及氢、氖、O</w:t>
      </w:r>
      <w:r>
        <w:rPr>
          <w:rFonts w:hint="default" w:ascii="Times New Roman" w:hAnsi="Times New Roman" w:eastAsia="宋体" w:cs="Times New Roman"/>
          <w:snapToGrid w:val="0"/>
          <w:color w:val="auto"/>
          <w:spacing w:val="7"/>
          <w:kern w:val="0"/>
          <w:sz w:val="24"/>
          <w:szCs w:val="24"/>
          <w:u w:val="none" w:color="auto"/>
          <w:vertAlign w:val="subscript"/>
        </w:rPr>
        <w:t>3</w:t>
      </w:r>
      <w:r>
        <w:rPr>
          <w:rFonts w:hint="default" w:ascii="Times New Roman" w:hAnsi="Times New Roman" w:eastAsia="宋体" w:cs="Times New Roman"/>
          <w:snapToGrid w:val="0"/>
          <w:color w:val="auto"/>
          <w:spacing w:val="7"/>
          <w:kern w:val="0"/>
          <w:sz w:val="24"/>
          <w:szCs w:val="24"/>
          <w:u w:val="none" w:color="auto"/>
        </w:rPr>
        <w:t>、氪、氙和尘等，而火灾所产生烟雾的成分主要为二氧化碳和水蒸汽，这两种物质约占所有烟雾的90%~95%；另外还有丙烯、CO、碳氢化合物及微粒物质等，约占5%~l0%，对环境和人体健康产生较大危害是CO、烟尘等有害物质。CO产生量相对较大，危害也较大，CO的浓度过高或持续时间过长都会使人窒息或死亡。一般情况下，火场附近的CO的浓度较高(浓度可达0.02%)，而距火场30m处，CO的浓度逐渐降低(0.001%)。因此，近距离靠近火场会有造成CO中毒的危险。在火场之外的空间内，由于新鲜空气与烟雾之间的对流，烟的浓度被稀释，对人体的伤害较小。因此，火灾发生时将不可避免的对厂区内人员安全与生产设施产生不利影响，但通过大气扩散，火灾发生时有害气体的浓度会得到有效的扩散与稀释，对周围环境空气质量只产生暂时性影响，烟气在短时间内会造成周围环境空气质量一定程度的恶化，但不会对人体健康造成损害。</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spacing w:val="7"/>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建设单位必须在日常生产过程中加强对天然气管道的管理，杜绝火灾事故发生。当发生天然气火灾时，应立即疏散周边人群，及时进行消防，将环境风险影响降低。</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0" w:firstLineChars="200"/>
        <w:jc w:val="left"/>
        <w:textAlignment w:val="baseline"/>
        <w:outlineLvl w:val="3"/>
        <w:rPr>
          <w:rFonts w:hint="default" w:ascii="Times New Roman" w:hAnsi="Times New Roman" w:eastAsia="宋体" w:cs="Times New Roman"/>
          <w:b/>
          <w:bCs/>
          <w:snapToGrid w:val="0"/>
          <w:color w:val="auto"/>
          <w:spacing w:val="7"/>
          <w:kern w:val="0"/>
          <w:sz w:val="24"/>
          <w:szCs w:val="24"/>
          <w:u w:val="none" w:color="auto"/>
        </w:rPr>
      </w:pPr>
      <w:r>
        <w:rPr>
          <w:rFonts w:hint="default" w:ascii="Times New Roman" w:hAnsi="Times New Roman" w:eastAsia="宋体" w:cs="Times New Roman"/>
          <w:b/>
          <w:bCs/>
          <w:snapToGrid w:val="0"/>
          <w:color w:val="auto"/>
          <w:spacing w:val="7"/>
          <w:kern w:val="0"/>
          <w:sz w:val="24"/>
          <w:szCs w:val="24"/>
          <w:u w:val="none" w:color="auto"/>
        </w:rPr>
        <w:t>5.2.</w:t>
      </w:r>
      <w:r>
        <w:rPr>
          <w:rFonts w:hint="eastAsia" w:ascii="Times New Roman" w:hAnsi="Times New Roman" w:eastAsia="宋体" w:cs="Times New Roman"/>
          <w:b/>
          <w:bCs/>
          <w:snapToGrid w:val="0"/>
          <w:color w:val="auto"/>
          <w:spacing w:val="7"/>
          <w:kern w:val="0"/>
          <w:sz w:val="24"/>
          <w:szCs w:val="24"/>
          <w:u w:val="none" w:color="auto"/>
          <w:lang w:val="en-US" w:eastAsia="zh-CN"/>
        </w:rPr>
        <w:t>7</w:t>
      </w:r>
      <w:r>
        <w:rPr>
          <w:rFonts w:hint="default" w:ascii="Times New Roman" w:hAnsi="Times New Roman" w:eastAsia="宋体" w:cs="Times New Roman"/>
          <w:b/>
          <w:bCs/>
          <w:snapToGrid w:val="0"/>
          <w:color w:val="auto"/>
          <w:spacing w:val="7"/>
          <w:kern w:val="0"/>
          <w:sz w:val="24"/>
          <w:szCs w:val="24"/>
          <w:u w:val="none" w:color="auto"/>
        </w:rPr>
        <w:t>.7水环境风险事故</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0"/>
          <w:kern w:val="0"/>
          <w:sz w:val="24"/>
          <w:szCs w:val="24"/>
          <w:u w:val="none" w:color="auto"/>
        </w:rPr>
        <w:t>本项目生产废水</w:t>
      </w:r>
      <w:r>
        <w:rPr>
          <w:rFonts w:hint="eastAsia" w:ascii="Times New Roman" w:hAnsi="Times New Roman" w:eastAsia="宋体" w:cs="Times New Roman"/>
          <w:snapToGrid w:val="0"/>
          <w:color w:val="auto"/>
          <w:spacing w:val="10"/>
          <w:kern w:val="0"/>
          <w:sz w:val="24"/>
          <w:szCs w:val="24"/>
          <w:u w:val="none" w:color="auto"/>
          <w:lang w:eastAsia="zh-CN"/>
        </w:rPr>
        <w:t>和</w:t>
      </w:r>
      <w:r>
        <w:rPr>
          <w:rFonts w:hint="default" w:ascii="Times New Roman" w:hAnsi="Times New Roman" w:eastAsia="宋体" w:cs="Times New Roman"/>
          <w:snapToGrid w:val="0"/>
          <w:color w:val="auto"/>
          <w:spacing w:val="10"/>
          <w:kern w:val="0"/>
          <w:sz w:val="24"/>
          <w:szCs w:val="24"/>
          <w:u w:val="none" w:color="auto"/>
        </w:rPr>
        <w:t>生活污水经处</w:t>
      </w:r>
      <w:r>
        <w:rPr>
          <w:rFonts w:hint="default" w:ascii="Times New Roman" w:hAnsi="Times New Roman" w:eastAsia="宋体" w:cs="Times New Roman"/>
          <w:snapToGrid w:val="0"/>
          <w:color w:val="auto"/>
          <w:spacing w:val="6"/>
          <w:kern w:val="0"/>
          <w:sz w:val="24"/>
          <w:szCs w:val="24"/>
          <w:u w:val="none" w:color="auto"/>
        </w:rPr>
        <w:t>理</w:t>
      </w:r>
      <w:r>
        <w:rPr>
          <w:rFonts w:hint="default" w:ascii="Times New Roman" w:hAnsi="Times New Roman" w:eastAsia="宋体" w:cs="Times New Roman"/>
          <w:snapToGrid w:val="0"/>
          <w:color w:val="auto"/>
          <w:spacing w:val="9"/>
          <w:kern w:val="0"/>
          <w:sz w:val="24"/>
          <w:szCs w:val="24"/>
          <w:u w:val="none" w:color="auto"/>
        </w:rPr>
        <w:t>后</w:t>
      </w:r>
      <w:r>
        <w:rPr>
          <w:rFonts w:hint="default" w:ascii="Times New Roman" w:hAnsi="Times New Roman" w:eastAsia="宋体" w:cs="Times New Roman"/>
          <w:snapToGrid w:val="0"/>
          <w:color w:val="auto"/>
          <w:spacing w:val="7"/>
          <w:kern w:val="0"/>
          <w:sz w:val="24"/>
          <w:szCs w:val="24"/>
          <w:u w:val="none" w:color="auto"/>
        </w:rPr>
        <w:t>进湖南三峡环境临港水质净化厂处理；根据雨水管网规划，屋面及路面雨水经雨水管道收集</w:t>
      </w:r>
      <w:r>
        <w:rPr>
          <w:rFonts w:hint="default" w:ascii="Times New Roman" w:hAnsi="Times New Roman" w:eastAsia="宋体" w:cs="Times New Roman"/>
          <w:snapToGrid w:val="0"/>
          <w:color w:val="auto"/>
          <w:spacing w:val="9"/>
          <w:kern w:val="0"/>
          <w:sz w:val="24"/>
          <w:szCs w:val="24"/>
          <w:u w:val="none" w:color="auto"/>
        </w:rPr>
        <w:t>后</w:t>
      </w:r>
      <w:r>
        <w:rPr>
          <w:rFonts w:hint="default" w:ascii="Times New Roman" w:hAnsi="Times New Roman" w:eastAsia="宋体" w:cs="Times New Roman"/>
          <w:snapToGrid w:val="0"/>
          <w:color w:val="auto"/>
          <w:spacing w:val="7"/>
          <w:kern w:val="0"/>
          <w:sz w:val="24"/>
          <w:szCs w:val="24"/>
          <w:u w:val="none" w:color="auto"/>
        </w:rPr>
        <w:t>排至园区雨水管网最终排至</w:t>
      </w:r>
      <w:r>
        <w:rPr>
          <w:rFonts w:hint="eastAsia" w:ascii="Times New Roman" w:hAnsi="Times New Roman" w:eastAsia="宋体" w:cs="Times New Roman"/>
          <w:snapToGrid w:val="0"/>
          <w:color w:val="auto"/>
          <w:spacing w:val="7"/>
          <w:kern w:val="0"/>
          <w:sz w:val="24"/>
          <w:szCs w:val="24"/>
          <w:u w:val="none" w:color="auto"/>
          <w:lang w:eastAsia="zh-CN"/>
        </w:rPr>
        <w:t>附近水体</w:t>
      </w:r>
      <w:r>
        <w:rPr>
          <w:rFonts w:hint="default" w:ascii="Times New Roman" w:hAnsi="Times New Roman" w:eastAsia="宋体" w:cs="Times New Roman"/>
          <w:snapToGrid w:val="0"/>
          <w:color w:val="auto"/>
          <w:spacing w:val="7"/>
          <w:kern w:val="0"/>
          <w:sz w:val="24"/>
          <w:szCs w:val="24"/>
          <w:u w:val="none" w:color="auto"/>
        </w:rPr>
        <w:t>。发生火灾爆炸事故后，火灾产生的消防废</w:t>
      </w:r>
      <w:r>
        <w:rPr>
          <w:rFonts w:hint="default" w:ascii="Times New Roman" w:hAnsi="Times New Roman" w:eastAsia="宋体" w:cs="Times New Roman"/>
          <w:snapToGrid w:val="0"/>
          <w:color w:val="auto"/>
          <w:spacing w:val="16"/>
          <w:kern w:val="0"/>
          <w:sz w:val="24"/>
          <w:szCs w:val="24"/>
          <w:u w:val="none" w:color="auto"/>
        </w:rPr>
        <w:t>水若</w:t>
      </w:r>
      <w:r>
        <w:rPr>
          <w:rFonts w:hint="default" w:ascii="Times New Roman" w:hAnsi="Times New Roman" w:eastAsia="宋体" w:cs="Times New Roman"/>
          <w:snapToGrid w:val="0"/>
          <w:color w:val="auto"/>
          <w:spacing w:val="12"/>
          <w:kern w:val="0"/>
          <w:sz w:val="24"/>
          <w:szCs w:val="24"/>
          <w:u w:val="none" w:color="auto"/>
        </w:rPr>
        <w:t>不</w:t>
      </w:r>
      <w:r>
        <w:rPr>
          <w:rFonts w:hint="default" w:ascii="Times New Roman" w:hAnsi="Times New Roman" w:eastAsia="宋体" w:cs="Times New Roman"/>
          <w:snapToGrid w:val="0"/>
          <w:color w:val="auto"/>
          <w:spacing w:val="8"/>
          <w:kern w:val="0"/>
          <w:sz w:val="24"/>
          <w:szCs w:val="24"/>
          <w:u w:val="none" w:color="auto"/>
        </w:rPr>
        <w:t>及时处理或采取的措施不当，极有可能通过雨水管网进入周边的地表水、</w:t>
      </w:r>
      <w:r>
        <w:rPr>
          <w:rFonts w:hint="default" w:ascii="Times New Roman" w:hAnsi="Times New Roman" w:eastAsia="宋体" w:cs="Times New Roman"/>
          <w:snapToGrid w:val="0"/>
          <w:color w:val="auto"/>
          <w:spacing w:val="14"/>
          <w:kern w:val="0"/>
          <w:sz w:val="24"/>
          <w:szCs w:val="24"/>
          <w:u w:val="none" w:color="auto"/>
        </w:rPr>
        <w:t>地</w:t>
      </w:r>
      <w:r>
        <w:rPr>
          <w:rFonts w:hint="default" w:ascii="Times New Roman" w:hAnsi="Times New Roman" w:eastAsia="宋体" w:cs="Times New Roman"/>
          <w:snapToGrid w:val="0"/>
          <w:color w:val="auto"/>
          <w:spacing w:val="8"/>
          <w:kern w:val="0"/>
          <w:sz w:val="24"/>
          <w:szCs w:val="24"/>
          <w:u w:val="none" w:color="auto"/>
        </w:rPr>
        <w:t>下水，对其产生不良影响。</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在发生风险事故的情况下，事故废水主要指初期雨水和消防废水。由于设</w:t>
      </w:r>
      <w:r>
        <w:rPr>
          <w:rFonts w:hint="default" w:ascii="Times New Roman" w:hAnsi="Times New Roman" w:eastAsia="宋体" w:cs="Times New Roman"/>
          <w:snapToGrid w:val="0"/>
          <w:color w:val="auto"/>
          <w:spacing w:val="3"/>
          <w:kern w:val="0"/>
          <w:sz w:val="24"/>
          <w:szCs w:val="24"/>
          <w:u w:val="none" w:color="auto"/>
        </w:rPr>
        <w:t>备</w:t>
      </w:r>
      <w:r>
        <w:rPr>
          <w:rFonts w:hint="default" w:ascii="Times New Roman" w:hAnsi="Times New Roman" w:eastAsia="宋体" w:cs="Times New Roman"/>
          <w:snapToGrid w:val="0"/>
          <w:color w:val="auto"/>
          <w:spacing w:val="7"/>
          <w:kern w:val="0"/>
          <w:sz w:val="24"/>
          <w:szCs w:val="24"/>
          <w:u w:val="none" w:color="auto"/>
        </w:rPr>
        <w:t>的跑冒滴漏等原因，生产区地面上不可避免的含有物料，遇雨时会将随雨水通</w:t>
      </w:r>
      <w:r>
        <w:rPr>
          <w:rFonts w:hint="default" w:ascii="Times New Roman" w:hAnsi="Times New Roman" w:eastAsia="宋体" w:cs="Times New Roman"/>
          <w:snapToGrid w:val="0"/>
          <w:color w:val="auto"/>
          <w:spacing w:val="5"/>
          <w:kern w:val="0"/>
          <w:sz w:val="24"/>
          <w:szCs w:val="24"/>
          <w:u w:val="none" w:color="auto"/>
        </w:rPr>
        <w:t>过</w:t>
      </w:r>
      <w:r>
        <w:rPr>
          <w:rFonts w:hint="default" w:ascii="Times New Roman" w:hAnsi="Times New Roman" w:eastAsia="宋体" w:cs="Times New Roman"/>
          <w:snapToGrid w:val="0"/>
          <w:color w:val="auto"/>
          <w:spacing w:val="7"/>
          <w:kern w:val="0"/>
          <w:sz w:val="24"/>
          <w:szCs w:val="24"/>
          <w:u w:val="none" w:color="auto"/>
        </w:rPr>
        <w:t>雨水管线外排至园区雨水管网，对后续处理水质造成一定的影响；另一方面，</w:t>
      </w:r>
      <w:r>
        <w:rPr>
          <w:rFonts w:hint="default" w:ascii="Times New Roman" w:hAnsi="Times New Roman" w:eastAsia="宋体" w:cs="Times New Roman"/>
          <w:snapToGrid w:val="0"/>
          <w:color w:val="auto"/>
          <w:spacing w:val="5"/>
          <w:kern w:val="0"/>
          <w:sz w:val="24"/>
          <w:szCs w:val="24"/>
          <w:u w:val="none" w:color="auto"/>
        </w:rPr>
        <w:t>在</w:t>
      </w:r>
      <w:r>
        <w:rPr>
          <w:rFonts w:hint="default" w:ascii="Times New Roman" w:hAnsi="Times New Roman" w:eastAsia="宋体" w:cs="Times New Roman"/>
          <w:snapToGrid w:val="0"/>
          <w:color w:val="auto"/>
          <w:spacing w:val="7"/>
          <w:kern w:val="0"/>
          <w:sz w:val="24"/>
          <w:szCs w:val="24"/>
          <w:u w:val="none" w:color="auto"/>
        </w:rPr>
        <w:t>设计中消防废水是通过雨水管线进行收集，在发生爆炸火灾事故的时候，生产</w:t>
      </w:r>
      <w:r>
        <w:rPr>
          <w:rFonts w:hint="default" w:ascii="Times New Roman" w:hAnsi="Times New Roman" w:eastAsia="宋体" w:cs="Times New Roman"/>
          <w:snapToGrid w:val="0"/>
          <w:color w:val="auto"/>
          <w:spacing w:val="5"/>
          <w:kern w:val="0"/>
          <w:sz w:val="24"/>
          <w:szCs w:val="24"/>
          <w:u w:val="none" w:color="auto"/>
        </w:rPr>
        <w:t>装</w:t>
      </w:r>
      <w:r>
        <w:rPr>
          <w:rFonts w:hint="default" w:ascii="Times New Roman" w:hAnsi="Times New Roman" w:eastAsia="宋体" w:cs="Times New Roman"/>
          <w:snapToGrid w:val="0"/>
          <w:color w:val="auto"/>
          <w:spacing w:val="18"/>
          <w:kern w:val="0"/>
          <w:sz w:val="24"/>
          <w:szCs w:val="24"/>
          <w:u w:val="none" w:color="auto"/>
        </w:rPr>
        <w:t>置</w:t>
      </w:r>
      <w:r>
        <w:rPr>
          <w:rFonts w:hint="default" w:ascii="Times New Roman" w:hAnsi="Times New Roman" w:eastAsia="宋体" w:cs="Times New Roman"/>
          <w:snapToGrid w:val="0"/>
          <w:color w:val="auto"/>
          <w:spacing w:val="11"/>
          <w:kern w:val="0"/>
          <w:sz w:val="24"/>
          <w:szCs w:val="24"/>
          <w:u w:val="none" w:color="auto"/>
        </w:rPr>
        <w:t>区</w:t>
      </w:r>
      <w:r>
        <w:rPr>
          <w:rFonts w:hint="default" w:ascii="Times New Roman" w:hAnsi="Times New Roman" w:eastAsia="宋体" w:cs="Times New Roman"/>
          <w:snapToGrid w:val="0"/>
          <w:color w:val="auto"/>
          <w:spacing w:val="9"/>
          <w:kern w:val="0"/>
          <w:sz w:val="24"/>
          <w:szCs w:val="24"/>
          <w:u w:val="none" w:color="auto"/>
        </w:rPr>
        <w:t>的物料极有可能进入消防水中，并随消防水进入雨水收集池。</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96"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4"/>
          <w:kern w:val="0"/>
          <w:sz w:val="24"/>
          <w:szCs w:val="24"/>
          <w:u w:val="none" w:color="auto"/>
        </w:rPr>
        <w:t>事故废水量参考中国</w:t>
      </w:r>
      <w:r>
        <w:rPr>
          <w:rFonts w:hint="default" w:ascii="Times New Roman" w:hAnsi="Times New Roman" w:eastAsia="宋体" w:cs="Times New Roman"/>
          <w:snapToGrid w:val="0"/>
          <w:color w:val="auto"/>
          <w:spacing w:val="3"/>
          <w:kern w:val="0"/>
          <w:sz w:val="24"/>
          <w:szCs w:val="24"/>
          <w:u w:val="none" w:color="auto"/>
        </w:rPr>
        <w:t>石</w:t>
      </w:r>
      <w:r>
        <w:rPr>
          <w:rFonts w:hint="default" w:ascii="Times New Roman" w:hAnsi="Times New Roman" w:eastAsia="宋体" w:cs="Times New Roman"/>
          <w:snapToGrid w:val="0"/>
          <w:color w:val="auto"/>
          <w:spacing w:val="2"/>
          <w:kern w:val="0"/>
          <w:sz w:val="24"/>
          <w:szCs w:val="24"/>
          <w:u w:val="none" w:color="auto"/>
        </w:rPr>
        <w:t>化建标〔2006﹞43号《关于印发&lt;水体污染防控紧急</w:t>
      </w:r>
      <w:r>
        <w:rPr>
          <w:rFonts w:hint="default" w:ascii="Times New Roman" w:hAnsi="Times New Roman" w:eastAsia="宋体" w:cs="Times New Roman"/>
          <w:snapToGrid w:val="0"/>
          <w:color w:val="auto"/>
          <w:spacing w:val="10"/>
          <w:kern w:val="0"/>
          <w:sz w:val="24"/>
          <w:szCs w:val="24"/>
          <w:u w:val="none" w:color="auto"/>
        </w:rPr>
        <w:t>措</w:t>
      </w:r>
      <w:r>
        <w:rPr>
          <w:rFonts w:hint="default" w:ascii="Times New Roman" w:hAnsi="Times New Roman" w:eastAsia="宋体" w:cs="Times New Roman"/>
          <w:snapToGrid w:val="0"/>
          <w:color w:val="auto"/>
          <w:spacing w:val="9"/>
          <w:kern w:val="0"/>
          <w:sz w:val="24"/>
          <w:szCs w:val="24"/>
          <w:u w:val="none" w:color="auto"/>
        </w:rPr>
        <w:t>施设计导则&gt;的通知》中计算公式确定。具体公式如下：</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position w:val="1"/>
          <w:sz w:val="24"/>
          <w:szCs w:val="24"/>
          <w:u w:val="none" w:color="auto"/>
        </w:rPr>
        <w:t>V</w:t>
      </w:r>
      <w:r>
        <w:rPr>
          <w:rFonts w:hint="default" w:ascii="Times New Roman" w:hAnsi="Times New Roman" w:eastAsia="宋体" w:cs="Times New Roman"/>
          <w:snapToGrid w:val="0"/>
          <w:color w:val="auto"/>
          <w:spacing w:val="4"/>
          <w:kern w:val="0"/>
          <w:position w:val="1"/>
          <w:sz w:val="24"/>
          <w:szCs w:val="24"/>
          <w:u w:val="none" w:color="auto"/>
        </w:rPr>
        <w:t>总=(</w:t>
      </w:r>
      <w:r>
        <w:rPr>
          <w:rFonts w:hint="default" w:ascii="Times New Roman" w:hAnsi="Times New Roman" w:eastAsia="宋体" w:cs="Times New Roman"/>
          <w:snapToGrid w:val="0"/>
          <w:color w:val="auto"/>
          <w:kern w:val="0"/>
          <w:position w:val="1"/>
          <w:sz w:val="24"/>
          <w:szCs w:val="24"/>
          <w:u w:val="none" w:color="auto"/>
        </w:rPr>
        <w:t>V</w:t>
      </w:r>
      <w:r>
        <w:rPr>
          <w:rFonts w:hint="default" w:ascii="Times New Roman" w:hAnsi="Times New Roman" w:eastAsia="宋体" w:cs="Times New Roman"/>
          <w:snapToGrid w:val="0"/>
          <w:color w:val="auto"/>
          <w:spacing w:val="4"/>
          <w:kern w:val="0"/>
          <w:sz w:val="24"/>
          <w:szCs w:val="24"/>
          <w:u w:val="none" w:color="auto"/>
        </w:rPr>
        <w:t>1</w:t>
      </w:r>
      <w:r>
        <w:rPr>
          <w:rFonts w:hint="default" w:ascii="Times New Roman" w:hAnsi="Times New Roman" w:eastAsia="宋体" w:cs="Times New Roman"/>
          <w:snapToGrid w:val="0"/>
          <w:color w:val="auto"/>
          <w:spacing w:val="4"/>
          <w:kern w:val="0"/>
          <w:position w:val="1"/>
          <w:sz w:val="24"/>
          <w:szCs w:val="24"/>
          <w:u w:val="none" w:color="auto"/>
        </w:rPr>
        <w:t>+</w:t>
      </w:r>
      <w:r>
        <w:rPr>
          <w:rFonts w:hint="default" w:ascii="Times New Roman" w:hAnsi="Times New Roman" w:eastAsia="宋体" w:cs="Times New Roman"/>
          <w:snapToGrid w:val="0"/>
          <w:color w:val="auto"/>
          <w:kern w:val="0"/>
          <w:position w:val="1"/>
          <w:sz w:val="24"/>
          <w:szCs w:val="24"/>
          <w:u w:val="none" w:color="auto"/>
        </w:rPr>
        <w:t>V</w:t>
      </w:r>
      <w:r>
        <w:rPr>
          <w:rFonts w:hint="default" w:ascii="Times New Roman" w:hAnsi="Times New Roman" w:eastAsia="宋体" w:cs="Times New Roman"/>
          <w:snapToGrid w:val="0"/>
          <w:color w:val="auto"/>
          <w:spacing w:val="4"/>
          <w:kern w:val="0"/>
          <w:sz w:val="24"/>
          <w:szCs w:val="24"/>
          <w:u w:val="none" w:color="auto"/>
        </w:rPr>
        <w:t>2</w:t>
      </w:r>
      <w:r>
        <w:rPr>
          <w:rFonts w:hint="default" w:ascii="Times New Roman" w:hAnsi="Times New Roman" w:eastAsia="宋体" w:cs="Times New Roman"/>
          <w:snapToGrid w:val="0"/>
          <w:color w:val="auto"/>
          <w:spacing w:val="4"/>
          <w:kern w:val="0"/>
          <w:position w:val="1"/>
          <w:sz w:val="24"/>
          <w:szCs w:val="24"/>
          <w:u w:val="none" w:color="auto"/>
        </w:rPr>
        <w:t>-</w:t>
      </w:r>
      <w:r>
        <w:rPr>
          <w:rFonts w:hint="default" w:ascii="Times New Roman" w:hAnsi="Times New Roman" w:eastAsia="宋体" w:cs="Times New Roman"/>
          <w:snapToGrid w:val="0"/>
          <w:color w:val="auto"/>
          <w:kern w:val="0"/>
          <w:position w:val="1"/>
          <w:sz w:val="24"/>
          <w:szCs w:val="24"/>
          <w:u w:val="none" w:color="auto"/>
        </w:rPr>
        <w:t>V</w:t>
      </w:r>
      <w:r>
        <w:rPr>
          <w:rFonts w:hint="default" w:ascii="Times New Roman" w:hAnsi="Times New Roman" w:eastAsia="宋体" w:cs="Times New Roman"/>
          <w:snapToGrid w:val="0"/>
          <w:color w:val="auto"/>
          <w:spacing w:val="4"/>
          <w:kern w:val="0"/>
          <w:sz w:val="24"/>
          <w:szCs w:val="24"/>
          <w:u w:val="none" w:color="auto"/>
        </w:rPr>
        <w:t>3</w:t>
      </w:r>
      <w:r>
        <w:rPr>
          <w:rFonts w:hint="default" w:ascii="Times New Roman" w:hAnsi="Times New Roman" w:eastAsia="宋体" w:cs="Times New Roman"/>
          <w:snapToGrid w:val="0"/>
          <w:color w:val="auto"/>
          <w:spacing w:val="4"/>
          <w:kern w:val="0"/>
          <w:position w:val="1"/>
          <w:sz w:val="24"/>
          <w:szCs w:val="24"/>
          <w:u w:val="none" w:color="auto"/>
        </w:rPr>
        <w:t>)+</w:t>
      </w:r>
      <w:r>
        <w:rPr>
          <w:rFonts w:hint="default" w:ascii="Times New Roman" w:hAnsi="Times New Roman" w:eastAsia="宋体" w:cs="Times New Roman"/>
          <w:snapToGrid w:val="0"/>
          <w:color w:val="auto"/>
          <w:kern w:val="0"/>
          <w:position w:val="1"/>
          <w:sz w:val="24"/>
          <w:szCs w:val="24"/>
          <w:u w:val="none" w:color="auto"/>
        </w:rPr>
        <w:t>V</w:t>
      </w:r>
      <w:r>
        <w:rPr>
          <w:rFonts w:hint="default" w:ascii="Times New Roman" w:hAnsi="Times New Roman" w:eastAsia="宋体" w:cs="Times New Roman"/>
          <w:snapToGrid w:val="0"/>
          <w:color w:val="auto"/>
          <w:spacing w:val="4"/>
          <w:kern w:val="0"/>
          <w:sz w:val="24"/>
          <w:szCs w:val="24"/>
          <w:u w:val="none" w:color="auto"/>
        </w:rPr>
        <w:t>4</w:t>
      </w:r>
      <w:r>
        <w:rPr>
          <w:rFonts w:hint="default" w:ascii="Times New Roman" w:hAnsi="Times New Roman" w:eastAsia="宋体" w:cs="Times New Roman"/>
          <w:snapToGrid w:val="0"/>
          <w:color w:val="auto"/>
          <w:spacing w:val="4"/>
          <w:kern w:val="0"/>
          <w:position w:val="1"/>
          <w:sz w:val="24"/>
          <w:szCs w:val="24"/>
          <w:u w:val="none" w:color="auto"/>
        </w:rPr>
        <w:t>+</w:t>
      </w:r>
      <w:r>
        <w:rPr>
          <w:rFonts w:hint="default" w:ascii="Times New Roman" w:hAnsi="Times New Roman" w:eastAsia="宋体" w:cs="Times New Roman"/>
          <w:snapToGrid w:val="0"/>
          <w:color w:val="auto"/>
          <w:kern w:val="0"/>
          <w:position w:val="1"/>
          <w:sz w:val="24"/>
          <w:szCs w:val="24"/>
          <w:u w:val="none" w:color="auto"/>
        </w:rPr>
        <w:t>V</w:t>
      </w:r>
      <w:r>
        <w:rPr>
          <w:rFonts w:hint="default" w:ascii="Times New Roman" w:hAnsi="Times New Roman" w:eastAsia="宋体" w:cs="Times New Roman"/>
          <w:snapToGrid w:val="0"/>
          <w:color w:val="auto"/>
          <w:spacing w:val="4"/>
          <w:kern w:val="0"/>
          <w:sz w:val="24"/>
          <w:szCs w:val="24"/>
          <w:u w:val="none" w:color="auto"/>
        </w:rPr>
        <w:t>5</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6"/>
          <w:kern w:val="0"/>
          <w:sz w:val="24"/>
          <w:szCs w:val="24"/>
          <w:u w:val="none" w:color="auto"/>
        </w:rPr>
        <w:t>式</w:t>
      </w:r>
      <w:r>
        <w:rPr>
          <w:rFonts w:hint="default" w:ascii="Times New Roman" w:hAnsi="Times New Roman" w:eastAsia="宋体" w:cs="Times New Roman"/>
          <w:snapToGrid w:val="0"/>
          <w:color w:val="auto"/>
          <w:spacing w:val="11"/>
          <w:kern w:val="0"/>
          <w:sz w:val="24"/>
          <w:szCs w:val="24"/>
          <w:u w:val="none" w:color="auto"/>
        </w:rPr>
        <w:t>中：</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11"/>
          <w:kern w:val="0"/>
          <w:position w:val="-1"/>
          <w:sz w:val="24"/>
          <w:szCs w:val="24"/>
          <w:u w:val="none" w:color="auto"/>
        </w:rPr>
        <w:t>1</w:t>
      </w:r>
      <w:r>
        <w:rPr>
          <w:rFonts w:hint="default" w:ascii="Times New Roman" w:hAnsi="Times New Roman" w:eastAsia="宋体" w:cs="Times New Roman"/>
          <w:snapToGrid w:val="0"/>
          <w:color w:val="auto"/>
          <w:spacing w:val="11"/>
          <w:kern w:val="0"/>
          <w:sz w:val="24"/>
          <w:szCs w:val="24"/>
          <w:u w:val="none" w:color="auto"/>
        </w:rPr>
        <w:t>――收集系统范围内发生事故的一个罐组或一套装置的物料量，</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13"/>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17"/>
          <w:kern w:val="0"/>
          <w:position w:val="-1"/>
          <w:sz w:val="24"/>
          <w:szCs w:val="24"/>
          <w:u w:val="none" w:color="auto"/>
        </w:rPr>
        <w:t>2</w:t>
      </w:r>
      <w:r>
        <w:rPr>
          <w:rFonts w:hint="default" w:ascii="Times New Roman" w:hAnsi="Times New Roman" w:eastAsia="宋体" w:cs="Times New Roman"/>
          <w:snapToGrid w:val="0"/>
          <w:color w:val="auto"/>
          <w:spacing w:val="9"/>
          <w:kern w:val="0"/>
          <w:sz w:val="24"/>
          <w:szCs w:val="24"/>
          <w:u w:val="none" w:color="auto"/>
        </w:rPr>
        <w:t>――发生事故的贮罐或装置的消防水量，</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9"/>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spacing w:val="8"/>
          <w:kern w:val="0"/>
          <w:sz w:val="24"/>
          <w:szCs w:val="24"/>
          <w:u w:val="none" w:color="auto"/>
        </w:rPr>
      </w:pP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8"/>
          <w:kern w:val="0"/>
          <w:position w:val="-1"/>
          <w:sz w:val="24"/>
          <w:szCs w:val="24"/>
          <w:u w:val="none" w:color="auto"/>
        </w:rPr>
        <w:t>3</w:t>
      </w:r>
      <w:r>
        <w:rPr>
          <w:rFonts w:hint="default" w:ascii="Times New Roman" w:hAnsi="Times New Roman" w:eastAsia="宋体" w:cs="Times New Roman"/>
          <w:snapToGrid w:val="0"/>
          <w:color w:val="auto"/>
          <w:spacing w:val="8"/>
          <w:kern w:val="0"/>
          <w:sz w:val="24"/>
          <w:szCs w:val="24"/>
          <w:u w:val="none" w:color="auto"/>
        </w:rPr>
        <w:t>――发生事故时可以转输到其它储存或处理设施的物料量，</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9"/>
          <w:kern w:val="0"/>
          <w:position w:val="-1"/>
          <w:sz w:val="24"/>
          <w:szCs w:val="24"/>
          <w:u w:val="none" w:color="auto"/>
        </w:rPr>
        <w:t>4</w:t>
      </w:r>
      <w:r>
        <w:rPr>
          <w:rFonts w:hint="default" w:ascii="Times New Roman" w:hAnsi="Times New Roman" w:eastAsia="宋体" w:cs="Times New Roman"/>
          <w:snapToGrid w:val="0"/>
          <w:color w:val="auto"/>
          <w:spacing w:val="9"/>
          <w:kern w:val="0"/>
          <w:sz w:val="24"/>
          <w:szCs w:val="24"/>
          <w:u w:val="none" w:color="auto"/>
        </w:rPr>
        <w:t>――发生事故时仍必须进入该收集系统的生产废水量，</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8"/>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18"/>
          <w:kern w:val="0"/>
          <w:position w:val="-1"/>
          <w:sz w:val="24"/>
          <w:szCs w:val="24"/>
          <w:u w:val="none" w:color="auto"/>
        </w:rPr>
        <w:t>5</w:t>
      </w:r>
      <w:r>
        <w:rPr>
          <w:rFonts w:hint="default" w:ascii="Times New Roman" w:hAnsi="Times New Roman" w:eastAsia="宋体" w:cs="Times New Roman"/>
          <w:snapToGrid w:val="0"/>
          <w:color w:val="auto"/>
          <w:spacing w:val="11"/>
          <w:kern w:val="0"/>
          <w:sz w:val="24"/>
          <w:szCs w:val="24"/>
          <w:u w:val="none" w:color="auto"/>
        </w:rPr>
        <w:t>―</w:t>
      </w:r>
      <w:r>
        <w:rPr>
          <w:rFonts w:hint="default" w:ascii="Times New Roman" w:hAnsi="Times New Roman" w:eastAsia="宋体" w:cs="Times New Roman"/>
          <w:snapToGrid w:val="0"/>
          <w:color w:val="auto"/>
          <w:spacing w:val="9"/>
          <w:kern w:val="0"/>
          <w:sz w:val="24"/>
          <w:szCs w:val="24"/>
          <w:u w:val="none" w:color="auto"/>
        </w:rPr>
        <w:t>―发生事故时可能进入该收集系统的降雨量，</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9"/>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A</w:t>
      </w: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7"/>
          <w:kern w:val="0"/>
          <w:sz w:val="24"/>
          <w:szCs w:val="24"/>
          <w:u w:val="none" w:color="auto"/>
        </w:rPr>
        <w:t>事故装置可能溢流出的液体(</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7"/>
          <w:kern w:val="0"/>
          <w:position w:val="-1"/>
          <w:sz w:val="24"/>
          <w:szCs w:val="24"/>
          <w:u w:val="none" w:color="auto"/>
        </w:rPr>
        <w:t>1</w:t>
      </w:r>
      <w:r>
        <w:rPr>
          <w:rFonts w:hint="default" w:ascii="Times New Roman" w:hAnsi="Times New Roman" w:eastAsia="宋体" w:cs="Times New Roman"/>
          <w:snapToGrid w:val="0"/>
          <w:color w:val="auto"/>
          <w:spacing w:val="7"/>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4"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
          <w:kern w:val="0"/>
          <w:sz w:val="24"/>
          <w:szCs w:val="24"/>
          <w:u w:val="none" w:color="auto"/>
        </w:rPr>
        <w:t>根据项目</w:t>
      </w:r>
      <w:r>
        <w:rPr>
          <w:rFonts w:hint="default" w:ascii="Times New Roman" w:hAnsi="Times New Roman" w:eastAsia="宋体" w:cs="Times New Roman"/>
          <w:snapToGrid w:val="0"/>
          <w:color w:val="auto"/>
          <w:kern w:val="0"/>
          <w:sz w:val="24"/>
          <w:szCs w:val="24"/>
          <w:u w:val="none" w:color="auto"/>
        </w:rPr>
        <w:t>工程分析，本项目无事故装置可能溢流出的液体，则项目V</w:t>
      </w:r>
      <w:r>
        <w:rPr>
          <w:rFonts w:hint="default" w:ascii="Times New Roman" w:hAnsi="Times New Roman" w:eastAsia="宋体" w:cs="Times New Roman"/>
          <w:snapToGrid w:val="0"/>
          <w:color w:val="auto"/>
          <w:kern w:val="0"/>
          <w:position w:val="-1"/>
          <w:sz w:val="24"/>
          <w:szCs w:val="24"/>
          <w:u w:val="none" w:color="auto"/>
        </w:rPr>
        <w:t>1</w:t>
      </w:r>
      <w:r>
        <w:rPr>
          <w:rFonts w:hint="default" w:ascii="Times New Roman" w:hAnsi="Times New Roman" w:eastAsia="宋体" w:cs="Times New Roman"/>
          <w:snapToGrid w:val="0"/>
          <w:color w:val="auto"/>
          <w:kern w:val="0"/>
          <w:sz w:val="24"/>
          <w:szCs w:val="24"/>
          <w:u w:val="none" w:color="auto"/>
        </w:rPr>
        <w:t>为0m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B</w:t>
      </w:r>
      <w:r>
        <w:rPr>
          <w:rFonts w:hint="default" w:ascii="Times New Roman" w:hAnsi="Times New Roman" w:eastAsia="宋体" w:cs="Times New Roman"/>
          <w:snapToGrid w:val="0"/>
          <w:color w:val="auto"/>
          <w:spacing w:val="10"/>
          <w:kern w:val="0"/>
          <w:sz w:val="24"/>
          <w:szCs w:val="24"/>
          <w:u w:val="none" w:color="auto"/>
        </w:rPr>
        <w:t>.</w:t>
      </w:r>
      <w:r>
        <w:rPr>
          <w:rFonts w:hint="default" w:ascii="Times New Roman" w:hAnsi="Times New Roman" w:eastAsia="宋体" w:cs="Times New Roman"/>
          <w:snapToGrid w:val="0"/>
          <w:color w:val="auto"/>
          <w:spacing w:val="5"/>
          <w:kern w:val="0"/>
          <w:sz w:val="24"/>
          <w:szCs w:val="24"/>
          <w:u w:val="none" w:color="auto"/>
        </w:rPr>
        <w:t>消防废水(</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5"/>
          <w:kern w:val="0"/>
          <w:position w:val="-1"/>
          <w:sz w:val="24"/>
          <w:szCs w:val="24"/>
          <w:u w:val="none" w:color="auto"/>
        </w:rPr>
        <w:t>2</w:t>
      </w:r>
      <w:r>
        <w:rPr>
          <w:rFonts w:hint="default" w:ascii="Times New Roman" w:hAnsi="Times New Roman" w:eastAsia="宋体" w:cs="Times New Roman"/>
          <w:snapToGrid w:val="0"/>
          <w:color w:val="auto"/>
          <w:spacing w:val="5"/>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92"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3"/>
          <w:kern w:val="0"/>
          <w:sz w:val="24"/>
          <w:szCs w:val="24"/>
          <w:u w:val="none" w:color="auto"/>
        </w:rPr>
        <w:t>本项目建筑物室内、外消火栓设计流量取30</w:t>
      </w:r>
      <w:r>
        <w:rPr>
          <w:rFonts w:hint="default" w:ascii="Times New Roman" w:hAnsi="Times New Roman" w:eastAsia="宋体" w:cs="Times New Roman"/>
          <w:snapToGrid w:val="0"/>
          <w:color w:val="auto"/>
          <w:kern w:val="0"/>
          <w:sz w:val="24"/>
          <w:szCs w:val="24"/>
          <w:u w:val="none" w:color="auto"/>
        </w:rPr>
        <w:t>L</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s</w:t>
      </w:r>
      <w:r>
        <w:rPr>
          <w:rFonts w:hint="default" w:ascii="Times New Roman" w:hAnsi="Times New Roman" w:eastAsia="宋体" w:cs="Times New Roman"/>
          <w:snapToGrid w:val="0"/>
          <w:color w:val="auto"/>
          <w:spacing w:val="3"/>
          <w:kern w:val="0"/>
          <w:sz w:val="24"/>
          <w:szCs w:val="24"/>
          <w:u w:val="none" w:color="auto"/>
        </w:rPr>
        <w:t>，火灾延续时间按1</w:t>
      </w:r>
      <w:r>
        <w:rPr>
          <w:rFonts w:hint="default" w:ascii="Times New Roman" w:hAnsi="Times New Roman" w:eastAsia="宋体" w:cs="Times New Roman"/>
          <w:snapToGrid w:val="0"/>
          <w:color w:val="auto"/>
          <w:kern w:val="0"/>
          <w:sz w:val="24"/>
          <w:szCs w:val="24"/>
          <w:u w:val="none" w:color="auto"/>
        </w:rPr>
        <w:t>h</w:t>
      </w:r>
      <w:r>
        <w:rPr>
          <w:rFonts w:hint="default" w:ascii="Times New Roman" w:hAnsi="Times New Roman" w:eastAsia="宋体" w:cs="Times New Roman"/>
          <w:snapToGrid w:val="0"/>
          <w:color w:val="auto"/>
          <w:spacing w:val="3"/>
          <w:kern w:val="0"/>
          <w:sz w:val="24"/>
          <w:szCs w:val="24"/>
          <w:u w:val="none" w:color="auto"/>
        </w:rPr>
        <w:t>计</w:t>
      </w:r>
      <w:r>
        <w:rPr>
          <w:rFonts w:hint="default" w:ascii="Times New Roman" w:hAnsi="Times New Roman" w:eastAsia="宋体" w:cs="Times New Roman"/>
          <w:snapToGrid w:val="0"/>
          <w:color w:val="auto"/>
          <w:spacing w:val="2"/>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则</w:t>
      </w:r>
      <w:r>
        <w:rPr>
          <w:rFonts w:hint="default" w:ascii="Times New Roman" w:hAnsi="Times New Roman" w:eastAsia="宋体" w:cs="Times New Roman"/>
          <w:snapToGrid w:val="0"/>
          <w:color w:val="auto"/>
          <w:spacing w:val="6"/>
          <w:kern w:val="0"/>
          <w:sz w:val="24"/>
          <w:szCs w:val="24"/>
          <w:u w:val="none" w:color="auto"/>
        </w:rPr>
        <w:t>消防水量</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6"/>
          <w:kern w:val="0"/>
          <w:position w:val="-1"/>
          <w:sz w:val="24"/>
          <w:szCs w:val="24"/>
          <w:u w:val="none" w:color="auto"/>
        </w:rPr>
        <w:t>2</w:t>
      </w:r>
      <w:r>
        <w:rPr>
          <w:rFonts w:hint="default" w:ascii="Times New Roman" w:hAnsi="Times New Roman" w:eastAsia="宋体" w:cs="Times New Roman"/>
          <w:snapToGrid w:val="0"/>
          <w:color w:val="auto"/>
          <w:spacing w:val="6"/>
          <w:kern w:val="0"/>
          <w:sz w:val="24"/>
          <w:szCs w:val="24"/>
          <w:u w:val="none" w:color="auto"/>
        </w:rPr>
        <w:t>=</w:t>
      </w:r>
      <w:r>
        <w:rPr>
          <w:rFonts w:hint="default" w:ascii="Times New Roman" w:hAnsi="Times New Roman" w:eastAsia="宋体" w:cs="Times New Roman"/>
          <w:snapToGrid w:val="0"/>
          <w:color w:val="auto"/>
          <w:spacing w:val="3"/>
          <w:kern w:val="0"/>
          <w:sz w:val="24"/>
          <w:szCs w:val="24"/>
          <w:u w:val="none" w:color="auto"/>
        </w:rPr>
        <w:t>60</w:t>
      </w:r>
      <w:r>
        <w:rPr>
          <w:rFonts w:hint="default" w:ascii="Times New Roman" w:hAnsi="Times New Roman" w:eastAsia="宋体" w:cs="Times New Roman"/>
          <w:snapToGrid w:val="0"/>
          <w:color w:val="auto"/>
          <w:kern w:val="0"/>
          <w:sz w:val="24"/>
          <w:szCs w:val="24"/>
          <w:u w:val="none" w:color="auto"/>
        </w:rPr>
        <w:t>L</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s</w:t>
      </w:r>
      <w:r>
        <w:rPr>
          <w:rFonts w:hint="default" w:ascii="Times New Roman" w:hAnsi="Times New Roman" w:eastAsia="宋体" w:cs="Times New Roman"/>
          <w:snapToGrid w:val="0"/>
          <w:color w:val="auto"/>
          <w:spacing w:val="3"/>
          <w:kern w:val="0"/>
          <w:sz w:val="24"/>
          <w:szCs w:val="24"/>
          <w:u w:val="none" w:color="auto"/>
        </w:rPr>
        <w:t>×3600×1</w:t>
      </w:r>
      <w:r>
        <w:rPr>
          <w:rFonts w:hint="default" w:ascii="Times New Roman" w:hAnsi="Times New Roman" w:eastAsia="宋体" w:cs="Times New Roman"/>
          <w:snapToGrid w:val="0"/>
          <w:color w:val="auto"/>
          <w:kern w:val="0"/>
          <w:sz w:val="24"/>
          <w:szCs w:val="24"/>
          <w:u w:val="none" w:color="auto"/>
        </w:rPr>
        <w:t>h</w:t>
      </w:r>
      <w:r>
        <w:rPr>
          <w:rFonts w:hint="default" w:ascii="Times New Roman" w:hAnsi="Times New Roman" w:eastAsia="宋体" w:cs="Times New Roman"/>
          <w:snapToGrid w:val="0"/>
          <w:color w:val="auto"/>
          <w:spacing w:val="3"/>
          <w:kern w:val="0"/>
          <w:sz w:val="24"/>
          <w:szCs w:val="24"/>
          <w:u w:val="none" w:color="auto"/>
        </w:rPr>
        <w:t>÷1000=216</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3"/>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C</w:t>
      </w:r>
      <w:r>
        <w:rPr>
          <w:rFonts w:hint="default" w:ascii="Times New Roman" w:hAnsi="Times New Roman" w:eastAsia="宋体" w:cs="Times New Roman"/>
          <w:snapToGrid w:val="0"/>
          <w:color w:val="auto"/>
          <w:spacing w:val="12"/>
          <w:kern w:val="0"/>
          <w:sz w:val="24"/>
          <w:szCs w:val="24"/>
          <w:u w:val="none" w:color="auto"/>
        </w:rPr>
        <w:t>.</w:t>
      </w:r>
      <w:r>
        <w:rPr>
          <w:rFonts w:hint="default" w:ascii="Times New Roman" w:hAnsi="Times New Roman" w:eastAsia="宋体" w:cs="Times New Roman"/>
          <w:snapToGrid w:val="0"/>
          <w:color w:val="auto"/>
          <w:spacing w:val="8"/>
          <w:kern w:val="0"/>
          <w:sz w:val="24"/>
          <w:szCs w:val="24"/>
          <w:u w:val="none" w:color="auto"/>
        </w:rPr>
        <w:t>发生事故时可以转输到其它储存或处理设施的物料量(</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8"/>
          <w:kern w:val="0"/>
          <w:position w:val="-1"/>
          <w:sz w:val="24"/>
          <w:szCs w:val="24"/>
          <w:u w:val="none" w:color="auto"/>
        </w:rPr>
        <w:t>3</w:t>
      </w:r>
      <w:r>
        <w:rPr>
          <w:rFonts w:hint="default" w:ascii="Times New Roman" w:hAnsi="Times New Roman" w:eastAsia="宋体" w:cs="Times New Roman"/>
          <w:snapToGrid w:val="0"/>
          <w:color w:val="auto"/>
          <w:spacing w:val="8"/>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position w:val="2"/>
          <w:sz w:val="24"/>
          <w:szCs w:val="24"/>
          <w:u w:val="none" w:color="auto"/>
        </w:rPr>
        <w:t>本项目无发生事故时可以转输的其它储存或处理设施，取</w:t>
      </w:r>
      <w:r>
        <w:rPr>
          <w:rFonts w:hint="default" w:ascii="Times New Roman" w:hAnsi="Times New Roman" w:eastAsia="宋体" w:cs="Times New Roman"/>
          <w:snapToGrid w:val="0"/>
          <w:color w:val="auto"/>
          <w:kern w:val="0"/>
          <w:position w:val="2"/>
          <w:sz w:val="24"/>
          <w:szCs w:val="24"/>
          <w:u w:val="none" w:color="auto"/>
        </w:rPr>
        <w:t>V</w:t>
      </w:r>
      <w:r>
        <w:rPr>
          <w:rFonts w:hint="default" w:ascii="Times New Roman" w:hAnsi="Times New Roman" w:eastAsia="宋体" w:cs="Times New Roman"/>
          <w:snapToGrid w:val="0"/>
          <w:color w:val="auto"/>
          <w:spacing w:val="7"/>
          <w:kern w:val="0"/>
          <w:position w:val="1"/>
          <w:sz w:val="24"/>
          <w:szCs w:val="24"/>
          <w:u w:val="none" w:color="auto"/>
        </w:rPr>
        <w:t>3</w:t>
      </w:r>
      <w:r>
        <w:rPr>
          <w:rFonts w:hint="default" w:ascii="Times New Roman" w:hAnsi="Times New Roman" w:eastAsia="宋体" w:cs="Times New Roman"/>
          <w:snapToGrid w:val="0"/>
          <w:color w:val="auto"/>
          <w:spacing w:val="7"/>
          <w:kern w:val="0"/>
          <w:position w:val="2"/>
          <w:sz w:val="24"/>
          <w:szCs w:val="24"/>
          <w:u w:val="none" w:color="auto"/>
        </w:rPr>
        <w:t>=0</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4"/>
          <w:kern w:val="0"/>
          <w:position w:val="2"/>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D</w:t>
      </w:r>
      <w:r>
        <w:rPr>
          <w:rFonts w:hint="default" w:ascii="Times New Roman" w:hAnsi="Times New Roman" w:eastAsia="宋体" w:cs="Times New Roman"/>
          <w:snapToGrid w:val="0"/>
          <w:color w:val="auto"/>
          <w:spacing w:val="8"/>
          <w:kern w:val="0"/>
          <w:sz w:val="24"/>
          <w:szCs w:val="24"/>
          <w:u w:val="none" w:color="auto"/>
        </w:rPr>
        <w:t>.事故发生时仍必须进入收集系统的废水量(</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8"/>
          <w:kern w:val="0"/>
          <w:position w:val="-1"/>
          <w:sz w:val="24"/>
          <w:szCs w:val="24"/>
          <w:u w:val="none" w:color="auto"/>
        </w:rPr>
        <w:t>4</w:t>
      </w:r>
      <w:r>
        <w:rPr>
          <w:rFonts w:hint="default" w:ascii="Times New Roman" w:hAnsi="Times New Roman" w:eastAsia="宋体" w:cs="Times New Roman"/>
          <w:snapToGrid w:val="0"/>
          <w:color w:val="auto"/>
          <w:spacing w:val="8"/>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8"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
          <w:kern w:val="0"/>
          <w:sz w:val="24"/>
          <w:szCs w:val="24"/>
          <w:u w:val="none" w:color="auto"/>
        </w:rPr>
        <w:t>本项目生产废水循环回用，不外排，生活污水经化粪</w:t>
      </w:r>
      <w:r>
        <w:rPr>
          <w:rFonts w:hint="default" w:ascii="Times New Roman" w:hAnsi="Times New Roman" w:eastAsia="宋体" w:cs="Times New Roman"/>
          <w:snapToGrid w:val="0"/>
          <w:color w:val="auto"/>
          <w:spacing w:val="1"/>
          <w:kern w:val="0"/>
          <w:sz w:val="24"/>
          <w:szCs w:val="24"/>
          <w:u w:val="none" w:color="auto"/>
        </w:rPr>
        <w:t>池处理后排入园区管网，</w:t>
      </w:r>
      <w:r>
        <w:rPr>
          <w:rFonts w:hint="default" w:ascii="Times New Roman" w:hAnsi="Times New Roman" w:eastAsia="宋体" w:cs="Times New Roman"/>
          <w:snapToGrid w:val="0"/>
          <w:color w:val="auto"/>
          <w:spacing w:val="13"/>
          <w:kern w:val="0"/>
          <w:sz w:val="24"/>
          <w:szCs w:val="24"/>
          <w:u w:val="none" w:color="auto"/>
        </w:rPr>
        <w:t>则</w:t>
      </w:r>
      <w:r>
        <w:rPr>
          <w:rFonts w:hint="default" w:ascii="Times New Roman" w:hAnsi="Times New Roman" w:eastAsia="宋体" w:cs="Times New Roman"/>
          <w:snapToGrid w:val="0"/>
          <w:color w:val="auto"/>
          <w:spacing w:val="8"/>
          <w:kern w:val="0"/>
          <w:sz w:val="24"/>
          <w:szCs w:val="24"/>
          <w:u w:val="none" w:color="auto"/>
        </w:rPr>
        <w:t>无事故发生时需接纳的废水量，</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8"/>
          <w:kern w:val="0"/>
          <w:position w:val="-1"/>
          <w:sz w:val="24"/>
          <w:szCs w:val="24"/>
          <w:u w:val="none" w:color="auto"/>
        </w:rPr>
        <w:t>4</w:t>
      </w:r>
      <w:r>
        <w:rPr>
          <w:rFonts w:hint="default" w:ascii="Times New Roman" w:hAnsi="Times New Roman" w:eastAsia="宋体" w:cs="Times New Roman"/>
          <w:snapToGrid w:val="0"/>
          <w:color w:val="auto"/>
          <w:spacing w:val="8"/>
          <w:kern w:val="0"/>
          <w:sz w:val="24"/>
          <w:szCs w:val="24"/>
          <w:u w:val="none" w:color="auto"/>
        </w:rPr>
        <w:t>=0</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8"/>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E</w:t>
      </w:r>
      <w:r>
        <w:rPr>
          <w:rFonts w:hint="default" w:ascii="Times New Roman" w:hAnsi="Times New Roman" w:eastAsia="宋体" w:cs="Times New Roman"/>
          <w:snapToGrid w:val="0"/>
          <w:color w:val="auto"/>
          <w:spacing w:val="6"/>
          <w:kern w:val="0"/>
          <w:sz w:val="24"/>
          <w:szCs w:val="24"/>
          <w:u w:val="none" w:color="auto"/>
        </w:rPr>
        <w:t>.事故时雨水量(</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6"/>
          <w:kern w:val="0"/>
          <w:position w:val="-1"/>
          <w:sz w:val="24"/>
          <w:szCs w:val="24"/>
          <w:u w:val="none" w:color="auto"/>
        </w:rPr>
        <w:t>5</w:t>
      </w:r>
      <w:r>
        <w:rPr>
          <w:rFonts w:hint="default" w:ascii="Times New Roman" w:hAnsi="Times New Roman" w:eastAsia="宋体" w:cs="Times New Roman"/>
          <w:snapToGrid w:val="0"/>
          <w:color w:val="auto"/>
          <w:spacing w:val="6"/>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kern w:val="0"/>
          <w:sz w:val="24"/>
          <w:szCs w:val="24"/>
          <w:u w:val="none" w:color="auto"/>
        </w:rPr>
        <w:t>项目于厂区建设一个容积为200m</w:t>
      </w:r>
      <w:r>
        <w:rPr>
          <w:rFonts w:hint="default" w:ascii="Times New Roman" w:hAnsi="Times New Roman" w:eastAsia="宋体" w:cs="Times New Roman"/>
          <w:snapToGrid w:val="0"/>
          <w:color w:val="auto"/>
          <w:kern w:val="0"/>
          <w:sz w:val="24"/>
          <w:szCs w:val="24"/>
          <w:u w:val="none" w:color="auto"/>
          <w:vertAlign w:val="superscript"/>
        </w:rPr>
        <w:t>3</w:t>
      </w:r>
      <w:r>
        <w:rPr>
          <w:rFonts w:hint="default" w:ascii="Times New Roman" w:hAnsi="Times New Roman" w:eastAsia="宋体" w:cs="Times New Roman"/>
          <w:snapToGrid w:val="0"/>
          <w:color w:val="auto"/>
          <w:kern w:val="0"/>
          <w:sz w:val="24"/>
          <w:szCs w:val="24"/>
          <w:u w:val="none" w:color="auto"/>
        </w:rPr>
        <w:t>的初期雨水收集池以满足需求，故此处不计入雨水量，V5=0。</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综上事故应急</w:t>
      </w:r>
      <w:r>
        <w:rPr>
          <w:rFonts w:hint="default" w:ascii="Times New Roman" w:hAnsi="Times New Roman" w:eastAsia="宋体" w:cs="Times New Roman"/>
          <w:snapToGrid w:val="0"/>
          <w:color w:val="auto"/>
          <w:spacing w:val="6"/>
          <w:kern w:val="0"/>
          <w:sz w:val="24"/>
          <w:szCs w:val="24"/>
          <w:u w:val="none" w:color="auto"/>
        </w:rPr>
        <w:t>池</w:t>
      </w:r>
      <w:r>
        <w:rPr>
          <w:rFonts w:hint="default" w:ascii="Times New Roman" w:hAnsi="Times New Roman" w:eastAsia="宋体" w:cs="Times New Roman"/>
          <w:snapToGrid w:val="0"/>
          <w:color w:val="auto"/>
          <w:spacing w:val="4"/>
          <w:kern w:val="0"/>
          <w:sz w:val="24"/>
          <w:szCs w:val="24"/>
          <w:u w:val="none" w:color="auto"/>
        </w:rPr>
        <w:t>所需总有效容积为</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4"/>
          <w:kern w:val="0"/>
          <w:position w:val="-3"/>
          <w:sz w:val="24"/>
          <w:szCs w:val="24"/>
          <w:u w:val="none" w:color="auto"/>
        </w:rPr>
        <w:t>总</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4"/>
          <w:kern w:val="0"/>
          <w:position w:val="-1"/>
          <w:sz w:val="24"/>
          <w:szCs w:val="24"/>
          <w:u w:val="none" w:color="auto"/>
        </w:rPr>
        <w:t>1</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4"/>
          <w:kern w:val="0"/>
          <w:position w:val="-1"/>
          <w:sz w:val="24"/>
          <w:szCs w:val="24"/>
          <w:u w:val="none" w:color="auto"/>
        </w:rPr>
        <w:t>2</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4"/>
          <w:kern w:val="0"/>
          <w:position w:val="-1"/>
          <w:sz w:val="24"/>
          <w:szCs w:val="24"/>
          <w:u w:val="none" w:color="auto"/>
        </w:rPr>
        <w:t>3</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kern w:val="0"/>
          <w:position w:val="-1"/>
          <w:sz w:val="24"/>
          <w:szCs w:val="24"/>
          <w:u w:val="none" w:color="auto"/>
        </w:rPr>
        <w:t>max</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4"/>
          <w:kern w:val="0"/>
          <w:position w:val="-1"/>
          <w:sz w:val="24"/>
          <w:szCs w:val="24"/>
          <w:u w:val="none" w:color="auto"/>
        </w:rPr>
        <w:t>4</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V</w:t>
      </w:r>
      <w:r>
        <w:rPr>
          <w:rFonts w:hint="default" w:ascii="Times New Roman" w:hAnsi="Times New Roman" w:eastAsia="宋体" w:cs="Times New Roman"/>
          <w:snapToGrid w:val="0"/>
          <w:color w:val="auto"/>
          <w:spacing w:val="4"/>
          <w:kern w:val="0"/>
          <w:position w:val="-1"/>
          <w:sz w:val="24"/>
          <w:szCs w:val="24"/>
          <w:u w:val="none" w:color="auto"/>
        </w:rPr>
        <w:t>5</w:t>
      </w:r>
      <w:r>
        <w:rPr>
          <w:rFonts w:hint="default" w:ascii="Times New Roman" w:hAnsi="Times New Roman" w:eastAsia="宋体" w:cs="Times New Roman"/>
          <w:snapToGrid w:val="0"/>
          <w:color w:val="auto"/>
          <w:spacing w:val="4"/>
          <w:kern w:val="0"/>
          <w:sz w:val="24"/>
          <w:szCs w:val="24"/>
          <w:u w:val="none" w:color="auto"/>
        </w:rPr>
        <w:t>=(0+216-0)</w:t>
      </w:r>
      <w:r>
        <w:rPr>
          <w:rFonts w:hint="default" w:ascii="Times New Roman" w:hAnsi="Times New Roman" w:eastAsia="宋体" w:cs="Times New Roman"/>
          <w:snapToGrid w:val="0"/>
          <w:color w:val="auto"/>
          <w:spacing w:val="10"/>
          <w:kern w:val="0"/>
          <w:sz w:val="24"/>
          <w:szCs w:val="24"/>
          <w:u w:val="none" w:color="auto"/>
        </w:rPr>
        <w:t>+0+0=21</w:t>
      </w:r>
      <w:r>
        <w:rPr>
          <w:rFonts w:hint="default" w:ascii="Times New Roman" w:hAnsi="Times New Roman" w:eastAsia="宋体" w:cs="Times New Roman"/>
          <w:snapToGrid w:val="0"/>
          <w:color w:val="auto"/>
          <w:spacing w:val="5"/>
          <w:kern w:val="0"/>
          <w:sz w:val="24"/>
          <w:szCs w:val="24"/>
          <w:u w:val="none" w:color="auto"/>
        </w:rPr>
        <w:t>6</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5"/>
          <w:kern w:val="0"/>
          <w:sz w:val="24"/>
          <w:szCs w:val="24"/>
          <w:u w:val="none" w:color="auto"/>
        </w:rPr>
        <w:t>，环评建议建设单位设置1座容积为250</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5"/>
          <w:kern w:val="0"/>
          <w:sz w:val="24"/>
          <w:szCs w:val="24"/>
          <w:u w:val="none" w:color="auto"/>
        </w:rPr>
        <w:t>的事故应急池，可在满</w:t>
      </w:r>
      <w:r>
        <w:rPr>
          <w:rFonts w:hint="default" w:ascii="Times New Roman" w:hAnsi="Times New Roman" w:eastAsia="宋体" w:cs="Times New Roman"/>
          <w:snapToGrid w:val="0"/>
          <w:color w:val="auto"/>
          <w:spacing w:val="15"/>
          <w:kern w:val="0"/>
          <w:sz w:val="24"/>
          <w:szCs w:val="24"/>
          <w:u w:val="none" w:color="auto"/>
        </w:rPr>
        <w:t>足</w:t>
      </w:r>
      <w:r>
        <w:rPr>
          <w:rFonts w:hint="default" w:ascii="Times New Roman" w:hAnsi="Times New Roman" w:eastAsia="宋体" w:cs="Times New Roman"/>
          <w:snapToGrid w:val="0"/>
          <w:color w:val="auto"/>
          <w:spacing w:val="8"/>
          <w:kern w:val="0"/>
          <w:sz w:val="24"/>
          <w:szCs w:val="24"/>
          <w:u w:val="none" w:color="auto"/>
        </w:rPr>
        <w:t>废水事故排放排水量。</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6"/>
          <w:kern w:val="0"/>
          <w:sz w:val="24"/>
          <w:szCs w:val="24"/>
          <w:u w:val="none" w:color="auto"/>
        </w:rPr>
        <w:t>综上，</w:t>
      </w:r>
      <w:r>
        <w:rPr>
          <w:rFonts w:hint="default" w:ascii="Times New Roman" w:hAnsi="Times New Roman" w:eastAsia="宋体" w:cs="Times New Roman"/>
          <w:snapToGrid w:val="0"/>
          <w:color w:val="auto"/>
          <w:spacing w:val="11"/>
          <w:kern w:val="0"/>
          <w:sz w:val="24"/>
          <w:szCs w:val="24"/>
          <w:u w:val="none" w:color="auto"/>
        </w:rPr>
        <w:t>本</w:t>
      </w:r>
      <w:r>
        <w:rPr>
          <w:rFonts w:hint="default" w:ascii="Times New Roman" w:hAnsi="Times New Roman" w:eastAsia="宋体" w:cs="Times New Roman"/>
          <w:snapToGrid w:val="0"/>
          <w:color w:val="auto"/>
          <w:spacing w:val="8"/>
          <w:kern w:val="0"/>
          <w:sz w:val="24"/>
          <w:szCs w:val="24"/>
          <w:u w:val="none" w:color="auto"/>
        </w:rPr>
        <w:t>项目设置一个200</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8"/>
          <w:kern w:val="0"/>
          <w:sz w:val="24"/>
          <w:szCs w:val="24"/>
          <w:u w:val="none" w:color="auto"/>
        </w:rPr>
        <w:t>的初期雨水收集池和一个250</w:t>
      </w:r>
      <w:r>
        <w:rPr>
          <w:rFonts w:hint="default" w:ascii="Times New Roman" w:hAnsi="Times New Roman" w:eastAsia="宋体" w:cs="Times New Roman"/>
          <w:snapToGrid w:val="0"/>
          <w:color w:val="auto"/>
          <w:kern w:val="0"/>
          <w:sz w:val="24"/>
          <w:szCs w:val="24"/>
          <w:u w:val="none" w:color="auto"/>
        </w:rPr>
        <w:t>m</w:t>
      </w:r>
      <w:r>
        <w:rPr>
          <w:rFonts w:hint="eastAsia" w:ascii="Times New Roman" w:hAnsi="Times New Roman" w:eastAsia="宋体" w:cs="Times New Roman"/>
          <w:snapToGrid w:val="0"/>
          <w:color w:val="auto"/>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8"/>
          <w:kern w:val="0"/>
          <w:sz w:val="24"/>
          <w:szCs w:val="24"/>
          <w:u w:val="none" w:color="auto"/>
        </w:rPr>
        <w:t>的事故应急</w:t>
      </w:r>
      <w:r>
        <w:rPr>
          <w:rFonts w:hint="default" w:ascii="Times New Roman" w:hAnsi="Times New Roman" w:eastAsia="宋体" w:cs="Times New Roman"/>
          <w:snapToGrid w:val="0"/>
          <w:color w:val="auto"/>
          <w:spacing w:val="9"/>
          <w:kern w:val="0"/>
          <w:sz w:val="24"/>
          <w:szCs w:val="24"/>
          <w:u w:val="none" w:color="auto"/>
        </w:rPr>
        <w:t>池</w:t>
      </w:r>
      <w:r>
        <w:rPr>
          <w:rFonts w:hint="default" w:ascii="Times New Roman" w:hAnsi="Times New Roman" w:eastAsia="宋体" w:cs="Times New Roman"/>
          <w:snapToGrid w:val="0"/>
          <w:color w:val="auto"/>
          <w:spacing w:val="7"/>
          <w:kern w:val="0"/>
          <w:sz w:val="24"/>
          <w:szCs w:val="24"/>
          <w:u w:val="none" w:color="auto"/>
        </w:rPr>
        <w:t>，已充分考虑事故情形下可能排入该事故池系统的发生事故的储罐或装置的消</w:t>
      </w:r>
      <w:r>
        <w:rPr>
          <w:rFonts w:hint="default" w:ascii="Times New Roman" w:hAnsi="Times New Roman" w:eastAsia="宋体" w:cs="Times New Roman"/>
          <w:snapToGrid w:val="0"/>
          <w:color w:val="auto"/>
          <w:spacing w:val="9"/>
          <w:kern w:val="0"/>
          <w:sz w:val="24"/>
          <w:szCs w:val="24"/>
          <w:u w:val="none" w:color="auto"/>
        </w:rPr>
        <w:t>防水量、发生事故时可能进入该收集系统的降雨量，若故障短时间内无法排除</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spacing w:val="9"/>
          <w:kern w:val="0"/>
          <w:sz w:val="24"/>
          <w:szCs w:val="24"/>
          <w:u w:val="none" w:color="auto"/>
        </w:rPr>
        <w:t>应停止生产，待将事故池中的废水处理完毕后方可开机。本项目采用先进设备</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spacing w:val="9"/>
          <w:kern w:val="0"/>
          <w:sz w:val="24"/>
          <w:szCs w:val="24"/>
          <w:u w:val="none" w:color="auto"/>
        </w:rPr>
        <w:t>加</w:t>
      </w:r>
      <w:r>
        <w:rPr>
          <w:rFonts w:hint="default" w:ascii="Times New Roman" w:hAnsi="Times New Roman" w:eastAsia="宋体" w:cs="Times New Roman"/>
          <w:snapToGrid w:val="0"/>
          <w:color w:val="auto"/>
          <w:spacing w:val="7"/>
          <w:kern w:val="0"/>
          <w:sz w:val="24"/>
          <w:szCs w:val="24"/>
          <w:u w:val="none" w:color="auto"/>
        </w:rPr>
        <w:t>强生产及环境管理，生产线泄漏事故发生的可能性较小，且事故池和初期雨水</w:t>
      </w:r>
      <w:r>
        <w:rPr>
          <w:rFonts w:hint="default" w:ascii="Times New Roman" w:hAnsi="Times New Roman" w:eastAsia="宋体" w:cs="Times New Roman"/>
          <w:snapToGrid w:val="0"/>
          <w:color w:val="auto"/>
          <w:spacing w:val="9"/>
          <w:kern w:val="0"/>
          <w:sz w:val="24"/>
          <w:szCs w:val="24"/>
          <w:u w:val="none" w:color="auto"/>
        </w:rPr>
        <w:t>收集池的设置，可较大限度上减轻事故排水对地表水环境可能带来的冲击影响</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spacing w:val="4"/>
          <w:kern w:val="0"/>
          <w:sz w:val="24"/>
          <w:szCs w:val="24"/>
          <w:u w:val="none" w:color="auto"/>
        </w:rPr>
        <w:t>即使发</w:t>
      </w:r>
      <w:r>
        <w:rPr>
          <w:rFonts w:hint="default" w:ascii="Times New Roman" w:hAnsi="Times New Roman" w:eastAsia="宋体" w:cs="Times New Roman"/>
          <w:snapToGrid w:val="0"/>
          <w:color w:val="auto"/>
          <w:spacing w:val="3"/>
          <w:kern w:val="0"/>
          <w:sz w:val="24"/>
          <w:szCs w:val="24"/>
          <w:u w:val="none" w:color="auto"/>
        </w:rPr>
        <w:t>生</w:t>
      </w:r>
      <w:r>
        <w:rPr>
          <w:rFonts w:hint="default" w:ascii="Times New Roman" w:hAnsi="Times New Roman" w:eastAsia="宋体" w:cs="Times New Roman"/>
          <w:snapToGrid w:val="0"/>
          <w:color w:val="auto"/>
          <w:spacing w:val="2"/>
          <w:kern w:val="0"/>
          <w:sz w:val="24"/>
          <w:szCs w:val="24"/>
          <w:u w:val="none" w:color="auto"/>
        </w:rPr>
        <w:t>事故，也能将事故风险控制在车间或厂内，基本不会流入外界地表水体，</w:t>
      </w:r>
      <w:r>
        <w:rPr>
          <w:rFonts w:hint="default" w:ascii="Times New Roman" w:hAnsi="Times New Roman" w:eastAsia="宋体" w:cs="Times New Roman"/>
          <w:snapToGrid w:val="0"/>
          <w:color w:val="auto"/>
          <w:spacing w:val="8"/>
          <w:kern w:val="0"/>
          <w:sz w:val="24"/>
          <w:szCs w:val="24"/>
          <w:u w:val="none" w:color="auto"/>
        </w:rPr>
        <w:t>对水环境影响较小</w:t>
      </w:r>
      <w:r>
        <w:rPr>
          <w:rFonts w:hint="default" w:ascii="Times New Roman" w:hAnsi="Times New Roman" w:eastAsia="宋体" w:cs="Times New Roman"/>
          <w:snapToGrid w:val="0"/>
          <w:color w:val="auto"/>
          <w:spacing w:val="7"/>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6" w:firstLineChars="200"/>
        <w:jc w:val="left"/>
        <w:textAlignment w:val="baseline"/>
        <w:outlineLvl w:val="3"/>
        <w:rPr>
          <w:rFonts w:hint="default" w:ascii="Times New Roman" w:hAnsi="Times New Roman" w:eastAsia="宋体" w:cs="Times New Roman"/>
          <w:b/>
          <w:bCs/>
          <w:snapToGrid w:val="0"/>
          <w:color w:val="auto"/>
          <w:spacing w:val="1"/>
          <w:kern w:val="0"/>
          <w:sz w:val="24"/>
          <w:szCs w:val="24"/>
          <w:u w:val="none" w:color="auto"/>
        </w:rPr>
      </w:pPr>
      <w:r>
        <w:rPr>
          <w:rFonts w:hint="default" w:ascii="Times New Roman" w:hAnsi="Times New Roman" w:eastAsia="宋体" w:cs="Times New Roman"/>
          <w:b/>
          <w:bCs/>
          <w:snapToGrid w:val="0"/>
          <w:color w:val="auto"/>
          <w:spacing w:val="1"/>
          <w:kern w:val="0"/>
          <w:sz w:val="24"/>
          <w:szCs w:val="24"/>
          <w:u w:val="none" w:color="auto"/>
        </w:rPr>
        <w:t>5.2.</w:t>
      </w:r>
      <w:r>
        <w:rPr>
          <w:rFonts w:hint="eastAsia" w:ascii="Times New Roman" w:hAnsi="Times New Roman" w:eastAsia="宋体" w:cs="Times New Roman"/>
          <w:b/>
          <w:bCs/>
          <w:snapToGrid w:val="0"/>
          <w:color w:val="auto"/>
          <w:spacing w:val="1"/>
          <w:kern w:val="0"/>
          <w:sz w:val="24"/>
          <w:szCs w:val="24"/>
          <w:u w:val="none" w:color="auto"/>
          <w:lang w:val="en-US" w:eastAsia="zh-CN"/>
        </w:rPr>
        <w:t>7</w:t>
      </w:r>
      <w:r>
        <w:rPr>
          <w:rFonts w:hint="default" w:ascii="Times New Roman" w:hAnsi="Times New Roman" w:eastAsia="宋体" w:cs="Times New Roman"/>
          <w:b/>
          <w:bCs/>
          <w:snapToGrid w:val="0"/>
          <w:color w:val="auto"/>
          <w:spacing w:val="1"/>
          <w:kern w:val="0"/>
          <w:sz w:val="24"/>
          <w:szCs w:val="24"/>
          <w:u w:val="none" w:color="auto"/>
        </w:rPr>
        <w:t>.8环境风险防范措施及应急要求</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4"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
          <w:kern w:val="0"/>
          <w:sz w:val="24"/>
          <w:szCs w:val="24"/>
          <w:u w:val="none" w:color="auto"/>
        </w:rPr>
        <w:t>1、环境风险管理</w:t>
      </w:r>
      <w:r>
        <w:rPr>
          <w:rFonts w:hint="default" w:ascii="Times New Roman" w:hAnsi="Times New Roman" w:eastAsia="宋体" w:cs="Times New Roman"/>
          <w:snapToGrid w:val="0"/>
          <w:color w:val="auto"/>
          <w:kern w:val="0"/>
          <w:sz w:val="24"/>
          <w:szCs w:val="24"/>
          <w:u w:val="none" w:color="auto"/>
        </w:rPr>
        <w:t>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本项目环境风险主要生产设施和生产过程发生泄漏等风险事故，以及污染</w:t>
      </w:r>
      <w:r>
        <w:rPr>
          <w:rFonts w:hint="default" w:ascii="Times New Roman" w:hAnsi="Times New Roman" w:eastAsia="宋体" w:cs="Times New Roman"/>
          <w:snapToGrid w:val="0"/>
          <w:color w:val="auto"/>
          <w:spacing w:val="2"/>
          <w:kern w:val="0"/>
          <w:sz w:val="24"/>
          <w:szCs w:val="24"/>
          <w:u w:val="none" w:color="auto"/>
        </w:rPr>
        <w:t>防</w:t>
      </w:r>
      <w:r>
        <w:rPr>
          <w:rFonts w:hint="default" w:ascii="Times New Roman" w:hAnsi="Times New Roman" w:eastAsia="宋体" w:cs="Times New Roman"/>
          <w:snapToGrid w:val="0"/>
          <w:color w:val="auto"/>
          <w:spacing w:val="7"/>
          <w:kern w:val="0"/>
          <w:sz w:val="24"/>
          <w:szCs w:val="24"/>
          <w:u w:val="none" w:color="auto"/>
        </w:rPr>
        <w:t>治设施非正常使用引起的环境污染。为避免风险事故发生和事故发生后对环境造成的污染，建设单位首先应树立环境风险意识，并在管理过程当中强化环境风险</w:t>
      </w:r>
      <w:r>
        <w:rPr>
          <w:rFonts w:hint="default" w:ascii="Times New Roman" w:hAnsi="Times New Roman" w:eastAsia="宋体" w:cs="Times New Roman"/>
          <w:snapToGrid w:val="0"/>
          <w:color w:val="auto"/>
          <w:spacing w:val="14"/>
          <w:kern w:val="0"/>
          <w:sz w:val="24"/>
          <w:szCs w:val="24"/>
          <w:u w:val="none" w:color="auto"/>
        </w:rPr>
        <w:t>意</w:t>
      </w:r>
      <w:r>
        <w:rPr>
          <w:rFonts w:hint="default" w:ascii="Times New Roman" w:hAnsi="Times New Roman" w:eastAsia="宋体" w:cs="Times New Roman"/>
          <w:snapToGrid w:val="0"/>
          <w:color w:val="auto"/>
          <w:spacing w:val="9"/>
          <w:kern w:val="0"/>
          <w:sz w:val="24"/>
          <w:szCs w:val="24"/>
          <w:u w:val="none" w:color="auto"/>
        </w:rPr>
        <w:t>识。在实际工作与管理过程当中应落实环境风险防范措施。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80"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5"/>
          <w:kern w:val="0"/>
          <w:sz w:val="24"/>
          <w:szCs w:val="24"/>
          <w:u w:val="none" w:color="auto"/>
        </w:rPr>
        <w:t>(</w:t>
      </w:r>
      <w:r>
        <w:rPr>
          <w:rFonts w:hint="default" w:ascii="Times New Roman" w:hAnsi="Times New Roman" w:eastAsia="宋体" w:cs="Times New Roman"/>
          <w:snapToGrid w:val="0"/>
          <w:color w:val="auto"/>
          <w:spacing w:val="14"/>
          <w:kern w:val="0"/>
          <w:sz w:val="24"/>
          <w:szCs w:val="24"/>
          <w:u w:val="none" w:color="auto"/>
        </w:rPr>
        <w:t>1)总图布置和建筑风险防范措施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根据厂区生产特点和环境情况，在总图布置中，各建筑物之间的距离应满</w:t>
      </w:r>
      <w:r>
        <w:rPr>
          <w:rFonts w:hint="default" w:ascii="Times New Roman" w:hAnsi="Times New Roman" w:eastAsia="宋体" w:cs="Times New Roman"/>
          <w:snapToGrid w:val="0"/>
          <w:color w:val="auto"/>
          <w:spacing w:val="3"/>
          <w:kern w:val="0"/>
          <w:sz w:val="24"/>
          <w:szCs w:val="24"/>
          <w:u w:val="none" w:color="auto"/>
        </w:rPr>
        <w:t>足</w:t>
      </w:r>
      <w:r>
        <w:rPr>
          <w:rFonts w:hint="default" w:ascii="Times New Roman" w:hAnsi="Times New Roman" w:eastAsia="宋体" w:cs="Times New Roman"/>
          <w:snapToGrid w:val="0"/>
          <w:color w:val="auto"/>
          <w:spacing w:val="7"/>
          <w:kern w:val="0"/>
          <w:sz w:val="24"/>
          <w:szCs w:val="24"/>
          <w:u w:val="none" w:color="auto"/>
        </w:rPr>
        <w:t>《建筑设计防火规范》要求。各车间、工序按生产性质进行分区，界区间形成</w:t>
      </w:r>
      <w:r>
        <w:rPr>
          <w:rFonts w:hint="default" w:ascii="Times New Roman" w:hAnsi="Times New Roman" w:eastAsia="宋体" w:cs="Times New Roman"/>
          <w:snapToGrid w:val="0"/>
          <w:color w:val="auto"/>
          <w:spacing w:val="3"/>
          <w:kern w:val="0"/>
          <w:sz w:val="24"/>
          <w:szCs w:val="24"/>
          <w:u w:val="none" w:color="auto"/>
        </w:rPr>
        <w:t>消</w:t>
      </w:r>
      <w:r>
        <w:rPr>
          <w:rFonts w:hint="default" w:ascii="Times New Roman" w:hAnsi="Times New Roman" w:eastAsia="宋体" w:cs="Times New Roman"/>
          <w:snapToGrid w:val="0"/>
          <w:color w:val="auto"/>
          <w:spacing w:val="14"/>
          <w:kern w:val="0"/>
          <w:sz w:val="24"/>
          <w:szCs w:val="24"/>
          <w:u w:val="none" w:color="auto"/>
        </w:rPr>
        <w:t>防</w:t>
      </w:r>
      <w:r>
        <w:rPr>
          <w:rFonts w:hint="default" w:ascii="Times New Roman" w:hAnsi="Times New Roman" w:eastAsia="宋体" w:cs="Times New Roman"/>
          <w:snapToGrid w:val="0"/>
          <w:color w:val="auto"/>
          <w:spacing w:val="7"/>
          <w:kern w:val="0"/>
          <w:sz w:val="24"/>
          <w:szCs w:val="24"/>
          <w:u w:val="none" w:color="auto"/>
        </w:rPr>
        <w:t>通道、应急疏散通道。</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40"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5"/>
          <w:kern w:val="0"/>
          <w:sz w:val="24"/>
          <w:szCs w:val="24"/>
          <w:u w:val="none" w:color="auto"/>
        </w:rPr>
        <w:t>(2)工艺技术设计风险防范措</w:t>
      </w:r>
      <w:r>
        <w:rPr>
          <w:rFonts w:hint="default" w:ascii="Times New Roman" w:hAnsi="Times New Roman" w:eastAsia="宋体" w:cs="Times New Roman"/>
          <w:snapToGrid w:val="0"/>
          <w:color w:val="auto"/>
          <w:spacing w:val="14"/>
          <w:kern w:val="0"/>
          <w:sz w:val="24"/>
          <w:szCs w:val="24"/>
          <w:u w:val="none" w:color="auto"/>
        </w:rPr>
        <w:t>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①根据工艺、仓库布置和操作特点，各工序控制采用先进自动化控制仪表</w:t>
      </w:r>
      <w:r>
        <w:rPr>
          <w:rFonts w:hint="default" w:ascii="Times New Roman" w:hAnsi="Times New Roman" w:eastAsia="宋体" w:cs="Times New Roman"/>
          <w:snapToGrid w:val="0"/>
          <w:color w:val="auto"/>
          <w:spacing w:val="7"/>
          <w:kern w:val="0"/>
          <w:sz w:val="24"/>
          <w:szCs w:val="24"/>
          <w:u w:val="none" w:color="auto"/>
        </w:rPr>
        <w:t>，</w:t>
      </w:r>
      <w:r>
        <w:rPr>
          <w:rFonts w:hint="default" w:ascii="Times New Roman" w:hAnsi="Times New Roman" w:eastAsia="宋体" w:cs="Times New Roman"/>
          <w:snapToGrid w:val="0"/>
          <w:color w:val="auto"/>
          <w:spacing w:val="9"/>
          <w:kern w:val="0"/>
          <w:sz w:val="24"/>
          <w:szCs w:val="24"/>
          <w:u w:val="none" w:color="auto"/>
        </w:rPr>
        <w:t>对</w:t>
      </w:r>
      <w:r>
        <w:rPr>
          <w:rFonts w:hint="default" w:ascii="Times New Roman" w:hAnsi="Times New Roman" w:eastAsia="宋体" w:cs="Times New Roman"/>
          <w:snapToGrid w:val="0"/>
          <w:color w:val="auto"/>
          <w:spacing w:val="7"/>
          <w:kern w:val="0"/>
          <w:sz w:val="24"/>
          <w:szCs w:val="24"/>
          <w:u w:val="none" w:color="auto"/>
        </w:rPr>
        <w:t>装置进行集中控制和检测，现场要定期巡视，并设有完善的参数限制报警和自</w:t>
      </w:r>
      <w:r>
        <w:rPr>
          <w:rFonts w:hint="default" w:ascii="Times New Roman" w:hAnsi="Times New Roman" w:eastAsia="宋体" w:cs="Times New Roman"/>
          <w:snapToGrid w:val="0"/>
          <w:color w:val="auto"/>
          <w:spacing w:val="15"/>
          <w:kern w:val="0"/>
          <w:sz w:val="24"/>
          <w:szCs w:val="24"/>
          <w:u w:val="none" w:color="auto"/>
        </w:rPr>
        <w:t>动</w:t>
      </w:r>
      <w:r>
        <w:rPr>
          <w:rFonts w:hint="default" w:ascii="Times New Roman" w:hAnsi="Times New Roman" w:eastAsia="宋体" w:cs="Times New Roman"/>
          <w:snapToGrid w:val="0"/>
          <w:color w:val="auto"/>
          <w:spacing w:val="8"/>
          <w:kern w:val="0"/>
          <w:sz w:val="24"/>
          <w:szCs w:val="24"/>
          <w:u w:val="none" w:color="auto"/>
        </w:rPr>
        <w:t>连锁系统，以防事故发生。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②生产车间、仓库按要求采取地面硬化、防渗漏和防腐蚀措施，防止泄漏</w:t>
      </w:r>
      <w:r>
        <w:rPr>
          <w:rFonts w:hint="default" w:ascii="Times New Roman" w:hAnsi="Times New Roman" w:eastAsia="宋体" w:cs="Times New Roman"/>
          <w:snapToGrid w:val="0"/>
          <w:color w:val="auto"/>
          <w:spacing w:val="4"/>
          <w:kern w:val="0"/>
          <w:sz w:val="24"/>
          <w:szCs w:val="24"/>
          <w:u w:val="none" w:color="auto"/>
        </w:rPr>
        <w:t>地</w:t>
      </w:r>
      <w:r>
        <w:rPr>
          <w:rFonts w:hint="default" w:ascii="Times New Roman" w:hAnsi="Times New Roman" w:eastAsia="宋体" w:cs="Times New Roman"/>
          <w:snapToGrid w:val="0"/>
          <w:color w:val="auto"/>
          <w:spacing w:val="8"/>
          <w:kern w:val="0"/>
          <w:sz w:val="24"/>
          <w:szCs w:val="24"/>
          <w:u w:val="none" w:color="auto"/>
        </w:rPr>
        <w:t>面而下渗污染地下水</w:t>
      </w:r>
      <w:r>
        <w:rPr>
          <w:rFonts w:hint="default" w:ascii="Times New Roman" w:hAnsi="Times New Roman" w:eastAsia="宋体" w:cs="Times New Roman"/>
          <w:snapToGrid w:val="0"/>
          <w:color w:val="auto"/>
          <w:spacing w:val="7"/>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③配备完善的消防系统，厂区内设置消防水管，室外配置地上式消防栓；</w:t>
      </w:r>
      <w:r>
        <w:rPr>
          <w:rFonts w:hint="default" w:ascii="Times New Roman" w:hAnsi="Times New Roman" w:eastAsia="宋体" w:cs="Times New Roman"/>
          <w:snapToGrid w:val="0"/>
          <w:color w:val="auto"/>
          <w:spacing w:val="4"/>
          <w:kern w:val="0"/>
          <w:sz w:val="24"/>
          <w:szCs w:val="24"/>
          <w:u w:val="none" w:color="auto"/>
        </w:rPr>
        <w:t>车</w:t>
      </w:r>
      <w:r>
        <w:rPr>
          <w:rFonts w:hint="default" w:ascii="Times New Roman" w:hAnsi="Times New Roman" w:eastAsia="宋体" w:cs="Times New Roman"/>
          <w:snapToGrid w:val="0"/>
          <w:color w:val="auto"/>
          <w:spacing w:val="16"/>
          <w:kern w:val="0"/>
          <w:sz w:val="24"/>
          <w:szCs w:val="24"/>
          <w:u w:val="none" w:color="auto"/>
        </w:rPr>
        <w:t>间内</w:t>
      </w:r>
      <w:r>
        <w:rPr>
          <w:rFonts w:hint="default" w:ascii="Times New Roman" w:hAnsi="Times New Roman" w:eastAsia="宋体" w:cs="Times New Roman"/>
          <w:snapToGrid w:val="0"/>
          <w:color w:val="auto"/>
          <w:spacing w:val="9"/>
          <w:kern w:val="0"/>
          <w:sz w:val="24"/>
          <w:szCs w:val="24"/>
          <w:u w:val="none" w:color="auto"/>
        </w:rPr>
        <w:t>根</w:t>
      </w:r>
      <w:r>
        <w:rPr>
          <w:rFonts w:hint="default" w:ascii="Times New Roman" w:hAnsi="Times New Roman" w:eastAsia="宋体" w:cs="Times New Roman"/>
          <w:snapToGrid w:val="0"/>
          <w:color w:val="auto"/>
          <w:spacing w:val="8"/>
          <w:kern w:val="0"/>
          <w:sz w:val="24"/>
          <w:szCs w:val="24"/>
          <w:u w:val="none" w:color="auto"/>
        </w:rPr>
        <w:t>据生产类别设置合适的灭火剂、灭火器材和足够的水源。</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④在厂区配套建设应急救援设施、救援通道、应急疏散避难所等防护设施，</w:t>
      </w:r>
      <w:r>
        <w:rPr>
          <w:rFonts w:hint="default" w:ascii="Times New Roman" w:hAnsi="Times New Roman" w:eastAsia="宋体" w:cs="Times New Roman"/>
          <w:snapToGrid w:val="0"/>
          <w:color w:val="auto"/>
          <w:spacing w:val="10"/>
          <w:kern w:val="0"/>
          <w:sz w:val="24"/>
          <w:szCs w:val="24"/>
          <w:u w:val="none" w:color="auto"/>
        </w:rPr>
        <w:t>按</w:t>
      </w:r>
      <w:r>
        <w:rPr>
          <w:rFonts w:hint="default" w:ascii="Times New Roman" w:hAnsi="Times New Roman" w:eastAsia="宋体" w:cs="Times New Roman"/>
          <w:snapToGrid w:val="0"/>
          <w:color w:val="auto"/>
          <w:spacing w:val="9"/>
          <w:kern w:val="0"/>
          <w:sz w:val="24"/>
          <w:szCs w:val="24"/>
          <w:u w:val="none" w:color="auto"/>
        </w:rPr>
        <w:t>《安全标志》规定在装置区设置有关的安全标志。</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⑤装备自动化控制系统，选用安全可靠的仪表、联锁控制系统，配备必要</w:t>
      </w:r>
      <w:r>
        <w:rPr>
          <w:rFonts w:hint="default" w:ascii="Times New Roman" w:hAnsi="Times New Roman" w:eastAsia="宋体" w:cs="Times New Roman"/>
          <w:snapToGrid w:val="0"/>
          <w:color w:val="auto"/>
          <w:spacing w:val="4"/>
          <w:kern w:val="0"/>
          <w:sz w:val="24"/>
          <w:szCs w:val="24"/>
          <w:u w:val="none" w:color="auto"/>
        </w:rPr>
        <w:t>的</w:t>
      </w:r>
      <w:r>
        <w:rPr>
          <w:rFonts w:hint="default" w:ascii="Times New Roman" w:hAnsi="Times New Roman" w:eastAsia="宋体" w:cs="Times New Roman"/>
          <w:snapToGrid w:val="0"/>
          <w:color w:val="auto"/>
          <w:spacing w:val="15"/>
          <w:kern w:val="0"/>
          <w:sz w:val="24"/>
          <w:szCs w:val="24"/>
          <w:u w:val="none" w:color="auto"/>
        </w:rPr>
        <w:t>有</w:t>
      </w:r>
      <w:r>
        <w:rPr>
          <w:rFonts w:hint="default" w:ascii="Times New Roman" w:hAnsi="Times New Roman" w:eastAsia="宋体" w:cs="Times New Roman"/>
          <w:snapToGrid w:val="0"/>
          <w:color w:val="auto"/>
          <w:spacing w:val="9"/>
          <w:kern w:val="0"/>
          <w:sz w:val="24"/>
          <w:szCs w:val="24"/>
          <w:u w:val="none" w:color="auto"/>
        </w:rPr>
        <w:t>毒有害、易燃易爆气体泄漏检测报警系统和火灾报警系统。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⑥</w:t>
      </w:r>
      <w:r>
        <w:rPr>
          <w:rFonts w:hint="default" w:ascii="Times New Roman" w:hAnsi="Times New Roman" w:eastAsia="宋体" w:cs="Times New Roman"/>
          <w:snapToGrid w:val="0"/>
          <w:color w:val="auto"/>
          <w:spacing w:val="9"/>
          <w:kern w:val="0"/>
          <w:sz w:val="24"/>
          <w:szCs w:val="24"/>
          <w:u w:val="none" w:color="auto"/>
        </w:rPr>
        <w:t>在易燃易爆物料周围，严禁堆放易燃、可燃物品。</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5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8"/>
          <w:kern w:val="0"/>
          <w:sz w:val="24"/>
          <w:szCs w:val="24"/>
          <w:u w:val="none" w:color="auto"/>
        </w:rPr>
        <w:t>(3)其他管理措</w:t>
      </w:r>
      <w:r>
        <w:rPr>
          <w:rFonts w:hint="default" w:ascii="Times New Roman" w:hAnsi="Times New Roman" w:eastAsia="宋体" w:cs="Times New Roman"/>
          <w:snapToGrid w:val="0"/>
          <w:color w:val="auto"/>
          <w:spacing w:val="17"/>
          <w:kern w:val="0"/>
          <w:sz w:val="24"/>
          <w:szCs w:val="24"/>
          <w:u w:val="none" w:color="auto"/>
        </w:rPr>
        <w:t>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9"/>
          <w:kern w:val="0"/>
          <w:sz w:val="24"/>
          <w:szCs w:val="24"/>
          <w:u w:val="none" w:color="auto"/>
        </w:rPr>
        <w:t>①员工培训的要</w:t>
      </w:r>
      <w:r>
        <w:rPr>
          <w:rFonts w:hint="default" w:ascii="Times New Roman" w:hAnsi="Times New Roman" w:eastAsia="宋体" w:cs="Times New Roman"/>
          <w:snapToGrid w:val="0"/>
          <w:color w:val="auto"/>
          <w:spacing w:val="8"/>
          <w:kern w:val="0"/>
          <w:sz w:val="24"/>
          <w:szCs w:val="24"/>
          <w:u w:val="none" w:color="auto"/>
        </w:rPr>
        <w:t>求</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建设单位</w:t>
      </w:r>
      <w:r>
        <w:rPr>
          <w:rFonts w:hint="default" w:ascii="Times New Roman" w:hAnsi="Times New Roman" w:eastAsia="宋体" w:cs="Times New Roman"/>
          <w:snapToGrid w:val="0"/>
          <w:color w:val="auto"/>
          <w:spacing w:val="8"/>
          <w:kern w:val="0"/>
          <w:sz w:val="24"/>
          <w:szCs w:val="24"/>
          <w:u w:val="none" w:color="auto"/>
        </w:rPr>
        <w:t>应</w:t>
      </w:r>
      <w:r>
        <w:rPr>
          <w:rFonts w:hint="default" w:ascii="Times New Roman" w:hAnsi="Times New Roman" w:eastAsia="宋体" w:cs="Times New Roman"/>
          <w:snapToGrid w:val="0"/>
          <w:color w:val="auto"/>
          <w:spacing w:val="6"/>
          <w:kern w:val="0"/>
          <w:sz w:val="24"/>
          <w:szCs w:val="24"/>
          <w:u w:val="none" w:color="auto"/>
        </w:rPr>
        <w:t>对操作人员、技术人员及管理人员作上岗前的培训，进行相关法</w:t>
      </w:r>
      <w:r>
        <w:rPr>
          <w:rFonts w:hint="default" w:ascii="Times New Roman" w:hAnsi="Times New Roman" w:eastAsia="宋体" w:cs="Times New Roman"/>
          <w:snapToGrid w:val="0"/>
          <w:color w:val="auto"/>
          <w:spacing w:val="18"/>
          <w:kern w:val="0"/>
          <w:sz w:val="24"/>
          <w:szCs w:val="24"/>
          <w:u w:val="none" w:color="auto"/>
        </w:rPr>
        <w:t>律</w:t>
      </w:r>
      <w:r>
        <w:rPr>
          <w:rFonts w:hint="default" w:ascii="Times New Roman" w:hAnsi="Times New Roman" w:eastAsia="宋体" w:cs="Times New Roman"/>
          <w:snapToGrid w:val="0"/>
          <w:color w:val="auto"/>
          <w:spacing w:val="11"/>
          <w:kern w:val="0"/>
          <w:sz w:val="24"/>
          <w:szCs w:val="24"/>
          <w:u w:val="none" w:color="auto"/>
        </w:rPr>
        <w:t>法</w:t>
      </w:r>
      <w:r>
        <w:rPr>
          <w:rFonts w:hint="default" w:ascii="Times New Roman" w:hAnsi="Times New Roman" w:eastAsia="宋体" w:cs="Times New Roman"/>
          <w:snapToGrid w:val="0"/>
          <w:color w:val="auto"/>
          <w:spacing w:val="9"/>
          <w:kern w:val="0"/>
          <w:sz w:val="24"/>
          <w:szCs w:val="24"/>
          <w:u w:val="none" w:color="auto"/>
        </w:rPr>
        <w:t>规和专业技术、安全防护、紧急处理等理论知识和操作技能培训。</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②</w:t>
      </w:r>
      <w:r>
        <w:rPr>
          <w:rFonts w:hint="default" w:ascii="Times New Roman" w:hAnsi="Times New Roman" w:eastAsia="宋体" w:cs="Times New Roman"/>
          <w:snapToGrid w:val="0"/>
          <w:color w:val="auto"/>
          <w:spacing w:val="9"/>
          <w:kern w:val="0"/>
          <w:sz w:val="24"/>
          <w:szCs w:val="24"/>
          <w:u w:val="none" w:color="auto"/>
        </w:rPr>
        <w:t>员工交接班的管理措施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为保证本项目的生产活动安全有序进行，必须建立严格的员工交接班制度</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spacing w:val="12"/>
          <w:kern w:val="0"/>
          <w:sz w:val="24"/>
          <w:szCs w:val="24"/>
          <w:u w:val="none" w:color="auto"/>
        </w:rPr>
        <w:t>内</w:t>
      </w:r>
      <w:r>
        <w:rPr>
          <w:rFonts w:hint="default" w:ascii="Times New Roman" w:hAnsi="Times New Roman" w:eastAsia="宋体" w:cs="Times New Roman"/>
          <w:snapToGrid w:val="0"/>
          <w:color w:val="auto"/>
          <w:spacing w:val="7"/>
          <w:kern w:val="0"/>
          <w:sz w:val="24"/>
          <w:szCs w:val="24"/>
          <w:u w:val="none" w:color="auto"/>
        </w:rPr>
        <w:t>容包括：处理设施、设备及辅助材料的交接；危险废物的交接；运行记录的交</w:t>
      </w:r>
      <w:r>
        <w:rPr>
          <w:rFonts w:hint="default" w:ascii="Times New Roman" w:hAnsi="Times New Roman" w:eastAsia="宋体" w:cs="Times New Roman"/>
          <w:snapToGrid w:val="0"/>
          <w:color w:val="auto"/>
          <w:spacing w:val="9"/>
          <w:kern w:val="0"/>
          <w:sz w:val="24"/>
          <w:szCs w:val="24"/>
          <w:u w:val="none" w:color="auto"/>
        </w:rPr>
        <w:t>接</w:t>
      </w:r>
      <w:r>
        <w:rPr>
          <w:rFonts w:hint="default" w:ascii="Times New Roman" w:hAnsi="Times New Roman" w:eastAsia="宋体" w:cs="Times New Roman"/>
          <w:snapToGrid w:val="0"/>
          <w:color w:val="auto"/>
          <w:spacing w:val="7"/>
          <w:kern w:val="0"/>
          <w:sz w:val="24"/>
          <w:szCs w:val="24"/>
          <w:u w:val="none" w:color="auto"/>
        </w:rPr>
        <w:t>；上下班交接人员应在现场进行实物交接；运行记录交接前，交接班人员应共</w:t>
      </w:r>
      <w:r>
        <w:rPr>
          <w:rFonts w:hint="default" w:ascii="Times New Roman" w:hAnsi="Times New Roman" w:eastAsia="宋体" w:cs="Times New Roman"/>
          <w:snapToGrid w:val="0"/>
          <w:color w:val="auto"/>
          <w:spacing w:val="9"/>
          <w:kern w:val="0"/>
          <w:sz w:val="24"/>
          <w:szCs w:val="24"/>
          <w:u w:val="none" w:color="auto"/>
        </w:rPr>
        <w:t>同</w:t>
      </w:r>
      <w:r>
        <w:rPr>
          <w:rFonts w:hint="default" w:ascii="Times New Roman" w:hAnsi="Times New Roman" w:eastAsia="宋体" w:cs="Times New Roman"/>
          <w:snapToGrid w:val="0"/>
          <w:color w:val="auto"/>
          <w:spacing w:val="7"/>
          <w:kern w:val="0"/>
          <w:sz w:val="24"/>
          <w:szCs w:val="24"/>
          <w:u w:val="none" w:color="auto"/>
        </w:rPr>
        <w:t>巡视现场；交接班程序未能顺利完成时，应及时向生产管理负责人报告；交接</w:t>
      </w:r>
      <w:r>
        <w:rPr>
          <w:rFonts w:hint="default" w:ascii="Times New Roman" w:hAnsi="Times New Roman" w:eastAsia="宋体" w:cs="Times New Roman"/>
          <w:snapToGrid w:val="0"/>
          <w:color w:val="auto"/>
          <w:spacing w:val="12"/>
          <w:kern w:val="0"/>
          <w:sz w:val="24"/>
          <w:szCs w:val="24"/>
          <w:u w:val="none" w:color="auto"/>
        </w:rPr>
        <w:t>班</w:t>
      </w:r>
      <w:r>
        <w:rPr>
          <w:rFonts w:hint="default" w:ascii="Times New Roman" w:hAnsi="Times New Roman" w:eastAsia="宋体" w:cs="Times New Roman"/>
          <w:snapToGrid w:val="0"/>
          <w:color w:val="auto"/>
          <w:spacing w:val="9"/>
          <w:kern w:val="0"/>
          <w:sz w:val="24"/>
          <w:szCs w:val="24"/>
          <w:u w:val="none" w:color="auto"/>
        </w:rPr>
        <w:t>人员应对实物及运行记录核实确定后签字确认。</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4"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1"/>
          <w:kern w:val="0"/>
          <w:sz w:val="24"/>
          <w:szCs w:val="24"/>
          <w:u w:val="none" w:color="auto"/>
        </w:rPr>
        <w:t>③</w:t>
      </w:r>
      <w:r>
        <w:rPr>
          <w:rFonts w:hint="default" w:ascii="Times New Roman" w:hAnsi="Times New Roman" w:eastAsia="宋体" w:cs="Times New Roman"/>
          <w:snapToGrid w:val="0"/>
          <w:color w:val="auto"/>
          <w:spacing w:val="9"/>
          <w:kern w:val="0"/>
          <w:sz w:val="24"/>
          <w:szCs w:val="24"/>
          <w:u w:val="none" w:color="auto"/>
        </w:rPr>
        <w:t>安全生产的管理措施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建设单位必须在本项目建成运行的同时，保证安全生产设施同时投入使用</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spacing w:val="7"/>
          <w:kern w:val="0"/>
          <w:sz w:val="24"/>
          <w:szCs w:val="24"/>
          <w:u w:val="none" w:color="auto"/>
        </w:rPr>
        <w:t>并制定相应的操作规程。项目生产过程中的安全管理措施应符合国家《生产过</w:t>
      </w:r>
      <w:r>
        <w:rPr>
          <w:rFonts w:hint="default" w:ascii="Times New Roman" w:hAnsi="Times New Roman" w:eastAsia="宋体" w:cs="Times New Roman"/>
          <w:snapToGrid w:val="0"/>
          <w:color w:val="auto"/>
          <w:spacing w:val="4"/>
          <w:kern w:val="0"/>
          <w:sz w:val="24"/>
          <w:szCs w:val="24"/>
          <w:u w:val="none" w:color="auto"/>
        </w:rPr>
        <w:t>程</w:t>
      </w:r>
      <w:r>
        <w:rPr>
          <w:rFonts w:hint="default" w:ascii="Times New Roman" w:hAnsi="Times New Roman" w:eastAsia="宋体" w:cs="Times New Roman"/>
          <w:snapToGrid w:val="0"/>
          <w:color w:val="auto"/>
          <w:spacing w:val="12"/>
          <w:kern w:val="0"/>
          <w:sz w:val="24"/>
          <w:szCs w:val="24"/>
          <w:u w:val="none" w:color="auto"/>
        </w:rPr>
        <w:t>安全</w:t>
      </w:r>
      <w:r>
        <w:rPr>
          <w:rFonts w:hint="default" w:ascii="Times New Roman" w:hAnsi="Times New Roman" w:eastAsia="宋体" w:cs="Times New Roman"/>
          <w:snapToGrid w:val="0"/>
          <w:color w:val="auto"/>
          <w:spacing w:val="9"/>
          <w:kern w:val="0"/>
          <w:sz w:val="24"/>
          <w:szCs w:val="24"/>
          <w:u w:val="none" w:color="auto"/>
        </w:rPr>
        <w:t>卫</w:t>
      </w:r>
      <w:r>
        <w:rPr>
          <w:rFonts w:hint="default" w:ascii="Times New Roman" w:hAnsi="Times New Roman" w:eastAsia="宋体" w:cs="Times New Roman"/>
          <w:snapToGrid w:val="0"/>
          <w:color w:val="auto"/>
          <w:spacing w:val="6"/>
          <w:kern w:val="0"/>
          <w:sz w:val="24"/>
          <w:szCs w:val="24"/>
          <w:u w:val="none" w:color="auto"/>
        </w:rPr>
        <w:t>生要求总则》(</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6"/>
          <w:kern w:val="0"/>
          <w:sz w:val="24"/>
          <w:szCs w:val="24"/>
          <w:u w:val="none" w:color="auto"/>
        </w:rPr>
        <w:t>12801.1991)中的有关规定。应定期对职工进行职业</w:t>
      </w:r>
      <w:r>
        <w:rPr>
          <w:rFonts w:hint="default" w:ascii="Times New Roman" w:hAnsi="Times New Roman" w:eastAsia="宋体" w:cs="Times New Roman"/>
          <w:snapToGrid w:val="0"/>
          <w:color w:val="auto"/>
          <w:spacing w:val="12"/>
          <w:kern w:val="0"/>
          <w:sz w:val="24"/>
          <w:szCs w:val="24"/>
          <w:u w:val="none" w:color="auto"/>
        </w:rPr>
        <w:t>卫</w:t>
      </w:r>
      <w:r>
        <w:rPr>
          <w:rFonts w:hint="default" w:ascii="Times New Roman" w:hAnsi="Times New Roman" w:eastAsia="宋体" w:cs="Times New Roman"/>
          <w:snapToGrid w:val="0"/>
          <w:color w:val="auto"/>
          <w:spacing w:val="8"/>
          <w:kern w:val="0"/>
          <w:sz w:val="24"/>
          <w:szCs w:val="24"/>
          <w:u w:val="none" w:color="auto"/>
        </w:rPr>
        <w:t>生的教育，加强防范措施。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4" w:firstLineChars="200"/>
        <w:jc w:val="left"/>
        <w:textAlignment w:val="baseline"/>
        <w:outlineLvl w:val="3"/>
        <w:rPr>
          <w:rFonts w:hint="eastAsia" w:ascii="Times New Roman" w:hAnsi="Times New Roman" w:eastAsia="宋体" w:cs="Times New Roman"/>
          <w:b/>
          <w:bCs/>
          <w:snapToGrid w:val="0"/>
          <w:color w:val="auto"/>
          <w:spacing w:val="8"/>
          <w:kern w:val="0"/>
          <w:sz w:val="24"/>
          <w:szCs w:val="24"/>
          <w:u w:val="none" w:color="auto"/>
        </w:rPr>
      </w:pPr>
      <w:r>
        <w:rPr>
          <w:rFonts w:hint="eastAsia" w:ascii="Times New Roman" w:hAnsi="Times New Roman" w:eastAsia="宋体" w:cs="Times New Roman"/>
          <w:b/>
          <w:bCs/>
          <w:snapToGrid w:val="0"/>
          <w:color w:val="auto"/>
          <w:spacing w:val="8"/>
          <w:kern w:val="0"/>
          <w:sz w:val="24"/>
          <w:szCs w:val="24"/>
          <w:u w:val="none" w:color="auto"/>
        </w:rPr>
        <w:t>5.2.</w:t>
      </w:r>
      <w:r>
        <w:rPr>
          <w:rFonts w:hint="eastAsia" w:ascii="Times New Roman" w:hAnsi="Times New Roman" w:eastAsia="宋体" w:cs="Times New Roman"/>
          <w:b/>
          <w:bCs/>
          <w:snapToGrid w:val="0"/>
          <w:color w:val="auto"/>
          <w:spacing w:val="8"/>
          <w:kern w:val="0"/>
          <w:sz w:val="24"/>
          <w:szCs w:val="24"/>
          <w:u w:val="none" w:color="auto"/>
          <w:lang w:val="en-US" w:eastAsia="zh-CN"/>
        </w:rPr>
        <w:t>7</w:t>
      </w:r>
      <w:r>
        <w:rPr>
          <w:rFonts w:hint="eastAsia" w:ascii="Times New Roman" w:hAnsi="Times New Roman" w:eastAsia="宋体" w:cs="Times New Roman"/>
          <w:b/>
          <w:bCs/>
          <w:snapToGrid w:val="0"/>
          <w:color w:val="auto"/>
          <w:spacing w:val="8"/>
          <w:kern w:val="0"/>
          <w:sz w:val="24"/>
          <w:szCs w:val="24"/>
          <w:u w:val="none" w:color="auto"/>
        </w:rPr>
        <w:t>.9天然气泄漏风险防范与应急措施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5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8"/>
          <w:kern w:val="0"/>
          <w:sz w:val="24"/>
          <w:szCs w:val="24"/>
          <w:u w:val="none" w:color="auto"/>
        </w:rPr>
        <w:t>(1)安全防范距</w:t>
      </w:r>
      <w:r>
        <w:rPr>
          <w:rFonts w:hint="default" w:ascii="Times New Roman" w:hAnsi="Times New Roman" w:eastAsia="宋体" w:cs="Times New Roman"/>
          <w:snapToGrid w:val="0"/>
          <w:color w:val="auto"/>
          <w:spacing w:val="17"/>
          <w:kern w:val="0"/>
          <w:sz w:val="24"/>
          <w:szCs w:val="24"/>
          <w:u w:val="none" w:color="auto"/>
        </w:rPr>
        <w:t>离</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天然气管</w:t>
      </w:r>
      <w:r>
        <w:rPr>
          <w:rFonts w:hint="default" w:ascii="Times New Roman" w:hAnsi="Times New Roman" w:eastAsia="宋体" w:cs="Times New Roman"/>
          <w:snapToGrid w:val="0"/>
          <w:color w:val="auto"/>
          <w:spacing w:val="6"/>
          <w:kern w:val="0"/>
          <w:sz w:val="24"/>
          <w:szCs w:val="24"/>
          <w:u w:val="none" w:color="auto"/>
        </w:rPr>
        <w:t>道与建、构筑物或相邻管道的水平净距及垂直净距符合相关标准要</w:t>
      </w:r>
      <w:r>
        <w:rPr>
          <w:rFonts w:hint="default" w:ascii="Times New Roman" w:hAnsi="Times New Roman" w:eastAsia="宋体" w:cs="Times New Roman"/>
          <w:snapToGrid w:val="0"/>
          <w:color w:val="auto"/>
          <w:spacing w:val="-1"/>
          <w:kern w:val="0"/>
          <w:sz w:val="24"/>
          <w:szCs w:val="24"/>
          <w:u w:val="none" w:color="auto"/>
        </w:rPr>
        <w:t>求。</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7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3"/>
          <w:kern w:val="0"/>
          <w:sz w:val="24"/>
          <w:szCs w:val="24"/>
          <w:u w:val="none" w:color="auto"/>
        </w:rPr>
        <w:t>(</w:t>
      </w:r>
      <w:r>
        <w:rPr>
          <w:rFonts w:hint="default" w:ascii="Times New Roman" w:hAnsi="Times New Roman" w:eastAsia="宋体" w:cs="Times New Roman"/>
          <w:snapToGrid w:val="0"/>
          <w:color w:val="auto"/>
          <w:spacing w:val="16"/>
          <w:kern w:val="0"/>
          <w:sz w:val="24"/>
          <w:szCs w:val="24"/>
          <w:u w:val="none" w:color="auto"/>
        </w:rPr>
        <w:t>2)作业过程风险控制</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9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4"/>
          <w:kern w:val="0"/>
          <w:sz w:val="24"/>
          <w:szCs w:val="24"/>
          <w:u w:val="none" w:color="auto"/>
        </w:rPr>
        <w:t>风险事故</w:t>
      </w:r>
      <w:r>
        <w:rPr>
          <w:rFonts w:hint="default" w:ascii="Times New Roman" w:hAnsi="Times New Roman" w:eastAsia="宋体" w:cs="Times New Roman"/>
          <w:snapToGrid w:val="0"/>
          <w:color w:val="auto"/>
          <w:spacing w:val="2"/>
          <w:kern w:val="0"/>
          <w:sz w:val="24"/>
          <w:szCs w:val="24"/>
          <w:u w:val="none" w:color="auto"/>
        </w:rPr>
        <w:t>的发生往往是由于管理不当、操作失误等引起的。因此，要从管理、</w:t>
      </w:r>
      <w:r>
        <w:rPr>
          <w:rFonts w:hint="default" w:ascii="Times New Roman" w:hAnsi="Times New Roman" w:eastAsia="宋体" w:cs="Times New Roman"/>
          <w:snapToGrid w:val="0"/>
          <w:color w:val="auto"/>
          <w:spacing w:val="18"/>
          <w:kern w:val="0"/>
          <w:sz w:val="24"/>
          <w:szCs w:val="24"/>
          <w:u w:val="none" w:color="auto"/>
        </w:rPr>
        <w:t>操</w:t>
      </w:r>
      <w:r>
        <w:rPr>
          <w:rFonts w:hint="default" w:ascii="Times New Roman" w:hAnsi="Times New Roman" w:eastAsia="宋体" w:cs="Times New Roman"/>
          <w:snapToGrid w:val="0"/>
          <w:color w:val="auto"/>
          <w:spacing w:val="13"/>
          <w:kern w:val="0"/>
          <w:sz w:val="24"/>
          <w:szCs w:val="24"/>
          <w:u w:val="none" w:color="auto"/>
        </w:rPr>
        <w:t>作</w:t>
      </w:r>
      <w:r>
        <w:rPr>
          <w:rFonts w:hint="default" w:ascii="Times New Roman" w:hAnsi="Times New Roman" w:eastAsia="宋体" w:cs="Times New Roman"/>
          <w:snapToGrid w:val="0"/>
          <w:color w:val="auto"/>
          <w:spacing w:val="9"/>
          <w:kern w:val="0"/>
          <w:sz w:val="24"/>
          <w:szCs w:val="24"/>
          <w:u w:val="none" w:color="auto"/>
        </w:rPr>
        <w:t>方面着手防范事故的发生，建立健全制度，采取各种措施，设立报警系统，</w:t>
      </w:r>
      <w:r>
        <w:rPr>
          <w:rFonts w:hint="default" w:ascii="Times New Roman" w:hAnsi="Times New Roman" w:eastAsia="宋体" w:cs="Times New Roman"/>
          <w:snapToGrid w:val="0"/>
          <w:color w:val="auto"/>
          <w:spacing w:val="12"/>
          <w:kern w:val="0"/>
          <w:sz w:val="24"/>
          <w:szCs w:val="24"/>
          <w:u w:val="none" w:color="auto"/>
        </w:rPr>
        <w:t>杜</w:t>
      </w:r>
      <w:r>
        <w:rPr>
          <w:rFonts w:hint="default" w:ascii="Times New Roman" w:hAnsi="Times New Roman" w:eastAsia="宋体" w:cs="Times New Roman"/>
          <w:snapToGrid w:val="0"/>
          <w:color w:val="auto"/>
          <w:spacing w:val="9"/>
          <w:kern w:val="0"/>
          <w:sz w:val="24"/>
          <w:szCs w:val="24"/>
          <w:u w:val="none" w:color="auto"/>
        </w:rPr>
        <w:t>绝事故发生。主要从以下两方面进行风险控制：</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9"/>
          <w:kern w:val="0"/>
          <w:sz w:val="24"/>
          <w:szCs w:val="24"/>
          <w:u w:val="none" w:color="auto"/>
        </w:rPr>
        <w:t>①建立健康、安全和环境管理责任制度</w:t>
      </w:r>
      <w:r>
        <w:rPr>
          <w:rFonts w:hint="default" w:ascii="Times New Roman" w:hAnsi="Times New Roman" w:eastAsia="宋体" w:cs="Times New Roman"/>
          <w:snapToGrid w:val="0"/>
          <w:color w:val="auto"/>
          <w:spacing w:val="8"/>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0"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0"/>
          <w:kern w:val="0"/>
          <w:sz w:val="24"/>
          <w:szCs w:val="24"/>
          <w:u w:val="none" w:color="auto"/>
        </w:rPr>
        <w:t>②</w:t>
      </w:r>
      <w:r>
        <w:rPr>
          <w:rFonts w:hint="default" w:ascii="Times New Roman" w:hAnsi="Times New Roman" w:eastAsia="宋体" w:cs="Times New Roman"/>
          <w:snapToGrid w:val="0"/>
          <w:color w:val="auto"/>
          <w:spacing w:val="9"/>
          <w:kern w:val="0"/>
          <w:sz w:val="24"/>
          <w:szCs w:val="24"/>
          <w:u w:val="none" w:color="auto"/>
        </w:rPr>
        <w:t>建立和维护健康、安全和环境管理体系。</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7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3"/>
          <w:kern w:val="0"/>
          <w:sz w:val="24"/>
          <w:szCs w:val="24"/>
          <w:u w:val="none" w:color="auto"/>
        </w:rPr>
        <w:t>(</w:t>
      </w:r>
      <w:r>
        <w:rPr>
          <w:rFonts w:hint="default" w:ascii="Times New Roman" w:hAnsi="Times New Roman" w:eastAsia="宋体" w:cs="Times New Roman"/>
          <w:snapToGrid w:val="0"/>
          <w:color w:val="auto"/>
          <w:spacing w:val="16"/>
          <w:kern w:val="0"/>
          <w:sz w:val="24"/>
          <w:szCs w:val="24"/>
          <w:u w:val="none" w:color="auto"/>
        </w:rPr>
        <w:t>3)天然气泄漏的处置</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①根据天然气的性质和泄漏、燃烧特点，在处置泄漏、排除险情的过程中</w:t>
      </w:r>
      <w:r>
        <w:rPr>
          <w:rFonts w:hint="default" w:ascii="Times New Roman" w:hAnsi="Times New Roman" w:eastAsia="宋体" w:cs="Times New Roman"/>
          <w:snapToGrid w:val="0"/>
          <w:color w:val="auto"/>
          <w:spacing w:val="7"/>
          <w:kern w:val="0"/>
          <w:sz w:val="24"/>
          <w:szCs w:val="24"/>
          <w:u w:val="none" w:color="auto"/>
        </w:rPr>
        <w:t>，</w:t>
      </w:r>
      <w:r>
        <w:rPr>
          <w:rFonts w:hint="default" w:ascii="Times New Roman" w:hAnsi="Times New Roman" w:eastAsia="宋体" w:cs="Times New Roman"/>
          <w:snapToGrid w:val="0"/>
          <w:color w:val="auto"/>
          <w:spacing w:val="14"/>
          <w:kern w:val="0"/>
          <w:sz w:val="24"/>
          <w:szCs w:val="24"/>
          <w:u w:val="none" w:color="auto"/>
        </w:rPr>
        <w:t>坚持“</w:t>
      </w:r>
      <w:r>
        <w:rPr>
          <w:rFonts w:hint="default" w:ascii="Times New Roman" w:hAnsi="Times New Roman" w:eastAsia="宋体" w:cs="Times New Roman"/>
          <w:snapToGrid w:val="0"/>
          <w:color w:val="auto"/>
          <w:spacing w:val="7"/>
          <w:kern w:val="0"/>
          <w:sz w:val="24"/>
          <w:szCs w:val="24"/>
          <w:u w:val="none" w:color="auto"/>
        </w:rPr>
        <w:t>先控制火源，后制止泄漏”的处置原则，灵活运用关阀断气、堵塞漏点、稀</w:t>
      </w:r>
      <w:r>
        <w:rPr>
          <w:rFonts w:hint="default" w:ascii="Times New Roman" w:hAnsi="Times New Roman" w:eastAsia="宋体" w:cs="Times New Roman"/>
          <w:snapToGrid w:val="0"/>
          <w:color w:val="auto"/>
          <w:spacing w:val="16"/>
          <w:kern w:val="0"/>
          <w:sz w:val="24"/>
          <w:szCs w:val="24"/>
          <w:u w:val="none" w:color="auto"/>
        </w:rPr>
        <w:t>释</w:t>
      </w:r>
      <w:r>
        <w:rPr>
          <w:rFonts w:hint="default" w:ascii="Times New Roman" w:hAnsi="Times New Roman" w:eastAsia="宋体" w:cs="Times New Roman"/>
          <w:snapToGrid w:val="0"/>
          <w:color w:val="auto"/>
          <w:spacing w:val="9"/>
          <w:kern w:val="0"/>
          <w:sz w:val="24"/>
          <w:szCs w:val="24"/>
          <w:u w:val="none" w:color="auto"/>
        </w:rPr>
        <w:t>驱</w:t>
      </w:r>
      <w:r>
        <w:rPr>
          <w:rFonts w:hint="default" w:ascii="Times New Roman" w:hAnsi="Times New Roman" w:eastAsia="宋体" w:cs="Times New Roman"/>
          <w:snapToGrid w:val="0"/>
          <w:color w:val="auto"/>
          <w:spacing w:val="8"/>
          <w:kern w:val="0"/>
          <w:sz w:val="24"/>
          <w:szCs w:val="24"/>
          <w:u w:val="none" w:color="auto"/>
        </w:rPr>
        <w:t>散、善后测试的处置措施。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②关阀断气，堵塞漏点。关闭有关阀门，切断气源；如阀门损坏，可用麻</w:t>
      </w:r>
      <w:r>
        <w:rPr>
          <w:rFonts w:hint="default" w:ascii="Times New Roman" w:hAnsi="Times New Roman" w:eastAsia="宋体" w:cs="Times New Roman"/>
          <w:snapToGrid w:val="0"/>
          <w:color w:val="auto"/>
          <w:spacing w:val="4"/>
          <w:kern w:val="0"/>
          <w:sz w:val="24"/>
          <w:szCs w:val="24"/>
          <w:u w:val="none" w:color="auto"/>
        </w:rPr>
        <w:t>片</w:t>
      </w:r>
      <w:r>
        <w:rPr>
          <w:rFonts w:hint="default" w:ascii="Times New Roman" w:hAnsi="Times New Roman" w:eastAsia="宋体" w:cs="Times New Roman"/>
          <w:snapToGrid w:val="0"/>
          <w:color w:val="auto"/>
          <w:spacing w:val="9"/>
          <w:kern w:val="0"/>
          <w:sz w:val="24"/>
          <w:szCs w:val="24"/>
          <w:u w:val="none" w:color="auto"/>
        </w:rPr>
        <w:t>缠</w:t>
      </w:r>
      <w:r>
        <w:rPr>
          <w:rFonts w:hint="default" w:ascii="Times New Roman" w:hAnsi="Times New Roman" w:eastAsia="宋体" w:cs="Times New Roman"/>
          <w:snapToGrid w:val="0"/>
          <w:color w:val="auto"/>
          <w:spacing w:val="7"/>
          <w:kern w:val="0"/>
          <w:sz w:val="24"/>
          <w:szCs w:val="24"/>
          <w:u w:val="none" w:color="auto"/>
        </w:rPr>
        <w:t>住漏气处，或用大卡箍堵漏，或组织有关技术人员维修、更换阀门；若管道破</w:t>
      </w:r>
      <w:r>
        <w:rPr>
          <w:rFonts w:hint="default" w:ascii="Times New Roman" w:hAnsi="Times New Roman" w:eastAsia="宋体" w:cs="Times New Roman"/>
          <w:snapToGrid w:val="0"/>
          <w:color w:val="auto"/>
          <w:spacing w:val="8"/>
          <w:kern w:val="0"/>
          <w:sz w:val="24"/>
          <w:szCs w:val="24"/>
          <w:u w:val="none" w:color="auto"/>
        </w:rPr>
        <w:t>裂，可用木楔子堵漏。</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③坚持冷却稀释与工艺配合相结合。坚持采用工艺配合是处置天然气泄漏</w:t>
      </w:r>
      <w:r>
        <w:rPr>
          <w:rFonts w:hint="default" w:ascii="Times New Roman" w:hAnsi="Times New Roman" w:eastAsia="宋体" w:cs="Times New Roman"/>
          <w:snapToGrid w:val="0"/>
          <w:color w:val="auto"/>
          <w:spacing w:val="4"/>
          <w:kern w:val="0"/>
          <w:sz w:val="24"/>
          <w:szCs w:val="24"/>
          <w:u w:val="none" w:color="auto"/>
        </w:rPr>
        <w:t>不</w:t>
      </w:r>
      <w:r>
        <w:rPr>
          <w:rFonts w:hint="default" w:ascii="Times New Roman" w:hAnsi="Times New Roman" w:eastAsia="宋体" w:cs="Times New Roman"/>
          <w:snapToGrid w:val="0"/>
          <w:color w:val="auto"/>
          <w:spacing w:val="8"/>
          <w:kern w:val="0"/>
          <w:sz w:val="24"/>
          <w:szCs w:val="24"/>
          <w:u w:val="none" w:color="auto"/>
        </w:rPr>
        <w:t>可</w:t>
      </w:r>
      <w:r>
        <w:rPr>
          <w:rFonts w:hint="default" w:ascii="Times New Roman" w:hAnsi="Times New Roman" w:eastAsia="宋体" w:cs="Times New Roman"/>
          <w:snapToGrid w:val="0"/>
          <w:color w:val="auto"/>
          <w:spacing w:val="7"/>
          <w:kern w:val="0"/>
          <w:sz w:val="24"/>
          <w:szCs w:val="24"/>
          <w:u w:val="none" w:color="auto"/>
        </w:rPr>
        <w:t>缺少的重要环节，应使用雾化水进行稀释，同时，找来技术人员，在雾化水的</w:t>
      </w:r>
      <w:r>
        <w:rPr>
          <w:rFonts w:hint="default" w:ascii="Times New Roman" w:hAnsi="Times New Roman" w:eastAsia="宋体" w:cs="Times New Roman"/>
          <w:snapToGrid w:val="0"/>
          <w:color w:val="auto"/>
          <w:spacing w:val="14"/>
          <w:kern w:val="0"/>
          <w:sz w:val="24"/>
          <w:szCs w:val="24"/>
          <w:u w:val="none" w:color="auto"/>
        </w:rPr>
        <w:t>保</w:t>
      </w:r>
      <w:r>
        <w:rPr>
          <w:rFonts w:hint="default" w:ascii="Times New Roman" w:hAnsi="Times New Roman" w:eastAsia="宋体" w:cs="Times New Roman"/>
          <w:snapToGrid w:val="0"/>
          <w:color w:val="auto"/>
          <w:spacing w:val="9"/>
          <w:kern w:val="0"/>
          <w:sz w:val="24"/>
          <w:szCs w:val="24"/>
          <w:u w:val="none" w:color="auto"/>
        </w:rPr>
        <w:t>护下，采用有效措施，堵住泄漏，避免更大事态的发生。</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8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
          <w:kern w:val="0"/>
          <w:sz w:val="24"/>
          <w:szCs w:val="24"/>
          <w:u w:val="none" w:color="auto"/>
        </w:rPr>
        <w:t>④始终测试。始终测试是处置天然气泄漏的另一个重要环节</w:t>
      </w:r>
      <w:r>
        <w:rPr>
          <w:rFonts w:hint="default" w:ascii="Times New Roman" w:hAnsi="Times New Roman" w:eastAsia="宋体" w:cs="Times New Roman"/>
          <w:snapToGrid w:val="0"/>
          <w:color w:val="auto"/>
          <w:spacing w:val="1"/>
          <w:kern w:val="0"/>
          <w:sz w:val="24"/>
          <w:szCs w:val="24"/>
          <w:u w:val="none" w:color="auto"/>
        </w:rPr>
        <w:t>，堵漏前需测试，</w:t>
      </w:r>
      <w:r>
        <w:rPr>
          <w:rFonts w:hint="default" w:ascii="Times New Roman" w:hAnsi="Times New Roman" w:eastAsia="宋体" w:cs="Times New Roman"/>
          <w:snapToGrid w:val="0"/>
          <w:color w:val="auto"/>
          <w:spacing w:val="9"/>
          <w:kern w:val="0"/>
          <w:sz w:val="24"/>
          <w:szCs w:val="24"/>
          <w:u w:val="none" w:color="auto"/>
        </w:rPr>
        <w:t>泄</w:t>
      </w:r>
      <w:r>
        <w:rPr>
          <w:rFonts w:hint="default" w:ascii="Times New Roman" w:hAnsi="Times New Roman" w:eastAsia="宋体" w:cs="Times New Roman"/>
          <w:snapToGrid w:val="0"/>
          <w:color w:val="auto"/>
          <w:spacing w:val="7"/>
          <w:kern w:val="0"/>
          <w:sz w:val="24"/>
          <w:szCs w:val="24"/>
          <w:u w:val="none" w:color="auto"/>
        </w:rPr>
        <w:t>漏点被封堵后，还要对封堵点各管线及法兰接口、所经管线低凹处利用可燃气</w:t>
      </w:r>
      <w:r>
        <w:rPr>
          <w:rFonts w:hint="default" w:ascii="Times New Roman" w:hAnsi="Times New Roman" w:eastAsia="宋体" w:cs="Times New Roman"/>
          <w:snapToGrid w:val="0"/>
          <w:color w:val="auto"/>
          <w:spacing w:val="8"/>
          <w:kern w:val="0"/>
          <w:sz w:val="24"/>
          <w:szCs w:val="24"/>
          <w:u w:val="none" w:color="auto"/>
        </w:rPr>
        <w:t>检测仪进行检测，在确认无漏气、天然气浓度低于爆炸下限5%后，方可恢复</w:t>
      </w:r>
      <w:r>
        <w:rPr>
          <w:rFonts w:hint="default" w:ascii="Times New Roman" w:hAnsi="Times New Roman" w:eastAsia="宋体" w:cs="Times New Roman"/>
          <w:snapToGrid w:val="0"/>
          <w:color w:val="auto"/>
          <w:spacing w:val="3"/>
          <w:kern w:val="0"/>
          <w:sz w:val="24"/>
          <w:szCs w:val="24"/>
          <w:u w:val="none" w:color="auto"/>
        </w:rPr>
        <w:t>正</w:t>
      </w:r>
      <w:r>
        <w:rPr>
          <w:rFonts w:hint="default" w:ascii="Times New Roman" w:hAnsi="Times New Roman" w:eastAsia="宋体" w:cs="Times New Roman"/>
          <w:snapToGrid w:val="0"/>
          <w:color w:val="auto"/>
          <w:spacing w:val="5"/>
          <w:kern w:val="0"/>
          <w:sz w:val="24"/>
          <w:szCs w:val="24"/>
          <w:u w:val="none" w:color="auto"/>
        </w:rPr>
        <w:t>常使用。</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⑤在堵漏过程中，阀门垫圈应选用钢质垫或尼龙垫圈，不宜选用石棉垫圈，</w:t>
      </w:r>
      <w:r>
        <w:rPr>
          <w:rFonts w:hint="default" w:ascii="Times New Roman" w:hAnsi="Times New Roman" w:eastAsia="宋体" w:cs="Times New Roman"/>
          <w:snapToGrid w:val="0"/>
          <w:color w:val="auto"/>
          <w:spacing w:val="9"/>
          <w:kern w:val="0"/>
          <w:sz w:val="24"/>
          <w:szCs w:val="24"/>
          <w:u w:val="none" w:color="auto"/>
        </w:rPr>
        <w:t>因</w:t>
      </w:r>
      <w:r>
        <w:rPr>
          <w:rFonts w:hint="default" w:ascii="Times New Roman" w:hAnsi="Times New Roman" w:eastAsia="宋体" w:cs="Times New Roman"/>
          <w:snapToGrid w:val="0"/>
          <w:color w:val="auto"/>
          <w:spacing w:val="7"/>
          <w:kern w:val="0"/>
          <w:sz w:val="24"/>
          <w:szCs w:val="24"/>
          <w:u w:val="none" w:color="auto"/>
        </w:rPr>
        <w:t>石棉垫圈遇水易损坏；使用的电器设备，必须选用钢质防爆型工具；侦检、堵</w:t>
      </w:r>
      <w:r>
        <w:rPr>
          <w:rFonts w:hint="default" w:ascii="Times New Roman" w:hAnsi="Times New Roman" w:eastAsia="宋体" w:cs="Times New Roman"/>
          <w:snapToGrid w:val="0"/>
          <w:color w:val="auto"/>
          <w:spacing w:val="9"/>
          <w:kern w:val="0"/>
          <w:sz w:val="24"/>
          <w:szCs w:val="24"/>
          <w:u w:val="none" w:color="auto"/>
        </w:rPr>
        <w:t>漏</w:t>
      </w:r>
      <w:r>
        <w:rPr>
          <w:rFonts w:hint="default" w:ascii="Times New Roman" w:hAnsi="Times New Roman" w:eastAsia="宋体" w:cs="Times New Roman"/>
          <w:snapToGrid w:val="0"/>
          <w:color w:val="auto"/>
          <w:spacing w:val="7"/>
          <w:kern w:val="0"/>
          <w:sz w:val="24"/>
          <w:szCs w:val="24"/>
          <w:u w:val="none" w:color="auto"/>
        </w:rPr>
        <w:t>等，必须使用不发火工具、器材；抢险救援过程中，所有车辆均需装配火星熄</w:t>
      </w:r>
      <w:r>
        <w:rPr>
          <w:rFonts w:hint="default" w:ascii="Times New Roman" w:hAnsi="Times New Roman" w:eastAsia="宋体" w:cs="Times New Roman"/>
          <w:snapToGrid w:val="0"/>
          <w:color w:val="auto"/>
          <w:spacing w:val="12"/>
          <w:kern w:val="0"/>
          <w:sz w:val="24"/>
          <w:szCs w:val="24"/>
          <w:u w:val="none" w:color="auto"/>
        </w:rPr>
        <w:t>灭</w:t>
      </w:r>
      <w:r>
        <w:rPr>
          <w:rFonts w:hint="default" w:ascii="Times New Roman" w:hAnsi="Times New Roman" w:eastAsia="宋体" w:cs="Times New Roman"/>
          <w:snapToGrid w:val="0"/>
          <w:color w:val="auto"/>
          <w:spacing w:val="9"/>
          <w:kern w:val="0"/>
          <w:sz w:val="24"/>
          <w:szCs w:val="24"/>
          <w:u w:val="none" w:color="auto"/>
        </w:rPr>
        <w:t>器，所有人员不得使用有线、无线通讯联络工具。</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⑥在天然气管道附近严格控制修理用火，严禁烟火和明火，防止摩擦撞击</w:t>
      </w:r>
      <w:r>
        <w:rPr>
          <w:rFonts w:hint="default" w:ascii="Times New Roman" w:hAnsi="Times New Roman" w:eastAsia="宋体" w:cs="Times New Roman"/>
          <w:snapToGrid w:val="0"/>
          <w:color w:val="auto"/>
          <w:spacing w:val="4"/>
          <w:kern w:val="0"/>
          <w:sz w:val="24"/>
          <w:szCs w:val="24"/>
          <w:u w:val="none" w:color="auto"/>
        </w:rPr>
        <w:t>打</w:t>
      </w:r>
      <w:r>
        <w:rPr>
          <w:rFonts w:hint="default" w:ascii="Times New Roman" w:hAnsi="Times New Roman" w:eastAsia="宋体" w:cs="Times New Roman"/>
          <w:snapToGrid w:val="0"/>
          <w:color w:val="auto"/>
          <w:spacing w:val="16"/>
          <w:kern w:val="0"/>
          <w:sz w:val="24"/>
          <w:szCs w:val="24"/>
          <w:u w:val="none" w:color="auto"/>
        </w:rPr>
        <w:t>火</w:t>
      </w:r>
      <w:r>
        <w:rPr>
          <w:rFonts w:hint="default" w:ascii="Times New Roman" w:hAnsi="Times New Roman" w:eastAsia="宋体" w:cs="Times New Roman"/>
          <w:snapToGrid w:val="0"/>
          <w:color w:val="auto"/>
          <w:spacing w:val="8"/>
          <w:kern w:val="0"/>
          <w:sz w:val="24"/>
          <w:szCs w:val="24"/>
          <w:u w:val="none" w:color="auto"/>
        </w:rPr>
        <w:t>，作业时不得使用电气焊、割。</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9"/>
          <w:kern w:val="0"/>
          <w:sz w:val="24"/>
          <w:szCs w:val="24"/>
          <w:u w:val="none" w:color="auto"/>
        </w:rPr>
        <w:t>⑦采取通风措</w:t>
      </w:r>
      <w:r>
        <w:rPr>
          <w:rFonts w:hint="default" w:ascii="Times New Roman" w:hAnsi="Times New Roman" w:eastAsia="宋体" w:cs="Times New Roman"/>
          <w:snapToGrid w:val="0"/>
          <w:color w:val="auto"/>
          <w:spacing w:val="8"/>
          <w:kern w:val="0"/>
          <w:sz w:val="24"/>
          <w:szCs w:val="24"/>
          <w:u w:val="none" w:color="auto"/>
        </w:rPr>
        <w:t>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为了防止</w:t>
      </w:r>
      <w:r>
        <w:rPr>
          <w:rFonts w:hint="default" w:ascii="Times New Roman" w:hAnsi="Times New Roman" w:eastAsia="宋体" w:cs="Times New Roman"/>
          <w:snapToGrid w:val="0"/>
          <w:color w:val="auto"/>
          <w:spacing w:val="8"/>
          <w:kern w:val="0"/>
          <w:sz w:val="24"/>
          <w:szCs w:val="24"/>
          <w:u w:val="none" w:color="auto"/>
        </w:rPr>
        <w:t>爆</w:t>
      </w:r>
      <w:r>
        <w:rPr>
          <w:rFonts w:hint="default" w:ascii="Times New Roman" w:hAnsi="Times New Roman" w:eastAsia="宋体" w:cs="Times New Roman"/>
          <w:snapToGrid w:val="0"/>
          <w:color w:val="auto"/>
          <w:spacing w:val="6"/>
          <w:kern w:val="0"/>
          <w:sz w:val="24"/>
          <w:szCs w:val="24"/>
          <w:u w:val="none" w:color="auto"/>
        </w:rPr>
        <w:t>炸性混合物的形成，天然气爆炸危险区域内的房间应采取通风措</w:t>
      </w:r>
      <w:r>
        <w:rPr>
          <w:rFonts w:hint="default" w:ascii="Times New Roman" w:hAnsi="Times New Roman" w:eastAsia="宋体" w:cs="Times New Roman"/>
          <w:snapToGrid w:val="0"/>
          <w:color w:val="auto"/>
          <w:spacing w:val="12"/>
          <w:kern w:val="0"/>
          <w:sz w:val="24"/>
          <w:szCs w:val="24"/>
          <w:u w:val="none" w:color="auto"/>
        </w:rPr>
        <w:t>施，</w:t>
      </w:r>
      <w:r>
        <w:rPr>
          <w:rFonts w:hint="default" w:ascii="Times New Roman" w:hAnsi="Times New Roman" w:eastAsia="宋体" w:cs="Times New Roman"/>
          <w:snapToGrid w:val="0"/>
          <w:color w:val="auto"/>
          <w:spacing w:val="6"/>
          <w:kern w:val="0"/>
          <w:sz w:val="24"/>
          <w:szCs w:val="24"/>
          <w:u w:val="none" w:color="auto"/>
        </w:rPr>
        <w:t>以防止发生中毒和爆炸事故。采用自然通风时，通风口不应少于2个，且</w:t>
      </w:r>
      <w:r>
        <w:rPr>
          <w:rFonts w:hint="default" w:ascii="Times New Roman" w:hAnsi="Times New Roman" w:eastAsia="宋体" w:cs="Times New Roman"/>
          <w:snapToGrid w:val="0"/>
          <w:color w:val="auto"/>
          <w:spacing w:val="7"/>
          <w:kern w:val="0"/>
          <w:sz w:val="24"/>
          <w:szCs w:val="24"/>
          <w:u w:val="none" w:color="auto"/>
        </w:rPr>
        <w:t>应靠近可燃气体易积聚的部位设置，尽可能均匀，不留死角，以便可燃气体能</w:t>
      </w:r>
      <w:r>
        <w:rPr>
          <w:rFonts w:hint="default" w:ascii="Times New Roman" w:hAnsi="Times New Roman" w:eastAsia="宋体" w:cs="Times New Roman"/>
          <w:snapToGrid w:val="0"/>
          <w:color w:val="auto"/>
          <w:spacing w:val="6"/>
          <w:kern w:val="0"/>
          <w:sz w:val="24"/>
          <w:szCs w:val="24"/>
          <w:u w:val="none" w:color="auto"/>
        </w:rPr>
        <w:t>够</w:t>
      </w:r>
      <w:r>
        <w:rPr>
          <w:rFonts w:hint="default" w:ascii="Times New Roman" w:hAnsi="Times New Roman" w:eastAsia="宋体" w:cs="Times New Roman"/>
          <w:snapToGrid w:val="0"/>
          <w:color w:val="auto"/>
          <w:spacing w:val="9"/>
          <w:kern w:val="0"/>
          <w:sz w:val="24"/>
          <w:szCs w:val="24"/>
          <w:u w:val="none" w:color="auto"/>
        </w:rPr>
        <w:t>迅</w:t>
      </w:r>
      <w:r>
        <w:rPr>
          <w:rFonts w:hint="default" w:ascii="Times New Roman" w:hAnsi="Times New Roman" w:eastAsia="宋体" w:cs="Times New Roman"/>
          <w:snapToGrid w:val="0"/>
          <w:color w:val="auto"/>
          <w:spacing w:val="7"/>
          <w:kern w:val="0"/>
          <w:sz w:val="24"/>
          <w:szCs w:val="24"/>
          <w:u w:val="none" w:color="auto"/>
        </w:rPr>
        <w:t>速扩散。对于可能泄漏天然气的建筑物，以上排风为主。采用强制通风时，通</w:t>
      </w:r>
      <w:r>
        <w:rPr>
          <w:rFonts w:hint="default" w:ascii="Times New Roman" w:hAnsi="Times New Roman" w:eastAsia="宋体" w:cs="Times New Roman"/>
          <w:snapToGrid w:val="0"/>
          <w:color w:val="auto"/>
          <w:spacing w:val="12"/>
          <w:kern w:val="0"/>
          <w:sz w:val="24"/>
          <w:szCs w:val="24"/>
          <w:u w:val="none" w:color="auto"/>
        </w:rPr>
        <w:t>风设备</w:t>
      </w:r>
      <w:r>
        <w:rPr>
          <w:rFonts w:hint="default" w:ascii="Times New Roman" w:hAnsi="Times New Roman" w:eastAsia="宋体" w:cs="Times New Roman"/>
          <w:snapToGrid w:val="0"/>
          <w:color w:val="auto"/>
          <w:spacing w:val="7"/>
          <w:kern w:val="0"/>
          <w:sz w:val="24"/>
          <w:szCs w:val="24"/>
          <w:u w:val="none" w:color="auto"/>
        </w:rPr>
        <w:t>的</w:t>
      </w:r>
      <w:r>
        <w:rPr>
          <w:rFonts w:hint="default" w:ascii="Times New Roman" w:hAnsi="Times New Roman" w:eastAsia="宋体" w:cs="Times New Roman"/>
          <w:snapToGrid w:val="0"/>
          <w:color w:val="auto"/>
          <w:spacing w:val="6"/>
          <w:kern w:val="0"/>
          <w:sz w:val="24"/>
          <w:szCs w:val="24"/>
          <w:u w:val="none" w:color="auto"/>
        </w:rPr>
        <w:t>通风能力在工艺设备工作期间应按每小时换气15次计算，在工艺设备</w:t>
      </w:r>
      <w:r>
        <w:rPr>
          <w:rFonts w:hint="default" w:ascii="Times New Roman" w:hAnsi="Times New Roman" w:eastAsia="宋体" w:cs="Times New Roman"/>
          <w:snapToGrid w:val="0"/>
          <w:color w:val="auto"/>
          <w:spacing w:val="8"/>
          <w:kern w:val="0"/>
          <w:sz w:val="24"/>
          <w:szCs w:val="24"/>
          <w:u w:val="none" w:color="auto"/>
        </w:rPr>
        <w:t>非工作</w:t>
      </w:r>
      <w:r>
        <w:rPr>
          <w:rFonts w:hint="default" w:ascii="Times New Roman" w:hAnsi="Times New Roman" w:eastAsia="宋体" w:cs="Times New Roman"/>
          <w:snapToGrid w:val="0"/>
          <w:color w:val="auto"/>
          <w:spacing w:val="7"/>
          <w:kern w:val="0"/>
          <w:sz w:val="24"/>
          <w:szCs w:val="24"/>
          <w:u w:val="none" w:color="auto"/>
        </w:rPr>
        <w:t>期</w:t>
      </w:r>
      <w:r>
        <w:rPr>
          <w:rFonts w:hint="default" w:ascii="Times New Roman" w:hAnsi="Times New Roman" w:eastAsia="宋体" w:cs="Times New Roman"/>
          <w:snapToGrid w:val="0"/>
          <w:color w:val="auto"/>
          <w:spacing w:val="4"/>
          <w:kern w:val="0"/>
          <w:sz w:val="24"/>
          <w:szCs w:val="24"/>
          <w:u w:val="none" w:color="auto"/>
        </w:rPr>
        <w:t>间应按每小时换气5次计算。</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⑧</w:t>
      </w:r>
      <w:r>
        <w:rPr>
          <w:rFonts w:hint="default" w:ascii="Times New Roman" w:hAnsi="Times New Roman" w:eastAsia="宋体" w:cs="Times New Roman"/>
          <w:snapToGrid w:val="0"/>
          <w:color w:val="auto"/>
          <w:spacing w:val="9"/>
          <w:kern w:val="0"/>
          <w:sz w:val="24"/>
          <w:szCs w:val="24"/>
          <w:u w:val="none" w:color="auto"/>
        </w:rPr>
        <w:t>设置可燃气体检测报警装置</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为了能及</w:t>
      </w:r>
      <w:r>
        <w:rPr>
          <w:rFonts w:hint="default" w:ascii="Times New Roman" w:hAnsi="Times New Roman" w:eastAsia="宋体" w:cs="Times New Roman"/>
          <w:snapToGrid w:val="0"/>
          <w:color w:val="auto"/>
          <w:spacing w:val="8"/>
          <w:kern w:val="0"/>
          <w:sz w:val="24"/>
          <w:szCs w:val="24"/>
          <w:u w:val="none" w:color="auto"/>
        </w:rPr>
        <w:t>时</w:t>
      </w:r>
      <w:r>
        <w:rPr>
          <w:rFonts w:hint="default" w:ascii="Times New Roman" w:hAnsi="Times New Roman" w:eastAsia="宋体" w:cs="Times New Roman"/>
          <w:snapToGrid w:val="0"/>
          <w:color w:val="auto"/>
          <w:spacing w:val="6"/>
          <w:kern w:val="0"/>
          <w:sz w:val="24"/>
          <w:szCs w:val="24"/>
          <w:u w:val="none" w:color="auto"/>
        </w:rPr>
        <w:t>检测到可燃气体非正常超量泄漏，以便工作人员尽快进行泄漏处</w:t>
      </w:r>
      <w:r>
        <w:rPr>
          <w:rFonts w:hint="default" w:ascii="Times New Roman" w:hAnsi="Times New Roman" w:eastAsia="宋体" w:cs="Times New Roman"/>
          <w:snapToGrid w:val="0"/>
          <w:color w:val="auto"/>
          <w:spacing w:val="7"/>
          <w:kern w:val="0"/>
          <w:sz w:val="24"/>
          <w:szCs w:val="24"/>
          <w:u w:val="none" w:color="auto"/>
        </w:rPr>
        <w:t>理，防止或消除爆炸事故隐患，天然气泵、管道相应位置应设置可燃气体检测</w:t>
      </w:r>
      <w:r>
        <w:rPr>
          <w:rFonts w:hint="default" w:ascii="Times New Roman" w:hAnsi="Times New Roman" w:eastAsia="宋体" w:cs="Times New Roman"/>
          <w:snapToGrid w:val="0"/>
          <w:color w:val="auto"/>
          <w:spacing w:val="6"/>
          <w:kern w:val="0"/>
          <w:sz w:val="24"/>
          <w:szCs w:val="24"/>
          <w:u w:val="none" w:color="auto"/>
        </w:rPr>
        <w:t>报</w:t>
      </w:r>
      <w:r>
        <w:rPr>
          <w:rFonts w:hint="default" w:ascii="Times New Roman" w:hAnsi="Times New Roman" w:eastAsia="宋体" w:cs="Times New Roman"/>
          <w:snapToGrid w:val="0"/>
          <w:color w:val="auto"/>
          <w:spacing w:val="10"/>
          <w:kern w:val="0"/>
          <w:sz w:val="24"/>
          <w:szCs w:val="24"/>
          <w:u w:val="none" w:color="auto"/>
        </w:rPr>
        <w:t>警</w:t>
      </w:r>
      <w:r>
        <w:rPr>
          <w:rFonts w:hint="default" w:ascii="Times New Roman" w:hAnsi="Times New Roman" w:eastAsia="宋体" w:cs="Times New Roman"/>
          <w:snapToGrid w:val="0"/>
          <w:color w:val="auto"/>
          <w:spacing w:val="7"/>
          <w:kern w:val="0"/>
          <w:sz w:val="24"/>
          <w:szCs w:val="24"/>
          <w:u w:val="none" w:color="auto"/>
        </w:rPr>
        <w:t>系统。天然气管道、天然气泵等场所应设置可燃气体检测器。报警器宜集中设</w:t>
      </w:r>
      <w:r>
        <w:rPr>
          <w:rFonts w:hint="default" w:ascii="Times New Roman" w:hAnsi="Times New Roman" w:eastAsia="宋体" w:cs="Times New Roman"/>
          <w:snapToGrid w:val="0"/>
          <w:color w:val="auto"/>
          <w:spacing w:val="10"/>
          <w:kern w:val="0"/>
          <w:sz w:val="24"/>
          <w:szCs w:val="24"/>
          <w:u w:val="none" w:color="auto"/>
        </w:rPr>
        <w:t>置</w:t>
      </w:r>
      <w:r>
        <w:rPr>
          <w:rFonts w:hint="default" w:ascii="Times New Roman" w:hAnsi="Times New Roman" w:eastAsia="宋体" w:cs="Times New Roman"/>
          <w:snapToGrid w:val="0"/>
          <w:color w:val="auto"/>
          <w:spacing w:val="7"/>
          <w:kern w:val="0"/>
          <w:sz w:val="24"/>
          <w:szCs w:val="24"/>
          <w:u w:val="none" w:color="auto"/>
        </w:rPr>
        <w:t>在控制室或值班室内，操作人员能及时得到报警。可燃气体检测器和报警器的选用和安装，应符合国家行业标准(石油化工企业可燃气体和有毒气体检测报</w:t>
      </w:r>
      <w:r>
        <w:rPr>
          <w:rFonts w:hint="default" w:ascii="Times New Roman" w:hAnsi="Times New Roman" w:eastAsia="宋体" w:cs="Times New Roman"/>
          <w:snapToGrid w:val="0"/>
          <w:color w:val="auto"/>
          <w:spacing w:val="3"/>
          <w:kern w:val="0"/>
          <w:sz w:val="24"/>
          <w:szCs w:val="24"/>
          <w:u w:val="none" w:color="auto"/>
        </w:rPr>
        <w:t>警</w:t>
      </w:r>
      <w:r>
        <w:rPr>
          <w:rFonts w:hint="default" w:ascii="Times New Roman" w:hAnsi="Times New Roman" w:eastAsia="宋体" w:cs="Times New Roman"/>
          <w:snapToGrid w:val="0"/>
          <w:color w:val="auto"/>
          <w:spacing w:val="12"/>
          <w:kern w:val="0"/>
          <w:sz w:val="24"/>
          <w:szCs w:val="24"/>
          <w:u w:val="none" w:color="auto"/>
        </w:rPr>
        <w:t>设</w:t>
      </w:r>
      <w:r>
        <w:rPr>
          <w:rFonts w:hint="default" w:ascii="Times New Roman" w:hAnsi="Times New Roman" w:eastAsia="宋体" w:cs="Times New Roman"/>
          <w:snapToGrid w:val="0"/>
          <w:color w:val="auto"/>
          <w:spacing w:val="9"/>
          <w:kern w:val="0"/>
          <w:sz w:val="24"/>
          <w:szCs w:val="24"/>
          <w:u w:val="none" w:color="auto"/>
        </w:rPr>
        <w:t>计规范)</w:t>
      </w:r>
      <w:r>
        <w:rPr>
          <w:rFonts w:hint="default" w:ascii="Times New Roman" w:hAnsi="Times New Roman" w:eastAsia="宋体" w:cs="Times New Roman"/>
          <w:snapToGrid w:val="0"/>
          <w:color w:val="auto"/>
          <w:kern w:val="0"/>
          <w:sz w:val="24"/>
          <w:szCs w:val="24"/>
          <w:u w:val="none" w:color="auto"/>
        </w:rPr>
        <w:t>SH</w:t>
      </w:r>
      <w:r>
        <w:rPr>
          <w:rFonts w:hint="default" w:ascii="Times New Roman" w:hAnsi="Times New Roman" w:eastAsia="宋体" w:cs="Times New Roman"/>
          <w:snapToGrid w:val="0"/>
          <w:color w:val="auto"/>
          <w:spacing w:val="9"/>
          <w:kern w:val="0"/>
          <w:sz w:val="24"/>
          <w:szCs w:val="24"/>
          <w:u w:val="none" w:color="auto"/>
        </w:rPr>
        <w:t>3063的有关规定。可燃气体检测器报警(高限)设定值应小于或</w:t>
      </w:r>
      <w:r>
        <w:rPr>
          <w:rFonts w:hint="default" w:ascii="Times New Roman" w:hAnsi="Times New Roman" w:eastAsia="宋体" w:cs="Times New Roman"/>
          <w:snapToGrid w:val="0"/>
          <w:color w:val="auto"/>
          <w:spacing w:val="10"/>
          <w:kern w:val="0"/>
          <w:position w:val="1"/>
          <w:sz w:val="24"/>
          <w:szCs w:val="24"/>
          <w:u w:val="none" w:color="auto"/>
        </w:rPr>
        <w:t>等于</w:t>
      </w:r>
      <w:r>
        <w:rPr>
          <w:rFonts w:hint="default" w:ascii="Times New Roman" w:hAnsi="Times New Roman" w:eastAsia="宋体" w:cs="Times New Roman"/>
          <w:snapToGrid w:val="0"/>
          <w:color w:val="auto"/>
          <w:spacing w:val="7"/>
          <w:kern w:val="0"/>
          <w:position w:val="1"/>
          <w:sz w:val="24"/>
          <w:szCs w:val="24"/>
          <w:u w:val="none" w:color="auto"/>
        </w:rPr>
        <w:t>可</w:t>
      </w:r>
      <w:r>
        <w:rPr>
          <w:rFonts w:hint="default" w:ascii="Times New Roman" w:hAnsi="Times New Roman" w:eastAsia="宋体" w:cs="Times New Roman"/>
          <w:snapToGrid w:val="0"/>
          <w:color w:val="auto"/>
          <w:spacing w:val="5"/>
          <w:kern w:val="0"/>
          <w:position w:val="1"/>
          <w:sz w:val="24"/>
          <w:szCs w:val="24"/>
          <w:u w:val="none" w:color="auto"/>
        </w:rPr>
        <w:t>燃气体爆炸下限浓度(</w:t>
      </w:r>
      <w:r>
        <w:rPr>
          <w:rFonts w:hint="default" w:ascii="Times New Roman" w:hAnsi="Times New Roman" w:eastAsia="宋体" w:cs="Times New Roman"/>
          <w:snapToGrid w:val="0"/>
          <w:color w:val="auto"/>
          <w:kern w:val="0"/>
          <w:position w:val="1"/>
          <w:sz w:val="24"/>
          <w:szCs w:val="24"/>
          <w:u w:val="none" w:color="auto"/>
        </w:rPr>
        <w:t>WV</w:t>
      </w:r>
      <w:r>
        <w:rPr>
          <w:rFonts w:hint="default" w:ascii="Times New Roman" w:hAnsi="Times New Roman" w:eastAsia="宋体" w:cs="Times New Roman"/>
          <w:snapToGrid w:val="0"/>
          <w:color w:val="auto"/>
          <w:spacing w:val="5"/>
          <w:kern w:val="0"/>
          <w:position w:val="1"/>
          <w:sz w:val="24"/>
          <w:szCs w:val="24"/>
          <w:u w:val="none" w:color="auto"/>
        </w:rPr>
        <w:t>)值的25%。</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⑨</w:t>
      </w:r>
      <w:r>
        <w:rPr>
          <w:rFonts w:hint="default" w:ascii="Times New Roman" w:hAnsi="Times New Roman" w:eastAsia="宋体" w:cs="Times New Roman"/>
          <w:snapToGrid w:val="0"/>
          <w:color w:val="auto"/>
          <w:spacing w:val="9"/>
          <w:kern w:val="0"/>
          <w:sz w:val="24"/>
          <w:szCs w:val="24"/>
          <w:u w:val="none" w:color="auto"/>
        </w:rPr>
        <w:t>提高工作人员的专业素质</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9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4"/>
          <w:kern w:val="0"/>
          <w:sz w:val="24"/>
          <w:szCs w:val="24"/>
          <w:u w:val="none" w:color="auto"/>
        </w:rPr>
        <w:t>应加大安</w:t>
      </w:r>
      <w:r>
        <w:rPr>
          <w:rFonts w:hint="default" w:ascii="Times New Roman" w:hAnsi="Times New Roman" w:eastAsia="宋体" w:cs="Times New Roman"/>
          <w:snapToGrid w:val="0"/>
          <w:color w:val="auto"/>
          <w:spacing w:val="3"/>
          <w:kern w:val="0"/>
          <w:sz w:val="24"/>
          <w:szCs w:val="24"/>
          <w:u w:val="none" w:color="auto"/>
        </w:rPr>
        <w:t>全</w:t>
      </w:r>
      <w:r>
        <w:rPr>
          <w:rFonts w:hint="default" w:ascii="Times New Roman" w:hAnsi="Times New Roman" w:eastAsia="宋体" w:cs="Times New Roman"/>
          <w:snapToGrid w:val="0"/>
          <w:color w:val="auto"/>
          <w:spacing w:val="2"/>
          <w:kern w:val="0"/>
          <w:sz w:val="24"/>
          <w:szCs w:val="24"/>
          <w:u w:val="none" w:color="auto"/>
        </w:rPr>
        <w:t>培训和考核的力度，严格岗前培训、定期培训制度，并进行考核。</w:t>
      </w:r>
      <w:r>
        <w:rPr>
          <w:rFonts w:hint="default" w:ascii="Times New Roman" w:hAnsi="Times New Roman" w:eastAsia="宋体" w:cs="Times New Roman"/>
          <w:snapToGrid w:val="0"/>
          <w:color w:val="auto"/>
          <w:spacing w:val="18"/>
          <w:kern w:val="0"/>
          <w:sz w:val="24"/>
          <w:szCs w:val="24"/>
          <w:u w:val="none" w:color="auto"/>
        </w:rPr>
        <w:t>熟</w:t>
      </w:r>
      <w:r>
        <w:rPr>
          <w:rFonts w:hint="default" w:ascii="Times New Roman" w:hAnsi="Times New Roman" w:eastAsia="宋体" w:cs="Times New Roman"/>
          <w:snapToGrid w:val="0"/>
          <w:color w:val="auto"/>
          <w:spacing w:val="11"/>
          <w:kern w:val="0"/>
          <w:sz w:val="24"/>
          <w:szCs w:val="24"/>
          <w:u w:val="none" w:color="auto"/>
        </w:rPr>
        <w:t>悉</w:t>
      </w:r>
      <w:r>
        <w:rPr>
          <w:rFonts w:hint="default" w:ascii="Times New Roman" w:hAnsi="Times New Roman" w:eastAsia="宋体" w:cs="Times New Roman"/>
          <w:snapToGrid w:val="0"/>
          <w:color w:val="auto"/>
          <w:spacing w:val="9"/>
          <w:kern w:val="0"/>
          <w:sz w:val="24"/>
          <w:szCs w:val="24"/>
          <w:u w:val="none" w:color="auto"/>
        </w:rPr>
        <w:t>调压柜操作规程，了解天然气的火灾危险性，掌握防火、灭火的基础知识，</w:t>
      </w:r>
      <w:r>
        <w:rPr>
          <w:rFonts w:hint="default" w:ascii="Times New Roman" w:hAnsi="Times New Roman" w:eastAsia="宋体" w:cs="Times New Roman"/>
          <w:snapToGrid w:val="0"/>
          <w:color w:val="auto"/>
          <w:spacing w:val="11"/>
          <w:kern w:val="0"/>
          <w:sz w:val="24"/>
          <w:szCs w:val="24"/>
          <w:u w:val="none" w:color="auto"/>
        </w:rPr>
        <w:t>提</w:t>
      </w:r>
      <w:r>
        <w:rPr>
          <w:rFonts w:hint="default" w:ascii="Times New Roman" w:hAnsi="Times New Roman" w:eastAsia="宋体" w:cs="Times New Roman"/>
          <w:snapToGrid w:val="0"/>
          <w:color w:val="auto"/>
          <w:spacing w:val="8"/>
          <w:kern w:val="0"/>
          <w:sz w:val="24"/>
          <w:szCs w:val="24"/>
          <w:u w:val="none" w:color="auto"/>
        </w:rPr>
        <w:t>高处理突发事故的能力。</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4" w:firstLineChars="200"/>
        <w:jc w:val="left"/>
        <w:textAlignment w:val="baseline"/>
        <w:outlineLvl w:val="3"/>
        <w:rPr>
          <w:rFonts w:hint="default" w:ascii="Times New Roman" w:hAnsi="Times New Roman" w:eastAsia="宋体" w:cs="Times New Roman"/>
          <w:b/>
          <w:bCs/>
          <w:snapToGrid w:val="0"/>
          <w:color w:val="auto"/>
          <w:spacing w:val="13"/>
          <w:kern w:val="0"/>
          <w:sz w:val="24"/>
          <w:szCs w:val="24"/>
          <w:u w:val="none" w:color="auto"/>
        </w:rPr>
      </w:pPr>
      <w:r>
        <w:rPr>
          <w:rFonts w:hint="default" w:ascii="Times New Roman" w:hAnsi="Times New Roman" w:eastAsia="宋体" w:cs="Times New Roman"/>
          <w:b/>
          <w:bCs/>
          <w:snapToGrid w:val="0"/>
          <w:color w:val="auto"/>
          <w:spacing w:val="13"/>
          <w:kern w:val="0"/>
          <w:sz w:val="24"/>
          <w:szCs w:val="24"/>
          <w:u w:val="none" w:color="auto"/>
        </w:rPr>
        <w:t>5.2.</w:t>
      </w:r>
      <w:r>
        <w:rPr>
          <w:rFonts w:hint="eastAsia" w:ascii="Times New Roman" w:hAnsi="Times New Roman" w:eastAsia="宋体" w:cs="Times New Roman"/>
          <w:b/>
          <w:bCs/>
          <w:snapToGrid w:val="0"/>
          <w:color w:val="auto"/>
          <w:spacing w:val="13"/>
          <w:kern w:val="0"/>
          <w:sz w:val="24"/>
          <w:szCs w:val="24"/>
          <w:u w:val="none" w:color="auto"/>
          <w:lang w:val="en-US" w:eastAsia="zh-CN"/>
        </w:rPr>
        <w:t>7</w:t>
      </w:r>
      <w:r>
        <w:rPr>
          <w:rFonts w:hint="default" w:ascii="Times New Roman" w:hAnsi="Times New Roman" w:eastAsia="宋体" w:cs="Times New Roman"/>
          <w:b/>
          <w:bCs/>
          <w:snapToGrid w:val="0"/>
          <w:color w:val="auto"/>
          <w:spacing w:val="13"/>
          <w:kern w:val="0"/>
          <w:sz w:val="24"/>
          <w:szCs w:val="24"/>
          <w:u w:val="none" w:color="auto"/>
        </w:rPr>
        <w:t>.10废气事故防范措施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1)项目采用可靠、有效的废气的处理措施，从技术上分析是可行的。但</w:t>
      </w:r>
      <w:r>
        <w:rPr>
          <w:rFonts w:hint="default" w:ascii="Times New Roman" w:hAnsi="Times New Roman" w:eastAsia="宋体" w:cs="Times New Roman"/>
          <w:snapToGrid w:val="0"/>
          <w:color w:val="auto"/>
          <w:spacing w:val="25"/>
          <w:kern w:val="0"/>
          <w:sz w:val="24"/>
          <w:szCs w:val="24"/>
          <w:u w:val="none" w:color="auto"/>
        </w:rPr>
        <w:t>由</w:t>
      </w:r>
      <w:r>
        <w:rPr>
          <w:rFonts w:hint="default" w:ascii="Times New Roman" w:hAnsi="Times New Roman" w:eastAsia="宋体" w:cs="Times New Roman"/>
          <w:snapToGrid w:val="0"/>
          <w:color w:val="auto"/>
          <w:spacing w:val="13"/>
          <w:kern w:val="0"/>
          <w:sz w:val="24"/>
          <w:szCs w:val="24"/>
          <w:u w:val="none" w:color="auto"/>
        </w:rPr>
        <w:t>于某些意外情况或管理不善也会出现事故排放，会造成废气直排入空气环境</w:t>
      </w:r>
      <w:r>
        <w:rPr>
          <w:rFonts w:hint="default" w:ascii="Times New Roman" w:hAnsi="Times New Roman" w:eastAsia="宋体" w:cs="Times New Roman"/>
          <w:snapToGrid w:val="0"/>
          <w:color w:val="auto"/>
          <w:spacing w:val="-11"/>
          <w:kern w:val="0"/>
          <w:sz w:val="24"/>
          <w:szCs w:val="24"/>
          <w:u w:val="none" w:color="auto"/>
        </w:rPr>
        <w:t>中。</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2)为确保废气事故排放不发生，建设单位应采取相应的事故性防范保护</w:t>
      </w:r>
      <w:r>
        <w:rPr>
          <w:rFonts w:hint="default" w:ascii="Times New Roman" w:hAnsi="Times New Roman" w:eastAsia="宋体" w:cs="Times New Roman"/>
          <w:snapToGrid w:val="0"/>
          <w:color w:val="auto"/>
          <w:spacing w:val="22"/>
          <w:kern w:val="0"/>
          <w:sz w:val="24"/>
          <w:szCs w:val="24"/>
          <w:u w:val="none" w:color="auto"/>
        </w:rPr>
        <w:t>措施</w:t>
      </w: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1"/>
          <w:kern w:val="0"/>
          <w:sz w:val="24"/>
          <w:szCs w:val="24"/>
          <w:u w:val="none" w:color="auto"/>
        </w:rPr>
        <w:t>各生产环节严格执行生产管理的有关规定，加强设备的检修及保养，提高</w:t>
      </w:r>
      <w:r>
        <w:rPr>
          <w:rFonts w:hint="default" w:ascii="Times New Roman" w:hAnsi="Times New Roman" w:eastAsia="宋体" w:cs="Times New Roman"/>
          <w:snapToGrid w:val="0"/>
          <w:color w:val="auto"/>
          <w:spacing w:val="9"/>
          <w:kern w:val="0"/>
          <w:sz w:val="24"/>
          <w:szCs w:val="24"/>
          <w:u w:val="none" w:color="auto"/>
        </w:rPr>
        <w:t>管</w:t>
      </w:r>
      <w:r>
        <w:rPr>
          <w:rFonts w:hint="default" w:ascii="Times New Roman" w:hAnsi="Times New Roman" w:eastAsia="宋体" w:cs="Times New Roman"/>
          <w:snapToGrid w:val="0"/>
          <w:color w:val="auto"/>
          <w:spacing w:val="7"/>
          <w:kern w:val="0"/>
          <w:sz w:val="24"/>
          <w:szCs w:val="24"/>
          <w:u w:val="none" w:color="auto"/>
        </w:rPr>
        <w:t>理人员素质，并设置集齐事故应急措施及管理制度，确保设备长期处于良好状</w:t>
      </w:r>
      <w:r>
        <w:rPr>
          <w:rFonts w:hint="default" w:ascii="Times New Roman" w:hAnsi="Times New Roman" w:eastAsia="宋体" w:cs="Times New Roman"/>
          <w:snapToGrid w:val="0"/>
          <w:color w:val="auto"/>
          <w:spacing w:val="16"/>
          <w:kern w:val="0"/>
          <w:sz w:val="24"/>
          <w:szCs w:val="24"/>
          <w:u w:val="none" w:color="auto"/>
        </w:rPr>
        <w:t>态</w:t>
      </w:r>
      <w:r>
        <w:rPr>
          <w:rFonts w:hint="default" w:ascii="Times New Roman" w:hAnsi="Times New Roman" w:eastAsia="宋体" w:cs="Times New Roman"/>
          <w:snapToGrid w:val="0"/>
          <w:color w:val="auto"/>
          <w:spacing w:val="10"/>
          <w:kern w:val="0"/>
          <w:sz w:val="24"/>
          <w:szCs w:val="24"/>
          <w:u w:val="none" w:color="auto"/>
        </w:rPr>
        <w:t>，</w:t>
      </w:r>
      <w:r>
        <w:rPr>
          <w:rFonts w:hint="default" w:ascii="Times New Roman" w:hAnsi="Times New Roman" w:eastAsia="宋体" w:cs="Times New Roman"/>
          <w:snapToGrid w:val="0"/>
          <w:color w:val="auto"/>
          <w:spacing w:val="8"/>
          <w:kern w:val="0"/>
          <w:sz w:val="24"/>
          <w:szCs w:val="24"/>
          <w:u w:val="none" w:color="auto"/>
        </w:rPr>
        <w:t>使设备达到预期的处理效果。</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3)现场作业人员定时记录废气处理状况，如对废气处理装置、抽风系统</w:t>
      </w:r>
      <w:r>
        <w:rPr>
          <w:rFonts w:hint="default" w:ascii="Times New Roman" w:hAnsi="Times New Roman" w:eastAsia="宋体" w:cs="Times New Roman"/>
          <w:snapToGrid w:val="0"/>
          <w:color w:val="auto"/>
          <w:spacing w:val="8"/>
          <w:kern w:val="0"/>
          <w:sz w:val="24"/>
          <w:szCs w:val="24"/>
          <w:u w:val="none" w:color="auto"/>
        </w:rPr>
        <w:t>等设备进行点检工作，并派专人巡视，遇不良工作状况立即停止车间相关作业，</w:t>
      </w:r>
      <w:r>
        <w:rPr>
          <w:rFonts w:hint="default" w:ascii="Times New Roman" w:hAnsi="Times New Roman" w:eastAsia="宋体" w:cs="Times New Roman"/>
          <w:snapToGrid w:val="0"/>
          <w:color w:val="auto"/>
          <w:spacing w:val="4"/>
          <w:kern w:val="0"/>
          <w:sz w:val="24"/>
          <w:szCs w:val="24"/>
          <w:u w:val="none" w:color="auto"/>
        </w:rPr>
        <w:t>维修正常后再开始工作</w:t>
      </w:r>
      <w:r>
        <w:rPr>
          <w:rFonts w:hint="default" w:ascii="Times New Roman" w:hAnsi="Times New Roman" w:eastAsia="宋体" w:cs="Times New Roman"/>
          <w:snapToGrid w:val="0"/>
          <w:color w:val="auto"/>
          <w:spacing w:val="3"/>
          <w:kern w:val="0"/>
          <w:sz w:val="24"/>
          <w:szCs w:val="24"/>
          <w:u w:val="none" w:color="auto"/>
        </w:rPr>
        <w:t>，</w:t>
      </w:r>
      <w:r>
        <w:rPr>
          <w:rFonts w:hint="default" w:ascii="Times New Roman" w:hAnsi="Times New Roman" w:eastAsia="宋体" w:cs="Times New Roman"/>
          <w:snapToGrid w:val="0"/>
          <w:color w:val="auto"/>
          <w:spacing w:val="2"/>
          <w:kern w:val="0"/>
          <w:sz w:val="24"/>
          <w:szCs w:val="24"/>
          <w:u w:val="none" w:color="auto"/>
        </w:rPr>
        <w:t>杜绝事故性废气排放，并及时呈报建设单位相关负责人。</w:t>
      </w:r>
      <w:r>
        <w:rPr>
          <w:rFonts w:hint="default" w:ascii="Times New Roman" w:hAnsi="Times New Roman" w:eastAsia="宋体" w:cs="Times New Roman"/>
          <w:snapToGrid w:val="0"/>
          <w:color w:val="auto"/>
          <w:spacing w:val="16"/>
          <w:kern w:val="0"/>
          <w:sz w:val="24"/>
          <w:szCs w:val="24"/>
          <w:u w:val="none" w:color="auto"/>
        </w:rPr>
        <w:t>待</w:t>
      </w:r>
      <w:r>
        <w:rPr>
          <w:rFonts w:hint="default" w:ascii="Times New Roman" w:hAnsi="Times New Roman" w:eastAsia="宋体" w:cs="Times New Roman"/>
          <w:snapToGrid w:val="0"/>
          <w:color w:val="auto"/>
          <w:spacing w:val="12"/>
          <w:kern w:val="0"/>
          <w:sz w:val="24"/>
          <w:szCs w:val="24"/>
          <w:u w:val="none" w:color="auto"/>
        </w:rPr>
        <w:t>检</w:t>
      </w:r>
      <w:r>
        <w:rPr>
          <w:rFonts w:hint="default" w:ascii="Times New Roman" w:hAnsi="Times New Roman" w:eastAsia="宋体" w:cs="Times New Roman"/>
          <w:snapToGrid w:val="0"/>
          <w:color w:val="auto"/>
          <w:spacing w:val="8"/>
          <w:kern w:val="0"/>
          <w:sz w:val="24"/>
          <w:szCs w:val="24"/>
          <w:u w:val="none" w:color="auto"/>
        </w:rPr>
        <w:t>修完毕再通知生产车间相关工序。</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4" w:firstLineChars="200"/>
        <w:jc w:val="left"/>
        <w:textAlignment w:val="baseline"/>
        <w:outlineLvl w:val="3"/>
        <w:rPr>
          <w:rFonts w:hint="default" w:ascii="Times New Roman" w:hAnsi="Times New Roman" w:eastAsia="宋体" w:cs="Times New Roman"/>
          <w:b/>
          <w:bCs/>
          <w:snapToGrid w:val="0"/>
          <w:color w:val="auto"/>
          <w:spacing w:val="13"/>
          <w:kern w:val="0"/>
          <w:sz w:val="24"/>
          <w:szCs w:val="24"/>
          <w:u w:val="none" w:color="auto"/>
        </w:rPr>
      </w:pPr>
      <w:r>
        <w:rPr>
          <w:rFonts w:hint="default" w:ascii="Times New Roman" w:hAnsi="Times New Roman" w:eastAsia="宋体" w:cs="Times New Roman"/>
          <w:b/>
          <w:bCs/>
          <w:snapToGrid w:val="0"/>
          <w:color w:val="auto"/>
          <w:spacing w:val="13"/>
          <w:kern w:val="0"/>
          <w:sz w:val="24"/>
          <w:szCs w:val="24"/>
          <w:u w:val="none" w:color="auto"/>
        </w:rPr>
        <w:t>5.2.</w:t>
      </w:r>
      <w:r>
        <w:rPr>
          <w:rFonts w:hint="eastAsia" w:ascii="Times New Roman" w:hAnsi="Times New Roman" w:eastAsia="宋体" w:cs="Times New Roman"/>
          <w:b/>
          <w:bCs/>
          <w:snapToGrid w:val="0"/>
          <w:color w:val="auto"/>
          <w:spacing w:val="13"/>
          <w:kern w:val="0"/>
          <w:sz w:val="24"/>
          <w:szCs w:val="24"/>
          <w:u w:val="none" w:color="auto"/>
          <w:lang w:val="en-US" w:eastAsia="zh-CN"/>
        </w:rPr>
        <w:t>7</w:t>
      </w:r>
      <w:r>
        <w:rPr>
          <w:rFonts w:hint="default" w:ascii="Times New Roman" w:hAnsi="Times New Roman" w:eastAsia="宋体" w:cs="Times New Roman"/>
          <w:b/>
          <w:bCs/>
          <w:snapToGrid w:val="0"/>
          <w:color w:val="auto"/>
          <w:spacing w:val="13"/>
          <w:kern w:val="0"/>
          <w:sz w:val="24"/>
          <w:szCs w:val="24"/>
          <w:u w:val="none" w:color="auto"/>
        </w:rPr>
        <w:t>.11环境风险应急预案</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7"/>
          <w:kern w:val="0"/>
          <w:sz w:val="24"/>
          <w:szCs w:val="24"/>
          <w:u w:val="none" w:color="auto"/>
        </w:rPr>
        <w:t>制定风险事故应急预案的目的是为了在发生风险事故时，能以最快的速度</w:t>
      </w:r>
      <w:r>
        <w:rPr>
          <w:rFonts w:hint="default" w:ascii="Times New Roman" w:hAnsi="Times New Roman" w:eastAsia="宋体" w:cs="Times New Roman"/>
          <w:snapToGrid w:val="0"/>
          <w:color w:val="auto"/>
          <w:spacing w:val="2"/>
          <w:kern w:val="0"/>
          <w:sz w:val="24"/>
          <w:szCs w:val="24"/>
          <w:u w:val="none" w:color="auto"/>
        </w:rPr>
        <w:t>发</w:t>
      </w:r>
      <w:r>
        <w:rPr>
          <w:rFonts w:hint="default" w:ascii="Times New Roman" w:hAnsi="Times New Roman" w:eastAsia="宋体" w:cs="Times New Roman"/>
          <w:snapToGrid w:val="0"/>
          <w:color w:val="auto"/>
          <w:spacing w:val="16"/>
          <w:kern w:val="0"/>
          <w:sz w:val="24"/>
          <w:szCs w:val="24"/>
          <w:u w:val="none" w:color="auto"/>
        </w:rPr>
        <w:t>挥最</w:t>
      </w:r>
      <w:r>
        <w:rPr>
          <w:rFonts w:hint="default" w:ascii="Times New Roman" w:hAnsi="Times New Roman" w:eastAsia="宋体" w:cs="Times New Roman"/>
          <w:snapToGrid w:val="0"/>
          <w:color w:val="auto"/>
          <w:spacing w:val="9"/>
          <w:kern w:val="0"/>
          <w:sz w:val="24"/>
          <w:szCs w:val="24"/>
          <w:u w:val="none" w:color="auto"/>
        </w:rPr>
        <w:t>大</w:t>
      </w:r>
      <w:r>
        <w:rPr>
          <w:rFonts w:hint="default" w:ascii="Times New Roman" w:hAnsi="Times New Roman" w:eastAsia="宋体" w:cs="Times New Roman"/>
          <w:snapToGrid w:val="0"/>
          <w:color w:val="auto"/>
          <w:spacing w:val="8"/>
          <w:kern w:val="0"/>
          <w:sz w:val="24"/>
          <w:szCs w:val="24"/>
          <w:u w:val="none" w:color="auto"/>
        </w:rPr>
        <w:t>的效能，有序的实施救援，尽快控制事态的发展，降低事故造成的危害，</w:t>
      </w:r>
      <w:r>
        <w:rPr>
          <w:rFonts w:hint="default" w:ascii="Times New Roman" w:hAnsi="Times New Roman" w:eastAsia="宋体" w:cs="Times New Roman"/>
          <w:snapToGrid w:val="0"/>
          <w:color w:val="auto"/>
          <w:spacing w:val="9"/>
          <w:kern w:val="0"/>
          <w:sz w:val="24"/>
          <w:szCs w:val="24"/>
          <w:u w:val="none" w:color="auto"/>
        </w:rPr>
        <w:t>减少事故造成的损失。为了减少或者避免风险事故的发生，必须贯彻“以防为主</w:t>
      </w:r>
      <w:r>
        <w:rPr>
          <w:rFonts w:hint="default" w:ascii="Times New Roman" w:hAnsi="Times New Roman" w:eastAsia="宋体" w:cs="Times New Roman"/>
          <w:snapToGrid w:val="0"/>
          <w:color w:val="auto"/>
          <w:spacing w:val="8"/>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的</w:t>
      </w:r>
      <w:r>
        <w:rPr>
          <w:rFonts w:hint="default" w:ascii="Times New Roman" w:hAnsi="Times New Roman" w:eastAsia="宋体" w:cs="Times New Roman"/>
          <w:snapToGrid w:val="0"/>
          <w:color w:val="auto"/>
          <w:spacing w:val="9"/>
          <w:kern w:val="0"/>
          <w:sz w:val="24"/>
          <w:szCs w:val="24"/>
          <w:u w:val="none" w:color="auto"/>
        </w:rPr>
        <w:t>方针，企业的生产管理部门应加强安全生产管理。</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1</w:t>
      </w:r>
      <w:r>
        <w:rPr>
          <w:rFonts w:hint="default" w:ascii="Times New Roman" w:hAnsi="Times New Roman" w:eastAsia="宋体" w:cs="Times New Roman"/>
          <w:snapToGrid w:val="0"/>
          <w:color w:val="auto"/>
          <w:spacing w:val="4"/>
          <w:kern w:val="0"/>
          <w:sz w:val="24"/>
          <w:szCs w:val="24"/>
          <w:u w:val="none" w:color="auto"/>
        </w:rPr>
        <w:t>、指挥结构：设置环境管理机构和专门的应急领导小组，由企业负责人任</w:t>
      </w:r>
      <w:r>
        <w:rPr>
          <w:rFonts w:hint="default" w:ascii="Times New Roman" w:hAnsi="Times New Roman" w:eastAsia="宋体" w:cs="Times New Roman"/>
          <w:snapToGrid w:val="0"/>
          <w:color w:val="auto"/>
          <w:spacing w:val="13"/>
          <w:kern w:val="0"/>
          <w:sz w:val="24"/>
          <w:szCs w:val="24"/>
          <w:u w:val="none" w:color="auto"/>
        </w:rPr>
        <w:t>组</w:t>
      </w:r>
      <w:r>
        <w:rPr>
          <w:rFonts w:hint="default" w:ascii="Times New Roman" w:hAnsi="Times New Roman" w:eastAsia="宋体" w:cs="Times New Roman"/>
          <w:snapToGrid w:val="0"/>
          <w:color w:val="auto"/>
          <w:spacing w:val="8"/>
          <w:kern w:val="0"/>
          <w:sz w:val="24"/>
          <w:szCs w:val="24"/>
          <w:u w:val="none" w:color="auto"/>
        </w:rPr>
        <w:t>长，并配专职环保管理人员。</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1)一旦发生风险事故，岗位人员应立即报告装置应急领导小组，发现人</w:t>
      </w:r>
      <w:r>
        <w:rPr>
          <w:rFonts w:hint="default" w:ascii="Times New Roman" w:hAnsi="Times New Roman" w:eastAsia="宋体" w:cs="Times New Roman"/>
          <w:snapToGrid w:val="0"/>
          <w:color w:val="auto"/>
          <w:spacing w:val="5"/>
          <w:kern w:val="0"/>
          <w:sz w:val="24"/>
          <w:szCs w:val="24"/>
          <w:u w:val="none" w:color="auto"/>
        </w:rPr>
        <w:t>员受伤，应拨打120急救电话，向医院报警，并说明具体位置和现场情况，上</w:t>
      </w:r>
      <w:r>
        <w:rPr>
          <w:rFonts w:hint="default" w:ascii="Times New Roman" w:hAnsi="Times New Roman" w:eastAsia="宋体" w:cs="Times New Roman"/>
          <w:snapToGrid w:val="0"/>
          <w:color w:val="auto"/>
          <w:spacing w:val="2"/>
          <w:kern w:val="0"/>
          <w:sz w:val="24"/>
          <w:szCs w:val="24"/>
          <w:u w:val="none" w:color="auto"/>
        </w:rPr>
        <w:t>述</w:t>
      </w:r>
      <w:r>
        <w:rPr>
          <w:rFonts w:hint="default" w:ascii="Times New Roman" w:hAnsi="Times New Roman" w:eastAsia="宋体" w:cs="Times New Roman"/>
          <w:snapToGrid w:val="0"/>
          <w:color w:val="auto"/>
          <w:spacing w:val="18"/>
          <w:kern w:val="0"/>
          <w:sz w:val="24"/>
          <w:szCs w:val="24"/>
          <w:u w:val="none" w:color="auto"/>
        </w:rPr>
        <w:t>单</w:t>
      </w:r>
      <w:r>
        <w:rPr>
          <w:rFonts w:hint="default" w:ascii="Times New Roman" w:hAnsi="Times New Roman" w:eastAsia="宋体" w:cs="Times New Roman"/>
          <w:snapToGrid w:val="0"/>
          <w:color w:val="auto"/>
          <w:spacing w:val="12"/>
          <w:kern w:val="0"/>
          <w:sz w:val="24"/>
          <w:szCs w:val="24"/>
          <w:u w:val="none" w:color="auto"/>
        </w:rPr>
        <w:t>位</w:t>
      </w:r>
      <w:r>
        <w:rPr>
          <w:rFonts w:hint="default" w:ascii="Times New Roman" w:hAnsi="Times New Roman" w:eastAsia="宋体" w:cs="Times New Roman"/>
          <w:snapToGrid w:val="0"/>
          <w:color w:val="auto"/>
          <w:spacing w:val="9"/>
          <w:kern w:val="0"/>
          <w:sz w:val="24"/>
          <w:szCs w:val="24"/>
          <w:u w:val="none" w:color="auto"/>
        </w:rPr>
        <w:t>进入现场救护时应配备好自身护具，并根据报警情况，选择好救护路线。</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2)各级应急指挥领导、成员接到报告后，立即赶赴现场按照各自的职责</w:t>
      </w:r>
      <w:r>
        <w:rPr>
          <w:rFonts w:hint="default" w:ascii="Times New Roman" w:hAnsi="Times New Roman" w:eastAsia="宋体" w:cs="Times New Roman"/>
          <w:snapToGrid w:val="0"/>
          <w:color w:val="auto"/>
          <w:spacing w:val="16"/>
          <w:kern w:val="0"/>
          <w:sz w:val="24"/>
          <w:szCs w:val="24"/>
          <w:u w:val="none" w:color="auto"/>
        </w:rPr>
        <w:t>分</w:t>
      </w:r>
      <w:r>
        <w:rPr>
          <w:rFonts w:hint="default" w:ascii="Times New Roman" w:hAnsi="Times New Roman" w:eastAsia="宋体" w:cs="Times New Roman"/>
          <w:snapToGrid w:val="0"/>
          <w:color w:val="auto"/>
          <w:spacing w:val="9"/>
          <w:kern w:val="0"/>
          <w:sz w:val="24"/>
          <w:szCs w:val="24"/>
          <w:u w:val="none" w:color="auto"/>
        </w:rPr>
        <w:t>工</w:t>
      </w:r>
      <w:r>
        <w:rPr>
          <w:rFonts w:hint="default" w:ascii="Times New Roman" w:hAnsi="Times New Roman" w:eastAsia="宋体" w:cs="Times New Roman"/>
          <w:snapToGrid w:val="0"/>
          <w:color w:val="auto"/>
          <w:spacing w:val="8"/>
          <w:kern w:val="0"/>
          <w:sz w:val="24"/>
          <w:szCs w:val="24"/>
          <w:u w:val="none" w:color="auto"/>
        </w:rPr>
        <w:t>和应急处理程序进行应急处理。</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64"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1"/>
          <w:kern w:val="0"/>
          <w:sz w:val="24"/>
          <w:szCs w:val="24"/>
          <w:u w:val="none" w:color="auto"/>
        </w:rPr>
        <w:t>(</w:t>
      </w:r>
      <w:r>
        <w:rPr>
          <w:rFonts w:hint="default" w:ascii="Times New Roman" w:hAnsi="Times New Roman" w:eastAsia="宋体" w:cs="Times New Roman"/>
          <w:snapToGrid w:val="0"/>
          <w:color w:val="auto"/>
          <w:spacing w:val="11"/>
          <w:kern w:val="0"/>
          <w:sz w:val="24"/>
          <w:szCs w:val="24"/>
          <w:u w:val="none" w:color="auto"/>
        </w:rPr>
        <w:t>3)处理期间根据事态的发展，应急领导小组现场对事故险情进行评估，</w:t>
      </w:r>
      <w:r>
        <w:rPr>
          <w:rFonts w:hint="default" w:ascii="Times New Roman" w:hAnsi="Times New Roman" w:eastAsia="宋体" w:cs="Times New Roman"/>
          <w:snapToGrid w:val="0"/>
          <w:color w:val="auto"/>
          <w:spacing w:val="13"/>
          <w:kern w:val="0"/>
          <w:sz w:val="24"/>
          <w:szCs w:val="24"/>
          <w:u w:val="none" w:color="auto"/>
        </w:rPr>
        <w:t>根</w:t>
      </w:r>
      <w:r>
        <w:rPr>
          <w:rFonts w:hint="default" w:ascii="Times New Roman" w:hAnsi="Times New Roman" w:eastAsia="宋体" w:cs="Times New Roman"/>
          <w:snapToGrid w:val="0"/>
          <w:color w:val="auto"/>
          <w:spacing w:val="9"/>
          <w:kern w:val="0"/>
          <w:sz w:val="24"/>
          <w:szCs w:val="24"/>
          <w:u w:val="none" w:color="auto"/>
        </w:rPr>
        <w:t>据评估结果确定是否需要上级主管部门的协助救援。</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44"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6"/>
          <w:kern w:val="0"/>
          <w:sz w:val="24"/>
          <w:szCs w:val="24"/>
          <w:u w:val="none" w:color="auto"/>
        </w:rPr>
        <w:t>2</w:t>
      </w:r>
      <w:r>
        <w:rPr>
          <w:rFonts w:hint="default" w:ascii="Times New Roman" w:hAnsi="Times New Roman" w:eastAsia="宋体" w:cs="Times New Roman"/>
          <w:snapToGrid w:val="0"/>
          <w:color w:val="auto"/>
          <w:spacing w:val="8"/>
          <w:kern w:val="0"/>
          <w:sz w:val="24"/>
          <w:szCs w:val="24"/>
          <w:u w:val="none" w:color="auto"/>
        </w:rPr>
        <w:t>、信息传递：按照从紧急情况现场与指挥线路一致的线路上报和下传，确</w:t>
      </w:r>
      <w:r>
        <w:rPr>
          <w:rFonts w:hint="default" w:ascii="Times New Roman" w:hAnsi="Times New Roman" w:eastAsia="宋体" w:cs="Times New Roman"/>
          <w:snapToGrid w:val="0"/>
          <w:color w:val="auto"/>
          <w:spacing w:val="9"/>
          <w:kern w:val="0"/>
          <w:sz w:val="24"/>
          <w:szCs w:val="24"/>
          <w:u w:val="none" w:color="auto"/>
        </w:rPr>
        <w:t>保企业管理层及当地环保门及时得到信息</w:t>
      </w:r>
      <w:r>
        <w:rPr>
          <w:rFonts w:hint="default" w:ascii="Times New Roman" w:hAnsi="Times New Roman" w:eastAsia="宋体" w:cs="Times New Roman"/>
          <w:snapToGrid w:val="0"/>
          <w:color w:val="auto"/>
          <w:spacing w:val="7"/>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9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4"/>
          <w:kern w:val="0"/>
          <w:sz w:val="24"/>
          <w:szCs w:val="24"/>
          <w:u w:val="none" w:color="auto"/>
        </w:rPr>
        <w:t>3</w:t>
      </w:r>
      <w:r>
        <w:rPr>
          <w:rFonts w:hint="default" w:ascii="Times New Roman" w:hAnsi="Times New Roman" w:eastAsia="宋体" w:cs="Times New Roman"/>
          <w:snapToGrid w:val="0"/>
          <w:color w:val="auto"/>
          <w:spacing w:val="3"/>
          <w:kern w:val="0"/>
          <w:sz w:val="24"/>
          <w:szCs w:val="24"/>
          <w:u w:val="none" w:color="auto"/>
        </w:rPr>
        <w:t>、现场警戒和疏散措施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1)由环境管理机构和应急领导小组根据现场实际情况指挥事故单位划定</w:t>
      </w:r>
      <w:r>
        <w:rPr>
          <w:rFonts w:hint="default" w:ascii="Times New Roman" w:hAnsi="Times New Roman" w:eastAsia="宋体" w:cs="Times New Roman"/>
          <w:snapToGrid w:val="0"/>
          <w:color w:val="auto"/>
          <w:spacing w:val="9"/>
          <w:kern w:val="0"/>
          <w:sz w:val="24"/>
          <w:szCs w:val="24"/>
          <w:u w:val="none" w:color="auto"/>
        </w:rPr>
        <w:t>警</w:t>
      </w:r>
      <w:r>
        <w:rPr>
          <w:rFonts w:hint="default" w:ascii="Times New Roman" w:hAnsi="Times New Roman" w:eastAsia="宋体" w:cs="Times New Roman"/>
          <w:snapToGrid w:val="0"/>
          <w:color w:val="auto"/>
          <w:spacing w:val="7"/>
          <w:kern w:val="0"/>
          <w:sz w:val="24"/>
          <w:szCs w:val="24"/>
          <w:u w:val="none" w:color="auto"/>
        </w:rPr>
        <w:t>戒区域，并用警戒绳圈定，并安排人员负责把守，警戒人员必须佩带安全防护</w:t>
      </w:r>
      <w:r>
        <w:rPr>
          <w:rFonts w:hint="default" w:ascii="Times New Roman" w:hAnsi="Times New Roman" w:eastAsia="宋体" w:cs="Times New Roman"/>
          <w:snapToGrid w:val="0"/>
          <w:color w:val="auto"/>
          <w:spacing w:val="9"/>
          <w:kern w:val="0"/>
          <w:sz w:val="24"/>
          <w:szCs w:val="24"/>
          <w:u w:val="none" w:color="auto"/>
        </w:rPr>
        <w:t>用</w:t>
      </w:r>
      <w:r>
        <w:rPr>
          <w:rFonts w:hint="default" w:ascii="Times New Roman" w:hAnsi="Times New Roman" w:eastAsia="宋体" w:cs="Times New Roman"/>
          <w:snapToGrid w:val="0"/>
          <w:color w:val="auto"/>
          <w:spacing w:val="7"/>
          <w:kern w:val="0"/>
          <w:sz w:val="24"/>
          <w:szCs w:val="24"/>
          <w:u w:val="none" w:color="auto"/>
        </w:rPr>
        <w:t>具。禁止无关人员进入危险区域，同时通知公安保卫处禁止无关人员及车辆进入危险区域</w:t>
      </w:r>
      <w:r>
        <w:rPr>
          <w:rFonts w:hint="default" w:ascii="Times New Roman" w:hAnsi="Times New Roman" w:eastAsia="宋体" w:cs="Times New Roman"/>
          <w:snapToGrid w:val="0"/>
          <w:color w:val="auto"/>
          <w:spacing w:val="6"/>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44"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6"/>
          <w:kern w:val="0"/>
          <w:sz w:val="24"/>
          <w:szCs w:val="24"/>
          <w:u w:val="none" w:color="auto"/>
        </w:rPr>
        <w:t>(</w:t>
      </w:r>
      <w:r>
        <w:rPr>
          <w:rFonts w:hint="default" w:ascii="Times New Roman" w:hAnsi="Times New Roman" w:eastAsia="宋体" w:cs="Times New Roman"/>
          <w:snapToGrid w:val="0"/>
          <w:color w:val="auto"/>
          <w:spacing w:val="12"/>
          <w:kern w:val="0"/>
          <w:sz w:val="24"/>
          <w:szCs w:val="24"/>
          <w:u w:val="none" w:color="auto"/>
        </w:rPr>
        <w:t>2</w:t>
      </w:r>
      <w:r>
        <w:rPr>
          <w:rFonts w:hint="default" w:ascii="Times New Roman" w:hAnsi="Times New Roman" w:eastAsia="宋体" w:cs="Times New Roman"/>
          <w:snapToGrid w:val="0"/>
          <w:color w:val="auto"/>
          <w:spacing w:val="8"/>
          <w:kern w:val="0"/>
          <w:sz w:val="24"/>
          <w:szCs w:val="24"/>
          <w:u w:val="none" w:color="auto"/>
        </w:rPr>
        <w:t>)紧急疏散时，由环境管理机构指挥带领人员撤离到警戒区域以外。</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04"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6"/>
          <w:kern w:val="0"/>
          <w:sz w:val="24"/>
          <w:szCs w:val="24"/>
          <w:u w:val="none" w:color="auto"/>
        </w:rPr>
        <w:t>4</w:t>
      </w:r>
      <w:r>
        <w:rPr>
          <w:rFonts w:hint="default" w:ascii="Times New Roman" w:hAnsi="Times New Roman" w:eastAsia="宋体" w:cs="Times New Roman"/>
          <w:snapToGrid w:val="0"/>
          <w:color w:val="auto"/>
          <w:spacing w:val="4"/>
          <w:kern w:val="0"/>
          <w:sz w:val="24"/>
          <w:szCs w:val="24"/>
          <w:u w:val="none" w:color="auto"/>
        </w:rPr>
        <w:t>、</w:t>
      </w:r>
      <w:r>
        <w:rPr>
          <w:rFonts w:hint="default" w:ascii="Times New Roman" w:hAnsi="Times New Roman" w:eastAsia="宋体" w:cs="Times New Roman"/>
          <w:snapToGrid w:val="0"/>
          <w:color w:val="auto"/>
          <w:spacing w:val="3"/>
          <w:kern w:val="0"/>
          <w:sz w:val="24"/>
          <w:szCs w:val="24"/>
          <w:u w:val="none" w:color="auto"/>
        </w:rPr>
        <w:t>事故上报程序和内容</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60"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20"/>
          <w:kern w:val="0"/>
          <w:sz w:val="24"/>
          <w:szCs w:val="24"/>
          <w:u w:val="none" w:color="auto"/>
        </w:rPr>
        <w:t>(1</w:t>
      </w:r>
      <w:r>
        <w:rPr>
          <w:rFonts w:hint="default" w:ascii="Times New Roman" w:hAnsi="Times New Roman" w:eastAsia="宋体" w:cs="Times New Roman"/>
          <w:snapToGrid w:val="0"/>
          <w:color w:val="auto"/>
          <w:spacing w:val="18"/>
          <w:kern w:val="0"/>
          <w:sz w:val="24"/>
          <w:szCs w:val="24"/>
          <w:u w:val="none" w:color="auto"/>
        </w:rPr>
        <w:t>)</w:t>
      </w:r>
      <w:r>
        <w:rPr>
          <w:rFonts w:hint="default" w:ascii="Times New Roman" w:hAnsi="Times New Roman" w:eastAsia="宋体" w:cs="Times New Roman"/>
          <w:snapToGrid w:val="0"/>
          <w:color w:val="auto"/>
          <w:spacing w:val="10"/>
          <w:kern w:val="0"/>
          <w:sz w:val="24"/>
          <w:szCs w:val="24"/>
          <w:u w:val="none" w:color="auto"/>
        </w:rPr>
        <w:t>报告程序：事故发生后24</w:t>
      </w:r>
      <w:r>
        <w:rPr>
          <w:rFonts w:hint="default" w:ascii="Times New Roman" w:hAnsi="Times New Roman" w:eastAsia="宋体" w:cs="Times New Roman"/>
          <w:snapToGrid w:val="0"/>
          <w:color w:val="auto"/>
          <w:kern w:val="0"/>
          <w:sz w:val="24"/>
          <w:szCs w:val="24"/>
          <w:u w:val="none" w:color="auto"/>
        </w:rPr>
        <w:t>h</w:t>
      </w:r>
      <w:r>
        <w:rPr>
          <w:rFonts w:hint="default" w:ascii="Times New Roman" w:hAnsi="Times New Roman" w:eastAsia="宋体" w:cs="Times New Roman"/>
          <w:snapToGrid w:val="0"/>
          <w:color w:val="auto"/>
          <w:spacing w:val="10"/>
          <w:kern w:val="0"/>
          <w:sz w:val="24"/>
          <w:szCs w:val="24"/>
          <w:u w:val="none" w:color="auto"/>
        </w:rPr>
        <w:t>内将事故概况迅速上报环保、劳动、卫生</w:t>
      </w:r>
      <w:r>
        <w:rPr>
          <w:rFonts w:hint="default" w:ascii="Times New Roman" w:hAnsi="Times New Roman" w:eastAsia="宋体" w:cs="Times New Roman"/>
          <w:snapToGrid w:val="0"/>
          <w:color w:val="auto"/>
          <w:spacing w:val="8"/>
          <w:kern w:val="0"/>
          <w:sz w:val="24"/>
          <w:szCs w:val="24"/>
          <w:u w:val="none" w:color="auto"/>
        </w:rPr>
        <w:t>等</w:t>
      </w:r>
      <w:r>
        <w:rPr>
          <w:rFonts w:hint="default" w:ascii="Times New Roman" w:hAnsi="Times New Roman" w:eastAsia="宋体" w:cs="Times New Roman"/>
          <w:snapToGrid w:val="0"/>
          <w:color w:val="auto"/>
          <w:spacing w:val="6"/>
          <w:kern w:val="0"/>
          <w:sz w:val="24"/>
          <w:szCs w:val="24"/>
          <w:u w:val="none" w:color="auto"/>
        </w:rPr>
        <w:t>相关部门。</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(2)报告内容：发生事故的单位、时间、地点、事故原因、对环境影响</w:t>
      </w:r>
      <w:r>
        <w:rPr>
          <w:rFonts w:hint="default" w:ascii="Times New Roman" w:hAnsi="Times New Roman" w:eastAsia="宋体" w:cs="Times New Roman"/>
          <w:snapToGrid w:val="0"/>
          <w:color w:val="auto"/>
          <w:spacing w:val="7"/>
          <w:kern w:val="0"/>
          <w:sz w:val="24"/>
          <w:szCs w:val="24"/>
          <w:u w:val="none" w:color="auto"/>
        </w:rPr>
        <w:t>、</w:t>
      </w:r>
      <w:r>
        <w:rPr>
          <w:rFonts w:hint="default" w:ascii="Times New Roman" w:hAnsi="Times New Roman" w:eastAsia="宋体" w:cs="Times New Roman"/>
          <w:snapToGrid w:val="0"/>
          <w:color w:val="auto"/>
          <w:spacing w:val="8"/>
          <w:kern w:val="0"/>
          <w:sz w:val="24"/>
          <w:szCs w:val="24"/>
          <w:u w:val="none" w:color="auto"/>
        </w:rPr>
        <w:t>灾情损失情况和抢险情况</w:t>
      </w:r>
      <w:r>
        <w:rPr>
          <w:rFonts w:hint="default" w:ascii="Times New Roman" w:hAnsi="Times New Roman" w:eastAsia="宋体" w:cs="Times New Roman"/>
          <w:snapToGrid w:val="0"/>
          <w:color w:val="auto"/>
          <w:spacing w:val="6"/>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3"/>
          <w:kern w:val="0"/>
          <w:sz w:val="24"/>
          <w:szCs w:val="24"/>
          <w:u w:val="none" w:color="auto"/>
        </w:rPr>
        <w:t>5</w:t>
      </w:r>
      <w:r>
        <w:rPr>
          <w:rFonts w:hint="default" w:ascii="Times New Roman" w:hAnsi="Times New Roman" w:eastAsia="宋体" w:cs="Times New Roman"/>
          <w:snapToGrid w:val="0"/>
          <w:color w:val="auto"/>
          <w:spacing w:val="-2"/>
          <w:kern w:val="0"/>
          <w:sz w:val="24"/>
          <w:szCs w:val="24"/>
          <w:u w:val="none" w:color="auto"/>
        </w:rPr>
        <w:t>、善后处理</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5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8"/>
          <w:kern w:val="0"/>
          <w:sz w:val="24"/>
          <w:szCs w:val="24"/>
          <w:u w:val="none" w:color="auto"/>
        </w:rPr>
        <w:t>(</w:t>
      </w:r>
      <w:r>
        <w:rPr>
          <w:rFonts w:hint="default" w:ascii="Times New Roman" w:hAnsi="Times New Roman" w:eastAsia="宋体" w:cs="Times New Roman"/>
          <w:snapToGrid w:val="0"/>
          <w:color w:val="auto"/>
          <w:spacing w:val="10"/>
          <w:kern w:val="0"/>
          <w:sz w:val="24"/>
          <w:szCs w:val="24"/>
          <w:u w:val="none" w:color="auto"/>
        </w:rPr>
        <w:t>1</w:t>
      </w:r>
      <w:r>
        <w:rPr>
          <w:rFonts w:hint="default" w:ascii="Times New Roman" w:hAnsi="Times New Roman" w:eastAsia="宋体" w:cs="Times New Roman"/>
          <w:snapToGrid w:val="0"/>
          <w:color w:val="auto"/>
          <w:spacing w:val="9"/>
          <w:kern w:val="0"/>
          <w:sz w:val="24"/>
          <w:szCs w:val="24"/>
          <w:u w:val="none" w:color="auto"/>
        </w:rPr>
        <w:t>)突发事件结束后，由有关部门迅速成立事故调查小组，进行调查处理。</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2"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3"/>
          <w:kern w:val="0"/>
          <w:sz w:val="24"/>
          <w:szCs w:val="24"/>
          <w:u w:val="none" w:color="auto"/>
        </w:rPr>
        <w:t>(2)组织恢复生产，做好恢复生产的各项措施。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6"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4"/>
          <w:kern w:val="0"/>
          <w:sz w:val="24"/>
          <w:szCs w:val="24"/>
          <w:u w:val="none" w:color="auto"/>
        </w:rPr>
        <w:t>(</w:t>
      </w:r>
      <w:r>
        <w:rPr>
          <w:rFonts w:hint="default" w:ascii="Times New Roman" w:hAnsi="Times New Roman" w:eastAsia="宋体" w:cs="Times New Roman"/>
          <w:snapToGrid w:val="0"/>
          <w:color w:val="auto"/>
          <w:spacing w:val="13"/>
          <w:kern w:val="0"/>
          <w:sz w:val="24"/>
          <w:szCs w:val="24"/>
          <w:u w:val="none" w:color="auto"/>
        </w:rPr>
        <w:t>3)突发事件结束后，根据突发事件的影响范围由企业办公室或指定人员</w:t>
      </w:r>
      <w:r>
        <w:rPr>
          <w:rFonts w:hint="default" w:ascii="Times New Roman" w:hAnsi="Times New Roman" w:eastAsia="宋体" w:cs="Times New Roman"/>
          <w:snapToGrid w:val="0"/>
          <w:color w:val="auto"/>
          <w:spacing w:val="8"/>
          <w:kern w:val="0"/>
          <w:sz w:val="24"/>
          <w:szCs w:val="24"/>
          <w:u w:val="none" w:color="auto"/>
        </w:rPr>
        <w:t>统</w:t>
      </w:r>
      <w:r>
        <w:rPr>
          <w:rFonts w:hint="default" w:ascii="Times New Roman" w:hAnsi="Times New Roman" w:eastAsia="宋体" w:cs="Times New Roman"/>
          <w:snapToGrid w:val="0"/>
          <w:color w:val="auto"/>
          <w:spacing w:val="7"/>
          <w:kern w:val="0"/>
          <w:sz w:val="24"/>
          <w:szCs w:val="24"/>
          <w:u w:val="none" w:color="auto"/>
        </w:rPr>
        <w:t>一对外发布信息。</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30" w:firstLineChars="200"/>
        <w:jc w:val="left"/>
        <w:textAlignment w:val="baseline"/>
        <w:outlineLvl w:val="3"/>
        <w:rPr>
          <w:rFonts w:hint="default" w:ascii="Times New Roman" w:hAnsi="Times New Roman" w:eastAsia="宋体" w:cs="Times New Roman"/>
          <w:b/>
          <w:bCs/>
          <w:snapToGrid w:val="0"/>
          <w:color w:val="auto"/>
          <w:spacing w:val="12"/>
          <w:kern w:val="0"/>
          <w:sz w:val="24"/>
          <w:szCs w:val="24"/>
          <w:u w:val="none" w:color="auto"/>
        </w:rPr>
      </w:pPr>
      <w:r>
        <w:rPr>
          <w:rFonts w:hint="default" w:ascii="Times New Roman" w:hAnsi="Times New Roman" w:eastAsia="宋体" w:cs="Times New Roman"/>
          <w:b/>
          <w:bCs/>
          <w:snapToGrid w:val="0"/>
          <w:color w:val="auto"/>
          <w:spacing w:val="12"/>
          <w:kern w:val="0"/>
          <w:sz w:val="24"/>
          <w:szCs w:val="24"/>
          <w:u w:val="none" w:color="auto"/>
        </w:rPr>
        <w:t>5.2.</w:t>
      </w:r>
      <w:r>
        <w:rPr>
          <w:rFonts w:hint="eastAsia" w:ascii="Times New Roman" w:hAnsi="Times New Roman" w:eastAsia="宋体" w:cs="Times New Roman"/>
          <w:b/>
          <w:bCs/>
          <w:snapToGrid w:val="0"/>
          <w:color w:val="auto"/>
          <w:spacing w:val="12"/>
          <w:kern w:val="0"/>
          <w:sz w:val="24"/>
          <w:szCs w:val="24"/>
          <w:u w:val="none" w:color="auto"/>
          <w:lang w:val="en-US" w:eastAsia="zh-CN"/>
        </w:rPr>
        <w:t>7</w:t>
      </w:r>
      <w:r>
        <w:rPr>
          <w:rFonts w:hint="default" w:ascii="Times New Roman" w:hAnsi="Times New Roman" w:eastAsia="宋体" w:cs="Times New Roman"/>
          <w:b/>
          <w:bCs/>
          <w:snapToGrid w:val="0"/>
          <w:color w:val="auto"/>
          <w:spacing w:val="12"/>
          <w:kern w:val="0"/>
          <w:sz w:val="24"/>
          <w:szCs w:val="24"/>
          <w:u w:val="none" w:color="auto"/>
        </w:rPr>
        <w:t>.12分析结论</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项目涉及</w:t>
      </w:r>
      <w:r>
        <w:rPr>
          <w:rFonts w:hint="default" w:ascii="Times New Roman" w:hAnsi="Times New Roman" w:eastAsia="宋体" w:cs="Times New Roman"/>
          <w:snapToGrid w:val="0"/>
          <w:color w:val="auto"/>
          <w:spacing w:val="7"/>
          <w:kern w:val="0"/>
          <w:sz w:val="24"/>
          <w:szCs w:val="24"/>
          <w:u w:val="none" w:color="auto"/>
        </w:rPr>
        <w:t>的</w:t>
      </w:r>
      <w:r>
        <w:rPr>
          <w:rFonts w:hint="default" w:ascii="Times New Roman" w:hAnsi="Times New Roman" w:eastAsia="宋体" w:cs="Times New Roman"/>
          <w:snapToGrid w:val="0"/>
          <w:color w:val="auto"/>
          <w:spacing w:val="6"/>
          <w:kern w:val="0"/>
          <w:sz w:val="24"/>
          <w:szCs w:val="24"/>
          <w:u w:val="none" w:color="auto"/>
        </w:rPr>
        <w:t>主要危险物质为天然气，天然气由市政管道输送至厂内，厂内设</w:t>
      </w:r>
      <w:r>
        <w:rPr>
          <w:rFonts w:hint="default" w:ascii="Times New Roman" w:hAnsi="Times New Roman" w:eastAsia="宋体" w:cs="Times New Roman"/>
          <w:snapToGrid w:val="0"/>
          <w:color w:val="auto"/>
          <w:spacing w:val="9"/>
          <w:kern w:val="0"/>
          <w:sz w:val="24"/>
          <w:szCs w:val="24"/>
          <w:u w:val="none" w:color="auto"/>
        </w:rPr>
        <w:t>调</w:t>
      </w:r>
      <w:r>
        <w:rPr>
          <w:rFonts w:hint="default" w:ascii="Times New Roman" w:hAnsi="Times New Roman" w:eastAsia="宋体" w:cs="Times New Roman"/>
          <w:snapToGrid w:val="0"/>
          <w:color w:val="auto"/>
          <w:spacing w:val="7"/>
          <w:kern w:val="0"/>
          <w:sz w:val="24"/>
          <w:szCs w:val="24"/>
          <w:u w:val="none" w:color="auto"/>
        </w:rPr>
        <w:t>压柜，不设天然气储存设施，风险发生概率及危险可以控制在较低水平。建设</w:t>
      </w:r>
      <w:r>
        <w:rPr>
          <w:rFonts w:hint="default" w:ascii="Times New Roman" w:hAnsi="Times New Roman" w:eastAsia="宋体" w:cs="Times New Roman"/>
          <w:snapToGrid w:val="0"/>
          <w:color w:val="auto"/>
          <w:spacing w:val="9"/>
          <w:kern w:val="0"/>
          <w:sz w:val="24"/>
          <w:szCs w:val="24"/>
          <w:u w:val="none" w:color="auto"/>
        </w:rPr>
        <w:t>单</w:t>
      </w:r>
      <w:r>
        <w:rPr>
          <w:rFonts w:hint="default" w:ascii="Times New Roman" w:hAnsi="Times New Roman" w:eastAsia="宋体" w:cs="Times New Roman"/>
          <w:snapToGrid w:val="0"/>
          <w:color w:val="auto"/>
          <w:spacing w:val="7"/>
          <w:kern w:val="0"/>
          <w:sz w:val="24"/>
          <w:szCs w:val="24"/>
          <w:u w:val="none" w:color="auto"/>
        </w:rPr>
        <w:t>位应编制应急预案并按照《企业事业单位突发环境事件应急预案备案管理办法</w:t>
      </w:r>
      <w:r>
        <w:rPr>
          <w:rFonts w:hint="default" w:ascii="Times New Roman" w:hAnsi="Times New Roman" w:eastAsia="宋体" w:cs="Times New Roman"/>
          <w:snapToGrid w:val="0"/>
          <w:color w:val="auto"/>
          <w:spacing w:val="8"/>
          <w:kern w:val="0"/>
          <w:sz w:val="24"/>
          <w:szCs w:val="24"/>
          <w:u w:val="none" w:color="auto"/>
        </w:rPr>
        <w:t>试行》(</w:t>
      </w:r>
      <w:r>
        <w:rPr>
          <w:rFonts w:hint="default" w:ascii="Times New Roman" w:hAnsi="Times New Roman" w:eastAsia="宋体" w:cs="Times New Roman"/>
          <w:snapToGrid w:val="0"/>
          <w:color w:val="auto"/>
          <w:spacing w:val="5"/>
          <w:kern w:val="0"/>
          <w:sz w:val="24"/>
          <w:szCs w:val="24"/>
          <w:u w:val="none" w:color="auto"/>
        </w:rPr>
        <w:t>环</w:t>
      </w:r>
      <w:r>
        <w:rPr>
          <w:rFonts w:hint="default" w:ascii="Times New Roman" w:hAnsi="Times New Roman" w:eastAsia="宋体" w:cs="Times New Roman"/>
          <w:snapToGrid w:val="0"/>
          <w:color w:val="auto"/>
          <w:spacing w:val="4"/>
          <w:kern w:val="0"/>
          <w:sz w:val="24"/>
          <w:szCs w:val="24"/>
          <w:u w:val="none" w:color="auto"/>
        </w:rPr>
        <w:t>发〔2015〕4号)的相关要求进行备案，备齐应急物资，同时加强应</w:t>
      </w:r>
      <w:r>
        <w:rPr>
          <w:rFonts w:hint="default" w:ascii="Times New Roman" w:hAnsi="Times New Roman" w:eastAsia="宋体" w:cs="Times New Roman"/>
          <w:snapToGrid w:val="0"/>
          <w:color w:val="auto"/>
          <w:spacing w:val="9"/>
          <w:kern w:val="0"/>
          <w:sz w:val="24"/>
          <w:szCs w:val="24"/>
          <w:u w:val="none" w:color="auto"/>
        </w:rPr>
        <w:t>急</w:t>
      </w:r>
      <w:r>
        <w:rPr>
          <w:rFonts w:hint="default" w:ascii="Times New Roman" w:hAnsi="Times New Roman" w:eastAsia="宋体" w:cs="Times New Roman"/>
          <w:snapToGrid w:val="0"/>
          <w:color w:val="auto"/>
          <w:spacing w:val="7"/>
          <w:kern w:val="0"/>
          <w:sz w:val="24"/>
          <w:szCs w:val="24"/>
          <w:u w:val="none" w:color="auto"/>
        </w:rPr>
        <w:t>演练，确保事故发生时能在最短的时间内有效控制事故影响。在做好各项环境</w:t>
      </w:r>
      <w:r>
        <w:rPr>
          <w:rFonts w:hint="default" w:ascii="Times New Roman" w:hAnsi="Times New Roman" w:eastAsia="宋体" w:cs="Times New Roman"/>
          <w:snapToGrid w:val="0"/>
          <w:color w:val="auto"/>
          <w:spacing w:val="9"/>
          <w:kern w:val="0"/>
          <w:sz w:val="24"/>
          <w:szCs w:val="24"/>
          <w:u w:val="none" w:color="auto"/>
        </w:rPr>
        <w:t>风</w:t>
      </w:r>
      <w:r>
        <w:rPr>
          <w:rFonts w:hint="default" w:ascii="Times New Roman" w:hAnsi="Times New Roman" w:eastAsia="宋体" w:cs="Times New Roman"/>
          <w:snapToGrid w:val="0"/>
          <w:color w:val="auto"/>
          <w:spacing w:val="7"/>
          <w:kern w:val="0"/>
          <w:sz w:val="24"/>
          <w:szCs w:val="24"/>
          <w:u w:val="none" w:color="auto"/>
        </w:rPr>
        <w:t>险防范措施和日常管理中严格遵守操作规程、制定完善的环境风险应急预案的</w:t>
      </w:r>
      <w:r>
        <w:rPr>
          <w:rFonts w:hint="default" w:ascii="Times New Roman" w:hAnsi="Times New Roman" w:eastAsia="宋体" w:cs="Times New Roman"/>
          <w:snapToGrid w:val="0"/>
          <w:color w:val="auto"/>
          <w:spacing w:val="16"/>
          <w:kern w:val="0"/>
          <w:sz w:val="24"/>
          <w:szCs w:val="24"/>
          <w:u w:val="none" w:color="auto"/>
        </w:rPr>
        <w:t>情</w:t>
      </w:r>
      <w:r>
        <w:rPr>
          <w:rFonts w:hint="default" w:ascii="Times New Roman" w:hAnsi="Times New Roman" w:eastAsia="宋体" w:cs="Times New Roman"/>
          <w:snapToGrid w:val="0"/>
          <w:color w:val="auto"/>
          <w:spacing w:val="10"/>
          <w:kern w:val="0"/>
          <w:sz w:val="24"/>
          <w:szCs w:val="24"/>
          <w:u w:val="none" w:color="auto"/>
        </w:rPr>
        <w:t>况</w:t>
      </w:r>
      <w:r>
        <w:rPr>
          <w:rFonts w:hint="default" w:ascii="Times New Roman" w:hAnsi="Times New Roman" w:eastAsia="宋体" w:cs="Times New Roman"/>
          <w:snapToGrid w:val="0"/>
          <w:color w:val="auto"/>
          <w:spacing w:val="8"/>
          <w:kern w:val="0"/>
          <w:sz w:val="24"/>
          <w:szCs w:val="24"/>
          <w:u w:val="none" w:color="auto"/>
        </w:rPr>
        <w:t>下，本项目环境风险可接受。</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0" w:firstLineChars="200"/>
        <w:jc w:val="center"/>
        <w:textAlignment w:val="baseline"/>
        <w:outlineLvl w:val="0"/>
        <w:rPr>
          <w:rFonts w:hint="default" w:ascii="Times New Roman" w:hAnsi="Times New Roman" w:eastAsia="宋体" w:cs="Times New Roman"/>
          <w:snapToGrid w:val="0"/>
          <w:color w:val="auto"/>
          <w:kern w:val="0"/>
          <w:szCs w:val="21"/>
          <w:u w:val="none" w:color="auto"/>
        </w:rPr>
      </w:pPr>
      <w:bookmarkStart w:id="253" w:name="_Toc29164"/>
      <w:r>
        <w:rPr>
          <w:rFonts w:hint="eastAsia" w:ascii="Times New Roman" w:hAnsi="Times New Roman" w:eastAsia="宋体" w:cs="Times New Roman"/>
          <w:b/>
          <w:bCs/>
          <w:snapToGrid w:val="0"/>
          <w:color w:val="auto"/>
          <w:spacing w:val="7"/>
          <w:kern w:val="0"/>
          <w:sz w:val="24"/>
          <w:szCs w:val="24"/>
          <w:u w:val="none" w:color="auto"/>
          <w:lang w:val="en-US" w:eastAsia="zh-CN"/>
        </w:rPr>
        <w:t>5.2-37</w:t>
      </w:r>
      <w:r>
        <w:rPr>
          <w:rFonts w:hint="default" w:ascii="Times New Roman" w:hAnsi="Times New Roman" w:eastAsia="宋体" w:cs="Times New Roman"/>
          <w:b/>
          <w:bCs/>
          <w:snapToGrid w:val="0"/>
          <w:color w:val="auto"/>
          <w:spacing w:val="7"/>
          <w:kern w:val="0"/>
          <w:sz w:val="24"/>
          <w:szCs w:val="24"/>
          <w:u w:val="none" w:color="auto"/>
        </w:rPr>
        <w:t>建设项目环境风险简单分析内容表</w:t>
      </w:r>
      <w:bookmarkEnd w:id="253"/>
    </w:p>
    <w:tbl>
      <w:tblPr>
        <w:tblStyle w:val="204"/>
        <w:tblW w:w="5054" w:type="pct"/>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379"/>
        <w:gridCol w:w="1638"/>
        <w:gridCol w:w="1774"/>
        <w:gridCol w:w="20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建设项目名</w:t>
            </w:r>
            <w:r>
              <w:rPr>
                <w:rFonts w:hint="default" w:ascii="Times New Roman" w:hAnsi="Times New Roman" w:eastAsia="宋体" w:cs="Times New Roman"/>
                <w:snapToGrid w:val="0"/>
                <w:color w:val="auto"/>
                <w:spacing w:val="7"/>
                <w:kern w:val="0"/>
                <w:sz w:val="21"/>
                <w:szCs w:val="21"/>
                <w:u w:val="none" w:color="auto"/>
              </w:rPr>
              <w:t>称</w:t>
            </w:r>
          </w:p>
        </w:tc>
        <w:tc>
          <w:tcPr>
            <w:tcW w:w="6849" w:type="dxa"/>
            <w:gridSpan w:val="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kern w:val="0"/>
                <w:sz w:val="21"/>
                <w:szCs w:val="21"/>
                <w:u w:val="none" w:color="auto"/>
              </w:rPr>
              <w:t>湖南镁宇科技有限公司高性能变形镁合金产业链产业化项目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9"/>
                <w:kern w:val="0"/>
                <w:sz w:val="21"/>
                <w:szCs w:val="21"/>
                <w:u w:val="none" w:color="auto"/>
              </w:rPr>
              <w:t>建</w:t>
            </w:r>
            <w:r>
              <w:rPr>
                <w:rFonts w:hint="default" w:ascii="Times New Roman" w:hAnsi="Times New Roman" w:eastAsia="宋体" w:cs="Times New Roman"/>
                <w:snapToGrid w:val="0"/>
                <w:color w:val="auto"/>
                <w:spacing w:val="6"/>
                <w:kern w:val="0"/>
                <w:sz w:val="21"/>
                <w:szCs w:val="21"/>
                <w:u w:val="none" w:color="auto"/>
              </w:rPr>
              <w:t>设地点</w:t>
            </w:r>
          </w:p>
        </w:tc>
        <w:tc>
          <w:tcPr>
            <w:tcW w:w="137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napToGrid w:val="0"/>
                <w:color w:val="auto"/>
                <w:kern w:val="0"/>
                <w:sz w:val="21"/>
                <w:szCs w:val="21"/>
                <w:u w:val="none" w:color="auto"/>
                <w:lang w:eastAsia="zh-CN"/>
              </w:rPr>
            </w:pPr>
            <w:r>
              <w:rPr>
                <w:rFonts w:hint="eastAsia" w:ascii="Times New Roman" w:hAnsi="Times New Roman" w:eastAsia="宋体" w:cs="Times New Roman"/>
                <w:snapToGrid w:val="0"/>
                <w:color w:val="auto"/>
                <w:kern w:val="0"/>
                <w:sz w:val="21"/>
                <w:szCs w:val="21"/>
                <w:u w:val="none" w:color="auto"/>
                <w:lang w:eastAsia="zh-CN"/>
              </w:rPr>
              <w:t>湖南省</w:t>
            </w:r>
          </w:p>
        </w:tc>
        <w:tc>
          <w:tcPr>
            <w:tcW w:w="1632"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napToGrid w:val="0"/>
                <w:color w:val="auto"/>
                <w:kern w:val="0"/>
                <w:sz w:val="21"/>
                <w:szCs w:val="21"/>
                <w:u w:val="none" w:color="auto"/>
                <w:lang w:eastAsia="zh-CN"/>
              </w:rPr>
            </w:pPr>
            <w:r>
              <w:rPr>
                <w:rFonts w:hint="eastAsia" w:ascii="Times New Roman" w:hAnsi="Times New Roman" w:eastAsia="宋体" w:cs="Times New Roman"/>
                <w:snapToGrid w:val="0"/>
                <w:color w:val="auto"/>
                <w:kern w:val="0"/>
                <w:sz w:val="21"/>
                <w:szCs w:val="21"/>
                <w:u w:val="none" w:color="auto"/>
                <w:lang w:eastAsia="zh-CN"/>
              </w:rPr>
              <w:t>岳阳市</w:t>
            </w:r>
          </w:p>
        </w:tc>
        <w:tc>
          <w:tcPr>
            <w:tcW w:w="3843" w:type="dxa"/>
            <w:gridSpan w:val="2"/>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color w:val="auto"/>
                <w:sz w:val="21"/>
                <w:szCs w:val="21"/>
                <w:highlight w:val="none"/>
                <w:u w:val="none" w:color="auto"/>
              </w:rPr>
              <w:t>临港高新技术产业开发区创新创业基地内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地</w:t>
            </w:r>
            <w:r>
              <w:rPr>
                <w:rFonts w:hint="default" w:ascii="Times New Roman" w:hAnsi="Times New Roman" w:eastAsia="宋体" w:cs="Times New Roman"/>
                <w:snapToGrid w:val="0"/>
                <w:color w:val="auto"/>
                <w:spacing w:val="7"/>
                <w:kern w:val="0"/>
                <w:sz w:val="21"/>
                <w:szCs w:val="21"/>
                <w:u w:val="none" w:color="auto"/>
              </w:rPr>
              <w:t>理坐标</w:t>
            </w:r>
          </w:p>
        </w:tc>
        <w:tc>
          <w:tcPr>
            <w:tcW w:w="137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napToGrid w:val="0"/>
                <w:color w:val="auto"/>
                <w:kern w:val="0"/>
                <w:sz w:val="21"/>
                <w:szCs w:val="21"/>
                <w:u w:val="none" w:color="auto"/>
                <w:lang w:eastAsia="zh-CN"/>
              </w:rPr>
            </w:pPr>
            <w:r>
              <w:rPr>
                <w:rFonts w:hint="eastAsia" w:ascii="Times New Roman" w:hAnsi="Times New Roman" w:eastAsia="宋体" w:cs="Times New Roman"/>
                <w:snapToGrid w:val="0"/>
                <w:color w:val="auto"/>
                <w:kern w:val="0"/>
                <w:sz w:val="21"/>
                <w:szCs w:val="21"/>
                <w:u w:val="none" w:color="auto"/>
                <w:lang w:eastAsia="zh-CN"/>
              </w:rPr>
              <w:t>东经</w:t>
            </w:r>
          </w:p>
        </w:tc>
        <w:tc>
          <w:tcPr>
            <w:tcW w:w="1632"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color w:val="auto"/>
                <w:sz w:val="21"/>
                <w:szCs w:val="21"/>
                <w:highlight w:val="none"/>
                <w:u w:val="none" w:color="auto"/>
              </w:rPr>
              <w:t>113°15'31.27"</w:t>
            </w:r>
          </w:p>
        </w:tc>
        <w:tc>
          <w:tcPr>
            <w:tcW w:w="1768"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color w:val="auto"/>
                <w:sz w:val="21"/>
                <w:szCs w:val="21"/>
                <w:highlight w:val="none"/>
                <w:u w:val="none" w:color="auto"/>
              </w:rPr>
              <w:t>北纬</w:t>
            </w:r>
          </w:p>
        </w:tc>
        <w:tc>
          <w:tcPr>
            <w:tcW w:w="2075"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color w:val="auto"/>
                <w:sz w:val="21"/>
                <w:szCs w:val="21"/>
                <w:highlight w:val="none"/>
                <w:u w:val="none" w:color="auto"/>
              </w:rPr>
              <w:t>29°30'21.28"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主要危险物</w:t>
            </w:r>
            <w:r>
              <w:rPr>
                <w:rFonts w:hint="default" w:ascii="Times New Roman" w:hAnsi="Times New Roman" w:eastAsia="宋体" w:cs="Times New Roman"/>
                <w:snapToGrid w:val="0"/>
                <w:color w:val="auto"/>
                <w:spacing w:val="7"/>
                <w:kern w:val="0"/>
                <w:sz w:val="21"/>
                <w:szCs w:val="21"/>
                <w:u w:val="none" w:color="auto"/>
              </w:rPr>
              <w:t>质及分布</w:t>
            </w:r>
          </w:p>
        </w:tc>
        <w:tc>
          <w:tcPr>
            <w:tcW w:w="6849" w:type="dxa"/>
            <w:gridSpan w:val="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天然气：厂区天然气管道。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9"/>
                <w:kern w:val="0"/>
                <w:sz w:val="21"/>
                <w:szCs w:val="21"/>
                <w:u w:val="none" w:color="auto"/>
              </w:rPr>
              <w:t>环</w:t>
            </w:r>
            <w:r>
              <w:rPr>
                <w:rFonts w:hint="default" w:ascii="Times New Roman" w:hAnsi="Times New Roman" w:eastAsia="宋体" w:cs="Times New Roman"/>
                <w:snapToGrid w:val="0"/>
                <w:color w:val="auto"/>
                <w:spacing w:val="8"/>
                <w:kern w:val="0"/>
                <w:sz w:val="21"/>
                <w:szCs w:val="21"/>
                <w:u w:val="none" w:color="auto"/>
              </w:rPr>
              <w:t>境影响途径</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9"/>
                <w:kern w:val="0"/>
                <w:sz w:val="21"/>
                <w:szCs w:val="21"/>
                <w:u w:val="none" w:color="auto"/>
              </w:rPr>
              <w:t>及</w:t>
            </w:r>
            <w:r>
              <w:rPr>
                <w:rFonts w:hint="default" w:ascii="Times New Roman" w:hAnsi="Times New Roman" w:eastAsia="宋体" w:cs="Times New Roman"/>
                <w:snapToGrid w:val="0"/>
                <w:color w:val="auto"/>
                <w:spacing w:val="8"/>
                <w:kern w:val="0"/>
                <w:sz w:val="21"/>
                <w:szCs w:val="21"/>
                <w:u w:val="none" w:color="auto"/>
              </w:rPr>
              <w:t>危害后果</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24"/>
                <w:kern w:val="0"/>
                <w:sz w:val="21"/>
                <w:szCs w:val="21"/>
                <w:u w:val="none" w:color="auto"/>
              </w:rPr>
              <w:t>(</w:t>
            </w:r>
            <w:r>
              <w:rPr>
                <w:rFonts w:hint="default" w:ascii="Times New Roman" w:hAnsi="Times New Roman" w:eastAsia="宋体" w:cs="Times New Roman"/>
                <w:snapToGrid w:val="0"/>
                <w:color w:val="auto"/>
                <w:spacing w:val="23"/>
                <w:kern w:val="0"/>
                <w:sz w:val="21"/>
                <w:szCs w:val="21"/>
                <w:u w:val="none" w:color="auto"/>
              </w:rPr>
              <w:t>大气、地表</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水</w:t>
            </w:r>
            <w:r>
              <w:rPr>
                <w:rFonts w:hint="default" w:ascii="Times New Roman" w:hAnsi="Times New Roman" w:eastAsia="宋体" w:cs="Times New Roman"/>
                <w:snapToGrid w:val="0"/>
                <w:color w:val="auto"/>
                <w:spacing w:val="4"/>
                <w:kern w:val="0"/>
                <w:sz w:val="21"/>
                <w:szCs w:val="21"/>
                <w:u w:val="none" w:color="auto"/>
              </w:rPr>
              <w:t>、地下水等)</w:t>
            </w:r>
          </w:p>
        </w:tc>
        <w:tc>
          <w:tcPr>
            <w:tcW w:w="6849" w:type="dxa"/>
            <w:gridSpan w:val="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18"/>
                <w:kern w:val="0"/>
                <w:sz w:val="21"/>
                <w:szCs w:val="21"/>
                <w:u w:val="none" w:color="auto"/>
              </w:rPr>
              <w:t>天</w:t>
            </w:r>
            <w:r>
              <w:rPr>
                <w:rFonts w:hint="default" w:ascii="Times New Roman" w:hAnsi="Times New Roman" w:eastAsia="宋体" w:cs="Times New Roman"/>
                <w:snapToGrid w:val="0"/>
                <w:color w:val="auto"/>
                <w:spacing w:val="17"/>
                <w:kern w:val="0"/>
                <w:sz w:val="21"/>
                <w:szCs w:val="21"/>
                <w:u w:val="none" w:color="auto"/>
              </w:rPr>
              <w:t>然</w:t>
            </w:r>
            <w:r>
              <w:rPr>
                <w:rFonts w:hint="default" w:ascii="Times New Roman" w:hAnsi="Times New Roman" w:eastAsia="宋体" w:cs="Times New Roman"/>
                <w:snapToGrid w:val="0"/>
                <w:color w:val="auto"/>
                <w:spacing w:val="9"/>
                <w:kern w:val="0"/>
                <w:sz w:val="21"/>
                <w:szCs w:val="21"/>
                <w:u w:val="none" w:color="auto"/>
              </w:rPr>
              <w:t>气泄露发生的火灾爆炸事故产生黑烟和其他有毒有害气体对空气环境</w:t>
            </w:r>
            <w:r>
              <w:rPr>
                <w:rFonts w:hint="default" w:ascii="Times New Roman" w:hAnsi="Times New Roman" w:eastAsia="宋体" w:cs="Times New Roman"/>
                <w:snapToGrid w:val="0"/>
                <w:color w:val="auto"/>
                <w:spacing w:val="18"/>
                <w:kern w:val="0"/>
                <w:sz w:val="21"/>
                <w:szCs w:val="21"/>
                <w:u w:val="none" w:color="auto"/>
              </w:rPr>
              <w:t>产生</w:t>
            </w:r>
            <w:r>
              <w:rPr>
                <w:rFonts w:hint="default" w:ascii="Times New Roman" w:hAnsi="Times New Roman" w:eastAsia="宋体" w:cs="Times New Roman"/>
                <w:snapToGrid w:val="0"/>
                <w:color w:val="auto"/>
                <w:spacing w:val="12"/>
                <w:kern w:val="0"/>
                <w:sz w:val="21"/>
                <w:szCs w:val="21"/>
                <w:u w:val="none" w:color="auto"/>
              </w:rPr>
              <w:t>不</w:t>
            </w:r>
            <w:r>
              <w:rPr>
                <w:rFonts w:hint="default" w:ascii="Times New Roman" w:hAnsi="Times New Roman" w:eastAsia="宋体" w:cs="Times New Roman"/>
                <w:snapToGrid w:val="0"/>
                <w:color w:val="auto"/>
                <w:spacing w:val="9"/>
                <w:kern w:val="0"/>
                <w:sz w:val="21"/>
                <w:szCs w:val="21"/>
                <w:u w:val="none" w:color="auto"/>
              </w:rPr>
              <w:t>利影响；火灾产生的消防废水若不及时处理或采取的措施不当，极</w:t>
            </w:r>
            <w:r>
              <w:rPr>
                <w:rFonts w:hint="default" w:ascii="Times New Roman" w:hAnsi="Times New Roman" w:eastAsia="宋体" w:cs="Times New Roman"/>
                <w:snapToGrid w:val="0"/>
                <w:color w:val="auto"/>
                <w:spacing w:val="18"/>
                <w:kern w:val="0"/>
                <w:sz w:val="21"/>
                <w:szCs w:val="21"/>
                <w:u w:val="none" w:color="auto"/>
              </w:rPr>
              <w:t>有可</w:t>
            </w:r>
            <w:r>
              <w:rPr>
                <w:rFonts w:hint="default" w:ascii="Times New Roman" w:hAnsi="Times New Roman" w:eastAsia="宋体" w:cs="Times New Roman"/>
                <w:snapToGrid w:val="0"/>
                <w:color w:val="auto"/>
                <w:spacing w:val="12"/>
                <w:kern w:val="0"/>
                <w:sz w:val="21"/>
                <w:szCs w:val="21"/>
                <w:u w:val="none" w:color="auto"/>
              </w:rPr>
              <w:t>能</w:t>
            </w:r>
            <w:r>
              <w:rPr>
                <w:rFonts w:hint="default" w:ascii="Times New Roman" w:hAnsi="Times New Roman" w:eastAsia="宋体" w:cs="Times New Roman"/>
                <w:snapToGrid w:val="0"/>
                <w:color w:val="auto"/>
                <w:spacing w:val="9"/>
                <w:kern w:val="0"/>
                <w:sz w:val="21"/>
                <w:szCs w:val="21"/>
                <w:u w:val="none" w:color="auto"/>
              </w:rPr>
              <w:t>通过雨水管网进入周边的地表水、地下水，对其产生不良影响。此</w:t>
            </w:r>
            <w:r>
              <w:rPr>
                <w:rFonts w:hint="default" w:ascii="Times New Roman" w:hAnsi="Times New Roman" w:eastAsia="宋体" w:cs="Times New Roman"/>
                <w:snapToGrid w:val="0"/>
                <w:color w:val="auto"/>
                <w:spacing w:val="18"/>
                <w:kern w:val="0"/>
                <w:sz w:val="21"/>
                <w:szCs w:val="21"/>
                <w:u w:val="none" w:color="auto"/>
              </w:rPr>
              <w:t>外，</w:t>
            </w:r>
            <w:r>
              <w:rPr>
                <w:rFonts w:hint="default" w:ascii="Times New Roman" w:hAnsi="Times New Roman" w:eastAsia="宋体" w:cs="Times New Roman"/>
                <w:snapToGrid w:val="0"/>
                <w:color w:val="auto"/>
                <w:spacing w:val="12"/>
                <w:kern w:val="0"/>
                <w:sz w:val="21"/>
                <w:szCs w:val="21"/>
                <w:u w:val="none" w:color="auto"/>
              </w:rPr>
              <w:t>废</w:t>
            </w:r>
            <w:r>
              <w:rPr>
                <w:rFonts w:hint="default" w:ascii="Times New Roman" w:hAnsi="Times New Roman" w:eastAsia="宋体" w:cs="Times New Roman"/>
                <w:snapToGrid w:val="0"/>
                <w:color w:val="auto"/>
                <w:spacing w:val="9"/>
                <w:kern w:val="0"/>
                <w:sz w:val="21"/>
                <w:szCs w:val="21"/>
                <w:u w:val="none" w:color="auto"/>
              </w:rPr>
              <w:t>气处理设施故障情况下，项目排放的废气污染物浓度较低，对周围环</w:t>
            </w:r>
            <w:r>
              <w:rPr>
                <w:rFonts w:hint="default" w:ascii="Times New Roman" w:hAnsi="Times New Roman" w:eastAsia="宋体" w:cs="Times New Roman"/>
                <w:snapToGrid w:val="0"/>
                <w:color w:val="auto"/>
                <w:spacing w:val="8"/>
                <w:kern w:val="0"/>
                <w:sz w:val="21"/>
                <w:szCs w:val="21"/>
                <w:u w:val="none" w:color="auto"/>
              </w:rPr>
              <w:t>境空气质量影响不大。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8"/>
                <w:kern w:val="0"/>
                <w:sz w:val="21"/>
                <w:szCs w:val="21"/>
                <w:u w:val="none" w:color="auto"/>
              </w:rPr>
              <w:t>风险防范措施</w:t>
            </w:r>
            <w:r>
              <w:rPr>
                <w:rFonts w:hint="default" w:ascii="Times New Roman" w:hAnsi="Times New Roman" w:eastAsia="宋体" w:cs="Times New Roman"/>
                <w:snapToGrid w:val="0"/>
                <w:color w:val="auto"/>
                <w:spacing w:val="4"/>
                <w:kern w:val="0"/>
                <w:sz w:val="21"/>
                <w:szCs w:val="21"/>
                <w:u w:val="none" w:color="auto"/>
              </w:rPr>
              <w:t>要求</w:t>
            </w:r>
          </w:p>
        </w:tc>
        <w:tc>
          <w:tcPr>
            <w:tcW w:w="6849" w:type="dxa"/>
            <w:gridSpan w:val="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18"/>
                <w:kern w:val="0"/>
                <w:sz w:val="21"/>
                <w:szCs w:val="21"/>
                <w:u w:val="none" w:color="auto"/>
              </w:rPr>
              <w:t>建议</w:t>
            </w:r>
            <w:r>
              <w:rPr>
                <w:rFonts w:hint="default" w:ascii="Times New Roman" w:hAnsi="Times New Roman" w:eastAsia="宋体" w:cs="Times New Roman"/>
                <w:snapToGrid w:val="0"/>
                <w:color w:val="auto"/>
                <w:spacing w:val="9"/>
                <w:kern w:val="0"/>
                <w:sz w:val="21"/>
                <w:szCs w:val="21"/>
                <w:u w:val="none" w:color="auto"/>
              </w:rPr>
              <w:t>企业根据生产所出现的问题，不断地建立和健全各项风险管理规章制</w:t>
            </w:r>
            <w:r>
              <w:rPr>
                <w:rFonts w:hint="default" w:ascii="Times New Roman" w:hAnsi="Times New Roman" w:eastAsia="宋体" w:cs="Times New Roman"/>
                <w:snapToGrid w:val="0"/>
                <w:color w:val="auto"/>
                <w:spacing w:val="18"/>
                <w:kern w:val="0"/>
                <w:sz w:val="21"/>
                <w:szCs w:val="21"/>
                <w:u w:val="none" w:color="auto"/>
              </w:rPr>
              <w:t>度，</w:t>
            </w:r>
            <w:r>
              <w:rPr>
                <w:rFonts w:hint="default" w:ascii="Times New Roman" w:hAnsi="Times New Roman" w:eastAsia="宋体" w:cs="Times New Roman"/>
                <w:snapToGrid w:val="0"/>
                <w:color w:val="auto"/>
                <w:spacing w:val="13"/>
                <w:kern w:val="0"/>
                <w:sz w:val="21"/>
                <w:szCs w:val="21"/>
                <w:u w:val="none" w:color="auto"/>
              </w:rPr>
              <w:t>避</w:t>
            </w:r>
            <w:r>
              <w:rPr>
                <w:rFonts w:hint="default" w:ascii="Times New Roman" w:hAnsi="Times New Roman" w:eastAsia="宋体" w:cs="Times New Roman"/>
                <w:snapToGrid w:val="0"/>
                <w:color w:val="auto"/>
                <w:spacing w:val="9"/>
                <w:kern w:val="0"/>
                <w:sz w:val="21"/>
                <w:szCs w:val="21"/>
                <w:u w:val="none" w:color="auto"/>
              </w:rPr>
              <w:t>免环境风险事故的发生。同时在环境风险事故应急演练过程中不断总结，完善方案，将环境风险事故危害程度降至最低</w:t>
            </w:r>
            <w:r>
              <w:rPr>
                <w:rFonts w:hint="default" w:ascii="Times New Roman" w:hAnsi="Times New Roman" w:eastAsia="宋体" w:cs="Times New Roman"/>
                <w:snapToGrid w:val="0"/>
                <w:color w:val="auto"/>
                <w:spacing w:val="8"/>
                <w:kern w:val="0"/>
                <w:sz w:val="21"/>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4" w:type="dxa"/>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填表说明(</w:t>
            </w:r>
            <w:r>
              <w:rPr>
                <w:rFonts w:hint="default" w:ascii="Times New Roman" w:hAnsi="Times New Roman" w:eastAsia="宋体" w:cs="Times New Roman"/>
                <w:snapToGrid w:val="0"/>
                <w:color w:val="auto"/>
                <w:spacing w:val="5"/>
                <w:kern w:val="0"/>
                <w:sz w:val="21"/>
                <w:szCs w:val="21"/>
                <w:u w:val="none" w:color="auto"/>
              </w:rPr>
              <w:t>列</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6"/>
                <w:kern w:val="0"/>
                <w:sz w:val="21"/>
                <w:szCs w:val="21"/>
                <w:u w:val="none" w:color="auto"/>
              </w:rPr>
              <w:t>出</w:t>
            </w:r>
            <w:r>
              <w:rPr>
                <w:rFonts w:hint="default" w:ascii="Times New Roman" w:hAnsi="Times New Roman" w:eastAsia="宋体" w:cs="Times New Roman"/>
                <w:snapToGrid w:val="0"/>
                <w:color w:val="auto"/>
                <w:spacing w:val="5"/>
                <w:kern w:val="0"/>
                <w:sz w:val="21"/>
                <w:szCs w:val="21"/>
                <w:u w:val="none" w:color="auto"/>
              </w:rPr>
              <w:t>项目相关信</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7"/>
                <w:kern w:val="0"/>
                <w:sz w:val="21"/>
                <w:szCs w:val="21"/>
                <w:u w:val="none" w:color="auto"/>
              </w:rPr>
              <w:t>息</w:t>
            </w:r>
            <w:r>
              <w:rPr>
                <w:rFonts w:hint="default" w:ascii="Times New Roman" w:hAnsi="Times New Roman" w:eastAsia="宋体" w:cs="Times New Roman"/>
                <w:snapToGrid w:val="0"/>
                <w:color w:val="auto"/>
                <w:spacing w:val="6"/>
                <w:kern w:val="0"/>
                <w:sz w:val="21"/>
                <w:szCs w:val="21"/>
                <w:u w:val="none" w:color="auto"/>
              </w:rPr>
              <w:t>及评价说</w:t>
            </w:r>
          </w:p>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10"/>
                <w:kern w:val="0"/>
                <w:sz w:val="21"/>
                <w:szCs w:val="21"/>
                <w:u w:val="none" w:color="auto"/>
              </w:rPr>
              <w:t>明</w:t>
            </w:r>
            <w:r>
              <w:rPr>
                <w:rFonts w:hint="default" w:ascii="Times New Roman" w:hAnsi="Times New Roman" w:eastAsia="宋体" w:cs="Times New Roman"/>
                <w:snapToGrid w:val="0"/>
                <w:color w:val="auto"/>
                <w:spacing w:val="-9"/>
                <w:kern w:val="0"/>
                <w:sz w:val="21"/>
                <w:szCs w:val="21"/>
                <w:u w:val="none" w:color="auto"/>
              </w:rPr>
              <w:t>)</w:t>
            </w:r>
          </w:p>
        </w:tc>
        <w:tc>
          <w:tcPr>
            <w:tcW w:w="6849" w:type="dxa"/>
            <w:gridSpan w:val="4"/>
            <w:tcBorders>
              <w:tl2br w:val="nil"/>
              <w:tr2bl w:val="nil"/>
            </w:tcBorders>
            <w:vAlign w:val="center"/>
          </w:tcPr>
          <w:p>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snapToGrid w:val="0"/>
                <w:color w:val="auto"/>
                <w:spacing w:val="12"/>
                <w:kern w:val="0"/>
                <w:sz w:val="21"/>
                <w:szCs w:val="21"/>
                <w:u w:val="none" w:color="auto"/>
              </w:rPr>
              <w:t>项</w:t>
            </w:r>
            <w:r>
              <w:rPr>
                <w:rFonts w:hint="default" w:ascii="Times New Roman" w:hAnsi="Times New Roman" w:eastAsia="宋体" w:cs="Times New Roman"/>
                <w:snapToGrid w:val="0"/>
                <w:color w:val="auto"/>
                <w:spacing w:val="7"/>
                <w:kern w:val="0"/>
                <w:sz w:val="21"/>
                <w:szCs w:val="21"/>
                <w:u w:val="none" w:color="auto"/>
              </w:rPr>
              <w:t>目</w:t>
            </w:r>
            <w:r>
              <w:rPr>
                <w:rFonts w:hint="default" w:ascii="Times New Roman" w:hAnsi="Times New Roman" w:eastAsia="宋体" w:cs="Times New Roman"/>
                <w:snapToGrid w:val="0"/>
                <w:color w:val="auto"/>
                <w:spacing w:val="6"/>
                <w:kern w:val="0"/>
                <w:sz w:val="21"/>
                <w:szCs w:val="21"/>
                <w:u w:val="none" w:color="auto"/>
              </w:rPr>
              <w:t>经风险调查、风险潜势初判，确定项目风险潜势为Ⅰ，仅对项目进行简</w:t>
            </w:r>
            <w:r>
              <w:rPr>
                <w:rFonts w:hint="default" w:ascii="Times New Roman" w:hAnsi="Times New Roman" w:eastAsia="宋体" w:cs="Times New Roman"/>
                <w:snapToGrid w:val="0"/>
                <w:color w:val="auto"/>
                <w:spacing w:val="10"/>
                <w:kern w:val="0"/>
                <w:sz w:val="21"/>
                <w:szCs w:val="21"/>
                <w:u w:val="none" w:color="auto"/>
              </w:rPr>
              <w:t>单分析。项目涉及的主要危险物质为天然气，天然气由管道输送至厂内</w:t>
            </w:r>
            <w:r>
              <w:rPr>
                <w:rFonts w:hint="default" w:ascii="Times New Roman" w:hAnsi="Times New Roman" w:eastAsia="宋体" w:cs="Times New Roman"/>
                <w:snapToGrid w:val="0"/>
                <w:color w:val="auto"/>
                <w:spacing w:val="7"/>
                <w:kern w:val="0"/>
                <w:sz w:val="21"/>
                <w:szCs w:val="21"/>
                <w:u w:val="none" w:color="auto"/>
              </w:rPr>
              <w:t>，</w:t>
            </w:r>
            <w:r>
              <w:rPr>
                <w:rFonts w:hint="default" w:ascii="Times New Roman" w:hAnsi="Times New Roman" w:eastAsia="宋体" w:cs="Times New Roman"/>
                <w:snapToGrid w:val="0"/>
                <w:color w:val="auto"/>
                <w:spacing w:val="18"/>
                <w:kern w:val="0"/>
                <w:sz w:val="21"/>
                <w:szCs w:val="21"/>
                <w:u w:val="none" w:color="auto"/>
              </w:rPr>
              <w:t>不设</w:t>
            </w:r>
            <w:r>
              <w:rPr>
                <w:rFonts w:hint="default" w:ascii="Times New Roman" w:hAnsi="Times New Roman" w:eastAsia="宋体" w:cs="Times New Roman"/>
                <w:snapToGrid w:val="0"/>
                <w:color w:val="auto"/>
                <w:spacing w:val="10"/>
                <w:kern w:val="0"/>
                <w:sz w:val="21"/>
                <w:szCs w:val="21"/>
                <w:u w:val="none" w:color="auto"/>
              </w:rPr>
              <w:t>天</w:t>
            </w:r>
            <w:r>
              <w:rPr>
                <w:rFonts w:hint="default" w:ascii="Times New Roman" w:hAnsi="Times New Roman" w:eastAsia="宋体" w:cs="Times New Roman"/>
                <w:snapToGrid w:val="0"/>
                <w:color w:val="auto"/>
                <w:spacing w:val="9"/>
                <w:kern w:val="0"/>
                <w:sz w:val="21"/>
                <w:szCs w:val="21"/>
                <w:u w:val="none" w:color="auto"/>
              </w:rPr>
              <w:t>然气储存设施，风险发生概率及危险可以控制在较低水平。在做好</w:t>
            </w:r>
            <w:r>
              <w:rPr>
                <w:rFonts w:hint="default" w:ascii="Times New Roman" w:hAnsi="Times New Roman" w:eastAsia="宋体" w:cs="Times New Roman"/>
                <w:snapToGrid w:val="0"/>
                <w:color w:val="auto"/>
                <w:spacing w:val="18"/>
                <w:kern w:val="0"/>
                <w:sz w:val="21"/>
                <w:szCs w:val="21"/>
                <w:u w:val="none" w:color="auto"/>
              </w:rPr>
              <w:t>各项</w:t>
            </w:r>
            <w:r>
              <w:rPr>
                <w:rFonts w:hint="default" w:ascii="Times New Roman" w:hAnsi="Times New Roman" w:eastAsia="宋体" w:cs="Times New Roman"/>
                <w:snapToGrid w:val="0"/>
                <w:color w:val="auto"/>
                <w:spacing w:val="10"/>
                <w:kern w:val="0"/>
                <w:sz w:val="21"/>
                <w:szCs w:val="21"/>
                <w:u w:val="none" w:color="auto"/>
              </w:rPr>
              <w:t>环</w:t>
            </w:r>
            <w:r>
              <w:rPr>
                <w:rFonts w:hint="default" w:ascii="Times New Roman" w:hAnsi="Times New Roman" w:eastAsia="宋体" w:cs="Times New Roman"/>
                <w:snapToGrid w:val="0"/>
                <w:color w:val="auto"/>
                <w:spacing w:val="9"/>
                <w:kern w:val="0"/>
                <w:sz w:val="21"/>
                <w:szCs w:val="21"/>
                <w:u w:val="none" w:color="auto"/>
              </w:rPr>
              <w:t>境风险防范措施和日常管理中严格遵守操作规程、制定完善的环境</w:t>
            </w:r>
            <w:r>
              <w:rPr>
                <w:rFonts w:hint="default" w:ascii="Times New Roman" w:hAnsi="Times New Roman" w:eastAsia="宋体" w:cs="Times New Roman"/>
                <w:snapToGrid w:val="0"/>
                <w:color w:val="auto"/>
                <w:spacing w:val="10"/>
                <w:kern w:val="0"/>
                <w:sz w:val="21"/>
                <w:szCs w:val="21"/>
                <w:u w:val="none" w:color="auto"/>
              </w:rPr>
              <w:t>风</w:t>
            </w:r>
            <w:r>
              <w:rPr>
                <w:rFonts w:hint="default" w:ascii="Times New Roman" w:hAnsi="Times New Roman" w:eastAsia="宋体" w:cs="Times New Roman"/>
                <w:snapToGrid w:val="0"/>
                <w:color w:val="auto"/>
                <w:spacing w:val="9"/>
                <w:kern w:val="0"/>
                <w:sz w:val="21"/>
                <w:szCs w:val="21"/>
                <w:u w:val="none" w:color="auto"/>
              </w:rPr>
              <w:t>险应急预案的情况下，本项目环境风险可接受。</w:t>
            </w:r>
          </w:p>
        </w:tc>
      </w:tr>
    </w:tbl>
    <w:p>
      <w:pPr>
        <w:pageBreakBefore w:val="0"/>
        <w:tabs>
          <w:tab w:val="left" w:pos="8820"/>
          <w:tab w:val="left" w:pos="9000"/>
        </w:tabs>
        <w:kinsoku/>
        <w:wordWrap/>
        <w:overflowPunct w:val="0"/>
        <w:topLinePunct/>
        <w:autoSpaceDE w:val="0"/>
        <w:autoSpaceDN w:val="0"/>
        <w:bidi w:val="0"/>
        <w:adjustRightInd w:val="0"/>
        <w:snapToGrid w:val="0"/>
        <w:spacing w:line="360" w:lineRule="auto"/>
        <w:textAlignment w:val="baseline"/>
        <w:rPr>
          <w:rFonts w:hint="default" w:ascii="Times New Roman" w:hAnsi="Times New Roman" w:eastAsia="宋体" w:cs="Times New Roman"/>
          <w:color w:val="auto"/>
          <w:highlight w:val="none"/>
          <w:u w:val="none" w:color="auto"/>
        </w:rPr>
      </w:pPr>
    </w:p>
    <w:p>
      <w:pPr>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sectPr>
          <w:headerReference r:id="rId18" w:type="default"/>
          <w:footerReference r:id="rId19" w:type="default"/>
          <w:pgSz w:w="11907" w:h="16840"/>
          <w:pgMar w:top="1440" w:right="1797" w:bottom="1440" w:left="1797"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54" w:name="_Toc26059"/>
      <w:bookmarkStart w:id="255" w:name="_Toc26683"/>
      <w:bookmarkStart w:id="256" w:name="_Toc41310127"/>
      <w:bookmarkStart w:id="257" w:name="_Toc41310135"/>
      <w:bookmarkStart w:id="258" w:name="_Toc31980"/>
      <w:r>
        <w:rPr>
          <w:rFonts w:hint="default" w:ascii="Times New Roman" w:hAnsi="Times New Roman" w:eastAsia="宋体" w:cs="Times New Roman"/>
          <w:color w:val="auto"/>
          <w:highlight w:val="none"/>
          <w:u w:val="none" w:color="auto"/>
        </w:rPr>
        <w:t>第6章环境保护措施及其可行性论证</w:t>
      </w:r>
      <w:bookmarkEnd w:id="254"/>
      <w:bookmarkEnd w:id="255"/>
      <w:bookmarkEnd w:id="256"/>
    </w:p>
    <w:p>
      <w:pPr>
        <w:pStyle w:val="6"/>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59" w:name="_Toc25288"/>
      <w:bookmarkStart w:id="260" w:name="_Toc41310128"/>
      <w:bookmarkStart w:id="261" w:name="_Toc19270"/>
      <w:r>
        <w:rPr>
          <w:rFonts w:hint="default" w:ascii="Times New Roman" w:hAnsi="Times New Roman" w:eastAsia="宋体" w:cs="Times New Roman"/>
          <w:color w:val="auto"/>
          <w:highlight w:val="none"/>
          <w:u w:val="none" w:color="auto"/>
        </w:rPr>
        <w:t>6.1施工期污染治理措施</w:t>
      </w:r>
      <w:bookmarkEnd w:id="259"/>
      <w:bookmarkEnd w:id="260"/>
      <w:bookmarkEnd w:id="261"/>
    </w:p>
    <w:p>
      <w:pPr>
        <w:pStyle w:val="7"/>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62" w:name="_Toc8955"/>
      <w:bookmarkStart w:id="263" w:name="_Toc11046"/>
      <w:r>
        <w:rPr>
          <w:rFonts w:hint="default" w:ascii="Times New Roman" w:hAnsi="Times New Roman" w:eastAsia="宋体" w:cs="Times New Roman"/>
          <w:color w:val="auto"/>
          <w:highlight w:val="none"/>
          <w:u w:val="none" w:color="auto"/>
        </w:rPr>
        <w:t>6.1.1大气环境保护措施</w:t>
      </w:r>
      <w:bookmarkEnd w:id="262"/>
      <w:bookmarkEnd w:id="263"/>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施工期大气污染物主要为扬尘，为减轻对周边环境影响，应采取以下措施</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根据《湖南省大气污染物防治条例》的要求，本项目施工过程中暂不能开工的建设用地，需由土地使用权人、建设单位对裸露地面采取设置防尘网或者防尘布等措施进行覆盖，不能开工超过三个月的，应当进行绿化、透水铺装；</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根据《湖南省污染防治攻坚三年行动计划（2018-2020）》要求，本项目施工工地需达到“六个100%”（工地周边围挡、裸露土地和物料堆放覆盖、土方开挖湿法作业、路面硬化、出入车辆清洗、渣土车辆密闭运输达到100%），以减轻施工扬尘对大气的污染。</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（3）4级以上大风天气，停止土方施工，并对施工场地做好遮掩工作。</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（4）施工工地道路要硬化，要在工地出口处设置清除车轮泥土的设施，确保车辆不带泥土驶出工地，要指定专人清扫工地路面。</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（5）运输车辆进入施工场地限速行驶，减少扬尘量。</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（6）装卸渣土严禁凌空抛撒，渣土外运应使用配有顶盖的专用渣土车或加盖篷布，严禁沿途遗撒。</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（7）避免起尘原材料的露天堆放，采用洒水、遮盖物等措施防止扬尘。</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8）根据《岳阳市扬尘污染防治条例》，①现场围挡与大门。施工现场应封闭施工，符合安全、牢固、美观、亮化的要求。围挡高度不得低于1.8米。施工现场大门口应美观规范，设立企业标志、企业名称和工程名称。在建工程主体必须用密目式安全网进行全封闭，表面美观整洁、不破损、不污染，正立面要悬挂施工安全、文明管理标识标牌。②施工场地硬化。施工现场内道路、加工区、办公区、生活区必须设置合理并采用混凝土进行硬化，其他区域平整后使用碎石覆盖。硬化后的地面不得有浮土、积土。施工现场土方必须进行覆盖，其他裸露的地面必须采取绿化、洒水或其他防尘措施。加强施工现场绿化和喷水降尘管理。建筑施工现场要设置喷水降尘设施，遇到干燥季节和大风天气时，要安排专人定时喷水降尘，保持路面清洁湿润。③车辆冲洗设施。建筑工程施工现场大门出入口处必须设置车辆冲洗设施和污水沉淀池，对驶出施工现场的机动车辆冲洗干净后方可上路行驶，严禁施工现场内的泥土和污水污染城市道路。④材料堆放。施工现场建筑材料应按规定要求分类堆放，设置标牌，并稳定牢固、整齐有序。水泥、石灰等易产生扬尘的材料必须入库入罐存放。砂浆搅拌机等机械设备必须搭设安全防护棚，使用密目网进行有效围挡，最大限度地减少粉尘污染。⑤建筑垃圾、土方、渣土清运。建筑物内施工垃圾的清运，必须采用相应的容器或管道运输，严禁凌空抛掷。施工现场严禁焚烧各类废弃物。建筑垃圾、工程渣土在48小时内不能完成清运的，应当在施工工地内设置临时堆放场，临时堆放场应当采取围挡、覆盖等防尘措施；施工现场裸露的场地和集中堆放的土方应采取覆盖、固化或绿化等措施。外脚手架拆除时应当采取洒水等防尘措施，禁止拍抖防尘网造成扬尘。</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经采取以上措施后，项目施工期对周边空气环境影响较小。</w:t>
      </w:r>
    </w:p>
    <w:p>
      <w:pPr>
        <w:keepNext/>
        <w:keepLines/>
        <w:pageBreakBefore w:val="0"/>
        <w:kinsoku/>
        <w:wordWrap/>
        <w:overflowPunct w:val="0"/>
        <w:topLinePunct/>
        <w:autoSpaceDE w:val="0"/>
        <w:autoSpaceDN w:val="0"/>
        <w:bidi w:val="0"/>
        <w:spacing w:line="360" w:lineRule="auto"/>
        <w:outlineLvl w:val="2"/>
        <w:rPr>
          <w:rFonts w:hint="default" w:ascii="Times New Roman" w:hAnsi="Times New Roman" w:eastAsia="宋体" w:cs="Times New Roman"/>
          <w:b/>
          <w:bCs/>
          <w:color w:val="auto"/>
          <w:sz w:val="28"/>
          <w:szCs w:val="32"/>
          <w:highlight w:val="none"/>
          <w:u w:val="none" w:color="auto"/>
        </w:rPr>
      </w:pPr>
      <w:bookmarkStart w:id="264" w:name="_Toc32414"/>
      <w:bookmarkStart w:id="265" w:name="_Toc30895"/>
      <w:r>
        <w:rPr>
          <w:rFonts w:hint="default" w:ascii="Times New Roman" w:hAnsi="Times New Roman" w:eastAsia="宋体" w:cs="Times New Roman"/>
          <w:b/>
          <w:bCs/>
          <w:color w:val="auto"/>
          <w:sz w:val="28"/>
          <w:szCs w:val="32"/>
          <w:highlight w:val="none"/>
          <w:u w:val="none" w:color="auto"/>
        </w:rPr>
        <w:t>6.1.2水环境保护措施</w:t>
      </w:r>
      <w:bookmarkEnd w:id="264"/>
      <w:bookmarkEnd w:id="265"/>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废水包括开挖和钻孔产生的泥浆水、机械设备运转的冷却水和洗涤水以及施工机械运转中产生的油污水未经处理直接排放或施工机械维修过程中产生的含油污水，若这些污水直接排放，会对受纳水体产生影响；暴雨地表径流冲刷浮土、建筑砂石、垃圾、弃土等，不但会夹带大量泥砂，而且会携带水泥、油类、化学品等各种污染物，随雨水冲刷排入周边水体；排水工程产生的沉积物如果不经处理进入地表水，不但会引起水体污染，还可造成水管堵塞。</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施工废水主要源于施工机械车辆清洗产生的废水、泥浆水和地表径流雨水，污染物为SS。本项目施工期修建沉淀池对废水进行沉淀后可返回施工使用，不排放。施工期废水预防污染建议：</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（1）严格执行岳阳市建筑工地管理的有关规定，建设单位和施工单位应根据地形，对地面水的排放进行组织设计，严格施工污水乱排、乱流污染道路、周围环境或市政设施。</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含有泥沙（浆）、水泥等物质的施工废水，应当经临时沉淀池处理。总体而言，施工废水随着建设期的结束而自然消失，对周围环境有一定的影响，但可以采取相应的控制措施，通过采取设置排水沟及集水池、施工废水收集沉淀后回用等措施后对水环境的影响不大。</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（3）水泥、黄沙、石灰类的建筑材料需集中堆放，并采取一定的防雨措施，及时清扫施工运输过程中抛洒的上述建筑材料，以免这些物质随雨水冲刷污染附近水体。</w:t>
      </w:r>
    </w:p>
    <w:p>
      <w:pPr>
        <w:keepNext/>
        <w:keepLines/>
        <w:pageBreakBefore w:val="0"/>
        <w:kinsoku/>
        <w:wordWrap/>
        <w:overflowPunct w:val="0"/>
        <w:topLinePunct/>
        <w:autoSpaceDE w:val="0"/>
        <w:autoSpaceDN w:val="0"/>
        <w:bidi w:val="0"/>
        <w:spacing w:line="360" w:lineRule="auto"/>
        <w:outlineLvl w:val="2"/>
        <w:rPr>
          <w:rFonts w:hint="default" w:ascii="Times New Roman" w:hAnsi="Times New Roman" w:eastAsia="宋体" w:cs="Times New Roman"/>
          <w:b/>
          <w:bCs/>
          <w:color w:val="auto"/>
          <w:sz w:val="28"/>
          <w:szCs w:val="32"/>
          <w:highlight w:val="none"/>
          <w:u w:val="none" w:color="auto"/>
        </w:rPr>
      </w:pPr>
      <w:bookmarkStart w:id="266" w:name="_Toc28696"/>
      <w:bookmarkStart w:id="267" w:name="_Toc4578"/>
      <w:r>
        <w:rPr>
          <w:rFonts w:hint="default" w:ascii="Times New Roman" w:hAnsi="Times New Roman" w:eastAsia="宋体" w:cs="Times New Roman"/>
          <w:b/>
          <w:bCs/>
          <w:color w:val="auto"/>
          <w:sz w:val="28"/>
          <w:szCs w:val="32"/>
          <w:highlight w:val="none"/>
          <w:u w:val="none" w:color="auto"/>
        </w:rPr>
        <w:t>6.1.3噪声防治措施</w:t>
      </w:r>
      <w:bookmarkEnd w:id="266"/>
      <w:bookmarkEnd w:id="267"/>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施工期噪声主要是建筑施工噪声及运输汽车交通噪声，对外环境有一定影响。由于施工时间较短，可通过选用运行良好的低噪声设备，禁止在夜间施工来减少噪声带来的不利影响。可采取以下控制措施：</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（1）加强施工管理，合理安排施工作业时间，禁止夜间进行高噪声施工作业。</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（2）施工机械应尽可能放置于对厂界外造成影响最小的地点。</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（3）在高噪声设备周围设置掩蔽物。</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（4）尽量压缩工区汽车数量与行车密度，控制汽车鸣笛。</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（5）做好劳动保护工作，让在噪声源附近操作的作业人员配戴防护耳塞。</w:t>
      </w:r>
    </w:p>
    <w:p>
      <w:pPr>
        <w:keepNext/>
        <w:keepLines/>
        <w:pageBreakBefore w:val="0"/>
        <w:kinsoku/>
        <w:wordWrap/>
        <w:overflowPunct w:val="0"/>
        <w:topLinePunct/>
        <w:autoSpaceDE w:val="0"/>
        <w:autoSpaceDN w:val="0"/>
        <w:bidi w:val="0"/>
        <w:spacing w:line="360" w:lineRule="auto"/>
        <w:outlineLvl w:val="2"/>
        <w:rPr>
          <w:rFonts w:hint="default" w:ascii="Times New Roman" w:hAnsi="Times New Roman" w:eastAsia="宋体" w:cs="Times New Roman"/>
          <w:b/>
          <w:bCs/>
          <w:color w:val="auto"/>
          <w:sz w:val="28"/>
          <w:szCs w:val="32"/>
          <w:highlight w:val="none"/>
          <w:u w:val="none" w:color="auto"/>
        </w:rPr>
      </w:pPr>
      <w:bookmarkStart w:id="268" w:name="_Toc14908"/>
      <w:bookmarkStart w:id="269" w:name="_Toc11778"/>
      <w:r>
        <w:rPr>
          <w:rFonts w:hint="default" w:ascii="Times New Roman" w:hAnsi="Times New Roman" w:eastAsia="宋体" w:cs="Times New Roman"/>
          <w:b/>
          <w:bCs/>
          <w:color w:val="auto"/>
          <w:sz w:val="28"/>
          <w:szCs w:val="32"/>
          <w:highlight w:val="none"/>
          <w:u w:val="none" w:color="auto"/>
        </w:rPr>
        <w:t>6.1.4固体废物处置措施</w:t>
      </w:r>
      <w:bookmarkEnd w:id="268"/>
      <w:bookmarkEnd w:id="269"/>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本项目固体废物主要为少量建筑垃圾及生活垃圾。施工期产生的建筑垃圾和弃土外运到有关部门指定的场地，不得随意弃置；保持文明、清洁运输。生活垃圾收集后由环卫部门统一清运处置。</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预计项目施工产生的固体废物经上述固体废物控制措施进行处置后不会对周边环境产生明显的污染影响。</w:t>
      </w:r>
    </w:p>
    <w:p>
      <w:pPr>
        <w:keepNext/>
        <w:keepLines/>
        <w:pageBreakBefore w:val="0"/>
        <w:kinsoku/>
        <w:wordWrap/>
        <w:overflowPunct w:val="0"/>
        <w:topLinePunct/>
        <w:autoSpaceDE w:val="0"/>
        <w:autoSpaceDN w:val="0"/>
        <w:bidi w:val="0"/>
        <w:spacing w:line="360" w:lineRule="auto"/>
        <w:outlineLvl w:val="2"/>
        <w:rPr>
          <w:rFonts w:hint="default" w:ascii="Times New Roman" w:hAnsi="Times New Roman" w:eastAsia="宋体" w:cs="Times New Roman"/>
          <w:b/>
          <w:bCs/>
          <w:color w:val="auto"/>
          <w:sz w:val="28"/>
          <w:szCs w:val="32"/>
          <w:highlight w:val="none"/>
          <w:u w:val="none" w:color="auto"/>
        </w:rPr>
      </w:pPr>
      <w:bookmarkStart w:id="270" w:name="_Toc31553"/>
      <w:bookmarkStart w:id="271" w:name="_Toc23719"/>
      <w:r>
        <w:rPr>
          <w:rFonts w:hint="default" w:ascii="Times New Roman" w:hAnsi="Times New Roman" w:eastAsia="宋体" w:cs="Times New Roman"/>
          <w:b/>
          <w:bCs/>
          <w:color w:val="auto"/>
          <w:sz w:val="28"/>
          <w:szCs w:val="32"/>
          <w:highlight w:val="none"/>
          <w:u w:val="none" w:color="auto"/>
        </w:rPr>
        <w:t>6.1.5生态保护措施</w:t>
      </w:r>
      <w:bookmarkEnd w:id="270"/>
      <w:bookmarkEnd w:id="271"/>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主要是保护水土资源，项目建设单位应认真执行《中华人民共和国水土保持法》和有关开发建设项目水土保持技术规范、规定。要求合理规划施工进度。施工单位应合理制定施工计划，以便在暴雨前及时将填铺的松土压实，用沙袋、废纸皮、稻草或草席等遮盖裸露地面进行临时应急防护，减缓暴雨量对裸地的剧烈冲刷。施工中尽可能缩短施工时间，提高工程施工效率。在进行土方工程的同时，对于排水工程，争取同步进行，避免雨季地表径流直接冲刷裸地表面而引起水土流失。施工中还须重视沉沙池的建设，使施工排水和路面径流经沉沙池沉淀后才排出，避免泥沙直接进入水体；注意沉沙池中泥沙量的增加，及时清理，防止泥沙溢出进入水体。</w:t>
      </w:r>
    </w:p>
    <w:p>
      <w:pPr>
        <w:pStyle w:val="80"/>
        <w:pageBreakBefore w:val="0"/>
        <w:kinsoku/>
        <w:wordWrap/>
        <w:overflowPunct w:val="0"/>
        <w:topLinePunct/>
        <w:autoSpaceDE w:val="0"/>
        <w:autoSpaceDN w:val="0"/>
        <w:bidi w:val="0"/>
        <w:adjustRightInd w:val="0"/>
        <w:snapToGrid w:val="0"/>
        <w:spacing w:beforeLines="0" w:afterLines="0"/>
        <w:ind w:firstLine="0" w:firstLineChars="0"/>
        <w:outlineLvl w:val="1"/>
        <w:rPr>
          <w:rFonts w:hint="default" w:ascii="Times New Roman" w:hAnsi="Times New Roman" w:eastAsia="宋体" w:cs="Times New Roman"/>
          <w:b/>
          <w:bCs/>
          <w:color w:val="auto"/>
          <w:sz w:val="30"/>
          <w:szCs w:val="30"/>
          <w:highlight w:val="none"/>
          <w:u w:val="none" w:color="auto"/>
        </w:rPr>
      </w:pPr>
      <w:bookmarkStart w:id="272" w:name="_Toc41310129"/>
      <w:bookmarkStart w:id="273" w:name="_Toc7469"/>
      <w:bookmarkStart w:id="274" w:name="_Toc25661"/>
      <w:r>
        <w:rPr>
          <w:rFonts w:hint="default" w:ascii="Times New Roman" w:hAnsi="Times New Roman" w:eastAsia="宋体" w:cs="Times New Roman"/>
          <w:b/>
          <w:bCs/>
          <w:color w:val="auto"/>
          <w:sz w:val="30"/>
          <w:szCs w:val="30"/>
          <w:highlight w:val="none"/>
          <w:u w:val="none" w:color="auto"/>
        </w:rPr>
        <w:t>6.2运营期大气污染防治措施及可行性分析</w:t>
      </w:r>
      <w:bookmarkEnd w:id="272"/>
      <w:bookmarkEnd w:id="273"/>
      <w:bookmarkEnd w:id="274"/>
    </w:p>
    <w:p>
      <w:pPr>
        <w:pStyle w:val="7"/>
        <w:bidi w:val="0"/>
        <w:rPr>
          <w:rFonts w:hint="default"/>
          <w:color w:val="auto"/>
        </w:rPr>
      </w:pPr>
      <w:bookmarkStart w:id="275" w:name="_Toc17940"/>
      <w:r>
        <w:rPr>
          <w:rFonts w:hint="default"/>
          <w:color w:val="auto"/>
        </w:rPr>
        <w:t>6.2.1废气防治措施及其可行性分析</w:t>
      </w:r>
      <w:bookmarkEnd w:id="275"/>
    </w:p>
    <w:p>
      <w:pPr>
        <w:pageBreakBefore w:val="0"/>
        <w:kinsoku/>
        <w:wordWrap/>
        <w:overflowPunct w:val="0"/>
        <w:topLinePunct/>
        <w:autoSpaceDE w:val="0"/>
        <w:autoSpaceDN w:val="0"/>
        <w:bidi w:val="0"/>
        <w:spacing w:line="360" w:lineRule="auto"/>
        <w:ind w:left="0" w:leftChars="0" w:right="0" w:rightChars="0" w:firstLine="0" w:firstLineChars="0"/>
        <w:jc w:val="center"/>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rPr>
        <w:t>表6.2-1本项目废气治理及排放措施一览表</w:t>
      </w:r>
    </w:p>
    <w:p>
      <w:pPr>
        <w:pageBreakBefore w:val="0"/>
        <w:kinsoku/>
        <w:wordWrap/>
        <w:overflowPunct w:val="0"/>
        <w:topLinePunct/>
        <w:autoSpaceDE w:val="0"/>
        <w:autoSpaceDN w:val="0"/>
        <w:bidi w:val="0"/>
        <w:spacing w:line="132" w:lineRule="exact"/>
        <w:rPr>
          <w:rFonts w:hint="default" w:ascii="Times New Roman" w:hAnsi="Times New Roman" w:eastAsia="宋体" w:cs="Times New Roman"/>
          <w:color w:val="auto"/>
          <w:u w:val="none" w:color="auto"/>
        </w:rPr>
      </w:pPr>
    </w:p>
    <w:tbl>
      <w:tblPr>
        <w:tblStyle w:val="204"/>
        <w:tblW w:w="85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105"/>
        <w:gridCol w:w="1174"/>
        <w:gridCol w:w="1591"/>
        <w:gridCol w:w="1538"/>
        <w:gridCol w:w="23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11"/>
                <w:sz w:val="21"/>
                <w:szCs w:val="21"/>
                <w:u w:val="none" w:color="auto"/>
              </w:rPr>
              <w:t>工序</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11"/>
                <w:sz w:val="21"/>
                <w:szCs w:val="21"/>
                <w:u w:val="none" w:color="auto"/>
              </w:rPr>
              <w:t>产生环节</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11"/>
                <w:sz w:val="21"/>
                <w:szCs w:val="21"/>
                <w:u w:val="none" w:color="auto"/>
              </w:rPr>
              <w:t>污染物因子</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11"/>
                <w:sz w:val="21"/>
                <w:szCs w:val="21"/>
                <w:u w:val="none" w:color="auto"/>
              </w:rPr>
              <w:t>治理措施及排放情况</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11"/>
                <w:sz w:val="21"/>
                <w:szCs w:val="21"/>
                <w:u w:val="none" w:color="auto"/>
              </w:rPr>
              <w:t>治理效率</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11"/>
                <w:sz w:val="21"/>
                <w:szCs w:val="21"/>
                <w:u w:val="none" w:color="auto"/>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4"/>
                <w:sz w:val="21"/>
                <w:szCs w:val="21"/>
                <w:u w:val="none" w:color="auto"/>
                <w:lang w:eastAsia="zh-CN"/>
              </w:rPr>
              <w:t>熔炼浇筑车间</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熔炼</w:t>
            </w:r>
            <w:r>
              <w:rPr>
                <w:rFonts w:hint="default" w:ascii="Times New Roman" w:hAnsi="Times New Roman" w:eastAsia="宋体" w:cs="Times New Roman"/>
                <w:color w:val="auto"/>
                <w:spacing w:val="7"/>
                <w:sz w:val="21"/>
                <w:szCs w:val="21"/>
                <w:u w:val="none" w:color="auto"/>
                <w:lang w:eastAsia="zh-CN"/>
              </w:rPr>
              <w:t>、浇筑废气</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rPr>
              <w:t>颗粒物</w:t>
            </w:r>
            <w:r>
              <w:rPr>
                <w:rFonts w:hint="default" w:ascii="Times New Roman" w:hAnsi="Times New Roman" w:eastAsia="宋体" w:cs="Times New Roman"/>
                <w:color w:val="auto"/>
                <w:spacing w:val="-11"/>
                <w:sz w:val="21"/>
                <w:szCs w:val="21"/>
                <w:u w:val="none" w:color="auto"/>
              </w:rPr>
              <w:t>、</w:t>
            </w:r>
            <w:r>
              <w:rPr>
                <w:rFonts w:hint="default" w:ascii="Times New Roman" w:hAnsi="Times New Roman" w:eastAsia="宋体" w:cs="Times New Roman"/>
                <w:color w:val="auto"/>
                <w:spacing w:val="12"/>
                <w:sz w:val="21"/>
                <w:szCs w:val="21"/>
                <w:u w:val="none" w:color="auto"/>
              </w:rPr>
              <w:t>氟</w:t>
            </w:r>
            <w:r>
              <w:rPr>
                <w:rFonts w:hint="default" w:ascii="Times New Roman" w:hAnsi="Times New Roman" w:eastAsia="宋体" w:cs="Times New Roman"/>
                <w:color w:val="auto"/>
                <w:spacing w:val="10"/>
                <w:sz w:val="21"/>
                <w:szCs w:val="21"/>
                <w:u w:val="none" w:color="auto"/>
              </w:rPr>
              <w:t>化物、</w:t>
            </w:r>
            <w:r>
              <w:rPr>
                <w:rFonts w:hint="default" w:ascii="Times New Roman" w:hAnsi="Times New Roman" w:eastAsia="宋体" w:cs="Times New Roman"/>
                <w:color w:val="auto"/>
                <w:spacing w:val="-4"/>
                <w:sz w:val="21"/>
                <w:szCs w:val="21"/>
                <w:u w:val="none" w:color="auto"/>
              </w:rPr>
              <w:t>HC</w:t>
            </w:r>
            <w:r>
              <w:rPr>
                <w:rFonts w:hint="default" w:ascii="Times New Roman" w:hAnsi="Times New Roman" w:eastAsia="宋体" w:cs="Times New Roman"/>
                <w:color w:val="auto"/>
                <w:spacing w:val="-3"/>
                <w:sz w:val="21"/>
                <w:szCs w:val="21"/>
                <w:u w:val="none" w:color="auto"/>
              </w:rPr>
              <w:t>l</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4"/>
                <w:sz w:val="21"/>
                <w:szCs w:val="21"/>
                <w:u w:val="none" w:color="auto"/>
              </w:rPr>
              <w:t>布袋除尘</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position w:val="1"/>
                <w:sz w:val="21"/>
                <w:szCs w:val="21"/>
                <w:u w:val="none" w:color="auto"/>
              </w:rPr>
              <w:t>器</w:t>
            </w:r>
            <w:r>
              <w:rPr>
                <w:rFonts w:hint="default" w:ascii="Times New Roman" w:hAnsi="Times New Roman" w:eastAsia="宋体" w:cs="Times New Roman"/>
                <w:color w:val="auto"/>
                <w:spacing w:val="16"/>
                <w:position w:val="1"/>
                <w:sz w:val="21"/>
                <w:szCs w:val="21"/>
                <w:u w:val="none" w:color="auto"/>
              </w:rPr>
              <w:t>+</w:t>
            </w:r>
            <w:r>
              <w:rPr>
                <w:rFonts w:hint="default" w:ascii="Times New Roman" w:hAnsi="Times New Roman" w:eastAsia="宋体" w:cs="Times New Roman"/>
                <w:color w:val="auto"/>
                <w:spacing w:val="14"/>
                <w:position w:val="1"/>
                <w:sz w:val="21"/>
                <w:szCs w:val="21"/>
                <w:u w:val="none" w:color="auto"/>
              </w:rPr>
              <w:t>碱液喷淋塔”</w:t>
            </w:r>
            <w:r>
              <w:rPr>
                <w:rFonts w:hint="default" w:ascii="Times New Roman" w:hAnsi="Times New Roman" w:eastAsia="宋体" w:cs="Times New Roman"/>
                <w:color w:val="auto"/>
                <w:spacing w:val="14"/>
                <w:position w:val="1"/>
                <w:sz w:val="21"/>
                <w:szCs w:val="21"/>
                <w:u w:val="none" w:color="auto"/>
                <w:lang w:val="en-US" w:eastAsia="zh-CN"/>
              </w:rPr>
              <w:t>+</w:t>
            </w:r>
            <w:r>
              <w:rPr>
                <w:rFonts w:hint="eastAsia" w:ascii="Times New Roman" w:hAnsi="Times New Roman" w:eastAsia="宋体" w:cs="Times New Roman"/>
                <w:color w:val="auto"/>
                <w:spacing w:val="14"/>
                <w:position w:val="1"/>
                <w:sz w:val="21"/>
                <w:szCs w:val="21"/>
                <w:u w:val="none" w:color="auto"/>
                <w:lang w:val="en-US" w:eastAsia="zh-CN"/>
              </w:rPr>
              <w:t>25</w:t>
            </w:r>
            <w:r>
              <w:rPr>
                <w:rFonts w:hint="default" w:ascii="Times New Roman" w:hAnsi="Times New Roman" w:eastAsia="宋体" w:cs="Times New Roman"/>
                <w:color w:val="auto"/>
                <w:spacing w:val="14"/>
                <w:position w:val="1"/>
                <w:sz w:val="21"/>
                <w:szCs w:val="21"/>
                <w:u w:val="none" w:color="auto"/>
                <w:lang w:val="en-US" w:eastAsia="zh-CN"/>
              </w:rPr>
              <w:t>m排气筒</w:t>
            </w:r>
            <w:r>
              <w:rPr>
                <w:rFonts w:hint="default" w:ascii="Times New Roman" w:hAnsi="Times New Roman" w:eastAsia="宋体" w:cs="Times New Roman"/>
                <w:color w:val="auto"/>
                <w:sz w:val="21"/>
                <w:szCs w:val="21"/>
                <w:u w:val="none" w:color="auto"/>
              </w:rPr>
              <w:t>DA</w:t>
            </w:r>
            <w:r>
              <w:rPr>
                <w:rFonts w:hint="default" w:ascii="Times New Roman" w:hAnsi="Times New Roman" w:eastAsia="宋体" w:cs="Times New Roman"/>
                <w:color w:val="auto"/>
                <w:spacing w:val="7"/>
                <w:sz w:val="21"/>
                <w:szCs w:val="21"/>
                <w:u w:val="none" w:color="auto"/>
              </w:rPr>
              <w:t>001</w:t>
            </w:r>
            <w:r>
              <w:rPr>
                <w:rFonts w:hint="default" w:ascii="Times New Roman" w:hAnsi="Times New Roman" w:eastAsia="宋体" w:cs="Times New Roman"/>
                <w:color w:val="auto"/>
                <w:spacing w:val="-4"/>
                <w:sz w:val="21"/>
                <w:szCs w:val="21"/>
                <w:u w:val="none" w:color="auto"/>
              </w:rPr>
              <w:t>排放</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position w:val="3"/>
                <w:sz w:val="21"/>
                <w:szCs w:val="21"/>
                <w:u w:val="none" w:color="auto"/>
              </w:rPr>
              <w:t>去</w:t>
            </w:r>
            <w:r>
              <w:rPr>
                <w:rFonts w:hint="default" w:ascii="Times New Roman" w:hAnsi="Times New Roman" w:eastAsia="宋体" w:cs="Times New Roman"/>
                <w:color w:val="auto"/>
                <w:spacing w:val="4"/>
                <w:position w:val="3"/>
                <w:sz w:val="21"/>
                <w:szCs w:val="21"/>
                <w:u w:val="none" w:color="auto"/>
              </w:rPr>
              <w:t>除</w:t>
            </w:r>
            <w:r>
              <w:rPr>
                <w:rFonts w:hint="default" w:ascii="Times New Roman" w:hAnsi="Times New Roman" w:eastAsia="宋体" w:cs="Times New Roman"/>
                <w:color w:val="auto"/>
                <w:spacing w:val="7"/>
                <w:sz w:val="21"/>
                <w:szCs w:val="21"/>
                <w:u w:val="none" w:color="auto"/>
              </w:rPr>
              <w:t>效率颗粒物</w:t>
            </w:r>
            <w:r>
              <w:rPr>
                <w:rFonts w:hint="default" w:ascii="Times New Roman" w:hAnsi="Times New Roman" w:eastAsia="宋体" w:cs="Times New Roman"/>
                <w:color w:val="auto"/>
                <w:spacing w:val="-1"/>
                <w:sz w:val="21"/>
                <w:szCs w:val="21"/>
                <w:u w:val="none" w:color="auto"/>
              </w:rPr>
              <w:t>≥</w:t>
            </w:r>
            <w:r>
              <w:rPr>
                <w:rFonts w:hint="default" w:ascii="Times New Roman" w:hAnsi="Times New Roman" w:eastAsia="宋体" w:cs="Times New Roman"/>
                <w:color w:val="auto"/>
                <w:sz w:val="21"/>
                <w:szCs w:val="21"/>
                <w:u w:val="none" w:color="auto"/>
              </w:rPr>
              <w:t>99%、</w:t>
            </w:r>
            <w:r>
              <w:rPr>
                <w:rFonts w:hint="default" w:ascii="Times New Roman" w:hAnsi="Times New Roman" w:eastAsia="宋体" w:cs="Times New Roman"/>
                <w:color w:val="auto"/>
                <w:position w:val="2"/>
                <w:sz w:val="21"/>
                <w:szCs w:val="21"/>
                <w:u w:val="none" w:color="auto"/>
              </w:rPr>
              <w:t>HCl</w:t>
            </w:r>
            <w:r>
              <w:rPr>
                <w:rFonts w:hint="default" w:ascii="Times New Roman" w:hAnsi="Times New Roman" w:eastAsia="宋体" w:cs="Times New Roman"/>
                <w:color w:val="auto"/>
                <w:spacing w:val="1"/>
                <w:position w:val="2"/>
                <w:sz w:val="21"/>
                <w:szCs w:val="21"/>
                <w:u w:val="none" w:color="auto"/>
              </w:rPr>
              <w:t>≥</w:t>
            </w:r>
            <w:r>
              <w:rPr>
                <w:rFonts w:hint="eastAsia" w:ascii="Times New Roman" w:hAnsi="Times New Roman" w:eastAsia="宋体" w:cs="Times New Roman"/>
                <w:color w:val="auto"/>
                <w:spacing w:val="1"/>
                <w:position w:val="2"/>
                <w:sz w:val="21"/>
                <w:szCs w:val="21"/>
                <w:u w:val="none" w:color="auto"/>
                <w:lang w:val="en-US" w:eastAsia="zh-CN"/>
              </w:rPr>
              <w:t>85</w:t>
            </w:r>
            <w:r>
              <w:rPr>
                <w:rFonts w:hint="default" w:ascii="Times New Roman" w:hAnsi="Times New Roman" w:eastAsia="宋体" w:cs="Times New Roman"/>
                <w:color w:val="auto"/>
                <w:spacing w:val="1"/>
                <w:position w:val="2"/>
                <w:sz w:val="21"/>
                <w:szCs w:val="21"/>
                <w:u w:val="none" w:color="auto"/>
              </w:rPr>
              <w:t>%</w:t>
            </w:r>
            <w:r>
              <w:rPr>
                <w:rFonts w:hint="default" w:ascii="Times New Roman" w:hAnsi="Times New Roman" w:eastAsia="宋体" w:cs="Times New Roman"/>
                <w:color w:val="auto"/>
                <w:position w:val="2"/>
                <w:sz w:val="21"/>
                <w:szCs w:val="21"/>
                <w:u w:val="none" w:color="auto"/>
              </w:rPr>
              <w:t>、</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4"/>
                <w:sz w:val="21"/>
                <w:szCs w:val="21"/>
                <w:u w:val="none" w:color="auto"/>
              </w:rPr>
              <w:t>颗粒物参照《湖南省工业炉窑大气污染综合治理实施方案》(湘环发〔2020〕6号)</w:t>
            </w:r>
            <w:r>
              <w:rPr>
                <w:rFonts w:hint="eastAsia" w:ascii="Times New Roman" w:hAnsi="Times New Roman" w:eastAsia="宋体" w:cs="Times New Roman"/>
                <w:color w:val="auto"/>
                <w:spacing w:val="-4"/>
                <w:sz w:val="21"/>
                <w:szCs w:val="21"/>
                <w:u w:val="none" w:color="auto"/>
                <w:lang w:eastAsia="zh-CN"/>
              </w:rPr>
              <w:t>；</w:t>
            </w:r>
            <w:r>
              <w:rPr>
                <w:rFonts w:hint="default" w:ascii="Times New Roman" w:hAnsi="Times New Roman" w:eastAsia="宋体" w:cs="Times New Roman"/>
                <w:color w:val="auto"/>
                <w:spacing w:val="-4"/>
                <w:sz w:val="21"/>
                <w:szCs w:val="21"/>
                <w:u w:val="none" w:color="auto"/>
              </w:rPr>
              <w:t>HC</w:t>
            </w:r>
            <w:r>
              <w:rPr>
                <w:rFonts w:hint="default" w:ascii="Times New Roman" w:hAnsi="Times New Roman" w:eastAsia="宋体" w:cs="Times New Roman"/>
                <w:color w:val="auto"/>
                <w:spacing w:val="-3"/>
                <w:sz w:val="21"/>
                <w:szCs w:val="21"/>
                <w:u w:val="none" w:color="auto"/>
              </w:rPr>
              <w:t>l</w:t>
            </w:r>
            <w:r>
              <w:rPr>
                <w:rFonts w:hint="eastAsia" w:ascii="Times New Roman" w:hAnsi="Times New Roman" w:eastAsia="宋体" w:cs="Times New Roman"/>
                <w:color w:val="auto"/>
                <w:spacing w:val="-3"/>
                <w:sz w:val="21"/>
                <w:szCs w:val="21"/>
                <w:u w:val="none" w:color="auto"/>
                <w:lang w:eastAsia="zh-CN"/>
              </w:rPr>
              <w:t>执行</w:t>
            </w: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4"/>
                <w:position w:val="5"/>
                <w:sz w:val="21"/>
                <w:szCs w:val="21"/>
                <w:u w:val="none" w:color="auto"/>
                <w:lang w:eastAsia="zh-CN"/>
              </w:rPr>
              <w:t>模具加热炉</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天</w:t>
            </w:r>
            <w:r>
              <w:rPr>
                <w:rFonts w:hint="default" w:ascii="Times New Roman" w:hAnsi="Times New Roman" w:eastAsia="宋体" w:cs="Times New Roman"/>
                <w:color w:val="auto"/>
                <w:spacing w:val="7"/>
                <w:sz w:val="21"/>
                <w:szCs w:val="21"/>
                <w:u w:val="none" w:color="auto"/>
              </w:rPr>
              <w:t>然气燃</w:t>
            </w:r>
            <w:r>
              <w:rPr>
                <w:rFonts w:hint="default" w:ascii="Times New Roman" w:hAnsi="Times New Roman" w:eastAsia="宋体" w:cs="Times New Roman"/>
                <w:color w:val="auto"/>
                <w:spacing w:val="6"/>
                <w:sz w:val="21"/>
                <w:szCs w:val="21"/>
                <w:u w:val="none" w:color="auto"/>
              </w:rPr>
              <w:t>烧</w:t>
            </w:r>
            <w:r>
              <w:rPr>
                <w:rFonts w:hint="default" w:ascii="Times New Roman" w:hAnsi="Times New Roman" w:eastAsia="宋体" w:cs="Times New Roman"/>
                <w:color w:val="auto"/>
                <w:spacing w:val="5"/>
                <w:sz w:val="21"/>
                <w:szCs w:val="21"/>
                <w:u w:val="none" w:color="auto"/>
              </w:rPr>
              <w:t>废气</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rPr>
              <w:t>颗粒物、</w:t>
            </w:r>
            <w:r>
              <w:rPr>
                <w:rFonts w:hint="default" w:ascii="Times New Roman" w:hAnsi="Times New Roman" w:eastAsia="宋体" w:cs="Times New Roman"/>
                <w:color w:val="auto"/>
                <w:spacing w:val="-11"/>
                <w:sz w:val="21"/>
                <w:szCs w:val="21"/>
                <w:u w:val="none" w:color="auto"/>
              </w:rPr>
              <w:t>SO</w:t>
            </w:r>
            <w:r>
              <w:rPr>
                <w:rFonts w:hint="default" w:ascii="Times New Roman" w:hAnsi="Times New Roman" w:eastAsia="宋体" w:cs="Times New Roman"/>
                <w:color w:val="auto"/>
                <w:spacing w:val="-15"/>
                <w:position w:val="-1"/>
                <w:sz w:val="21"/>
                <w:szCs w:val="21"/>
                <w:u w:val="none" w:color="auto"/>
                <w:vertAlign w:val="subscript"/>
              </w:rPr>
              <w:t>2</w:t>
            </w:r>
            <w:r>
              <w:rPr>
                <w:rFonts w:hint="default" w:ascii="Times New Roman" w:hAnsi="Times New Roman" w:eastAsia="宋体" w:cs="Times New Roman"/>
                <w:color w:val="auto"/>
                <w:spacing w:val="-11"/>
                <w:sz w:val="21"/>
                <w:szCs w:val="21"/>
                <w:u w:val="none" w:color="auto"/>
              </w:rPr>
              <w:t>、NOx、</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lang w:eastAsia="zh-CN"/>
              </w:rPr>
              <w:t>低氮燃烧器</w:t>
            </w:r>
            <w:r>
              <w:rPr>
                <w:rFonts w:hint="default" w:ascii="Times New Roman" w:hAnsi="Times New Roman" w:eastAsia="宋体"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0m排气筒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DA00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position w:val="3"/>
                <w:sz w:val="21"/>
                <w:szCs w:val="21"/>
                <w:u w:val="none" w:color="auto"/>
              </w:rPr>
              <w:t>去</w:t>
            </w:r>
            <w:r>
              <w:rPr>
                <w:rFonts w:hint="default" w:ascii="Times New Roman" w:hAnsi="Times New Roman" w:eastAsia="宋体" w:cs="Times New Roman"/>
                <w:color w:val="auto"/>
                <w:spacing w:val="4"/>
                <w:position w:val="3"/>
                <w:sz w:val="21"/>
                <w:szCs w:val="21"/>
                <w:u w:val="none" w:color="auto"/>
              </w:rPr>
              <w:t>除</w:t>
            </w:r>
            <w:r>
              <w:rPr>
                <w:rFonts w:hint="default" w:ascii="Times New Roman" w:hAnsi="Times New Roman" w:eastAsia="宋体" w:cs="Times New Roman"/>
                <w:color w:val="auto"/>
                <w:spacing w:val="7"/>
                <w:sz w:val="21"/>
                <w:szCs w:val="21"/>
                <w:u w:val="none" w:color="auto"/>
              </w:rPr>
              <w:t>效率</w:t>
            </w:r>
            <w:r>
              <w:rPr>
                <w:rFonts w:hint="default" w:ascii="Times New Roman" w:hAnsi="Times New Roman" w:eastAsia="宋体" w:cs="Times New Roman"/>
                <w:color w:val="auto"/>
                <w:spacing w:val="-11"/>
                <w:sz w:val="21"/>
                <w:szCs w:val="21"/>
                <w:u w:val="none" w:color="auto"/>
              </w:rPr>
              <w:t>NOx</w:t>
            </w:r>
            <w:r>
              <w:rPr>
                <w:rFonts w:hint="default" w:ascii="Times New Roman" w:hAnsi="Times New Roman" w:eastAsia="宋体" w:cs="Times New Roman"/>
                <w:color w:val="auto"/>
                <w:spacing w:val="-2"/>
                <w:position w:val="1"/>
                <w:sz w:val="21"/>
                <w:szCs w:val="21"/>
                <w:u w:val="none" w:color="auto"/>
              </w:rPr>
              <w:t>≥</w:t>
            </w:r>
            <w:r>
              <w:rPr>
                <w:rFonts w:hint="eastAsia" w:ascii="Times New Roman" w:hAnsi="Times New Roman" w:eastAsia="宋体" w:cs="Times New Roman"/>
                <w:color w:val="auto"/>
                <w:spacing w:val="-2"/>
                <w:position w:val="1"/>
                <w:sz w:val="21"/>
                <w:szCs w:val="21"/>
                <w:u w:val="none" w:color="auto"/>
                <w:lang w:val="en-US" w:eastAsia="zh-CN"/>
              </w:rPr>
              <w:t>50</w:t>
            </w:r>
            <w:r>
              <w:rPr>
                <w:rFonts w:hint="default" w:ascii="Times New Roman" w:hAnsi="Times New Roman" w:eastAsia="宋体" w:cs="Times New Roman"/>
                <w:color w:val="auto"/>
                <w:spacing w:val="-2"/>
                <w:position w:val="1"/>
                <w:sz w:val="21"/>
                <w:szCs w:val="21"/>
                <w:u w:val="none" w:color="auto"/>
              </w:rPr>
              <w:t>%</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《湖南省工业炉窑大气污染综合治理实施方案》(湘环发〔2020〕6号)</w:t>
            </w:r>
            <w:r>
              <w:rPr>
                <w:rFonts w:hint="eastAsia" w:ascii="Times New Roman" w:hAnsi="Times New Roman" w:eastAsia="宋体" w:cs="Times New Roman"/>
                <w:color w:val="auto"/>
                <w:spacing w:val="-4"/>
                <w:sz w:val="21"/>
                <w:szCs w:val="21"/>
                <w:u w:val="non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lang w:val="en-US" w:eastAsia="zh-CN"/>
              </w:rPr>
              <w:t>镁板轧机废气</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lang w:val="en-US" w:eastAsia="zh-CN"/>
              </w:rPr>
              <w:t>镁板轧机废气</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lang w:val="en-US" w:eastAsia="zh-CN"/>
              </w:rPr>
              <w:t>VOCs</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lang w:eastAsia="zh-CN"/>
              </w:rPr>
              <w:t>活性炭吸附</w:t>
            </w:r>
            <w:r>
              <w:rPr>
                <w:rFonts w:hint="default" w:ascii="Times New Roman" w:hAnsi="Times New Roman" w:eastAsia="宋体"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0m排气筒</w:t>
            </w:r>
            <w:r>
              <w:rPr>
                <w:rFonts w:hint="default" w:ascii="Times New Roman" w:hAnsi="Times New Roman" w:eastAsia="宋体" w:cs="Times New Roman"/>
                <w:color w:val="auto"/>
                <w:kern w:val="2"/>
                <w:sz w:val="21"/>
                <w:szCs w:val="21"/>
              </w:rPr>
              <w:t>（DA0</w:t>
            </w:r>
            <w:r>
              <w:rPr>
                <w:rFonts w:hint="default" w:ascii="Times New Roman" w:hAnsi="Times New Roman" w:eastAsia="宋体" w:cs="Times New Roman"/>
                <w:color w:val="auto"/>
                <w:kern w:val="2"/>
                <w:sz w:val="21"/>
                <w:szCs w:val="21"/>
                <w:lang w:val="en-US" w:eastAsia="zh-CN"/>
              </w:rPr>
              <w:t>03</w:t>
            </w:r>
            <w:r>
              <w:rPr>
                <w:rFonts w:hint="default" w:ascii="Times New Roman" w:hAnsi="Times New Roman" w:eastAsia="宋体" w:cs="Times New Roman"/>
                <w:color w:val="auto"/>
                <w:kern w:val="2"/>
                <w:sz w:val="21"/>
                <w:szCs w:val="21"/>
              </w:rPr>
              <w:t>）</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去除效率</w:t>
            </w:r>
            <w:r>
              <w:rPr>
                <w:rFonts w:hint="default" w:ascii="Times New Roman" w:hAnsi="Times New Roman" w:eastAsia="宋体" w:cs="Times New Roman"/>
                <w:color w:val="auto"/>
                <w:kern w:val="2"/>
                <w:sz w:val="21"/>
                <w:szCs w:val="21"/>
                <w:lang w:val="en-US" w:eastAsia="zh-CN"/>
              </w:rPr>
              <w:t>VOCs</w:t>
            </w:r>
            <w:r>
              <w:rPr>
                <w:rFonts w:hint="default" w:ascii="Times New Roman" w:hAnsi="Times New Roman" w:eastAsia="宋体" w:cs="Times New Roman"/>
                <w:color w:val="auto"/>
                <w:spacing w:val="-2"/>
                <w:position w:val="1"/>
                <w:sz w:val="21"/>
                <w:szCs w:val="21"/>
                <w:u w:val="none" w:color="auto"/>
              </w:rPr>
              <w:t>≥</w:t>
            </w:r>
            <w:r>
              <w:rPr>
                <w:rFonts w:hint="eastAsia" w:ascii="Times New Roman" w:hAnsi="Times New Roman" w:eastAsia="宋体" w:cs="Times New Roman"/>
                <w:color w:val="auto"/>
                <w:spacing w:val="-2"/>
                <w:position w:val="1"/>
                <w:sz w:val="21"/>
                <w:szCs w:val="21"/>
                <w:u w:val="none" w:color="auto"/>
                <w:lang w:val="en-US" w:eastAsia="zh-CN"/>
              </w:rPr>
              <w:t>18</w:t>
            </w:r>
            <w:r>
              <w:rPr>
                <w:rFonts w:hint="default" w:ascii="Times New Roman" w:hAnsi="Times New Roman" w:eastAsia="宋体" w:cs="Times New Roman"/>
                <w:color w:val="auto"/>
                <w:spacing w:val="-2"/>
                <w:position w:val="1"/>
                <w:sz w:val="21"/>
                <w:szCs w:val="21"/>
                <w:u w:val="none" w:color="auto"/>
              </w:rPr>
              <w:t>%</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喷涂</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kern w:val="2"/>
                <w:sz w:val="21"/>
                <w:szCs w:val="21"/>
                <w:lang w:eastAsia="zh-CN"/>
              </w:rPr>
              <w:t>等离子喷涂废气</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u w:val="none" w:color="auto"/>
              </w:rPr>
            </w:pPr>
            <w:r>
              <w:rPr>
                <w:rFonts w:hint="default" w:ascii="Times New Roman" w:hAnsi="Times New Roman" w:eastAsia="宋体" w:cs="Times New Roman"/>
                <w:color w:val="auto"/>
                <w:kern w:val="2"/>
                <w:sz w:val="21"/>
                <w:szCs w:val="21"/>
                <w:lang w:eastAsia="zh-CN"/>
              </w:rPr>
              <w:t>颗粒物</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kern w:val="2"/>
                <w:sz w:val="21"/>
                <w:szCs w:val="21"/>
                <w:lang w:eastAsia="zh-CN"/>
              </w:rPr>
              <w:t>布袋除尘器</w:t>
            </w:r>
            <w:r>
              <w:rPr>
                <w:rFonts w:hint="default" w:ascii="Times New Roman" w:hAnsi="Times New Roman" w:eastAsia="宋体"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0m排气筒</w:t>
            </w:r>
            <w:r>
              <w:rPr>
                <w:rFonts w:hint="default" w:ascii="Times New Roman" w:hAnsi="Times New Roman" w:eastAsia="宋体" w:cs="Times New Roman"/>
                <w:color w:val="auto"/>
                <w:kern w:val="2"/>
                <w:sz w:val="21"/>
                <w:szCs w:val="21"/>
              </w:rPr>
              <w:t>（DA0</w:t>
            </w:r>
            <w:r>
              <w:rPr>
                <w:rFonts w:hint="default" w:ascii="Times New Roman" w:hAnsi="Times New Roman" w:eastAsia="宋体" w:cs="Times New Roman"/>
                <w:color w:val="auto"/>
                <w:kern w:val="2"/>
                <w:sz w:val="21"/>
                <w:szCs w:val="21"/>
                <w:lang w:val="en-US" w:eastAsia="zh-CN"/>
              </w:rPr>
              <w:t>0</w:t>
            </w: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6"/>
                <w:position w:val="3"/>
                <w:sz w:val="21"/>
                <w:szCs w:val="21"/>
                <w:u w:val="none" w:color="auto"/>
              </w:rPr>
              <w:t>去</w:t>
            </w:r>
            <w:r>
              <w:rPr>
                <w:rFonts w:hint="default" w:ascii="Times New Roman" w:hAnsi="Times New Roman" w:eastAsia="宋体" w:cs="Times New Roman"/>
                <w:color w:val="auto"/>
                <w:spacing w:val="4"/>
                <w:position w:val="3"/>
                <w:sz w:val="21"/>
                <w:szCs w:val="21"/>
                <w:u w:val="none" w:color="auto"/>
              </w:rPr>
              <w:t>除</w:t>
            </w:r>
            <w:r>
              <w:rPr>
                <w:rFonts w:hint="default" w:ascii="Times New Roman" w:hAnsi="Times New Roman" w:eastAsia="宋体" w:cs="Times New Roman"/>
                <w:color w:val="auto"/>
                <w:spacing w:val="7"/>
                <w:sz w:val="21"/>
                <w:szCs w:val="21"/>
                <w:u w:val="none" w:color="auto"/>
              </w:rPr>
              <w:t>效率颗粒物</w:t>
            </w:r>
            <w:r>
              <w:rPr>
                <w:rFonts w:hint="default" w:ascii="Times New Roman" w:hAnsi="Times New Roman" w:eastAsia="宋体" w:cs="Times New Roman"/>
                <w:color w:val="auto"/>
                <w:spacing w:val="-1"/>
                <w:sz w:val="21"/>
                <w:szCs w:val="21"/>
                <w:u w:val="none" w:color="auto"/>
              </w:rPr>
              <w:t>≥</w:t>
            </w:r>
            <w:r>
              <w:rPr>
                <w:rFonts w:hint="default" w:ascii="Times New Roman" w:hAnsi="Times New Roman" w:eastAsia="宋体" w:cs="Times New Roman"/>
                <w:color w:val="auto"/>
                <w:sz w:val="21"/>
                <w:szCs w:val="21"/>
                <w:u w:val="none" w:color="auto"/>
              </w:rPr>
              <w:t>9</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kern w:val="2"/>
                <w:sz w:val="21"/>
                <w:szCs w:val="21"/>
                <w:lang w:eastAsia="zh-CN"/>
              </w:rPr>
              <w:t>喷漆和烘干</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喷漆和烘干</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颗粒物、</w:t>
            </w:r>
            <w:r>
              <w:rPr>
                <w:rFonts w:hint="default" w:ascii="Times New Roman" w:hAnsi="Times New Roman" w:eastAsia="宋体" w:cs="Times New Roman"/>
                <w:color w:val="auto"/>
                <w:kern w:val="2"/>
                <w:sz w:val="21"/>
                <w:szCs w:val="21"/>
                <w:lang w:val="en-US" w:eastAsia="zh-CN"/>
              </w:rPr>
              <w:t>VOCs</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u w:val="none" w:color="auto"/>
                <w:lang w:val="en-US" w:eastAsia="zh-CN"/>
              </w:rPr>
              <w:t>水帘+干式过滤+活性炭吸附+</w:t>
            </w:r>
            <w:r>
              <w:rPr>
                <w:rFonts w:hint="eastAsia" w:ascii="Times New Roman" w:hAnsi="Times New Roman" w:eastAsia="宋体" w:cs="Times New Roman"/>
                <w:color w:val="auto"/>
                <w:kern w:val="2"/>
                <w:sz w:val="21"/>
                <w:szCs w:val="21"/>
                <w:lang w:val="en-US" w:eastAsia="zh-CN"/>
              </w:rPr>
              <w:t>20</w:t>
            </w:r>
            <w:r>
              <w:rPr>
                <w:rFonts w:hint="default" w:ascii="Times New Roman" w:hAnsi="Times New Roman" w:eastAsia="宋体" w:cs="Times New Roman"/>
                <w:color w:val="auto"/>
                <w:kern w:val="2"/>
                <w:sz w:val="21"/>
                <w:szCs w:val="21"/>
                <w:lang w:val="en-US" w:eastAsia="zh-CN"/>
              </w:rPr>
              <w:t>m排气筒</w:t>
            </w:r>
            <w:r>
              <w:rPr>
                <w:rFonts w:hint="default" w:ascii="Times New Roman" w:hAnsi="Times New Roman" w:eastAsia="宋体" w:cs="Times New Roman"/>
                <w:color w:val="auto"/>
                <w:kern w:val="2"/>
                <w:sz w:val="21"/>
                <w:szCs w:val="21"/>
              </w:rPr>
              <w:t>（DA</w:t>
            </w:r>
            <w:r>
              <w:rPr>
                <w:rFonts w:hint="default" w:ascii="Times New Roman" w:hAnsi="Times New Roman" w:eastAsia="宋体" w:cs="Times New Roman"/>
                <w:color w:val="auto"/>
                <w:kern w:val="2"/>
                <w:sz w:val="21"/>
                <w:szCs w:val="21"/>
                <w:lang w:val="en-US" w:eastAsia="zh-CN"/>
              </w:rPr>
              <w:t>00</w:t>
            </w: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eastAsia="宋体" w:cs="Times New Roman"/>
                <w:color w:val="auto"/>
                <w:spacing w:val="6"/>
                <w:position w:val="3"/>
                <w:sz w:val="21"/>
                <w:szCs w:val="21"/>
                <w:u w:val="none" w:color="auto"/>
              </w:rPr>
              <w:t>去</w:t>
            </w:r>
            <w:r>
              <w:rPr>
                <w:rFonts w:hint="default" w:ascii="Times New Roman" w:hAnsi="Times New Roman" w:eastAsia="宋体" w:cs="Times New Roman"/>
                <w:color w:val="auto"/>
                <w:spacing w:val="4"/>
                <w:position w:val="3"/>
                <w:sz w:val="21"/>
                <w:szCs w:val="21"/>
                <w:u w:val="none" w:color="auto"/>
              </w:rPr>
              <w:t>除</w:t>
            </w:r>
            <w:r>
              <w:rPr>
                <w:rFonts w:hint="default" w:ascii="Times New Roman" w:hAnsi="Times New Roman" w:eastAsia="宋体" w:cs="Times New Roman"/>
                <w:color w:val="auto"/>
                <w:spacing w:val="7"/>
                <w:sz w:val="21"/>
                <w:szCs w:val="21"/>
                <w:u w:val="none" w:color="auto"/>
              </w:rPr>
              <w:t>效率颗粒物</w:t>
            </w:r>
            <w:r>
              <w:rPr>
                <w:rFonts w:hint="default" w:ascii="Times New Roman" w:hAnsi="Times New Roman" w:eastAsia="宋体" w:cs="Times New Roman"/>
                <w:color w:val="auto"/>
                <w:spacing w:val="-1"/>
                <w:sz w:val="21"/>
                <w:szCs w:val="21"/>
                <w:u w:val="none" w:color="auto"/>
              </w:rPr>
              <w:t>≥</w:t>
            </w:r>
            <w:r>
              <w:rPr>
                <w:rFonts w:hint="default" w:ascii="Times New Roman" w:hAnsi="Times New Roman" w:eastAsia="宋体" w:cs="Times New Roman"/>
                <w:color w:val="auto"/>
                <w:sz w:val="21"/>
                <w:szCs w:val="21"/>
                <w:u w:val="none" w:color="auto"/>
              </w:rPr>
              <w:t>9</w:t>
            </w:r>
            <w:r>
              <w:rPr>
                <w:rFonts w:hint="eastAsia" w:ascii="Times New Roman" w:hAnsi="Times New Roman" w:eastAsia="宋体" w:cs="Times New Roman"/>
                <w:color w:val="auto"/>
                <w:sz w:val="21"/>
                <w:szCs w:val="21"/>
                <w:u w:val="none" w:color="auto"/>
                <w:lang w:val="en-US" w:eastAsia="zh-CN"/>
              </w:rPr>
              <w:t>8</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kern w:val="2"/>
                <w:sz w:val="21"/>
                <w:szCs w:val="21"/>
                <w:lang w:val="en-US" w:eastAsia="zh-CN"/>
              </w:rPr>
              <w:t>VOCs</w:t>
            </w:r>
            <w:r>
              <w:rPr>
                <w:rFonts w:hint="default" w:ascii="Times New Roman" w:hAnsi="Times New Roman" w:eastAsia="宋体" w:cs="Times New Roman"/>
                <w:color w:val="auto"/>
                <w:spacing w:val="-2"/>
                <w:position w:val="1"/>
                <w:sz w:val="21"/>
                <w:szCs w:val="21"/>
                <w:u w:val="none" w:color="auto"/>
              </w:rPr>
              <w:t>≥</w:t>
            </w:r>
            <w:r>
              <w:rPr>
                <w:rFonts w:hint="eastAsia" w:ascii="Times New Roman" w:hAnsi="Times New Roman" w:eastAsia="宋体" w:cs="Times New Roman"/>
                <w:color w:val="auto"/>
                <w:spacing w:val="-2"/>
                <w:position w:val="1"/>
                <w:sz w:val="21"/>
                <w:szCs w:val="21"/>
                <w:u w:val="none" w:color="auto"/>
                <w:lang w:val="en-US" w:eastAsia="zh-CN"/>
              </w:rPr>
              <w:t>18</w:t>
            </w:r>
            <w:r>
              <w:rPr>
                <w:rFonts w:hint="default" w:ascii="Times New Roman" w:hAnsi="Times New Roman" w:eastAsia="宋体" w:cs="Times New Roman"/>
                <w:color w:val="auto"/>
                <w:spacing w:val="-2"/>
                <w:position w:val="1"/>
                <w:sz w:val="21"/>
                <w:szCs w:val="21"/>
                <w:u w:val="none" w:color="auto"/>
              </w:rPr>
              <w:t>%</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u w:val="none" w:color="auto"/>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position w:val="5"/>
                <w:sz w:val="21"/>
                <w:szCs w:val="21"/>
                <w:u w:val="none" w:color="auto"/>
              </w:rPr>
              <w:t>无</w:t>
            </w:r>
            <w:r>
              <w:rPr>
                <w:rFonts w:hint="default" w:ascii="Times New Roman" w:hAnsi="Times New Roman" w:eastAsia="宋体" w:cs="Times New Roman"/>
                <w:color w:val="auto"/>
                <w:spacing w:val="3"/>
                <w:position w:val="5"/>
                <w:sz w:val="21"/>
                <w:szCs w:val="21"/>
                <w:u w:val="none" w:color="auto"/>
              </w:rPr>
              <w:t>组</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织</w:t>
            </w:r>
          </w:p>
        </w:tc>
        <w:tc>
          <w:tcPr>
            <w:tcW w:w="110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车</w:t>
            </w:r>
            <w:r>
              <w:rPr>
                <w:rFonts w:hint="default" w:ascii="Times New Roman" w:hAnsi="Times New Roman" w:eastAsia="宋体" w:cs="Times New Roman"/>
                <w:color w:val="auto"/>
                <w:spacing w:val="5"/>
                <w:sz w:val="21"/>
                <w:szCs w:val="21"/>
                <w:u w:val="none" w:color="auto"/>
              </w:rPr>
              <w:t>间(集</w:t>
            </w:r>
            <w:r>
              <w:rPr>
                <w:rFonts w:hint="default" w:ascii="Times New Roman" w:hAnsi="Times New Roman" w:eastAsia="宋体" w:cs="Times New Roman"/>
                <w:color w:val="auto"/>
                <w:spacing w:val="7"/>
                <w:sz w:val="21"/>
                <w:szCs w:val="21"/>
                <w:u w:val="none" w:color="auto"/>
              </w:rPr>
              <w:t>气罩未收</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position w:val="5"/>
                <w:sz w:val="21"/>
                <w:szCs w:val="21"/>
                <w:u w:val="none" w:color="auto"/>
              </w:rPr>
              <w:t>集的</w:t>
            </w:r>
            <w:r>
              <w:rPr>
                <w:rFonts w:hint="default" w:ascii="Times New Roman" w:hAnsi="Times New Roman" w:eastAsia="宋体" w:cs="Times New Roman"/>
                <w:color w:val="auto"/>
                <w:spacing w:val="6"/>
                <w:position w:val="5"/>
                <w:sz w:val="21"/>
                <w:szCs w:val="21"/>
                <w:u w:val="none" w:color="auto"/>
              </w:rPr>
              <w:t>废</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气)</w:t>
            </w:r>
          </w:p>
        </w:tc>
        <w:tc>
          <w:tcPr>
            <w:tcW w:w="117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颗</w:t>
            </w:r>
            <w:r>
              <w:rPr>
                <w:rFonts w:hint="default" w:ascii="Times New Roman" w:hAnsi="Times New Roman" w:eastAsia="宋体" w:cs="Times New Roman"/>
                <w:color w:val="auto"/>
                <w:spacing w:val="5"/>
                <w:sz w:val="21"/>
                <w:szCs w:val="21"/>
                <w:u w:val="none" w:color="auto"/>
              </w:rPr>
              <w:t>粒物</w:t>
            </w:r>
            <w:r>
              <w:rPr>
                <w:rFonts w:hint="default" w:ascii="Times New Roman" w:hAnsi="Times New Roman" w:eastAsia="宋体" w:cs="Times New Roman"/>
                <w:color w:val="auto"/>
                <w:spacing w:val="22"/>
                <w:sz w:val="21"/>
                <w:szCs w:val="21"/>
                <w:u w:val="none" w:color="auto"/>
              </w:rPr>
              <w:t>、</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氟</w:t>
            </w:r>
            <w:r>
              <w:rPr>
                <w:rFonts w:hint="default" w:ascii="Times New Roman" w:hAnsi="Times New Roman" w:eastAsia="宋体" w:cs="Times New Roman"/>
                <w:color w:val="auto"/>
                <w:spacing w:val="10"/>
                <w:sz w:val="21"/>
                <w:szCs w:val="21"/>
                <w:u w:val="none" w:color="auto"/>
              </w:rPr>
              <w:t>化物、</w:t>
            </w:r>
            <w:r>
              <w:rPr>
                <w:rFonts w:hint="eastAsia" w:ascii="Times New Roman" w:hAnsi="Times New Roman" w:eastAsia="宋体" w:cs="Times New Roman"/>
                <w:color w:val="auto"/>
                <w:spacing w:val="10"/>
                <w:sz w:val="21"/>
                <w:szCs w:val="21"/>
                <w:u w:val="none" w:color="auto"/>
                <w:lang w:val="en-US" w:eastAsia="zh-CN"/>
              </w:rPr>
              <w:t>H</w:t>
            </w:r>
            <w:r>
              <w:rPr>
                <w:rFonts w:hint="default" w:ascii="Times New Roman" w:hAnsi="Times New Roman" w:eastAsia="宋体" w:cs="Times New Roman"/>
                <w:color w:val="auto"/>
                <w:spacing w:val="-4"/>
                <w:sz w:val="21"/>
                <w:szCs w:val="21"/>
                <w:u w:val="none" w:color="auto"/>
              </w:rPr>
              <w:t>C</w:t>
            </w:r>
            <w:r>
              <w:rPr>
                <w:rFonts w:hint="default" w:ascii="Times New Roman" w:hAnsi="Times New Roman" w:eastAsia="宋体" w:cs="Times New Roman"/>
                <w:color w:val="auto"/>
                <w:spacing w:val="-3"/>
                <w:sz w:val="21"/>
                <w:szCs w:val="21"/>
                <w:u w:val="none" w:color="auto"/>
              </w:rPr>
              <w:t>l</w:t>
            </w:r>
            <w:r>
              <w:rPr>
                <w:rFonts w:hint="default" w:ascii="Times New Roman" w:hAnsi="Times New Roman" w:eastAsia="宋体" w:cs="Times New Roman"/>
                <w:color w:val="auto"/>
                <w:spacing w:val="-4"/>
                <w:sz w:val="21"/>
                <w:szCs w:val="21"/>
                <w:u w:val="none" w:color="auto"/>
              </w:rPr>
              <w:t>、</w:t>
            </w:r>
            <w:r>
              <w:rPr>
                <w:rFonts w:hint="default" w:ascii="Times New Roman" w:hAnsi="Times New Roman" w:eastAsia="宋体" w:cs="Times New Roman"/>
                <w:color w:val="auto"/>
                <w:kern w:val="2"/>
                <w:sz w:val="21"/>
                <w:szCs w:val="21"/>
                <w:lang w:val="en-US" w:eastAsia="zh-CN"/>
              </w:rPr>
              <w:t>VOCs</w:t>
            </w:r>
          </w:p>
        </w:tc>
        <w:tc>
          <w:tcPr>
            <w:tcW w:w="1591"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rPr>
              <w:t>自</w:t>
            </w:r>
            <w:r>
              <w:rPr>
                <w:rFonts w:hint="default" w:ascii="Times New Roman" w:hAnsi="Times New Roman" w:eastAsia="宋体" w:cs="Times New Roman"/>
                <w:color w:val="auto"/>
                <w:spacing w:val="-9"/>
                <w:sz w:val="21"/>
                <w:szCs w:val="21"/>
                <w:u w:val="none" w:color="auto"/>
              </w:rPr>
              <w:t>然降尘、厂房</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阻</w:t>
            </w:r>
            <w:r>
              <w:rPr>
                <w:rFonts w:hint="default" w:ascii="Times New Roman" w:hAnsi="Times New Roman" w:eastAsia="宋体" w:cs="Times New Roman"/>
                <w:color w:val="auto"/>
                <w:spacing w:val="-6"/>
                <w:sz w:val="21"/>
                <w:szCs w:val="21"/>
                <w:u w:val="none" w:color="auto"/>
              </w:rPr>
              <w:t>隔、车间强制</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通</w:t>
            </w:r>
            <w:r>
              <w:rPr>
                <w:rFonts w:hint="default" w:ascii="Times New Roman" w:hAnsi="Times New Roman" w:eastAsia="宋体" w:cs="Times New Roman"/>
                <w:color w:val="auto"/>
                <w:spacing w:val="4"/>
                <w:sz w:val="21"/>
                <w:szCs w:val="21"/>
                <w:u w:val="none" w:color="auto"/>
              </w:rPr>
              <w:t>风</w:t>
            </w:r>
          </w:p>
        </w:tc>
        <w:tc>
          <w:tcPr>
            <w:tcW w:w="153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2"/>
                <w:position w:val="2"/>
                <w:sz w:val="21"/>
                <w:szCs w:val="21"/>
                <w:u w:val="none" w:color="auto"/>
              </w:rPr>
              <w:t>/</w:t>
            </w:r>
          </w:p>
        </w:tc>
        <w:tc>
          <w:tcPr>
            <w:tcW w:w="236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bl>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1</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颗粒物控制措施</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目前袋式除尘器根据清灰方式主要分为机械振打、回转式逆气流反吹与脉冲喷吹三种方式，本项目使用脉冲式喷吹布袋除尘器。</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脉冲式布袋除尘器的基本工作原理是:含尘气体进入挂有一定数量滤袋的袋室后，被滤袋纤维过滤。随着阻留的粉尘不断增加，一部分粉尘嵌入滤料内部；一部分覆盖在滤袋表面形成一层粉尘层与滤料时产生的筛分、惯性、粘附、扩散与静电等作用，使粉尘得到捕集。当粉尘层加厚，压力损失达到一定程度时，需要进行清灰。清灰后压力降低，但仍有一部分粉尘残留在滤袋内，在下一个过滤周期开始时，起良好的捕尘作用。布袋除尘器清灰原理：随着过滤时间的延长，滤袋上的粉尘层不断积厚，除尘设备的阻力不断上升，当设备阻力上升到设定值时，清灰装置开始进行清灰。首先，一个分室提升阀关闭，将过滤气流截断，然后电磁脉冲阀开启，压缩空气以极短促的时间在上箱体内迅速膨胀，涌入滤袋，使滤袋膨胀变形产生振动，并在逆向气流冲刷的作用下，附着在滤袋外表面上的粉尘被剥离落入灰斗中。清灰完毕后，电磁脉冲阀关闭，提升阀打开，该室又恢复过滤状态。清灰各室依次进行，从第一室清灰开始至下一次清灰开始为一个清灰周期。</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袋式除尘器的主要特点是：①除尘效率高，一般在99%以上，对亚微米粒径的细尘也具有较高净化效率，设计、制造、安装运行得当，特别是维护管理适当，其除尘效率可超过99.9%(引自《电炉炼钢除尘》，冶金工业出版社)；②处理风量范围广，小的仅每分钟数立方米，大的可达每分钟数万立方米；③结构比较简单，维护操作方便；④在同样高的除尘效率下，造价低于电除尘器；⑤对粉尘的特征不敏感，不受粉尘比电阻的影响。滤袋质量直接影响着除尘器的除尘效率，滤袋的寿命又直接影响到除尘器的运行费用。近年来，袋式除尘技术有了长足的进步，主机、滤料、自动控制和应用技术水平都有很大提高使得袋式除尘器对于烟气的高温、高湿、高浓度、微细粉尘、吸湿性粉尘、易燃易爆粉尘等不利工况条件有了更强的适应性，并在加强清灰、提高效率、降低消耗、减少故障、方便维修方面达到了一个新的高度。</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2</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酸性气体控制措施(氯化氢、氟化物)</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为确保对烟气的稳定除尘效果，降低粉尘排放浓度，减小粉尘爆炸风险，同时对酸性气体(HCl、氟化物等)进行一定程度的减排，本项目在活性炭吸附后设置碱液喷淋塔。</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碱液喷淋塔采用5%~10%的氢氧化钠溶液作为吸收液，吸收液通过水泵打入净化塔顶部，经由布水器和填料层回落至塔底溶液箱，如此反复循环使用。混合烟气经活性炭吸附后引入喷淋塔进风段，气体经均风板向上流动经过填料层，与每层喷嘴喷出的中和液接触反映，气液进行充分中和吸收后由塔顶烟囱排入大气。本项目碱液喷淋塔内设置中心柱，并配置上下2层旋流板塔层，使烟气从主塔底部切向进入后呈螺旋上升，加大烟气与水雾接触的时间与距离；塔内设置2层喷淋系统，采用1寸大口径碳化硅空心锥雾化喷嘴，每层采用耐腐耐磨卧式水泵单独供水，使去除效果达到最佳；主塔上部设置不锈钢Z型高效阻水除雾器时，水汽被阻止，净气被排出。通常碱喷淋系统对HCl、HF等酸性气体的去除率可达到90%以上，对含尘气体的去除率可达到80%以上。</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3</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氮氧化物控制措施</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本项目模具加热炉使用天然气为燃料，使用低氮燃烧技术。</w:t>
      </w:r>
      <w:r>
        <w:rPr>
          <w:rFonts w:hint="default" w:ascii="Times New Roman" w:hAnsi="Times New Roman" w:eastAsia="宋体" w:cs="Times New Roman"/>
          <w:color w:val="auto"/>
          <w:sz w:val="24"/>
          <w:highlight w:val="none"/>
          <w:u w:val="none" w:color="auto"/>
        </w:rPr>
        <w:t>根据《排污许可证申请与核发技术规范</w:t>
      </w:r>
      <w:r>
        <w:rPr>
          <w:rFonts w:hint="eastAsia" w:ascii="Times New Roman" w:hAnsi="Times New Roman" w:eastAsia="宋体" w:cs="Times New Roman"/>
          <w:color w:val="auto"/>
          <w:sz w:val="24"/>
          <w:highlight w:val="none"/>
          <w:u w:val="none" w:color="auto"/>
          <w:lang w:val="en-US" w:eastAsia="zh-CN"/>
        </w:rPr>
        <w:t>-金属铸造工业</w:t>
      </w:r>
      <w:r>
        <w:rPr>
          <w:rFonts w:hint="default" w:ascii="Times New Roman" w:hAnsi="Times New Roman" w:eastAsia="宋体" w:cs="Times New Roman"/>
          <w:color w:val="auto"/>
          <w:sz w:val="24"/>
          <w:highlight w:val="none"/>
          <w:u w:val="none" w:color="auto"/>
        </w:rPr>
        <w:t>》(HJ</w:t>
      </w:r>
      <w:r>
        <w:rPr>
          <w:rFonts w:hint="eastAsia" w:ascii="Times New Roman" w:hAnsi="Times New Roman" w:eastAsia="宋体" w:cs="Times New Roman"/>
          <w:color w:val="auto"/>
          <w:sz w:val="24"/>
          <w:highlight w:val="none"/>
          <w:u w:val="none" w:color="auto"/>
          <w:lang w:val="en-US" w:eastAsia="zh-CN"/>
        </w:rPr>
        <w:t>1115-2020</w:t>
      </w:r>
      <w:r>
        <w:rPr>
          <w:rFonts w:hint="default" w:ascii="Times New Roman" w:hAnsi="Times New Roman" w:eastAsia="宋体" w:cs="Times New Roman"/>
          <w:color w:val="auto"/>
          <w:sz w:val="24"/>
          <w:highlight w:val="none"/>
          <w:u w:val="none" w:color="auto"/>
        </w:rPr>
        <w:t>)表A.1废气防治可行技术参考表：产生的氮氧化物，</w:t>
      </w:r>
      <w:r>
        <w:rPr>
          <w:rFonts w:hint="eastAsia" w:ascii="Times New Roman" w:hAnsi="Times New Roman" w:eastAsia="宋体" w:cs="Times New Roman"/>
          <w:color w:val="auto"/>
          <w:sz w:val="24"/>
          <w:highlight w:val="none"/>
          <w:u w:val="none" w:color="auto"/>
          <w:lang w:eastAsia="zh-CN"/>
        </w:rPr>
        <w:t>可采用低氮燃烧法</w:t>
      </w:r>
      <w:r>
        <w:rPr>
          <w:rFonts w:hint="default" w:ascii="Times New Roman" w:hAnsi="Times New Roman" w:eastAsia="宋体" w:cs="Times New Roman"/>
          <w:color w:val="auto"/>
          <w:sz w:val="24"/>
          <w:highlight w:val="none"/>
          <w:u w:val="none" w:color="auto"/>
        </w:rPr>
        <w:t>。本项目选用</w:t>
      </w:r>
      <w:r>
        <w:rPr>
          <w:rFonts w:hint="eastAsia" w:ascii="Times New Roman" w:hAnsi="Times New Roman" w:eastAsia="宋体" w:cs="Times New Roman"/>
          <w:color w:val="auto"/>
          <w:sz w:val="24"/>
          <w:highlight w:val="none"/>
          <w:u w:val="none" w:color="auto"/>
          <w:lang w:eastAsia="zh-CN"/>
        </w:rPr>
        <w:t>低氮燃烧法</w:t>
      </w:r>
      <w:r>
        <w:rPr>
          <w:rFonts w:hint="default" w:ascii="Times New Roman" w:hAnsi="Times New Roman" w:eastAsia="宋体" w:cs="Times New Roman"/>
          <w:color w:val="auto"/>
          <w:sz w:val="24"/>
          <w:highlight w:val="none"/>
          <w:u w:val="none" w:color="auto"/>
        </w:rPr>
        <w:t>措施可行的。</w:t>
      </w:r>
    </w:p>
    <w:p>
      <w:pPr>
        <w:pageBreakBefore w:val="0"/>
        <w:kinsoku/>
        <w:wordWrap/>
        <w:overflowPunct w:val="0"/>
        <w:topLinePunct/>
        <w:autoSpaceDE w:val="0"/>
        <w:autoSpaceDN w:val="0"/>
        <w:bidi w:val="0"/>
        <w:spacing w:line="360" w:lineRule="auto"/>
        <w:ind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（4）VOCs控制措施</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本项目使用水性油漆，年使用量较小，VOCs产排量较小，产生浓度较低，采用活性炭吸附处理后能够达标排放，</w:t>
      </w:r>
      <w:r>
        <w:rPr>
          <w:rFonts w:hint="default" w:ascii="Times New Roman" w:hAnsi="Times New Roman" w:eastAsia="宋体" w:cs="Times New Roman"/>
          <w:color w:val="auto"/>
          <w:sz w:val="24"/>
          <w:highlight w:val="none"/>
          <w:u w:val="none" w:color="auto"/>
        </w:rPr>
        <w:t>根据《排污许可证申请与核发技术规范</w:t>
      </w:r>
      <w:r>
        <w:rPr>
          <w:rFonts w:hint="eastAsia" w:ascii="Times New Roman" w:hAnsi="Times New Roman" w:eastAsia="宋体" w:cs="Times New Roman"/>
          <w:color w:val="auto"/>
          <w:sz w:val="24"/>
          <w:highlight w:val="none"/>
          <w:u w:val="none" w:color="auto"/>
          <w:lang w:val="en-US" w:eastAsia="zh-CN"/>
        </w:rPr>
        <w:t>-金属铸造工业</w:t>
      </w:r>
      <w:r>
        <w:rPr>
          <w:rFonts w:hint="default" w:ascii="Times New Roman" w:hAnsi="Times New Roman" w:eastAsia="宋体" w:cs="Times New Roman"/>
          <w:color w:val="auto"/>
          <w:sz w:val="24"/>
          <w:highlight w:val="none"/>
          <w:u w:val="none" w:color="auto"/>
        </w:rPr>
        <w:t>》(HJ</w:t>
      </w:r>
      <w:r>
        <w:rPr>
          <w:rFonts w:hint="eastAsia" w:ascii="Times New Roman" w:hAnsi="Times New Roman" w:eastAsia="宋体" w:cs="Times New Roman"/>
          <w:color w:val="auto"/>
          <w:sz w:val="24"/>
          <w:highlight w:val="none"/>
          <w:u w:val="none" w:color="auto"/>
          <w:lang w:val="en-US" w:eastAsia="zh-CN"/>
        </w:rPr>
        <w:t>1115-2020</w:t>
      </w:r>
      <w:r>
        <w:rPr>
          <w:rFonts w:hint="default" w:ascii="Times New Roman" w:hAnsi="Times New Roman" w:eastAsia="宋体" w:cs="Times New Roman"/>
          <w:color w:val="auto"/>
          <w:sz w:val="24"/>
          <w:highlight w:val="none"/>
          <w:u w:val="none" w:color="auto"/>
        </w:rPr>
        <w:t>)表A.1废气防治可行技术参考表：</w:t>
      </w:r>
      <w:r>
        <w:rPr>
          <w:rFonts w:hint="eastAsia" w:ascii="Times New Roman" w:hAnsi="Times New Roman" w:eastAsia="宋体" w:cs="Times New Roman"/>
          <w:color w:val="auto"/>
          <w:sz w:val="24"/>
          <w:highlight w:val="none"/>
          <w:u w:val="none" w:color="auto"/>
          <w:lang w:eastAsia="zh-CN"/>
        </w:rPr>
        <w:t>针对有机废气可</w:t>
      </w:r>
      <w:r>
        <w:rPr>
          <w:rFonts w:hint="eastAsia" w:ascii="Times New Roman" w:hAnsi="Times New Roman" w:eastAsia="宋体" w:cs="Times New Roman"/>
          <w:color w:val="auto"/>
          <w:sz w:val="24"/>
          <w:highlight w:val="none"/>
          <w:u w:val="none" w:color="auto"/>
          <w:lang w:val="en-US" w:eastAsia="zh-CN"/>
        </w:rPr>
        <w:t>在喷涂车间排气口设置催化燃烧或碳吸附等措施，本项目采用活性炭吸附处理有机废气，属于可行技术。</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5</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无组织排放的防治措施</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建设单位通过以下措施加强以上无组织废气控制：</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①尽量保持废气产生车间和操作间(室)的密闭，合理设计送排风系统，提高废气捕集率，尽量将废气收集集中处理；</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②加强车间整体通风换气，屋顶设置气窗或无动力风帽，四周墙壁高位设置壁式轴流风机，使车间内的无组织废气高处排放。</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③加强运行管理和环境管理，提高工人操作水平，通过宣传增强职工环保意识，积极推行清洁生产，节能降耗，多种措施并举，减少污染物排放。</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④加强厂区绿化，设置绿化隔离带和一定的卫生防护距离，以减少无组织排放的气体对周围环境的影响。</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无组织废气经上述治理措施后可使无组织监控浓度达到相应排放标准的要求，并通过影响预测厂界可达标。因此，无组织治理措施可行。</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综上所述，本项目废气处理处置措施合理，废气排放均能达到相关标准要求。</w:t>
      </w:r>
    </w:p>
    <w:p>
      <w:pPr>
        <w:pStyle w:val="7"/>
        <w:bidi w:val="0"/>
        <w:rPr>
          <w:rFonts w:hint="default" w:ascii="Times New Roman" w:hAnsi="Times New Roman" w:eastAsia="宋体" w:cs="Times New Roman"/>
          <w:b/>
          <w:bCs/>
          <w:color w:val="auto"/>
          <w:highlight w:val="none"/>
          <w:u w:val="none" w:color="auto"/>
        </w:rPr>
      </w:pPr>
      <w:bookmarkStart w:id="276" w:name="_bookmark111"/>
      <w:bookmarkEnd w:id="276"/>
      <w:bookmarkStart w:id="277" w:name="_Toc23900"/>
      <w:r>
        <w:rPr>
          <w:rFonts w:hint="default"/>
          <w:color w:val="auto"/>
        </w:rPr>
        <w:t>6.2.2废水防治措施及其可行性分析</w:t>
      </w:r>
      <w:bookmarkEnd w:id="277"/>
    </w:p>
    <w:p>
      <w:pPr>
        <w:pageBreakBefore w:val="0"/>
        <w:kinsoku/>
        <w:wordWrap/>
        <w:overflowPunct w:val="0"/>
        <w:topLinePunct/>
        <w:autoSpaceDE w:val="0"/>
        <w:autoSpaceDN w:val="0"/>
        <w:bidi w:val="0"/>
        <w:spacing w:line="360" w:lineRule="auto"/>
        <w:ind w:firstLine="482" w:firstLineChars="200"/>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污水产生排放情况</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①生活污水</w:t>
      </w:r>
    </w:p>
    <w:p>
      <w:pPr>
        <w:keepNext w:val="0"/>
        <w:keepLines w:val="0"/>
        <w:pageBreakBefore w:val="0"/>
        <w:widowControl w:val="0"/>
        <w:kinsoku/>
        <w:wordWrap/>
        <w:overflowPunct w:val="0"/>
        <w:topLinePunct/>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0"/>
          <w:highlight w:val="none"/>
          <w:u w:val="none" w:color="auto"/>
          <w:lang w:val="en-US" w:eastAsia="zh-CN" w:bidi="ar-SA"/>
        </w:rPr>
      </w:pPr>
      <w:r>
        <w:rPr>
          <w:rFonts w:ascii="Times New Roman" w:hAnsi="Times New Roman" w:eastAsia="宋体" w:cs="Times New Roman"/>
          <w:color w:val="auto"/>
          <w:sz w:val="24"/>
        </w:rPr>
        <w:t>生活污水</w:t>
      </w:r>
      <w:r>
        <w:rPr>
          <w:rFonts w:hint="eastAsia" w:ascii="Times New Roman" w:hAnsi="Times New Roman" w:eastAsia="宋体" w:cs="Times New Roman"/>
          <w:color w:val="auto"/>
          <w:sz w:val="24"/>
          <w:lang w:eastAsia="zh-CN"/>
        </w:rPr>
        <w:t>化粪池</w:t>
      </w:r>
      <w:r>
        <w:rPr>
          <w:rFonts w:ascii="Times New Roman" w:hAnsi="Times New Roman" w:eastAsia="宋体" w:cs="Times New Roman"/>
          <w:color w:val="auto"/>
          <w:sz w:val="24"/>
        </w:rPr>
        <w:t>预处理后达《污水综合排放标准》</w:t>
      </w:r>
      <w:r>
        <w:rPr>
          <w:rFonts w:hint="eastAsia" w:ascii="Times New Roman" w:hAnsi="Times New Roman" w:eastAsia="宋体" w:cs="Times New Roman"/>
          <w:color w:val="auto"/>
          <w:sz w:val="24"/>
        </w:rPr>
        <w:t>(GB8978-1996)</w:t>
      </w:r>
      <w:r>
        <w:rPr>
          <w:rFonts w:ascii="Times New Roman" w:hAnsi="Times New Roman" w:eastAsia="宋体" w:cs="Times New Roman"/>
          <w:color w:val="auto"/>
          <w:sz w:val="24"/>
        </w:rPr>
        <w:t>表4的三级标准及污水处理厂</w:t>
      </w:r>
      <w:r>
        <w:rPr>
          <w:rFonts w:hint="eastAsia" w:ascii="Times New Roman" w:hAnsi="Times New Roman" w:eastAsia="宋体" w:cs="Times New Roman"/>
          <w:color w:val="auto"/>
          <w:sz w:val="24"/>
        </w:rPr>
        <w:t>的纳管协议标准</w:t>
      </w:r>
      <w:r>
        <w:rPr>
          <w:rFonts w:ascii="Times New Roman" w:hAnsi="Times New Roman" w:eastAsia="宋体" w:cs="Times New Roman"/>
          <w:color w:val="auto"/>
          <w:sz w:val="24"/>
        </w:rPr>
        <w:t>后，排入市政污水管网。</w:t>
      </w:r>
    </w:p>
    <w:p>
      <w:pPr>
        <w:pageBreakBefore w:val="0"/>
        <w:kinsoku/>
        <w:wordWrap/>
        <w:overflowPunct w:val="0"/>
        <w:topLinePunct/>
        <w:autoSpaceDE w:val="0"/>
        <w:autoSpaceDN w:val="0"/>
        <w:bidi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②生产废水</w:t>
      </w:r>
    </w:p>
    <w:p>
      <w:pPr>
        <w:pageBreakBefore w:val="0"/>
        <w:kinsoku/>
        <w:wordWrap/>
        <w:overflowPunct w:val="0"/>
        <w:topLinePunct/>
        <w:autoSpaceDE w:val="0"/>
        <w:autoSpaceDN w:val="0"/>
        <w:bidi w:val="0"/>
        <w:adjustRightInd w:val="0"/>
        <w:spacing w:line="360" w:lineRule="auto"/>
        <w:ind w:firstLine="424" w:firstLineChars="177"/>
        <w:jc w:val="left"/>
        <w:rPr>
          <w:rFonts w:ascii="Times New Roman" w:hAnsi="Times New Roman" w:eastAsia="宋体" w:cs="Times New Roman"/>
          <w:color w:val="auto"/>
          <w:sz w:val="24"/>
        </w:rPr>
      </w:pPr>
      <w:r>
        <w:rPr>
          <w:rFonts w:ascii="Times New Roman" w:hAnsi="Times New Roman" w:eastAsia="宋体" w:cs="Times New Roman"/>
          <w:color w:val="auto"/>
          <w:sz w:val="24"/>
        </w:rPr>
        <w:t>本项目将配套建设生产废水处理设施，并建立分类收集处理系统。</w:t>
      </w:r>
    </w:p>
    <w:p>
      <w:pPr>
        <w:pageBreakBefore w:val="0"/>
        <w:kinsoku/>
        <w:wordWrap/>
        <w:overflowPunct w:val="0"/>
        <w:topLinePunct/>
        <w:autoSpaceDE w:val="0"/>
        <w:autoSpaceDN w:val="0"/>
        <w:bidi w:val="0"/>
        <w:spacing w:line="360" w:lineRule="auto"/>
        <w:ind w:firstLine="480" w:firstLineChars="200"/>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根据设计，本项目运行过程产生的生产废水</w:t>
      </w:r>
      <w:r>
        <w:rPr>
          <w:rFonts w:hint="eastAsia" w:ascii="Times New Roman" w:hAnsi="Times New Roman" w:eastAsia="宋体" w:cs="Times New Roman"/>
          <w:color w:val="auto"/>
          <w:sz w:val="24"/>
          <w:lang w:eastAsia="zh-CN"/>
        </w:rPr>
        <w:t>主要为直接冷却工序产生的少量含油排污水，通过隔油沉淀预处理后，排入市政污水管网</w:t>
      </w:r>
      <w:r>
        <w:rPr>
          <w:rFonts w:hint="eastAsia" w:ascii="Times New Roman" w:hAnsi="Times New Roman" w:eastAsia="宋体" w:cs="Times New Roman"/>
          <w:color w:val="auto"/>
          <w:sz w:val="24"/>
          <w:lang w:val="en-US" w:eastAsia="zh-CN"/>
        </w:rPr>
        <w:t>。</w:t>
      </w:r>
    </w:p>
    <w:p>
      <w:pPr>
        <w:pageBreakBefore w:val="0"/>
        <w:kinsoku/>
        <w:wordWrap/>
        <w:overflowPunct w:val="0"/>
        <w:topLinePunct/>
        <w:autoSpaceDE w:val="0"/>
        <w:autoSpaceDN w:val="0"/>
        <w:bidi w:val="0"/>
        <w:spacing w:line="360" w:lineRule="auto"/>
        <w:ind w:firstLine="482" w:firstLineChars="200"/>
        <w:rPr>
          <w:rFonts w:hint="default" w:ascii="Times New Roman" w:hAnsi="Times New Roman" w:eastAsia="宋体" w:cs="Times New Roman"/>
          <w:b/>
          <w:bCs/>
          <w:color w:val="auto"/>
          <w:sz w:val="24"/>
          <w:szCs w:val="24"/>
          <w:highlight w:val="none"/>
          <w:u w:val="none" w:color="auto"/>
        </w:rPr>
      </w:pPr>
      <w:r>
        <w:rPr>
          <w:rFonts w:hint="eastAsia" w:ascii="Times New Roman" w:hAnsi="Times New Roman" w:eastAsia="宋体" w:cs="Times New Roman"/>
          <w:b/>
          <w:bCs/>
          <w:color w:val="auto"/>
          <w:sz w:val="24"/>
          <w:szCs w:val="24"/>
          <w:highlight w:val="none"/>
          <w:u w:val="none" w:color="auto"/>
          <w:lang w:val="en-US" w:eastAsia="zh-CN"/>
        </w:rPr>
        <w:t>（2）</w:t>
      </w:r>
      <w:r>
        <w:rPr>
          <w:rFonts w:hint="eastAsia" w:ascii="Times New Roman" w:hAnsi="Times New Roman" w:eastAsia="宋体" w:cs="Times New Roman"/>
          <w:b/>
          <w:bCs/>
          <w:color w:val="auto"/>
          <w:sz w:val="24"/>
          <w:szCs w:val="24"/>
          <w:highlight w:val="none"/>
          <w:u w:val="none" w:color="auto"/>
          <w:lang w:eastAsia="zh-CN"/>
        </w:rPr>
        <w:t>湖南三峡环境临港水质净化厂</w:t>
      </w:r>
      <w:r>
        <w:rPr>
          <w:rFonts w:hint="default" w:ascii="Times New Roman" w:hAnsi="Times New Roman" w:eastAsia="宋体" w:cs="Times New Roman"/>
          <w:b/>
          <w:bCs/>
          <w:color w:val="auto"/>
          <w:sz w:val="24"/>
          <w:szCs w:val="24"/>
          <w:highlight w:val="none"/>
          <w:u w:val="none" w:color="auto"/>
        </w:rPr>
        <w:t>处理可行性分析</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根据工程分析，项目</w:t>
      </w:r>
      <w:r>
        <w:rPr>
          <w:rFonts w:hint="eastAsia" w:ascii="Times New Roman" w:hAnsi="Times New Roman" w:eastAsia="宋体" w:cs="Times New Roman"/>
          <w:color w:val="auto"/>
          <w:sz w:val="24"/>
          <w:szCs w:val="24"/>
          <w:highlight w:val="none"/>
          <w:u w:val="none" w:color="auto"/>
          <w:lang w:eastAsia="zh-CN"/>
        </w:rPr>
        <w:t>综合</w:t>
      </w:r>
      <w:r>
        <w:rPr>
          <w:rFonts w:hint="default" w:ascii="Times New Roman" w:hAnsi="Times New Roman" w:eastAsia="宋体" w:cs="Times New Roman"/>
          <w:color w:val="auto"/>
          <w:sz w:val="24"/>
          <w:szCs w:val="24"/>
          <w:highlight w:val="none"/>
          <w:u w:val="none" w:color="auto"/>
        </w:rPr>
        <w:t>污水产生量为</w:t>
      </w:r>
      <w:r>
        <w:rPr>
          <w:rFonts w:hint="eastAsia" w:ascii="Times New Roman" w:hAnsi="Times New Roman" w:eastAsia="宋体" w:cs="Times New Roman"/>
          <w:color w:val="auto"/>
          <w:sz w:val="24"/>
          <w:szCs w:val="24"/>
          <w:highlight w:val="none"/>
          <w:u w:val="none" w:color="auto"/>
          <w:lang w:val="en-US" w:eastAsia="zh-CN"/>
        </w:rPr>
        <w:t>67.2</w:t>
      </w:r>
      <w:r>
        <w:rPr>
          <w:rFonts w:hint="default" w:ascii="Times New Roman" w:hAnsi="Times New Roman" w:eastAsia="宋体" w:cs="Times New Roman"/>
          <w:color w:val="auto"/>
          <w:sz w:val="24"/>
          <w:szCs w:val="24"/>
          <w:highlight w:val="none"/>
          <w:u w:val="none" w:color="auto"/>
          <w:lang w:val="en-US" w:eastAsia="zh-CN"/>
        </w:rPr>
        <w:t>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/d</w:t>
      </w:r>
      <w:r>
        <w:rPr>
          <w:rFonts w:hint="default" w:ascii="Times New Roman" w:hAnsi="Times New Roman" w:eastAsia="宋体" w:cs="Times New Roman"/>
          <w:color w:val="auto"/>
          <w:sz w:val="24"/>
          <w:szCs w:val="24"/>
          <w:highlight w:val="none"/>
          <w:u w:val="none" w:color="auto"/>
        </w:rPr>
        <w:t>，经污水管网进入湖南三峡环境临港水质净化厂处理后，经外排至</w:t>
      </w:r>
      <w:r>
        <w:rPr>
          <w:rFonts w:hint="eastAsia" w:ascii="Times New Roman" w:hAnsi="Times New Roman" w:eastAsia="宋体" w:cs="Times New Roman"/>
          <w:color w:val="auto"/>
          <w:sz w:val="24"/>
          <w:szCs w:val="24"/>
          <w:highlight w:val="none"/>
          <w:u w:val="none" w:color="auto"/>
          <w:lang w:eastAsia="zh-CN"/>
        </w:rPr>
        <w:t>长江</w:t>
      </w:r>
      <w:r>
        <w:rPr>
          <w:rFonts w:hint="default" w:ascii="Times New Roman" w:hAnsi="Times New Roman" w:eastAsia="宋体" w:cs="Times New Roman"/>
          <w:color w:val="auto"/>
          <w:sz w:val="24"/>
          <w:szCs w:val="24"/>
          <w:highlight w:val="none"/>
          <w:u w:val="none" w:color="auto"/>
        </w:rPr>
        <w:t>。</w:t>
      </w:r>
    </w:p>
    <w:p>
      <w:pPr>
        <w:pageBreakBefore w:val="0"/>
        <w:kinsoku/>
        <w:wordWrap/>
        <w:overflowPunct w:val="0"/>
        <w:topLinePunct/>
        <w:autoSpaceDE w:val="0"/>
        <w:autoSpaceDN w:val="0"/>
        <w:bidi w:val="0"/>
        <w:spacing w:line="360" w:lineRule="auto"/>
        <w:ind w:left="621"/>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pacing w:val="18"/>
          <w:sz w:val="24"/>
          <w:szCs w:val="24"/>
          <w:u w:val="none" w:color="auto"/>
        </w:rPr>
        <w:t>(3)设计进水水</w:t>
      </w:r>
      <w:r>
        <w:rPr>
          <w:rFonts w:hint="default" w:ascii="Times New Roman" w:hAnsi="Times New Roman" w:eastAsia="宋体" w:cs="Times New Roman"/>
          <w:b/>
          <w:bCs/>
          <w:color w:val="auto"/>
          <w:spacing w:val="17"/>
          <w:sz w:val="24"/>
          <w:szCs w:val="24"/>
          <w:u w:val="none" w:color="auto"/>
        </w:rPr>
        <w:t>质</w:t>
      </w:r>
    </w:p>
    <w:p>
      <w:pPr>
        <w:pageBreakBefore w:val="0"/>
        <w:kinsoku/>
        <w:wordWrap/>
        <w:overflowPunct w:val="0"/>
        <w:topLinePunct/>
        <w:autoSpaceDE w:val="0"/>
        <w:autoSpaceDN w:val="0"/>
        <w:bidi w:val="0"/>
        <w:adjustRightInd w:val="0"/>
        <w:spacing w:line="360" w:lineRule="auto"/>
        <w:ind w:left="0" w:leftChars="0" w:right="0" w:rightChars="0" w:firstLine="0" w:firstLineChars="0"/>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sz w:val="24"/>
          <w:szCs w:val="24"/>
        </w:rPr>
        <w:t>表6.2-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污水处理厂设计进水水质单位：mg/L(pH无量纲)</w:t>
      </w:r>
    </w:p>
    <w:tbl>
      <w:tblPr>
        <w:tblStyle w:val="204"/>
        <w:tblW w:w="8520"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83"/>
        <w:gridCol w:w="1042"/>
        <w:gridCol w:w="1309"/>
        <w:gridCol w:w="1214"/>
        <w:gridCol w:w="1214"/>
        <w:gridCol w:w="10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8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污染源</w:t>
            </w:r>
          </w:p>
        </w:tc>
        <w:tc>
          <w:tcPr>
            <w:tcW w:w="1042"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pH</w:t>
            </w:r>
          </w:p>
        </w:tc>
        <w:tc>
          <w:tcPr>
            <w:tcW w:w="130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CODCr</w:t>
            </w:r>
          </w:p>
        </w:tc>
        <w:tc>
          <w:tcPr>
            <w:tcW w:w="121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BOD</w:t>
            </w:r>
            <w:r>
              <w:rPr>
                <w:rFonts w:hint="default" w:ascii="Times New Roman" w:hAnsi="Times New Roman" w:eastAsia="宋体" w:cs="Times New Roman"/>
                <w:b/>
                <w:bCs/>
                <w:color w:val="auto"/>
                <w:kern w:val="2"/>
                <w:sz w:val="21"/>
                <w:szCs w:val="21"/>
                <w:vertAlign w:val="subscript"/>
                <w:lang w:eastAsia="zh-CN"/>
              </w:rPr>
              <w:t>5</w:t>
            </w:r>
          </w:p>
        </w:tc>
        <w:tc>
          <w:tcPr>
            <w:tcW w:w="1214"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SS</w:t>
            </w:r>
          </w:p>
        </w:tc>
        <w:tc>
          <w:tcPr>
            <w:tcW w:w="1058"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氨氮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83" w:type="dxa"/>
            <w:tcBorders>
              <w:tl2br w:val="nil"/>
              <w:tr2bl w:val="nil"/>
            </w:tcBorders>
            <w:vAlign w:val="center"/>
          </w:tcPr>
          <w:p>
            <w:pPr>
              <w:pageBreakBefore w:val="0"/>
              <w:kinsoku/>
              <w:wordWrap/>
              <w:overflowPunct w:val="0"/>
              <w:topLinePunct/>
              <w:autoSpaceDE w:val="0"/>
              <w:autoSpaceDN w:val="0"/>
              <w:bidi w:val="0"/>
              <w:spacing w:before="33" w:line="224"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11"/>
                <w:sz w:val="20"/>
                <w:szCs w:val="20"/>
                <w:u w:val="none" w:color="auto"/>
              </w:rPr>
              <w:t>污</w:t>
            </w:r>
            <w:r>
              <w:rPr>
                <w:rFonts w:hint="default" w:ascii="Times New Roman" w:hAnsi="Times New Roman" w:eastAsia="宋体" w:cs="Times New Roman"/>
                <w:color w:val="auto"/>
                <w:spacing w:val="8"/>
                <w:sz w:val="20"/>
                <w:szCs w:val="20"/>
                <w:u w:val="none" w:color="auto"/>
              </w:rPr>
              <w:t>水处理厂进水</w:t>
            </w:r>
          </w:p>
        </w:tc>
        <w:tc>
          <w:tcPr>
            <w:tcW w:w="1042" w:type="dxa"/>
            <w:tcBorders>
              <w:tl2br w:val="nil"/>
              <w:tr2bl w:val="nil"/>
            </w:tcBorders>
            <w:vAlign w:val="center"/>
          </w:tcPr>
          <w:p>
            <w:pPr>
              <w:pageBreakBefore w:val="0"/>
              <w:kinsoku/>
              <w:wordWrap/>
              <w:overflowPunct w:val="0"/>
              <w:topLinePunct/>
              <w:autoSpaceDE w:val="0"/>
              <w:autoSpaceDN w:val="0"/>
              <w:bidi w:val="0"/>
              <w:spacing w:before="33" w:line="224"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37"/>
                <w:sz w:val="20"/>
                <w:szCs w:val="20"/>
                <w:u w:val="none" w:color="auto"/>
              </w:rPr>
              <w:t>6</w:t>
            </w:r>
            <w:r>
              <w:rPr>
                <w:rFonts w:hint="default" w:ascii="Times New Roman" w:hAnsi="Times New Roman" w:eastAsia="宋体" w:cs="Times New Roman"/>
                <w:color w:val="auto"/>
                <w:spacing w:val="36"/>
                <w:sz w:val="20"/>
                <w:szCs w:val="20"/>
                <w:u w:val="none" w:color="auto"/>
              </w:rPr>
              <w:t>~9</w:t>
            </w:r>
          </w:p>
        </w:tc>
        <w:tc>
          <w:tcPr>
            <w:tcW w:w="1309" w:type="dxa"/>
            <w:tcBorders>
              <w:tl2br w:val="nil"/>
              <w:tr2bl w:val="nil"/>
            </w:tcBorders>
            <w:vAlign w:val="center"/>
          </w:tcPr>
          <w:p>
            <w:pPr>
              <w:pageBreakBefore w:val="0"/>
              <w:kinsoku/>
              <w:wordWrap/>
              <w:overflowPunct w:val="0"/>
              <w:topLinePunct/>
              <w:autoSpaceDE w:val="0"/>
              <w:autoSpaceDN w:val="0"/>
              <w:bidi w:val="0"/>
              <w:spacing w:line="275" w:lineRule="exact"/>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6"/>
                <w:position w:val="3"/>
                <w:sz w:val="20"/>
                <w:szCs w:val="20"/>
                <w:u w:val="none" w:color="auto"/>
              </w:rPr>
              <w:t>≤</w:t>
            </w:r>
            <w:r>
              <w:rPr>
                <w:rFonts w:hint="default" w:ascii="Times New Roman" w:hAnsi="Times New Roman" w:eastAsia="宋体" w:cs="Times New Roman"/>
                <w:color w:val="auto"/>
                <w:spacing w:val="4"/>
                <w:position w:val="3"/>
                <w:sz w:val="20"/>
                <w:szCs w:val="20"/>
                <w:u w:val="none" w:color="auto"/>
              </w:rPr>
              <w:t>500</w:t>
            </w:r>
          </w:p>
        </w:tc>
        <w:tc>
          <w:tcPr>
            <w:tcW w:w="1214" w:type="dxa"/>
            <w:tcBorders>
              <w:tl2br w:val="nil"/>
              <w:tr2bl w:val="nil"/>
            </w:tcBorders>
            <w:vAlign w:val="center"/>
          </w:tcPr>
          <w:p>
            <w:pPr>
              <w:pageBreakBefore w:val="0"/>
              <w:kinsoku/>
              <w:wordWrap/>
              <w:overflowPunct w:val="0"/>
              <w:topLinePunct/>
              <w:autoSpaceDE w:val="0"/>
              <w:autoSpaceDN w:val="0"/>
              <w:bidi w:val="0"/>
              <w:spacing w:line="275" w:lineRule="exact"/>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6"/>
                <w:position w:val="2"/>
                <w:sz w:val="20"/>
                <w:szCs w:val="20"/>
                <w:u w:val="none" w:color="auto"/>
              </w:rPr>
              <w:t>≤</w:t>
            </w:r>
            <w:r>
              <w:rPr>
                <w:rFonts w:hint="default" w:ascii="Times New Roman" w:hAnsi="Times New Roman" w:eastAsia="宋体" w:cs="Times New Roman"/>
                <w:color w:val="auto"/>
                <w:spacing w:val="4"/>
                <w:position w:val="2"/>
                <w:sz w:val="20"/>
                <w:szCs w:val="20"/>
                <w:u w:val="none" w:color="auto"/>
              </w:rPr>
              <w:t>350</w:t>
            </w:r>
          </w:p>
        </w:tc>
        <w:tc>
          <w:tcPr>
            <w:tcW w:w="1214" w:type="dxa"/>
            <w:tcBorders>
              <w:tl2br w:val="nil"/>
              <w:tr2bl w:val="nil"/>
            </w:tcBorders>
            <w:vAlign w:val="center"/>
          </w:tcPr>
          <w:p>
            <w:pPr>
              <w:pageBreakBefore w:val="0"/>
              <w:kinsoku/>
              <w:wordWrap/>
              <w:overflowPunct w:val="0"/>
              <w:topLinePunct/>
              <w:autoSpaceDE w:val="0"/>
              <w:autoSpaceDN w:val="0"/>
              <w:bidi w:val="0"/>
              <w:spacing w:line="275" w:lineRule="exact"/>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6"/>
                <w:position w:val="2"/>
                <w:sz w:val="20"/>
                <w:szCs w:val="20"/>
                <w:u w:val="none" w:color="auto"/>
              </w:rPr>
              <w:t>≤</w:t>
            </w:r>
            <w:r>
              <w:rPr>
                <w:rFonts w:hint="default" w:ascii="Times New Roman" w:hAnsi="Times New Roman" w:eastAsia="宋体" w:cs="Times New Roman"/>
                <w:color w:val="auto"/>
                <w:spacing w:val="4"/>
                <w:position w:val="2"/>
                <w:sz w:val="20"/>
                <w:szCs w:val="20"/>
                <w:u w:val="none" w:color="auto"/>
              </w:rPr>
              <w:t>250</w:t>
            </w:r>
          </w:p>
        </w:tc>
        <w:tc>
          <w:tcPr>
            <w:tcW w:w="1058" w:type="dxa"/>
            <w:tcBorders>
              <w:tl2br w:val="nil"/>
              <w:tr2bl w:val="nil"/>
            </w:tcBorders>
            <w:vAlign w:val="center"/>
          </w:tcPr>
          <w:p>
            <w:pPr>
              <w:pageBreakBefore w:val="0"/>
              <w:kinsoku/>
              <w:wordWrap/>
              <w:overflowPunct w:val="0"/>
              <w:topLinePunct/>
              <w:autoSpaceDE w:val="0"/>
              <w:autoSpaceDN w:val="0"/>
              <w:bidi w:val="0"/>
              <w:spacing w:line="275" w:lineRule="exact"/>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5"/>
                <w:position w:val="2"/>
                <w:sz w:val="20"/>
                <w:szCs w:val="20"/>
                <w:u w:val="none" w:color="auto"/>
              </w:rPr>
              <w:t>≤</w:t>
            </w:r>
            <w:r>
              <w:rPr>
                <w:rFonts w:hint="default" w:ascii="Times New Roman" w:hAnsi="Times New Roman" w:eastAsia="宋体" w:cs="Times New Roman"/>
                <w:color w:val="auto"/>
                <w:spacing w:val="4"/>
                <w:position w:val="2"/>
                <w:sz w:val="20"/>
                <w:szCs w:val="20"/>
                <w:u w:val="none" w:color="auto"/>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83" w:type="dxa"/>
            <w:tcBorders>
              <w:tl2br w:val="nil"/>
              <w:tr2bl w:val="nil"/>
            </w:tcBorders>
            <w:vAlign w:val="center"/>
          </w:tcPr>
          <w:p>
            <w:pPr>
              <w:pageBreakBefore w:val="0"/>
              <w:kinsoku/>
              <w:wordWrap/>
              <w:overflowPunct w:val="0"/>
              <w:topLinePunct/>
              <w:autoSpaceDE w:val="0"/>
              <w:autoSpaceDN w:val="0"/>
              <w:bidi w:val="0"/>
              <w:spacing w:before="33" w:line="225"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12"/>
                <w:sz w:val="20"/>
                <w:szCs w:val="20"/>
                <w:u w:val="none" w:color="auto"/>
              </w:rPr>
              <w:t>本</w:t>
            </w:r>
            <w:r>
              <w:rPr>
                <w:rFonts w:hint="default" w:ascii="Times New Roman" w:hAnsi="Times New Roman" w:eastAsia="宋体" w:cs="Times New Roman"/>
                <w:color w:val="auto"/>
                <w:spacing w:val="8"/>
                <w:sz w:val="20"/>
                <w:szCs w:val="20"/>
                <w:u w:val="none" w:color="auto"/>
              </w:rPr>
              <w:t>项目总排口出水</w:t>
            </w:r>
          </w:p>
        </w:tc>
        <w:tc>
          <w:tcPr>
            <w:tcW w:w="1042" w:type="dxa"/>
            <w:tcBorders>
              <w:tl2br w:val="nil"/>
              <w:tr2bl w:val="nil"/>
            </w:tcBorders>
            <w:vAlign w:val="center"/>
          </w:tcPr>
          <w:p>
            <w:pPr>
              <w:pageBreakBefore w:val="0"/>
              <w:kinsoku/>
              <w:wordWrap/>
              <w:overflowPunct w:val="0"/>
              <w:topLinePunct/>
              <w:autoSpaceDE w:val="0"/>
              <w:autoSpaceDN w:val="0"/>
              <w:bidi w:val="0"/>
              <w:spacing w:before="69" w:line="195"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2"/>
                <w:sz w:val="20"/>
                <w:szCs w:val="20"/>
                <w:u w:val="none" w:color="auto"/>
              </w:rPr>
              <w:t>6~</w:t>
            </w:r>
            <w:r>
              <w:rPr>
                <w:rFonts w:hint="default" w:ascii="Times New Roman" w:hAnsi="Times New Roman" w:eastAsia="宋体" w:cs="Times New Roman"/>
                <w:color w:val="auto"/>
                <w:spacing w:val="1"/>
                <w:sz w:val="20"/>
                <w:szCs w:val="20"/>
                <w:u w:val="none" w:color="auto"/>
              </w:rPr>
              <w:t>9</w:t>
            </w:r>
          </w:p>
        </w:tc>
        <w:tc>
          <w:tcPr>
            <w:tcW w:w="1309" w:type="dxa"/>
            <w:tcBorders>
              <w:tl2br w:val="nil"/>
              <w:tr2bl w:val="nil"/>
            </w:tcBorders>
            <w:vAlign w:val="center"/>
          </w:tcPr>
          <w:p>
            <w:pPr>
              <w:pageBreakBefore w:val="0"/>
              <w:kinsoku/>
              <w:wordWrap/>
              <w:overflowPunct w:val="0"/>
              <w:topLinePunct/>
              <w:autoSpaceDE w:val="0"/>
              <w:autoSpaceDN w:val="0"/>
              <w:bidi w:val="0"/>
              <w:spacing w:before="69" w:line="195" w:lineRule="auto"/>
              <w:ind w:left="0" w:leftChars="0" w:right="0" w:rightChars="0" w:firstLine="0" w:firstLineChars="0"/>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pacing w:val="5"/>
                <w:sz w:val="20"/>
                <w:szCs w:val="20"/>
                <w:u w:val="none" w:color="auto"/>
                <w:lang w:val="en-US" w:eastAsia="zh-CN"/>
              </w:rPr>
              <w:t>341</w:t>
            </w:r>
          </w:p>
        </w:tc>
        <w:tc>
          <w:tcPr>
            <w:tcW w:w="1214" w:type="dxa"/>
            <w:tcBorders>
              <w:tl2br w:val="nil"/>
              <w:tr2bl w:val="nil"/>
            </w:tcBorders>
            <w:vAlign w:val="center"/>
          </w:tcPr>
          <w:p>
            <w:pPr>
              <w:pageBreakBefore w:val="0"/>
              <w:kinsoku/>
              <w:wordWrap/>
              <w:overflowPunct w:val="0"/>
              <w:topLinePunct/>
              <w:autoSpaceDE w:val="0"/>
              <w:autoSpaceDN w:val="0"/>
              <w:bidi w:val="0"/>
              <w:spacing w:line="276" w:lineRule="exact"/>
              <w:ind w:left="0" w:leftChars="0" w:right="0" w:rightChars="0" w:firstLine="0" w:firstLineChars="0"/>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pacing w:val="2"/>
                <w:position w:val="1"/>
                <w:sz w:val="20"/>
                <w:szCs w:val="20"/>
                <w:u w:val="none" w:color="auto"/>
                <w:lang w:val="en-US" w:eastAsia="zh-CN"/>
              </w:rPr>
              <w:t>191</w:t>
            </w:r>
          </w:p>
        </w:tc>
        <w:tc>
          <w:tcPr>
            <w:tcW w:w="1214" w:type="dxa"/>
            <w:tcBorders>
              <w:tl2br w:val="nil"/>
              <w:tr2bl w:val="nil"/>
            </w:tcBorders>
            <w:vAlign w:val="center"/>
          </w:tcPr>
          <w:p>
            <w:pPr>
              <w:pageBreakBefore w:val="0"/>
              <w:kinsoku/>
              <w:wordWrap/>
              <w:overflowPunct w:val="0"/>
              <w:topLinePunct/>
              <w:autoSpaceDE w:val="0"/>
              <w:autoSpaceDN w:val="0"/>
              <w:bidi w:val="0"/>
              <w:spacing w:line="276" w:lineRule="exact"/>
              <w:ind w:left="0" w:leftChars="0" w:right="0" w:rightChars="0" w:firstLine="0" w:firstLineChars="0"/>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pacing w:val="2"/>
                <w:position w:val="1"/>
                <w:sz w:val="20"/>
                <w:szCs w:val="20"/>
                <w:u w:val="none" w:color="auto"/>
                <w:lang w:val="en-US" w:eastAsia="zh-CN"/>
              </w:rPr>
              <w:t>143</w:t>
            </w:r>
          </w:p>
        </w:tc>
        <w:tc>
          <w:tcPr>
            <w:tcW w:w="1058" w:type="dxa"/>
            <w:tcBorders>
              <w:tl2br w:val="nil"/>
              <w:tr2bl w:val="nil"/>
            </w:tcBorders>
            <w:vAlign w:val="center"/>
          </w:tcPr>
          <w:p>
            <w:pPr>
              <w:pageBreakBefore w:val="0"/>
              <w:kinsoku/>
              <w:wordWrap/>
              <w:overflowPunct w:val="0"/>
              <w:topLinePunct/>
              <w:autoSpaceDE w:val="0"/>
              <w:autoSpaceDN w:val="0"/>
              <w:bidi w:val="0"/>
              <w:spacing w:before="69" w:line="195" w:lineRule="auto"/>
              <w:ind w:left="0" w:leftChars="0" w:right="0" w:rightChars="0" w:firstLine="0" w:firstLineChars="0"/>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pacing w:val="3"/>
                <w:sz w:val="20"/>
                <w:szCs w:val="20"/>
                <w:u w:val="none" w:color="auto"/>
                <w:lang w:val="en-US" w:eastAsia="zh-CN"/>
              </w:rPr>
              <w:t>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83" w:type="dxa"/>
            <w:tcBorders>
              <w:tl2br w:val="nil"/>
              <w:tr2bl w:val="nil"/>
            </w:tcBorders>
            <w:vAlign w:val="center"/>
          </w:tcPr>
          <w:p>
            <w:pPr>
              <w:pageBreakBefore w:val="0"/>
              <w:kinsoku/>
              <w:wordWrap/>
              <w:overflowPunct w:val="0"/>
              <w:topLinePunct/>
              <w:autoSpaceDE w:val="0"/>
              <w:autoSpaceDN w:val="0"/>
              <w:bidi w:val="0"/>
              <w:spacing w:before="34" w:line="228"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pacing w:val="8"/>
                <w:sz w:val="20"/>
                <w:szCs w:val="20"/>
                <w:u w:val="none" w:color="auto"/>
              </w:rPr>
              <w:t>是</w:t>
            </w:r>
            <w:r>
              <w:rPr>
                <w:rFonts w:hint="default" w:ascii="Times New Roman" w:hAnsi="Times New Roman" w:eastAsia="宋体" w:cs="Times New Roman"/>
                <w:color w:val="auto"/>
                <w:spacing w:val="6"/>
                <w:sz w:val="20"/>
                <w:szCs w:val="20"/>
                <w:u w:val="none" w:color="auto"/>
              </w:rPr>
              <w:t>否满足</w:t>
            </w:r>
          </w:p>
        </w:tc>
        <w:tc>
          <w:tcPr>
            <w:tcW w:w="1042" w:type="dxa"/>
            <w:tcBorders>
              <w:tl2br w:val="nil"/>
              <w:tr2bl w:val="nil"/>
            </w:tcBorders>
            <w:vAlign w:val="center"/>
          </w:tcPr>
          <w:p>
            <w:pPr>
              <w:pageBreakBefore w:val="0"/>
              <w:kinsoku/>
              <w:wordWrap/>
              <w:overflowPunct w:val="0"/>
              <w:topLinePunct/>
              <w:autoSpaceDE w:val="0"/>
              <w:autoSpaceDN w:val="0"/>
              <w:bidi w:val="0"/>
              <w:spacing w:before="34" w:line="231"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是</w:t>
            </w:r>
          </w:p>
        </w:tc>
        <w:tc>
          <w:tcPr>
            <w:tcW w:w="1309" w:type="dxa"/>
            <w:tcBorders>
              <w:tl2br w:val="nil"/>
              <w:tr2bl w:val="nil"/>
            </w:tcBorders>
            <w:vAlign w:val="center"/>
          </w:tcPr>
          <w:p>
            <w:pPr>
              <w:pageBreakBefore w:val="0"/>
              <w:kinsoku/>
              <w:wordWrap/>
              <w:overflowPunct w:val="0"/>
              <w:topLinePunct/>
              <w:autoSpaceDE w:val="0"/>
              <w:autoSpaceDN w:val="0"/>
              <w:bidi w:val="0"/>
              <w:spacing w:before="34" w:line="231"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是</w:t>
            </w:r>
          </w:p>
        </w:tc>
        <w:tc>
          <w:tcPr>
            <w:tcW w:w="1214" w:type="dxa"/>
            <w:tcBorders>
              <w:tl2br w:val="nil"/>
              <w:tr2bl w:val="nil"/>
            </w:tcBorders>
            <w:vAlign w:val="center"/>
          </w:tcPr>
          <w:p>
            <w:pPr>
              <w:pageBreakBefore w:val="0"/>
              <w:kinsoku/>
              <w:wordWrap/>
              <w:overflowPunct w:val="0"/>
              <w:topLinePunct/>
              <w:autoSpaceDE w:val="0"/>
              <w:autoSpaceDN w:val="0"/>
              <w:bidi w:val="0"/>
              <w:spacing w:before="34" w:line="231"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是</w:t>
            </w:r>
          </w:p>
        </w:tc>
        <w:tc>
          <w:tcPr>
            <w:tcW w:w="1214" w:type="dxa"/>
            <w:tcBorders>
              <w:tl2br w:val="nil"/>
              <w:tr2bl w:val="nil"/>
            </w:tcBorders>
            <w:vAlign w:val="center"/>
          </w:tcPr>
          <w:p>
            <w:pPr>
              <w:pageBreakBefore w:val="0"/>
              <w:kinsoku/>
              <w:wordWrap/>
              <w:overflowPunct w:val="0"/>
              <w:topLinePunct/>
              <w:autoSpaceDE w:val="0"/>
              <w:autoSpaceDN w:val="0"/>
              <w:bidi w:val="0"/>
              <w:spacing w:before="34" w:line="231"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是</w:t>
            </w:r>
          </w:p>
        </w:tc>
        <w:tc>
          <w:tcPr>
            <w:tcW w:w="1058" w:type="dxa"/>
            <w:tcBorders>
              <w:tl2br w:val="nil"/>
              <w:tr2bl w:val="nil"/>
            </w:tcBorders>
            <w:vAlign w:val="center"/>
          </w:tcPr>
          <w:p>
            <w:pPr>
              <w:pageBreakBefore w:val="0"/>
              <w:kinsoku/>
              <w:wordWrap/>
              <w:overflowPunct w:val="0"/>
              <w:topLinePunct/>
              <w:autoSpaceDE w:val="0"/>
              <w:autoSpaceDN w:val="0"/>
              <w:bidi w:val="0"/>
              <w:spacing w:before="34" w:line="231" w:lineRule="auto"/>
              <w:ind w:left="0" w:leftChars="0" w:right="0" w:rightChars="0" w:firstLine="0" w:firstLineChars="0"/>
              <w:jc w:val="center"/>
              <w:rPr>
                <w:rFonts w:hint="default" w:ascii="Times New Roman" w:hAnsi="Times New Roman" w:eastAsia="宋体" w:cs="Times New Roman"/>
                <w:color w:val="auto"/>
                <w:sz w:val="20"/>
                <w:szCs w:val="20"/>
                <w:u w:val="none" w:color="auto"/>
              </w:rPr>
            </w:pPr>
            <w:r>
              <w:rPr>
                <w:rFonts w:hint="default" w:ascii="Times New Roman" w:hAnsi="Times New Roman" w:eastAsia="宋体" w:cs="Times New Roman"/>
                <w:color w:val="auto"/>
                <w:sz w:val="20"/>
                <w:szCs w:val="20"/>
                <w:u w:val="none" w:color="auto"/>
              </w:rPr>
              <w:t>是</w:t>
            </w:r>
          </w:p>
        </w:tc>
      </w:tr>
    </w:tbl>
    <w:p>
      <w:pPr>
        <w:pageBreakBefore w:val="0"/>
        <w:kinsoku/>
        <w:wordWrap/>
        <w:overflowPunct w:val="0"/>
        <w:topLinePunct/>
        <w:autoSpaceDE w:val="0"/>
        <w:autoSpaceDN w:val="0"/>
        <w:bidi w:val="0"/>
        <w:spacing w:before="36" w:line="375" w:lineRule="auto"/>
        <w:ind w:left="131" w:right="119" w:firstLine="507"/>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sz w:val="24"/>
          <w:szCs w:val="24"/>
          <w:u w:val="none" w:color="auto"/>
        </w:rPr>
        <w:t>由上表分析可知，本项目产生的废水水质简单，均能够满足湖南三峡环境临港水质净化厂</w:t>
      </w:r>
      <w:r>
        <w:rPr>
          <w:rFonts w:hint="default" w:ascii="Times New Roman" w:hAnsi="Times New Roman" w:eastAsia="宋体" w:cs="Times New Roman"/>
          <w:color w:val="auto"/>
          <w:spacing w:val="8"/>
          <w:sz w:val="24"/>
          <w:szCs w:val="24"/>
          <w:u w:val="none" w:color="auto"/>
        </w:rPr>
        <w:t>设计的进水水质要求。</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(4)出水排放达标情况</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目前湖南三峡环境临港水质净化厂能够稳定达标排放，出水满足《城镇污水处理厂污染物排放标准》(GB18918-2002)中的一级标准的A标准。</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综上所述，本项目污水水质符合湖南三峡环境临港水质净化厂的设计进水水质要求，排放的废水水质和水量不会对湖南三峡环境临港水质净化厂的正常运行产生不利影响，该污水处理厂具备接纳本项目废水的能力，且污水管网已经完善，本项目污水依托湖南三峡环境临港水质净化厂深度处理是可行的。</w:t>
      </w:r>
    </w:p>
    <w:p>
      <w:pPr>
        <w:pStyle w:val="7"/>
        <w:bidi w:val="0"/>
        <w:rPr>
          <w:rFonts w:hint="default"/>
          <w:color w:val="auto"/>
        </w:rPr>
      </w:pPr>
      <w:bookmarkStart w:id="278" w:name="_bookmark112"/>
      <w:bookmarkEnd w:id="278"/>
      <w:bookmarkStart w:id="279" w:name="_Toc26505"/>
      <w:r>
        <w:rPr>
          <w:rFonts w:hint="default"/>
          <w:color w:val="auto"/>
        </w:rPr>
        <w:t>6.2.3地下水、土壤污染防治措施及其可行性分析</w:t>
      </w:r>
      <w:bookmarkEnd w:id="279"/>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针对本项目运营期废水处理及固体废物产生、输送和处理过程，采取合理有效的工程措施可防止污染物对地下水的污染。</w:t>
      </w:r>
    </w:p>
    <w:p>
      <w:pPr>
        <w:pageBreakBefore w:val="0"/>
        <w:kinsoku/>
        <w:wordWrap/>
        <w:overflowPunct w:val="0"/>
        <w:topLinePunct/>
        <w:autoSpaceDE w:val="0"/>
        <w:autoSpaceDN w:val="0"/>
        <w:bidi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正常情况下，地下水的污染主要是由于污染物迁移穿过包气带进入含水层造成。若废水发生渗漏，首先污染所在土壤，同时污染物会较快穿过包气带进入浅层地下水，对浅层地下水造成污染。由于地下水一旦受污染其发现和治理难度都非常难，为了更好的保护地下水资源，将本项目对地下水的影响降至最低限度，根据《地下工程防水技术规范》(GB50108-2001)的要求，地下水污染防治措施按照“源头控制、分区防渗、污染监控、应急响应”相结合的原则，从污染物的产生、入渗、扩散、应急响应全阶段进行控制。建议采取以下的污染防治措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14" w:firstLineChars="200"/>
        <w:textAlignment w:val="auto"/>
        <w:outlineLvl w:val="3"/>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spacing w:val="8"/>
          <w:sz w:val="24"/>
          <w:szCs w:val="24"/>
          <w:u w:val="none" w:color="auto"/>
        </w:rPr>
        <w:t>6</w:t>
      </w:r>
      <w:r>
        <w:rPr>
          <w:rFonts w:hint="default" w:ascii="Times New Roman" w:hAnsi="Times New Roman" w:eastAsia="宋体" w:cs="Times New Roman"/>
          <w:b/>
          <w:bCs/>
          <w:color w:val="auto"/>
          <w:spacing w:val="5"/>
          <w:sz w:val="24"/>
          <w:szCs w:val="24"/>
          <w:u w:val="none" w:color="auto"/>
        </w:rPr>
        <w:t>.2.3.1</w:t>
      </w:r>
      <w:r>
        <w:rPr>
          <w:rFonts w:hint="default" w:ascii="Times New Roman" w:hAnsi="Times New Roman" w:eastAsia="宋体" w:cs="Times New Roman"/>
          <w:color w:val="auto"/>
          <w:spacing w:val="5"/>
          <w:sz w:val="24"/>
          <w:szCs w:val="24"/>
          <w:u w:val="none" w:color="auto"/>
          <w14:textOutline w14:w="4358" w14:cap="sq" w14:cmpd="sng">
            <w14:solidFill>
              <w14:srgbClr w14:val="000000"/>
            </w14:solidFill>
            <w14:prstDash w14:val="solid"/>
            <w14:bevel/>
          </w14:textOutline>
        </w:rPr>
        <w:t>源头控制</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①合理布局平面布置，可能发生渗漏的设备需避开回填区，避免因基础下</w:t>
      </w:r>
      <w:r>
        <w:rPr>
          <w:rFonts w:hint="default" w:ascii="Times New Roman" w:hAnsi="Times New Roman" w:eastAsia="宋体" w:cs="Times New Roman"/>
          <w:color w:val="auto"/>
          <w:spacing w:val="3"/>
          <w:sz w:val="24"/>
          <w:szCs w:val="24"/>
          <w:u w:val="none" w:color="auto"/>
        </w:rPr>
        <w:t>沉</w:t>
      </w:r>
      <w:r>
        <w:rPr>
          <w:rFonts w:hint="default" w:ascii="Times New Roman" w:hAnsi="Times New Roman" w:eastAsia="宋体" w:cs="Times New Roman"/>
          <w:color w:val="auto"/>
          <w:spacing w:val="6"/>
          <w:sz w:val="24"/>
          <w:szCs w:val="24"/>
          <w:u w:val="none" w:color="auto"/>
        </w:rPr>
        <w:t>发</w:t>
      </w:r>
      <w:r>
        <w:rPr>
          <w:rFonts w:hint="default" w:ascii="Times New Roman" w:hAnsi="Times New Roman" w:eastAsia="宋体" w:cs="Times New Roman"/>
          <w:color w:val="auto"/>
          <w:spacing w:val="5"/>
          <w:sz w:val="24"/>
          <w:szCs w:val="24"/>
          <w:u w:val="none" w:color="auto"/>
        </w:rPr>
        <w:t>生渗漏。</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1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9"/>
          <w:sz w:val="24"/>
          <w:szCs w:val="24"/>
          <w:u w:val="none" w:color="auto"/>
        </w:rPr>
        <w:t>②严格控制“三废”排放，消除生产设备和管道“跑、冒、滴、漏”现象发生</w:t>
      </w:r>
      <w:r>
        <w:rPr>
          <w:rFonts w:hint="default" w:ascii="Times New Roman" w:hAnsi="Times New Roman" w:eastAsia="宋体" w:cs="Times New Roman"/>
          <w:color w:val="auto"/>
          <w:spacing w:val="3"/>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③严格固体废物管理，不接触外界降水，使其不产生淋滤液，严防污染物</w:t>
      </w:r>
      <w:r>
        <w:rPr>
          <w:rFonts w:hint="default" w:ascii="Times New Roman" w:hAnsi="Times New Roman" w:eastAsia="宋体" w:cs="Times New Roman"/>
          <w:color w:val="auto"/>
          <w:spacing w:val="4"/>
          <w:sz w:val="24"/>
          <w:szCs w:val="24"/>
          <w:u w:val="none" w:color="auto"/>
        </w:rPr>
        <w:t>泄</w:t>
      </w:r>
      <w:r>
        <w:rPr>
          <w:rFonts w:hint="default" w:ascii="Times New Roman" w:hAnsi="Times New Roman" w:eastAsia="宋体" w:cs="Times New Roman"/>
          <w:color w:val="auto"/>
          <w:spacing w:val="8"/>
          <w:sz w:val="24"/>
          <w:szCs w:val="24"/>
          <w:u w:val="none" w:color="auto"/>
        </w:rPr>
        <w:t>漏</w:t>
      </w:r>
      <w:r>
        <w:rPr>
          <w:rFonts w:hint="default" w:ascii="Times New Roman" w:hAnsi="Times New Roman" w:eastAsia="宋体" w:cs="Times New Roman"/>
          <w:color w:val="auto"/>
          <w:spacing w:val="7"/>
          <w:sz w:val="24"/>
          <w:szCs w:val="24"/>
          <w:u w:val="none" w:color="auto"/>
        </w:rPr>
        <w:t>到地下水中。</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④加强管理，对设备运行情况定期巡查，及时发现解决问题，从源头杜绝</w:t>
      </w:r>
      <w:r>
        <w:rPr>
          <w:rFonts w:hint="default" w:ascii="Times New Roman" w:hAnsi="Times New Roman" w:eastAsia="宋体" w:cs="Times New Roman"/>
          <w:color w:val="auto"/>
          <w:spacing w:val="4"/>
          <w:sz w:val="24"/>
          <w:szCs w:val="24"/>
          <w:u w:val="none" w:color="auto"/>
        </w:rPr>
        <w:t>污</w:t>
      </w:r>
      <w:r>
        <w:rPr>
          <w:rFonts w:hint="default" w:ascii="Times New Roman" w:hAnsi="Times New Roman" w:eastAsia="宋体" w:cs="Times New Roman"/>
          <w:color w:val="auto"/>
          <w:spacing w:val="15"/>
          <w:sz w:val="24"/>
          <w:szCs w:val="24"/>
          <w:u w:val="none" w:color="auto"/>
        </w:rPr>
        <w:t>水</w:t>
      </w:r>
      <w:r>
        <w:rPr>
          <w:rFonts w:hint="default" w:ascii="Times New Roman" w:hAnsi="Times New Roman" w:eastAsia="宋体" w:cs="Times New Roman"/>
          <w:color w:val="auto"/>
          <w:spacing w:val="8"/>
          <w:sz w:val="24"/>
          <w:szCs w:val="24"/>
          <w:u w:val="none" w:color="auto"/>
        </w:rPr>
        <w:t>渗漏、污染地下水的情况发生。</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⑤建立经常性的检修制度，如每年对厂区的各类污水管线进行一次或两次</w:t>
      </w:r>
      <w:r>
        <w:rPr>
          <w:rFonts w:hint="default" w:ascii="Times New Roman" w:hAnsi="Times New Roman" w:eastAsia="宋体" w:cs="Times New Roman"/>
          <w:color w:val="auto"/>
          <w:spacing w:val="4"/>
          <w:sz w:val="24"/>
          <w:szCs w:val="24"/>
          <w:u w:val="none" w:color="auto"/>
        </w:rPr>
        <w:t>全</w:t>
      </w:r>
      <w:r>
        <w:rPr>
          <w:rFonts w:hint="default" w:ascii="Times New Roman" w:hAnsi="Times New Roman" w:eastAsia="宋体" w:cs="Times New Roman"/>
          <w:color w:val="auto"/>
          <w:spacing w:val="7"/>
          <w:sz w:val="24"/>
          <w:szCs w:val="24"/>
          <w:u w:val="none" w:color="auto"/>
        </w:rPr>
        <w:t>面的检查以便及时发现问题，及时处理解决。加强生产管理，杜绝事故性排放</w:t>
      </w:r>
      <w:r>
        <w:rPr>
          <w:rFonts w:hint="default" w:ascii="Times New Roman" w:hAnsi="Times New Roman" w:eastAsia="宋体" w:cs="Times New Roman"/>
          <w:color w:val="auto"/>
          <w:spacing w:val="5"/>
          <w:sz w:val="24"/>
          <w:szCs w:val="24"/>
          <w:u w:val="none" w:color="auto"/>
        </w:rPr>
        <w:t>和</w:t>
      </w:r>
      <w:r>
        <w:rPr>
          <w:rFonts w:hint="default" w:ascii="Times New Roman" w:hAnsi="Times New Roman" w:eastAsia="宋体" w:cs="Times New Roman"/>
          <w:color w:val="auto"/>
          <w:spacing w:val="3"/>
          <w:sz w:val="24"/>
          <w:szCs w:val="24"/>
          <w:u w:val="none" w:color="auto"/>
        </w:rPr>
        <w:t>泄漏。</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14" w:firstLineChars="200"/>
        <w:textAlignment w:val="auto"/>
        <w:outlineLvl w:val="3"/>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spacing w:val="8"/>
          <w:sz w:val="24"/>
          <w:szCs w:val="24"/>
          <w:u w:val="none" w:color="auto"/>
        </w:rPr>
        <w:t>6</w:t>
      </w:r>
      <w:r>
        <w:rPr>
          <w:rFonts w:hint="default" w:ascii="Times New Roman" w:hAnsi="Times New Roman" w:eastAsia="宋体" w:cs="Times New Roman"/>
          <w:b/>
          <w:bCs/>
          <w:color w:val="auto"/>
          <w:spacing w:val="5"/>
          <w:sz w:val="24"/>
          <w:szCs w:val="24"/>
          <w:u w:val="none" w:color="auto"/>
        </w:rPr>
        <w:t>.2.3.2</w:t>
      </w:r>
      <w:r>
        <w:rPr>
          <w:rFonts w:hint="default" w:ascii="Times New Roman" w:hAnsi="Times New Roman" w:eastAsia="宋体" w:cs="Times New Roman"/>
          <w:color w:val="auto"/>
          <w:spacing w:val="5"/>
          <w:sz w:val="24"/>
          <w:szCs w:val="24"/>
          <w:u w:val="none" w:color="auto"/>
          <w14:textOutline w14:w="4358" w14:cap="sq" w14:cmpd="sng">
            <w14:solidFill>
              <w14:srgbClr w14:val="000000"/>
            </w14:solidFill>
            <w14:prstDash w14:val="solid"/>
            <w14:bevel/>
          </w14:textOutline>
        </w:rPr>
        <w:t>分区防渗</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根据场地内天然包气带防污性能、污染控制难易程度和污染物特性，本项目划定为重点防渗进行处理、一般防渗区、简单防渗区。各分区防渗设计应符合下列要求：</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eastAsia" w:ascii="Times New Roman" w:hAnsi="Times New Roman" w:eastAsia="宋体" w:cs="Times New Roman"/>
          <w:color w:val="auto"/>
          <w:spacing w:val="7"/>
          <w:sz w:val="24"/>
          <w:szCs w:val="24"/>
          <w:u w:val="none" w:color="auto"/>
          <w:lang w:eastAsia="zh-CN"/>
        </w:rPr>
      </w:pPr>
      <w:r>
        <w:rPr>
          <w:rFonts w:hint="default" w:ascii="Times New Roman" w:hAnsi="Times New Roman" w:eastAsia="宋体" w:cs="Times New Roman"/>
          <w:color w:val="auto"/>
          <w:spacing w:val="7"/>
          <w:sz w:val="24"/>
          <w:szCs w:val="24"/>
          <w:u w:val="none" w:color="auto"/>
        </w:rPr>
        <w:t>1、重点防渗区</w:t>
      </w:r>
      <w:r>
        <w:rPr>
          <w:rFonts w:hint="eastAsia" w:ascii="Times New Roman" w:hAnsi="Times New Roman" w:eastAsia="宋体" w:cs="Times New Roman"/>
          <w:color w:val="auto"/>
          <w:spacing w:val="7"/>
          <w:sz w:val="24"/>
          <w:szCs w:val="24"/>
          <w:u w:val="none" w:color="auto"/>
          <w:lang w:eastAsia="zh-CN"/>
        </w:rPr>
        <w:t>：</w:t>
      </w:r>
      <w:r>
        <w:rPr>
          <w:rFonts w:hint="default" w:ascii="Times New Roman" w:hAnsi="Times New Roman" w:eastAsia="宋体" w:cs="Times New Roman"/>
          <w:color w:val="auto"/>
          <w:spacing w:val="7"/>
          <w:sz w:val="24"/>
          <w:szCs w:val="24"/>
          <w:u w:val="none" w:color="auto"/>
        </w:rPr>
        <w:t>重点防渗区设置防渗层，重点防渗区的防渗性能应与6.0m厚粘土层(渗透系数1.0×10</w:t>
      </w:r>
      <w:r>
        <w:rPr>
          <w:rFonts w:hint="eastAsia" w:ascii="Times New Roman" w:hAnsi="Times New Roman" w:eastAsia="宋体" w:cs="Times New Roman"/>
          <w:color w:val="auto"/>
          <w:spacing w:val="7"/>
          <w:sz w:val="24"/>
          <w:szCs w:val="24"/>
          <w:u w:val="none" w:color="auto"/>
          <w:vertAlign w:val="superscript"/>
          <w:lang w:val="en-US" w:eastAsia="zh-CN"/>
        </w:rPr>
        <w:t>-7</w:t>
      </w:r>
      <w:r>
        <w:rPr>
          <w:rFonts w:hint="default" w:ascii="Times New Roman" w:hAnsi="Times New Roman" w:eastAsia="宋体" w:cs="Times New Roman"/>
          <w:color w:val="auto"/>
          <w:spacing w:val="7"/>
          <w:sz w:val="24"/>
          <w:szCs w:val="24"/>
          <w:u w:val="none" w:color="auto"/>
        </w:rPr>
        <w:t>cm/s)等效。可采用至少2毫米厚的其它人工材料(渗透系数1.0×10</w:t>
      </w:r>
      <w:r>
        <w:rPr>
          <w:rFonts w:hint="eastAsia" w:ascii="Times New Roman" w:hAnsi="Times New Roman" w:eastAsia="宋体" w:cs="Times New Roman"/>
          <w:color w:val="auto"/>
          <w:spacing w:val="7"/>
          <w:sz w:val="24"/>
          <w:szCs w:val="24"/>
          <w:u w:val="none" w:color="auto"/>
          <w:vertAlign w:val="superscript"/>
          <w:lang w:val="en-US" w:eastAsia="zh-CN"/>
        </w:rPr>
        <w:t>-7</w:t>
      </w:r>
      <w:r>
        <w:rPr>
          <w:rFonts w:hint="default" w:ascii="Times New Roman" w:hAnsi="Times New Roman" w:eastAsia="宋体" w:cs="Times New Roman"/>
          <w:color w:val="auto"/>
          <w:spacing w:val="7"/>
          <w:sz w:val="24"/>
          <w:szCs w:val="24"/>
          <w:u w:val="none" w:color="auto"/>
        </w:rPr>
        <w:t>cm/s)</w:t>
      </w:r>
      <w:r>
        <w:rPr>
          <w:rFonts w:hint="eastAsia" w:ascii="Times New Roman" w:hAnsi="Times New Roman" w:eastAsia="宋体" w:cs="Times New Roman"/>
          <w:color w:val="auto"/>
          <w:spacing w:val="7"/>
          <w:sz w:val="24"/>
          <w:szCs w:val="24"/>
          <w:u w:val="none" w:color="auto"/>
          <w:lang w:eastAsia="zh-CN"/>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2、一般防渗区：一般防渗区应设置防渗层，一般防渗区的防渗性能应与1.5m厚粘土层(渗透系数1.0×10</w:t>
      </w:r>
      <w:r>
        <w:rPr>
          <w:rFonts w:hint="default" w:ascii="Times New Roman" w:hAnsi="Times New Roman" w:eastAsia="宋体" w:cs="Times New Roman"/>
          <w:color w:val="auto"/>
          <w:spacing w:val="7"/>
          <w:sz w:val="24"/>
          <w:szCs w:val="24"/>
          <w:u w:val="none" w:color="auto"/>
          <w:vertAlign w:val="superscript"/>
        </w:rPr>
        <w:t>-7</w:t>
      </w:r>
      <w:r>
        <w:rPr>
          <w:rFonts w:hint="default" w:ascii="Times New Roman" w:hAnsi="Times New Roman" w:eastAsia="宋体" w:cs="Times New Roman"/>
          <w:color w:val="auto"/>
          <w:spacing w:val="7"/>
          <w:sz w:val="24"/>
          <w:szCs w:val="24"/>
          <w:u w:val="none" w:color="auto"/>
        </w:rPr>
        <w:t>cm/s)等效。可采用抗渗混凝土作面层，其中铺砌砂石基层，原土夯实达到防渗目的。</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3、简单防渗区：可采用一般地面硬化即可。</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4、危废暂存间防渗要求按照《危险废物贮存污染控制标准》(GB18597-20</w:t>
      </w:r>
      <w:r>
        <w:rPr>
          <w:rFonts w:hint="eastAsia" w:ascii="Times New Roman" w:hAnsi="Times New Roman" w:eastAsia="宋体" w:cs="Times New Roman"/>
          <w:color w:val="auto"/>
          <w:spacing w:val="7"/>
          <w:sz w:val="24"/>
          <w:szCs w:val="24"/>
          <w:u w:val="none" w:color="auto"/>
          <w:lang w:val="en-US" w:eastAsia="zh-CN"/>
        </w:rPr>
        <w:t>23</w:t>
      </w:r>
      <w:r>
        <w:rPr>
          <w:rFonts w:hint="default" w:ascii="Times New Roman" w:hAnsi="Times New Roman" w:eastAsia="宋体" w:cs="Times New Roman"/>
          <w:color w:val="auto"/>
          <w:spacing w:val="7"/>
          <w:sz w:val="24"/>
          <w:szCs w:val="24"/>
          <w:u w:val="none" w:color="auto"/>
        </w:rPr>
        <w:t>)中要求执行；一般固废严格按照《一般工业固体废物贮存和填埋污染控制标准》(GB18599-2020)要求执行。</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在采取以上措施的基础上，拟建项目对地下水环境的影响较小。本项目防渗分区见下表：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pacing w:val="7"/>
          <w:sz w:val="24"/>
          <w:szCs w:val="24"/>
          <w:u w:val="none" w:color="auto"/>
        </w:rPr>
      </w:pPr>
      <w:r>
        <w:rPr>
          <w:rFonts w:hint="default" w:ascii="Times New Roman" w:hAnsi="Times New Roman" w:eastAsia="宋体" w:cs="Times New Roman"/>
          <w:b/>
          <w:bCs/>
          <w:color w:val="auto"/>
          <w:spacing w:val="7"/>
          <w:sz w:val="24"/>
          <w:szCs w:val="24"/>
          <w:u w:val="none" w:color="auto"/>
        </w:rPr>
        <w:t>表6.2-</w:t>
      </w:r>
      <w:r>
        <w:rPr>
          <w:rFonts w:hint="eastAsia" w:ascii="Times New Roman" w:hAnsi="Times New Roman" w:eastAsia="宋体" w:cs="Times New Roman"/>
          <w:b/>
          <w:bCs/>
          <w:color w:val="auto"/>
          <w:spacing w:val="7"/>
          <w:sz w:val="24"/>
          <w:szCs w:val="24"/>
          <w:u w:val="none" w:color="auto"/>
          <w:lang w:val="en-US" w:eastAsia="zh-CN"/>
        </w:rPr>
        <w:t>3</w:t>
      </w:r>
      <w:r>
        <w:rPr>
          <w:rFonts w:hint="default" w:ascii="Times New Roman" w:hAnsi="Times New Roman" w:eastAsia="宋体" w:cs="Times New Roman"/>
          <w:b/>
          <w:bCs/>
          <w:color w:val="auto"/>
          <w:spacing w:val="7"/>
          <w:sz w:val="24"/>
          <w:szCs w:val="24"/>
          <w:u w:val="none" w:color="auto"/>
        </w:rPr>
        <w:t>地下水污染防渗分区及防渗等级一览表</w:t>
      </w:r>
    </w:p>
    <w:tbl>
      <w:tblPr>
        <w:tblStyle w:val="204"/>
        <w:tblW w:w="8333"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3"/>
        <w:gridCol w:w="869"/>
        <w:gridCol w:w="1369"/>
        <w:gridCol w:w="1527"/>
        <w:gridCol w:w="35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14:textOutline w14:w="3795" w14:cap="sq" w14:cmpd="sng">
                  <w14:solidFill>
                    <w14:srgbClr w14:val="000000"/>
                  </w14:solidFill>
                  <w14:prstDash w14:val="solid"/>
                  <w14:bevel/>
                </w14:textOutline>
              </w:rPr>
              <w:t>防</w:t>
            </w:r>
            <w:r>
              <w:rPr>
                <w:rFonts w:hint="default" w:ascii="Times New Roman" w:hAnsi="Times New Roman" w:eastAsia="宋体" w:cs="Times New Roman"/>
                <w:color w:val="auto"/>
                <w:spacing w:val="3"/>
                <w:sz w:val="21"/>
                <w:szCs w:val="21"/>
                <w:u w:val="none" w:color="auto"/>
                <w14:textOutline w14:w="3795" w14:cap="sq" w14:cmpd="sng">
                  <w14:solidFill>
                    <w14:srgbClr w14:val="000000"/>
                  </w14:solidFill>
                  <w14:prstDash w14:val="solid"/>
                  <w14:bevel/>
                </w14:textOutline>
              </w:rPr>
              <w:t>渗分</w:t>
            </w:r>
            <w:r>
              <w:rPr>
                <w:rFonts w:hint="default" w:ascii="Times New Roman" w:hAnsi="Times New Roman" w:eastAsia="宋体" w:cs="Times New Roman"/>
                <w:color w:val="auto"/>
                <w:sz w:val="21"/>
                <w:szCs w:val="21"/>
                <w:u w:val="none" w:color="auto"/>
                <w14:textOutline w14:w="3795" w14:cap="sq" w14:cmpd="sng">
                  <w14:solidFill>
                    <w14:srgbClr w14:val="000000"/>
                  </w14:solidFill>
                  <w14:prstDash w14:val="solid"/>
                  <w14:bevel/>
                </w14:textOutline>
              </w:rPr>
              <w:t>区</w:t>
            </w:r>
          </w:p>
        </w:tc>
        <w:tc>
          <w:tcPr>
            <w:tcW w:w="8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14:textOutline w14:w="3795" w14:cap="sq" w14:cmpd="sng">
                  <w14:solidFill>
                    <w14:srgbClr w14:val="000000"/>
                  </w14:solidFill>
                  <w14:prstDash w14:val="solid"/>
                  <w14:bevel/>
                </w14:textOutline>
              </w:rPr>
              <w:t>难易程</w:t>
            </w:r>
            <w:r>
              <w:rPr>
                <w:rFonts w:hint="default" w:ascii="Times New Roman" w:hAnsi="Times New Roman" w:eastAsia="宋体" w:cs="Times New Roman"/>
                <w:color w:val="auto"/>
                <w:spacing w:val="1"/>
                <w:sz w:val="21"/>
                <w:szCs w:val="21"/>
                <w:u w:val="none" w:color="auto"/>
                <w14:textOutline w14:w="3795" w14:cap="sq" w14:cmpd="sng">
                  <w14:solidFill>
                    <w14:srgbClr w14:val="000000"/>
                  </w14:solidFill>
                  <w14:prstDash w14:val="solid"/>
                  <w14:bevel/>
                </w14:textOutline>
              </w:rPr>
              <w:t>度</w:t>
            </w:r>
          </w:p>
        </w:tc>
        <w:tc>
          <w:tcPr>
            <w:tcW w:w="2896"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14:textOutline w14:w="3795" w14:cap="sq" w14:cmpd="sng">
                  <w14:solidFill>
                    <w14:srgbClr w14:val="000000"/>
                  </w14:solidFill>
                  <w14:prstDash w14:val="solid"/>
                  <w14:bevel/>
                </w14:textOutline>
              </w:rPr>
              <w:t>防</w:t>
            </w:r>
            <w:r>
              <w:rPr>
                <w:rFonts w:hint="default" w:ascii="Times New Roman" w:hAnsi="Times New Roman" w:eastAsia="宋体" w:cs="Times New Roman"/>
                <w:color w:val="auto"/>
                <w:spacing w:val="5"/>
                <w:sz w:val="21"/>
                <w:szCs w:val="21"/>
                <w:u w:val="none" w:color="auto"/>
                <w14:textOutline w14:w="3795" w14:cap="sq" w14:cmpd="sng">
                  <w14:solidFill>
                    <w14:srgbClr w14:val="000000"/>
                  </w14:solidFill>
                  <w14:prstDash w14:val="solid"/>
                  <w14:bevel/>
                </w14:textOutline>
              </w:rPr>
              <w:t>渗区域</w:t>
            </w:r>
          </w:p>
        </w:tc>
        <w:tc>
          <w:tcPr>
            <w:tcW w:w="357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14:textOutline w14:w="3795" w14:cap="sq" w14:cmpd="sng">
                  <w14:solidFill>
                    <w14:srgbClr w14:val="000000"/>
                  </w14:solidFill>
                  <w14:prstDash w14:val="solid"/>
                  <w14:bevel/>
                </w14:textOutline>
              </w:rPr>
              <w:t>防渗技术要</w:t>
            </w:r>
            <w:r>
              <w:rPr>
                <w:rFonts w:hint="default" w:ascii="Times New Roman" w:hAnsi="Times New Roman" w:eastAsia="宋体" w:cs="Times New Roman"/>
                <w:color w:val="auto"/>
                <w:spacing w:val="6"/>
                <w:sz w:val="21"/>
                <w:szCs w:val="21"/>
                <w:u w:val="none" w:color="auto"/>
                <w14:textOutline w14:w="3795" w14:cap="sq" w14:cmpd="sng">
                  <w14:solidFill>
                    <w14:srgbClr w14:val="000000"/>
                  </w14:solidFill>
                  <w14:prstDash w14:val="solid"/>
                  <w14:bevel/>
                </w14:textOutline>
              </w:rPr>
              <w:t>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重</w:t>
            </w:r>
            <w:r>
              <w:rPr>
                <w:rFonts w:hint="default" w:ascii="Times New Roman" w:hAnsi="Times New Roman" w:eastAsia="宋体" w:cs="Times New Roman"/>
                <w:color w:val="auto"/>
                <w:spacing w:val="6"/>
                <w:sz w:val="21"/>
                <w:szCs w:val="21"/>
                <w:u w:val="none" w:color="auto"/>
              </w:rPr>
              <w:t>点防</w:t>
            </w:r>
            <w:r>
              <w:rPr>
                <w:rFonts w:hint="default" w:ascii="Times New Roman" w:hAnsi="Times New Roman" w:eastAsia="宋体" w:cs="Times New Roman"/>
                <w:color w:val="auto"/>
                <w:spacing w:val="4"/>
                <w:sz w:val="21"/>
                <w:szCs w:val="21"/>
                <w:u w:val="none" w:color="auto"/>
              </w:rPr>
              <w:t>渗区</w:t>
            </w:r>
          </w:p>
        </w:tc>
        <w:tc>
          <w:tcPr>
            <w:tcW w:w="869"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难</w:t>
            </w: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pacing w:val="9"/>
                <w:sz w:val="21"/>
                <w:szCs w:val="21"/>
                <w:u w:val="none" w:color="auto"/>
                <w:lang w:eastAsia="zh-CN"/>
              </w:rPr>
              <w:t>污水处理站</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池底、池壁</w:t>
            </w:r>
          </w:p>
        </w:tc>
        <w:tc>
          <w:tcPr>
            <w:tcW w:w="3575"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position w:val="1"/>
                <w:sz w:val="21"/>
                <w:szCs w:val="21"/>
                <w:u w:val="none" w:color="auto"/>
              </w:rPr>
              <w:t>等效黏土防渗层</w:t>
            </w:r>
            <w:r>
              <w:rPr>
                <w:rFonts w:hint="default" w:ascii="Times New Roman" w:hAnsi="Times New Roman" w:eastAsia="宋体" w:cs="Times New Roman"/>
                <w:color w:val="auto"/>
                <w:position w:val="1"/>
                <w:sz w:val="21"/>
                <w:szCs w:val="21"/>
                <w:u w:val="none" w:color="auto"/>
              </w:rPr>
              <w:t>Mb</w:t>
            </w:r>
            <w:r>
              <w:rPr>
                <w:rFonts w:hint="default" w:ascii="Times New Roman" w:hAnsi="Times New Roman" w:eastAsia="宋体" w:cs="Times New Roman"/>
                <w:color w:val="auto"/>
                <w:spacing w:val="3"/>
                <w:position w:val="1"/>
                <w:sz w:val="21"/>
                <w:szCs w:val="21"/>
                <w:u w:val="none" w:color="auto"/>
              </w:rPr>
              <w:t>≥6.0</w:t>
            </w:r>
            <w:r>
              <w:rPr>
                <w:rFonts w:hint="default" w:ascii="Times New Roman" w:hAnsi="Times New Roman" w:eastAsia="宋体" w:cs="Times New Roman"/>
                <w:color w:val="auto"/>
                <w:position w:val="1"/>
                <w:sz w:val="21"/>
                <w:szCs w:val="21"/>
                <w:u w:val="none" w:color="auto"/>
              </w:rPr>
              <w:t>m</w:t>
            </w:r>
            <w:r>
              <w:rPr>
                <w:rFonts w:hint="default" w:ascii="Times New Roman" w:hAnsi="Times New Roman" w:eastAsia="宋体" w:cs="Times New Roman"/>
                <w:color w:val="auto"/>
                <w:spacing w:val="3"/>
                <w:position w:val="1"/>
                <w:sz w:val="21"/>
                <w:szCs w:val="21"/>
                <w:u w:val="none" w:color="auto"/>
              </w:rPr>
              <w:t>，渗透系</w:t>
            </w:r>
            <w:r>
              <w:rPr>
                <w:rFonts w:hint="default" w:ascii="Times New Roman" w:hAnsi="Times New Roman" w:eastAsia="宋体" w:cs="Times New Roman"/>
                <w:color w:val="auto"/>
                <w:spacing w:val="2"/>
                <w:position w:val="1"/>
                <w:sz w:val="21"/>
                <w:szCs w:val="21"/>
                <w:u w:val="none" w:color="auto"/>
              </w:rPr>
              <w:t>数</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position w:val="1"/>
                <w:sz w:val="21"/>
                <w:szCs w:val="21"/>
                <w:u w:val="none" w:color="auto"/>
              </w:rPr>
              <w:t>K</w:t>
            </w:r>
            <w:r>
              <w:rPr>
                <w:rFonts w:hint="default" w:ascii="Times New Roman" w:hAnsi="Times New Roman" w:eastAsia="宋体" w:cs="Times New Roman"/>
                <w:color w:val="auto"/>
                <w:spacing w:val="-1"/>
                <w:position w:val="1"/>
                <w:sz w:val="21"/>
                <w:szCs w:val="21"/>
                <w:u w:val="none" w:color="auto"/>
              </w:rPr>
              <w:t>≤1.0×10</w:t>
            </w:r>
            <w:r>
              <w:rPr>
                <w:rFonts w:hint="eastAsia" w:ascii="Times New Roman" w:hAnsi="Times New Roman" w:eastAsia="宋体" w:cs="Times New Roman"/>
                <w:color w:val="auto"/>
                <w:spacing w:val="-1"/>
                <w:position w:val="1"/>
                <w:sz w:val="21"/>
                <w:szCs w:val="21"/>
                <w:u w:val="none" w:color="auto"/>
                <w:vertAlign w:val="superscript"/>
                <w:lang w:val="en-US" w:eastAsia="zh-CN"/>
              </w:rPr>
              <w:t>-7</w:t>
            </w:r>
            <w:r>
              <w:rPr>
                <w:rFonts w:hint="default" w:ascii="Times New Roman" w:hAnsi="Times New Roman" w:eastAsia="宋体" w:cs="Times New Roman"/>
                <w:color w:val="auto"/>
                <w:position w:val="1"/>
                <w:sz w:val="21"/>
                <w:szCs w:val="21"/>
                <w:u w:val="none" w:color="auto"/>
              </w:rPr>
              <w:t>cm</w:t>
            </w:r>
            <w:r>
              <w:rPr>
                <w:rFonts w:hint="default" w:ascii="Times New Roman" w:hAnsi="Times New Roman" w:eastAsia="宋体" w:cs="Times New Roman"/>
                <w:color w:val="auto"/>
                <w:spacing w:val="-1"/>
                <w:position w:val="1"/>
                <w:sz w:val="21"/>
                <w:szCs w:val="21"/>
                <w:u w:val="none" w:color="auto"/>
              </w:rPr>
              <w:t>/</w:t>
            </w:r>
            <w:r>
              <w:rPr>
                <w:rFonts w:hint="default" w:ascii="Times New Roman" w:hAnsi="Times New Roman" w:eastAsia="宋体" w:cs="Times New Roman"/>
                <w:color w:val="auto"/>
                <w:position w:val="1"/>
                <w:sz w:val="21"/>
                <w:szCs w:val="21"/>
                <w:u w:val="none" w:color="auto"/>
              </w:rPr>
              <w:t>s</w:t>
            </w:r>
            <w:r>
              <w:rPr>
                <w:rFonts w:hint="default" w:ascii="Times New Roman" w:hAnsi="Times New Roman" w:eastAsia="宋体" w:cs="Times New Roman"/>
                <w:color w:val="auto"/>
                <w:spacing w:val="-1"/>
                <w:position w:val="1"/>
                <w:sz w:val="21"/>
                <w:szCs w:val="21"/>
                <w:u w:val="none" w:color="auto"/>
              </w:rPr>
              <w:t>，或2</w:t>
            </w:r>
            <w:r>
              <w:rPr>
                <w:rFonts w:hint="default" w:ascii="Times New Roman" w:hAnsi="Times New Roman" w:eastAsia="宋体" w:cs="Times New Roman"/>
                <w:color w:val="auto"/>
                <w:position w:val="1"/>
                <w:sz w:val="21"/>
                <w:szCs w:val="21"/>
                <w:u w:val="none" w:color="auto"/>
              </w:rPr>
              <w:t>mm厚高密度聚</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乙烯，</w:t>
            </w:r>
            <w:r>
              <w:rPr>
                <w:rFonts w:hint="default" w:ascii="Times New Roman" w:hAnsi="Times New Roman" w:eastAsia="宋体" w:cs="Times New Roman"/>
                <w:color w:val="auto"/>
                <w:spacing w:val="4"/>
                <w:sz w:val="21"/>
                <w:szCs w:val="21"/>
                <w:u w:val="none" w:color="auto"/>
              </w:rPr>
              <w:t>或至少2</w:t>
            </w:r>
            <w:r>
              <w:rPr>
                <w:rFonts w:hint="default" w:ascii="Times New Roman" w:hAnsi="Times New Roman" w:eastAsia="宋体" w:cs="Times New Roman"/>
                <w:color w:val="auto"/>
                <w:sz w:val="21"/>
                <w:szCs w:val="21"/>
                <w:u w:val="none" w:color="auto"/>
              </w:rPr>
              <w:t>mm</w:t>
            </w:r>
            <w:r>
              <w:rPr>
                <w:rFonts w:hint="default" w:ascii="Times New Roman" w:hAnsi="Times New Roman" w:eastAsia="宋体" w:cs="Times New Roman"/>
                <w:color w:val="auto"/>
                <w:spacing w:val="4"/>
                <w:sz w:val="21"/>
                <w:szCs w:val="21"/>
                <w:u w:val="none" w:color="auto"/>
              </w:rPr>
              <w:t>厚的其它人工材</w:t>
            </w:r>
          </w:p>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4"/>
                <w:position w:val="1"/>
                <w:sz w:val="21"/>
                <w:szCs w:val="21"/>
                <w:u w:val="none" w:color="auto"/>
              </w:rPr>
              <w:t>料</w:t>
            </w:r>
            <w:r>
              <w:rPr>
                <w:rFonts w:hint="default" w:ascii="Times New Roman" w:hAnsi="Times New Roman" w:eastAsia="宋体" w:cs="Times New Roman"/>
                <w:color w:val="auto"/>
                <w:spacing w:val="7"/>
                <w:position w:val="1"/>
                <w:sz w:val="21"/>
                <w:szCs w:val="21"/>
                <w:u w:val="none" w:color="auto"/>
              </w:rPr>
              <w:t>，渗透系数≤1.0×10</w:t>
            </w:r>
            <w:r>
              <w:rPr>
                <w:rFonts w:hint="eastAsia" w:ascii="Times New Roman" w:hAnsi="Times New Roman" w:eastAsia="宋体" w:cs="Times New Roman"/>
                <w:color w:val="auto"/>
                <w:spacing w:val="7"/>
                <w:position w:val="1"/>
                <w:sz w:val="21"/>
                <w:szCs w:val="21"/>
                <w:u w:val="none" w:color="auto"/>
                <w:vertAlign w:val="superscript"/>
                <w:lang w:val="en-US" w:eastAsia="zh-CN"/>
              </w:rPr>
              <w:t>-7</w:t>
            </w:r>
            <w:r>
              <w:rPr>
                <w:rFonts w:hint="default" w:ascii="Times New Roman" w:hAnsi="Times New Roman" w:eastAsia="宋体" w:cs="Times New Roman"/>
                <w:color w:val="auto"/>
                <w:position w:val="1"/>
                <w:sz w:val="21"/>
                <w:szCs w:val="21"/>
                <w:u w:val="none" w:color="auto"/>
              </w:rPr>
              <w:t>cm</w:t>
            </w:r>
            <w:r>
              <w:rPr>
                <w:rFonts w:hint="default" w:ascii="Times New Roman" w:hAnsi="Times New Roman" w:eastAsia="宋体" w:cs="Times New Roman"/>
                <w:color w:val="auto"/>
                <w:spacing w:val="7"/>
                <w:position w:val="1"/>
                <w:sz w:val="21"/>
                <w:szCs w:val="21"/>
                <w:u w:val="none" w:color="auto"/>
              </w:rPr>
              <w:t>/</w:t>
            </w:r>
            <w:r>
              <w:rPr>
                <w:rFonts w:hint="default" w:ascii="Times New Roman" w:hAnsi="Times New Roman" w:eastAsia="宋体" w:cs="Times New Roman"/>
                <w:color w:val="auto"/>
                <w:position w:val="1"/>
                <w:sz w:val="21"/>
                <w:szCs w:val="21"/>
                <w:u w:val="none" w:color="auto"/>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869"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碱</w:t>
            </w:r>
            <w:r>
              <w:rPr>
                <w:rFonts w:hint="default" w:ascii="Times New Roman" w:hAnsi="Times New Roman" w:eastAsia="宋体" w:cs="Times New Roman"/>
                <w:color w:val="auto"/>
                <w:spacing w:val="7"/>
                <w:sz w:val="21"/>
                <w:szCs w:val="21"/>
                <w:u w:val="none" w:color="auto"/>
              </w:rPr>
              <w:t>液池</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池底、池壁</w:t>
            </w:r>
          </w:p>
        </w:tc>
        <w:tc>
          <w:tcPr>
            <w:tcW w:w="3575"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869"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应急事故池</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池底、池壁</w:t>
            </w:r>
          </w:p>
        </w:tc>
        <w:tc>
          <w:tcPr>
            <w:tcW w:w="3575"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869"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0"/>
                <w:sz w:val="21"/>
                <w:szCs w:val="21"/>
                <w:u w:val="none" w:color="auto"/>
              </w:rPr>
              <w:t>危</w:t>
            </w:r>
            <w:r>
              <w:rPr>
                <w:rFonts w:hint="default" w:ascii="Times New Roman" w:hAnsi="Times New Roman" w:eastAsia="宋体" w:cs="Times New Roman"/>
                <w:color w:val="auto"/>
                <w:spacing w:val="7"/>
                <w:sz w:val="21"/>
                <w:szCs w:val="21"/>
                <w:u w:val="none" w:color="auto"/>
              </w:rPr>
              <w:t>险废物暂</w:t>
            </w:r>
            <w:r>
              <w:rPr>
                <w:rFonts w:hint="default" w:ascii="Times New Roman" w:hAnsi="Times New Roman" w:eastAsia="宋体" w:cs="Times New Roman"/>
                <w:color w:val="auto"/>
                <w:spacing w:val="5"/>
                <w:sz w:val="21"/>
                <w:szCs w:val="21"/>
                <w:u w:val="none" w:color="auto"/>
              </w:rPr>
              <w:t>存间</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地</w:t>
            </w:r>
            <w:r>
              <w:rPr>
                <w:rFonts w:hint="default" w:ascii="Times New Roman" w:hAnsi="Times New Roman" w:eastAsia="宋体" w:cs="Times New Roman"/>
                <w:color w:val="auto"/>
                <w:spacing w:val="4"/>
                <w:sz w:val="21"/>
                <w:szCs w:val="21"/>
                <w:u w:val="none" w:color="auto"/>
              </w:rPr>
              <w:t>面</w:t>
            </w:r>
          </w:p>
        </w:tc>
        <w:tc>
          <w:tcPr>
            <w:tcW w:w="3575"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一般</w:t>
            </w:r>
            <w:r>
              <w:rPr>
                <w:rFonts w:hint="default" w:ascii="Times New Roman" w:hAnsi="Times New Roman" w:eastAsia="宋体" w:cs="Times New Roman"/>
                <w:color w:val="auto"/>
                <w:spacing w:val="5"/>
                <w:sz w:val="21"/>
                <w:szCs w:val="21"/>
                <w:u w:val="none" w:color="auto"/>
              </w:rPr>
              <w:t>防</w:t>
            </w:r>
            <w:r>
              <w:rPr>
                <w:rFonts w:hint="default" w:ascii="Times New Roman" w:hAnsi="Times New Roman" w:eastAsia="宋体" w:cs="Times New Roman"/>
                <w:color w:val="auto"/>
                <w:spacing w:val="4"/>
                <w:sz w:val="21"/>
                <w:szCs w:val="21"/>
                <w:u w:val="none" w:color="auto"/>
              </w:rPr>
              <w:t>渗区</w:t>
            </w:r>
          </w:p>
        </w:tc>
        <w:tc>
          <w:tcPr>
            <w:tcW w:w="869"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难</w:t>
            </w: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一</w:t>
            </w:r>
            <w:r>
              <w:rPr>
                <w:rFonts w:hint="default" w:ascii="Times New Roman" w:hAnsi="Times New Roman" w:eastAsia="宋体" w:cs="Times New Roman"/>
                <w:color w:val="auto"/>
                <w:spacing w:val="7"/>
                <w:sz w:val="21"/>
                <w:szCs w:val="21"/>
                <w:u w:val="none" w:color="auto"/>
              </w:rPr>
              <w:t>般固废暂</w:t>
            </w:r>
            <w:r>
              <w:rPr>
                <w:rFonts w:hint="default" w:ascii="Times New Roman" w:hAnsi="Times New Roman" w:eastAsia="宋体" w:cs="Times New Roman"/>
                <w:color w:val="auto"/>
                <w:spacing w:val="5"/>
                <w:sz w:val="21"/>
                <w:szCs w:val="21"/>
                <w:u w:val="none" w:color="auto"/>
              </w:rPr>
              <w:t>存间</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地</w:t>
            </w:r>
            <w:r>
              <w:rPr>
                <w:rFonts w:hint="default" w:ascii="Times New Roman" w:hAnsi="Times New Roman" w:eastAsia="宋体" w:cs="Times New Roman"/>
                <w:color w:val="auto"/>
                <w:spacing w:val="4"/>
                <w:sz w:val="21"/>
                <w:szCs w:val="21"/>
                <w:u w:val="none" w:color="auto"/>
              </w:rPr>
              <w:t>面</w:t>
            </w:r>
          </w:p>
        </w:tc>
        <w:tc>
          <w:tcPr>
            <w:tcW w:w="3575" w:type="dxa"/>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①</w:t>
            </w:r>
            <w:r>
              <w:rPr>
                <w:rFonts w:hint="default" w:ascii="Times New Roman" w:hAnsi="Times New Roman" w:eastAsia="宋体" w:cs="Times New Roman"/>
                <w:color w:val="auto"/>
                <w:spacing w:val="3"/>
                <w:sz w:val="21"/>
                <w:szCs w:val="21"/>
                <w:u w:val="none" w:color="auto"/>
              </w:rPr>
              <w:t>等效黏土防渗层</w:t>
            </w:r>
            <w:r>
              <w:rPr>
                <w:rFonts w:hint="default" w:ascii="Times New Roman" w:hAnsi="Times New Roman" w:eastAsia="宋体" w:cs="Times New Roman"/>
                <w:color w:val="auto"/>
                <w:sz w:val="21"/>
                <w:szCs w:val="21"/>
                <w:u w:val="none" w:color="auto"/>
              </w:rPr>
              <w:t>Mb</w:t>
            </w:r>
            <w:r>
              <w:rPr>
                <w:rFonts w:hint="default" w:ascii="Times New Roman" w:hAnsi="Times New Roman" w:eastAsia="宋体" w:cs="Times New Roman"/>
                <w:color w:val="auto"/>
                <w:spacing w:val="3"/>
                <w:sz w:val="21"/>
                <w:szCs w:val="21"/>
                <w:u w:val="none" w:color="auto"/>
              </w:rPr>
              <w:t>≥1.5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pacing w:val="3"/>
                <w:sz w:val="21"/>
                <w:szCs w:val="21"/>
                <w:u w:val="none" w:color="auto"/>
              </w:rPr>
              <w:t>，渗透系</w:t>
            </w:r>
            <w:r>
              <w:rPr>
                <w:rFonts w:hint="default" w:ascii="Times New Roman" w:hAnsi="Times New Roman" w:eastAsia="宋体" w:cs="Times New Roman"/>
                <w:color w:val="auto"/>
                <w:spacing w:val="-4"/>
                <w:sz w:val="21"/>
                <w:szCs w:val="21"/>
                <w:u w:val="none" w:color="auto"/>
              </w:rPr>
              <w:t>数</w:t>
            </w:r>
            <w:r>
              <w:rPr>
                <w:rFonts w:hint="default" w:ascii="Times New Roman" w:hAnsi="Times New Roman" w:eastAsia="宋体" w:cs="Times New Roman"/>
                <w:color w:val="auto"/>
                <w:spacing w:val="-2"/>
                <w:sz w:val="21"/>
                <w:szCs w:val="21"/>
                <w:u w:val="none" w:color="auto"/>
              </w:rPr>
              <w:t>K</w:t>
            </w:r>
            <w:r>
              <w:rPr>
                <w:rFonts w:hint="default" w:ascii="Times New Roman" w:hAnsi="Times New Roman" w:eastAsia="宋体" w:cs="Times New Roman"/>
                <w:color w:val="auto"/>
                <w:spacing w:val="-4"/>
                <w:sz w:val="21"/>
                <w:szCs w:val="21"/>
                <w:u w:val="none" w:color="auto"/>
              </w:rPr>
              <w:t>≤1.0</w:t>
            </w:r>
            <w:r>
              <w:rPr>
                <w:rFonts w:hint="default" w:ascii="Times New Roman" w:hAnsi="Times New Roman" w:eastAsia="宋体" w:cs="Times New Roman"/>
                <w:color w:val="auto"/>
                <w:spacing w:val="-3"/>
                <w:sz w:val="21"/>
                <w:szCs w:val="21"/>
                <w:u w:val="none" w:color="auto"/>
              </w:rPr>
              <w:t>×</w:t>
            </w:r>
            <w:r>
              <w:rPr>
                <w:rFonts w:hint="default" w:ascii="Times New Roman" w:hAnsi="Times New Roman" w:eastAsia="宋体" w:cs="Times New Roman"/>
                <w:color w:val="auto"/>
                <w:spacing w:val="-2"/>
                <w:sz w:val="21"/>
                <w:szCs w:val="21"/>
                <w:u w:val="none" w:color="auto"/>
              </w:rPr>
              <w:t>10</w:t>
            </w:r>
            <w:r>
              <w:rPr>
                <w:rFonts w:hint="default" w:ascii="Times New Roman" w:hAnsi="Times New Roman" w:eastAsia="宋体" w:cs="Times New Roman"/>
                <w:color w:val="auto"/>
                <w:spacing w:val="-2"/>
                <w:sz w:val="21"/>
                <w:szCs w:val="21"/>
                <w:u w:val="none" w:color="auto"/>
                <w:vertAlign w:val="superscript"/>
              </w:rPr>
              <w:t>-7</w:t>
            </w:r>
            <w:r>
              <w:rPr>
                <w:rFonts w:hint="default" w:ascii="Times New Roman" w:hAnsi="Times New Roman" w:eastAsia="宋体" w:cs="Times New Roman"/>
                <w:color w:val="auto"/>
                <w:spacing w:val="-2"/>
                <w:sz w:val="21"/>
                <w:szCs w:val="21"/>
                <w:u w:val="none" w:color="auto"/>
              </w:rPr>
              <w:t>cm/s，</w:t>
            </w:r>
            <w:r>
              <w:rPr>
                <w:rFonts w:hint="default" w:ascii="Times New Roman" w:hAnsi="Times New Roman" w:eastAsia="宋体" w:cs="Times New Roman"/>
                <w:color w:val="auto"/>
                <w:spacing w:val="14"/>
                <w:sz w:val="21"/>
                <w:szCs w:val="21"/>
                <w:u w:val="none" w:color="auto"/>
              </w:rPr>
              <w:t>②</w:t>
            </w:r>
            <w:r>
              <w:rPr>
                <w:rFonts w:hint="default" w:ascii="Times New Roman" w:hAnsi="Times New Roman" w:eastAsia="宋体" w:cs="Times New Roman"/>
                <w:color w:val="auto"/>
                <w:spacing w:val="9"/>
                <w:sz w:val="21"/>
                <w:szCs w:val="21"/>
                <w:u w:val="none" w:color="auto"/>
              </w:rPr>
              <w:t>人工合成材料应采用高密度聚乙</w:t>
            </w:r>
            <w:r>
              <w:rPr>
                <w:rFonts w:hint="default" w:ascii="Times New Roman" w:hAnsi="Times New Roman" w:eastAsia="宋体" w:cs="Times New Roman"/>
                <w:color w:val="auto"/>
                <w:spacing w:val="4"/>
                <w:sz w:val="21"/>
                <w:szCs w:val="21"/>
                <w:u w:val="none" w:color="auto"/>
              </w:rPr>
              <w:t>烯膜，</w:t>
            </w:r>
            <w:r>
              <w:rPr>
                <w:rFonts w:hint="default" w:ascii="Times New Roman" w:hAnsi="Times New Roman" w:eastAsia="宋体" w:cs="Times New Roman"/>
                <w:color w:val="auto"/>
                <w:spacing w:val="3"/>
                <w:sz w:val="21"/>
                <w:szCs w:val="21"/>
                <w:u w:val="none" w:color="auto"/>
              </w:rPr>
              <w:t>厚</w:t>
            </w:r>
            <w:r>
              <w:rPr>
                <w:rFonts w:hint="default" w:ascii="Times New Roman" w:hAnsi="Times New Roman" w:eastAsia="宋体" w:cs="Times New Roman"/>
                <w:color w:val="auto"/>
                <w:spacing w:val="2"/>
                <w:sz w:val="21"/>
                <w:szCs w:val="21"/>
                <w:u w:val="none" w:color="auto"/>
              </w:rPr>
              <w:t>度不小于1.5</w:t>
            </w:r>
            <w:r>
              <w:rPr>
                <w:rFonts w:hint="default" w:ascii="Times New Roman" w:hAnsi="Times New Roman" w:eastAsia="宋体" w:cs="Times New Roman"/>
                <w:color w:val="auto"/>
                <w:sz w:val="21"/>
                <w:szCs w:val="21"/>
                <w:u w:val="none" w:color="auto"/>
              </w:rPr>
              <w:t>mm</w:t>
            </w:r>
            <w:r>
              <w:rPr>
                <w:rFonts w:hint="default" w:ascii="Times New Roman" w:hAnsi="Times New Roman" w:eastAsia="宋体" w:cs="Times New Roman"/>
                <w:color w:val="auto"/>
                <w:spacing w:val="2"/>
                <w:sz w:val="21"/>
                <w:szCs w:val="21"/>
                <w:u w:val="none" w:color="auto"/>
              </w:rPr>
              <w:t>，并满足</w:t>
            </w:r>
            <w:r>
              <w:rPr>
                <w:rFonts w:hint="default" w:ascii="Times New Roman" w:hAnsi="Times New Roman" w:eastAsia="宋体" w:cs="Times New Roman"/>
                <w:color w:val="auto"/>
                <w:sz w:val="21"/>
                <w:szCs w:val="21"/>
                <w:u w:val="none" w:color="auto"/>
              </w:rPr>
              <w:t>GB</w:t>
            </w:r>
            <w:r>
              <w:rPr>
                <w:rFonts w:hint="default" w:ascii="Times New Roman" w:hAnsi="Times New Roman" w:eastAsia="宋体" w:cs="Times New Roman"/>
                <w:color w:val="auto"/>
                <w:spacing w:val="8"/>
                <w:sz w:val="21"/>
                <w:szCs w:val="21"/>
                <w:u w:val="none" w:color="auto"/>
              </w:rPr>
              <w:t>/</w:t>
            </w:r>
            <w:r>
              <w:rPr>
                <w:rFonts w:hint="default" w:ascii="Times New Roman" w:hAnsi="Times New Roman" w:eastAsia="宋体" w:cs="Times New Roman"/>
                <w:color w:val="auto"/>
                <w:sz w:val="21"/>
                <w:szCs w:val="21"/>
                <w:u w:val="none" w:color="auto"/>
              </w:rPr>
              <w:t>T</w:t>
            </w:r>
            <w:r>
              <w:rPr>
                <w:rFonts w:hint="default" w:ascii="Times New Roman" w:hAnsi="Times New Roman" w:eastAsia="宋体" w:cs="Times New Roman"/>
                <w:color w:val="auto"/>
                <w:spacing w:val="8"/>
                <w:sz w:val="21"/>
                <w:szCs w:val="21"/>
                <w:u w:val="none" w:color="auto"/>
              </w:rPr>
              <w:t>1</w:t>
            </w:r>
            <w:r>
              <w:rPr>
                <w:rFonts w:hint="default" w:ascii="Times New Roman" w:hAnsi="Times New Roman" w:eastAsia="宋体" w:cs="Times New Roman"/>
                <w:color w:val="auto"/>
                <w:spacing w:val="6"/>
                <w:sz w:val="21"/>
                <w:szCs w:val="21"/>
                <w:u w:val="none" w:color="auto"/>
              </w:rPr>
              <w:t>7</w:t>
            </w:r>
            <w:r>
              <w:rPr>
                <w:rFonts w:hint="default" w:ascii="Times New Roman" w:hAnsi="Times New Roman" w:eastAsia="宋体" w:cs="Times New Roman"/>
                <w:color w:val="auto"/>
                <w:spacing w:val="4"/>
                <w:sz w:val="21"/>
                <w:szCs w:val="21"/>
                <w:u w:val="none" w:color="auto"/>
              </w:rPr>
              <w:t>643规定的技术指标要求。采</w:t>
            </w:r>
            <w:r>
              <w:rPr>
                <w:rFonts w:hint="default" w:ascii="Times New Roman" w:hAnsi="Times New Roman" w:eastAsia="宋体" w:cs="Times New Roman"/>
                <w:color w:val="auto"/>
                <w:spacing w:val="11"/>
                <w:sz w:val="21"/>
                <w:szCs w:val="21"/>
                <w:u w:val="none" w:color="auto"/>
              </w:rPr>
              <w:t>用</w:t>
            </w:r>
            <w:r>
              <w:rPr>
                <w:rFonts w:hint="default" w:ascii="Times New Roman" w:hAnsi="Times New Roman" w:eastAsia="宋体" w:cs="Times New Roman"/>
                <w:color w:val="auto"/>
                <w:spacing w:val="9"/>
                <w:sz w:val="21"/>
                <w:szCs w:val="21"/>
                <w:u w:val="none" w:color="auto"/>
              </w:rPr>
              <w:t>其他人工合成材料的，其防渗系统</w:t>
            </w:r>
            <w:r>
              <w:rPr>
                <w:rFonts w:hint="default" w:ascii="Times New Roman" w:hAnsi="Times New Roman" w:eastAsia="宋体" w:cs="Times New Roman"/>
                <w:color w:val="auto"/>
                <w:spacing w:val="10"/>
                <w:sz w:val="21"/>
                <w:szCs w:val="21"/>
                <w:u w:val="none" w:color="auto"/>
              </w:rPr>
              <w:t>至少</w:t>
            </w:r>
            <w:r>
              <w:rPr>
                <w:rFonts w:hint="default" w:ascii="Times New Roman" w:hAnsi="Times New Roman" w:eastAsia="宋体" w:cs="Times New Roman"/>
                <w:color w:val="auto"/>
                <w:spacing w:val="6"/>
                <w:sz w:val="21"/>
                <w:szCs w:val="21"/>
                <w:u w:val="none" w:color="auto"/>
              </w:rPr>
              <w:t>相</w:t>
            </w:r>
            <w:r>
              <w:rPr>
                <w:rFonts w:hint="default" w:ascii="Times New Roman" w:hAnsi="Times New Roman" w:eastAsia="宋体" w:cs="Times New Roman"/>
                <w:color w:val="auto"/>
                <w:spacing w:val="5"/>
                <w:sz w:val="21"/>
                <w:szCs w:val="21"/>
                <w:u w:val="none" w:color="auto"/>
              </w:rPr>
              <w:t>当于1.5</w:t>
            </w:r>
            <w:r>
              <w:rPr>
                <w:rFonts w:hint="default" w:ascii="Times New Roman" w:hAnsi="Times New Roman" w:eastAsia="宋体" w:cs="Times New Roman"/>
                <w:color w:val="auto"/>
                <w:sz w:val="21"/>
                <w:szCs w:val="21"/>
                <w:u w:val="none" w:color="auto"/>
              </w:rPr>
              <w:t>mm</w:t>
            </w:r>
            <w:r>
              <w:rPr>
                <w:rFonts w:hint="default" w:ascii="Times New Roman" w:hAnsi="Times New Roman" w:eastAsia="宋体" w:cs="Times New Roman"/>
                <w:color w:val="auto"/>
                <w:spacing w:val="5"/>
                <w:sz w:val="21"/>
                <w:szCs w:val="21"/>
                <w:u w:val="none" w:color="auto"/>
              </w:rPr>
              <w:t>高密度聚乙烯膜</w:t>
            </w:r>
            <w:r>
              <w:rPr>
                <w:rFonts w:hint="default" w:ascii="Times New Roman" w:hAnsi="Times New Roman" w:eastAsia="宋体" w:cs="Times New Roman"/>
                <w:color w:val="auto"/>
                <w:spacing w:val="7"/>
                <w:sz w:val="21"/>
                <w:szCs w:val="21"/>
                <w:u w:val="none" w:color="auto"/>
              </w:rPr>
              <w:t>的防渗性能。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869"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冷却循环</w:t>
            </w:r>
            <w:r>
              <w:rPr>
                <w:rFonts w:hint="default" w:ascii="Times New Roman" w:hAnsi="Times New Roman" w:eastAsia="宋体" w:cs="Times New Roman"/>
                <w:color w:val="auto"/>
                <w:spacing w:val="7"/>
                <w:sz w:val="21"/>
                <w:szCs w:val="21"/>
                <w:u w:val="none" w:color="auto"/>
              </w:rPr>
              <w:t>水</w:t>
            </w:r>
            <w:r>
              <w:rPr>
                <w:rFonts w:hint="default" w:ascii="Times New Roman" w:hAnsi="Times New Roman" w:eastAsia="宋体" w:cs="Times New Roman"/>
                <w:color w:val="auto"/>
                <w:sz w:val="21"/>
                <w:szCs w:val="21"/>
                <w:u w:val="none" w:color="auto"/>
              </w:rPr>
              <w:t>池</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地</w:t>
            </w:r>
            <w:r>
              <w:rPr>
                <w:rFonts w:hint="default" w:ascii="Times New Roman" w:hAnsi="Times New Roman" w:eastAsia="宋体" w:cs="Times New Roman"/>
                <w:color w:val="auto"/>
                <w:spacing w:val="4"/>
                <w:sz w:val="21"/>
                <w:szCs w:val="21"/>
                <w:u w:val="none" w:color="auto"/>
              </w:rPr>
              <w:t>面</w:t>
            </w:r>
          </w:p>
        </w:tc>
        <w:tc>
          <w:tcPr>
            <w:tcW w:w="3575"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869"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c>
          <w:tcPr>
            <w:tcW w:w="13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生产车</w:t>
            </w:r>
            <w:r>
              <w:rPr>
                <w:rFonts w:hint="default" w:ascii="Times New Roman" w:hAnsi="Times New Roman" w:eastAsia="宋体" w:cs="Times New Roman"/>
                <w:color w:val="auto"/>
                <w:spacing w:val="6"/>
                <w:sz w:val="21"/>
                <w:szCs w:val="21"/>
                <w:u w:val="none" w:color="auto"/>
              </w:rPr>
              <w:t>间</w:t>
            </w:r>
          </w:p>
        </w:tc>
        <w:tc>
          <w:tcPr>
            <w:tcW w:w="1527"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地</w:t>
            </w:r>
            <w:r>
              <w:rPr>
                <w:rFonts w:hint="default" w:ascii="Times New Roman" w:hAnsi="Times New Roman" w:eastAsia="宋体" w:cs="Times New Roman"/>
                <w:color w:val="auto"/>
                <w:spacing w:val="4"/>
                <w:sz w:val="21"/>
                <w:szCs w:val="21"/>
                <w:u w:val="none" w:color="auto"/>
              </w:rPr>
              <w:t>面</w:t>
            </w:r>
          </w:p>
        </w:tc>
        <w:tc>
          <w:tcPr>
            <w:tcW w:w="3575" w:type="dxa"/>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93"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简</w:t>
            </w:r>
            <w:r>
              <w:rPr>
                <w:rFonts w:hint="default" w:ascii="Times New Roman" w:hAnsi="Times New Roman" w:eastAsia="宋体" w:cs="Times New Roman"/>
                <w:color w:val="auto"/>
                <w:spacing w:val="5"/>
                <w:sz w:val="21"/>
                <w:szCs w:val="21"/>
                <w:u w:val="none" w:color="auto"/>
              </w:rPr>
              <w:t>单防</w:t>
            </w:r>
            <w:r>
              <w:rPr>
                <w:rFonts w:hint="default" w:ascii="Times New Roman" w:hAnsi="Times New Roman" w:eastAsia="宋体" w:cs="Times New Roman"/>
                <w:color w:val="auto"/>
                <w:spacing w:val="4"/>
                <w:sz w:val="21"/>
                <w:szCs w:val="21"/>
                <w:u w:val="none" w:color="auto"/>
              </w:rPr>
              <w:t>渗区</w:t>
            </w:r>
          </w:p>
        </w:tc>
        <w:tc>
          <w:tcPr>
            <w:tcW w:w="869"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易</w:t>
            </w:r>
          </w:p>
        </w:tc>
        <w:tc>
          <w:tcPr>
            <w:tcW w:w="2896" w:type="dxa"/>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道</w:t>
            </w:r>
            <w:r>
              <w:rPr>
                <w:rFonts w:hint="default" w:ascii="Times New Roman" w:hAnsi="Times New Roman" w:eastAsia="宋体" w:cs="Times New Roman"/>
                <w:color w:val="auto"/>
                <w:spacing w:val="6"/>
                <w:sz w:val="21"/>
                <w:szCs w:val="21"/>
                <w:u w:val="none" w:color="auto"/>
              </w:rPr>
              <w:t>路、办公区等其他区域地面</w:t>
            </w:r>
          </w:p>
        </w:tc>
        <w:tc>
          <w:tcPr>
            <w:tcW w:w="357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rPr>
              <w:t>一</w:t>
            </w:r>
            <w:r>
              <w:rPr>
                <w:rFonts w:hint="default" w:ascii="Times New Roman" w:hAnsi="Times New Roman" w:eastAsia="宋体" w:cs="Times New Roman"/>
                <w:color w:val="auto"/>
                <w:spacing w:val="7"/>
                <w:sz w:val="21"/>
                <w:szCs w:val="21"/>
                <w:u w:val="none" w:color="auto"/>
              </w:rPr>
              <w:t>般地面硬化</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针对不同的防渗、防腐区域采用下列不同的措施，在具体设计中应根据实</w:t>
      </w:r>
      <w:r>
        <w:rPr>
          <w:rFonts w:hint="default" w:ascii="Times New Roman" w:hAnsi="Times New Roman" w:eastAsia="宋体" w:cs="Times New Roman"/>
          <w:color w:val="auto"/>
          <w:spacing w:val="3"/>
          <w:sz w:val="24"/>
          <w:szCs w:val="24"/>
          <w:u w:val="none" w:color="auto"/>
        </w:rPr>
        <w:t>际</w:t>
      </w:r>
      <w:r>
        <w:rPr>
          <w:rFonts w:hint="default" w:ascii="Times New Roman" w:hAnsi="Times New Roman" w:eastAsia="宋体" w:cs="Times New Roman"/>
          <w:color w:val="auto"/>
          <w:spacing w:val="9"/>
          <w:sz w:val="24"/>
          <w:szCs w:val="24"/>
          <w:u w:val="none" w:color="auto"/>
        </w:rPr>
        <w:t>情况在满足标准的前提下做必要的调整</w:t>
      </w:r>
      <w:r>
        <w:rPr>
          <w:rFonts w:hint="default" w:ascii="Times New Roman" w:hAnsi="Times New Roman" w:eastAsia="宋体" w:cs="Times New Roman"/>
          <w:color w:val="auto"/>
          <w:spacing w:val="6"/>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6" w:firstLineChars="200"/>
        <w:textAlignment w:val="auto"/>
        <w:outlineLvl w:val="3"/>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spacing w:val="11"/>
          <w:sz w:val="24"/>
          <w:szCs w:val="24"/>
          <w:u w:val="none" w:color="auto"/>
        </w:rPr>
        <w:t>6</w:t>
      </w:r>
      <w:r>
        <w:rPr>
          <w:rFonts w:hint="default" w:ascii="Times New Roman" w:hAnsi="Times New Roman" w:eastAsia="宋体" w:cs="Times New Roman"/>
          <w:b/>
          <w:bCs/>
          <w:color w:val="auto"/>
          <w:spacing w:val="6"/>
          <w:sz w:val="24"/>
          <w:szCs w:val="24"/>
          <w:u w:val="none" w:color="auto"/>
        </w:rPr>
        <w:t>.2.3.3</w:t>
      </w:r>
      <w:r>
        <w:rPr>
          <w:rFonts w:hint="default" w:ascii="Times New Roman" w:hAnsi="Times New Roman" w:eastAsia="宋体" w:cs="Times New Roman"/>
          <w:color w:val="auto"/>
          <w:spacing w:val="6"/>
          <w:sz w:val="24"/>
          <w:szCs w:val="24"/>
          <w:u w:val="none" w:color="auto"/>
          <w14:textOutline w14:w="4358" w14:cap="sq" w14:cmpd="sng">
            <w14:solidFill>
              <w14:srgbClr w14:val="000000"/>
            </w14:solidFill>
            <w14:prstDash w14:val="solid"/>
            <w14:bevel/>
          </w14:textOutline>
        </w:rPr>
        <w:t>地下水污染监控</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建</w:t>
      </w:r>
      <w:r>
        <w:rPr>
          <w:rFonts w:hint="default" w:ascii="Times New Roman" w:hAnsi="Times New Roman" w:eastAsia="宋体" w:cs="Times New Roman"/>
          <w:color w:val="auto"/>
          <w:spacing w:val="9"/>
          <w:sz w:val="24"/>
          <w:szCs w:val="24"/>
          <w:u w:val="none" w:color="auto"/>
        </w:rPr>
        <w:t>立厂区地下水环境监控体系，包括建立地下水监控制度和环境管理体系、</w:t>
      </w:r>
      <w:r>
        <w:rPr>
          <w:rFonts w:hint="default" w:ascii="Times New Roman" w:hAnsi="Times New Roman" w:eastAsia="宋体" w:cs="Times New Roman"/>
          <w:color w:val="auto"/>
          <w:spacing w:val="4"/>
          <w:sz w:val="24"/>
          <w:szCs w:val="24"/>
          <w:u w:val="none" w:color="auto"/>
        </w:rPr>
        <w:t>制定监测计划、配备必要的</w:t>
      </w:r>
      <w:r>
        <w:rPr>
          <w:rFonts w:hint="default" w:ascii="Times New Roman" w:hAnsi="Times New Roman" w:eastAsia="宋体" w:cs="Times New Roman"/>
          <w:color w:val="auto"/>
          <w:spacing w:val="3"/>
          <w:sz w:val="24"/>
          <w:szCs w:val="24"/>
          <w:u w:val="none" w:color="auto"/>
        </w:rPr>
        <w:t>检</w:t>
      </w:r>
      <w:r>
        <w:rPr>
          <w:rFonts w:hint="default" w:ascii="Times New Roman" w:hAnsi="Times New Roman" w:eastAsia="宋体" w:cs="Times New Roman"/>
          <w:color w:val="auto"/>
          <w:spacing w:val="2"/>
          <w:sz w:val="24"/>
          <w:szCs w:val="24"/>
          <w:u w:val="none" w:color="auto"/>
        </w:rPr>
        <w:t>测仪器和设备，以便及时发现问题，及时采取措施。</w:t>
      </w:r>
      <w:r>
        <w:rPr>
          <w:rFonts w:hint="default" w:ascii="Times New Roman" w:hAnsi="Times New Roman" w:eastAsia="宋体" w:cs="Times New Roman"/>
          <w:color w:val="auto"/>
          <w:spacing w:val="9"/>
          <w:sz w:val="24"/>
          <w:szCs w:val="24"/>
          <w:u w:val="none" w:color="auto"/>
        </w:rPr>
        <w:t>若</w:t>
      </w:r>
      <w:r>
        <w:rPr>
          <w:rFonts w:hint="default" w:ascii="Times New Roman" w:hAnsi="Times New Roman" w:eastAsia="宋体" w:cs="Times New Roman"/>
          <w:color w:val="auto"/>
          <w:spacing w:val="7"/>
          <w:sz w:val="24"/>
          <w:szCs w:val="24"/>
          <w:u w:val="none" w:color="auto"/>
        </w:rPr>
        <w:t>发现地下水中污染物超标，则应加大监测频率，并及时排查污染源并采取应对</w:t>
      </w:r>
      <w:r>
        <w:rPr>
          <w:rFonts w:hint="default" w:ascii="Times New Roman" w:hAnsi="Times New Roman" w:eastAsia="宋体" w:cs="Times New Roman"/>
          <w:color w:val="auto"/>
          <w:spacing w:val="9"/>
          <w:sz w:val="24"/>
          <w:szCs w:val="24"/>
          <w:u w:val="none" w:color="auto"/>
        </w:rPr>
        <w:t>措</w:t>
      </w:r>
      <w:r>
        <w:rPr>
          <w:rFonts w:hint="default" w:ascii="Times New Roman" w:hAnsi="Times New Roman" w:eastAsia="宋体" w:cs="Times New Roman"/>
          <w:color w:val="auto"/>
          <w:spacing w:val="7"/>
          <w:sz w:val="24"/>
          <w:szCs w:val="24"/>
          <w:u w:val="none" w:color="auto"/>
        </w:rPr>
        <w:t>施。根据建设场地水文地质条件，以及时发现地下水水质变化为原则，场地水</w:t>
      </w:r>
      <w:r>
        <w:rPr>
          <w:rFonts w:hint="default" w:ascii="Times New Roman" w:hAnsi="Times New Roman" w:eastAsia="宋体" w:cs="Times New Roman"/>
          <w:color w:val="auto"/>
          <w:spacing w:val="9"/>
          <w:sz w:val="24"/>
          <w:szCs w:val="24"/>
          <w:u w:val="none" w:color="auto"/>
        </w:rPr>
        <w:t>质</w:t>
      </w:r>
      <w:r>
        <w:rPr>
          <w:rFonts w:hint="default" w:ascii="Times New Roman" w:hAnsi="Times New Roman" w:eastAsia="宋体" w:cs="Times New Roman"/>
          <w:color w:val="auto"/>
          <w:spacing w:val="5"/>
          <w:sz w:val="24"/>
          <w:szCs w:val="24"/>
          <w:u w:val="none" w:color="auto"/>
        </w:rPr>
        <w:t>跟踪监测点的布置重点围绕潜在污染源附近</w:t>
      </w:r>
      <w:r>
        <w:rPr>
          <w:rFonts w:hint="default" w:ascii="Times New Roman" w:hAnsi="Times New Roman" w:eastAsia="宋体" w:cs="Times New Roman"/>
          <w:color w:val="auto"/>
          <w:spacing w:val="4"/>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本环评要求建设单位定期对水质进行监测，对地下水污染实行有效监控。</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10" w:firstLineChars="200"/>
        <w:textAlignment w:val="auto"/>
        <w:outlineLvl w:val="3"/>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spacing w:val="7"/>
          <w:sz w:val="24"/>
          <w:szCs w:val="24"/>
          <w:u w:val="none" w:color="auto"/>
        </w:rPr>
        <w:t>6</w:t>
      </w:r>
      <w:r>
        <w:rPr>
          <w:rFonts w:hint="default" w:ascii="Times New Roman" w:hAnsi="Times New Roman" w:eastAsia="宋体" w:cs="Times New Roman"/>
          <w:b/>
          <w:bCs/>
          <w:color w:val="auto"/>
          <w:spacing w:val="6"/>
          <w:sz w:val="24"/>
          <w:szCs w:val="24"/>
          <w:u w:val="none" w:color="auto"/>
        </w:rPr>
        <w:t>.2.3.4</w:t>
      </w:r>
      <w:r>
        <w:rPr>
          <w:rFonts w:hint="default" w:ascii="Times New Roman" w:hAnsi="Times New Roman" w:eastAsia="宋体" w:cs="Times New Roman"/>
          <w:color w:val="auto"/>
          <w:spacing w:val="6"/>
          <w:sz w:val="24"/>
          <w:szCs w:val="24"/>
          <w:u w:val="none" w:color="auto"/>
          <w14:textOutline w14:w="4358" w14:cap="sq" w14:cmpd="sng">
            <w14:solidFill>
              <w14:srgbClr w14:val="000000"/>
            </w14:solidFill>
            <w14:prstDash w14:val="solid"/>
            <w14:bevel/>
          </w14:textOutline>
        </w:rPr>
        <w:t>应急管理措施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在厂区建设和运行期间应制定地下水污染应急预案，并在发现厂区区域地下水受到污染时立刻启动应急预案，采取应急措施防止污染扩散，防止周边居民人体健康及生态环境受到影响。地下水污染应急预案应包括：</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(1)如发现地下水污染事故，应立即向厂区环保部门及行政管理部门报告，调查并确认污染源位置；</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(2)若存在污染物泄漏情况，应及时采取有效措施阻断确认的污染源，防止污染物继续泄漏到地下，导致土壤和地下水受污染范围扩大。</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(3)立即对重污染区采取有效的修复措施，包括开挖并移走重污染土壤做危险废物处置，回填新鲜土壤；对重污染区的地下水通过检测井抽出并送至事故应急池中，防止污染物在地下继续扩散。</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(4)对项目区域及周边区域的地下水敏感点进行取样检测，确定水质是否受到影响。如果水质受到影响，应及时通知相关方并立即停用受污染的地下水。</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6" w:firstLineChars="200"/>
        <w:textAlignment w:val="auto"/>
        <w:outlineLvl w:val="2"/>
        <w:rPr>
          <w:rFonts w:hint="default" w:ascii="Times New Roman" w:hAnsi="Times New Roman" w:eastAsia="宋体" w:cs="Times New Roman"/>
          <w:color w:val="auto"/>
          <w:sz w:val="24"/>
          <w:szCs w:val="24"/>
          <w:u w:val="none" w:color="auto"/>
        </w:rPr>
      </w:pPr>
      <w:bookmarkStart w:id="280" w:name="_bookmark113"/>
      <w:bookmarkEnd w:id="280"/>
      <w:bookmarkStart w:id="281" w:name="_Toc1447"/>
      <w:r>
        <w:rPr>
          <w:rFonts w:hint="default" w:ascii="Times New Roman" w:hAnsi="Times New Roman" w:eastAsia="宋体" w:cs="Times New Roman"/>
          <w:b/>
          <w:bCs/>
          <w:color w:val="auto"/>
          <w:spacing w:val="1"/>
          <w:sz w:val="24"/>
          <w:szCs w:val="24"/>
          <w:u w:val="none" w:color="auto"/>
        </w:rPr>
        <w:t>6</w:t>
      </w:r>
      <w:r>
        <w:rPr>
          <w:rFonts w:hint="default" w:ascii="Times New Roman" w:hAnsi="Times New Roman" w:eastAsia="宋体" w:cs="Times New Roman"/>
          <w:b/>
          <w:bCs/>
          <w:color w:val="auto"/>
          <w:sz w:val="24"/>
          <w:szCs w:val="24"/>
          <w:u w:val="none" w:color="auto"/>
        </w:rPr>
        <w:t>.2.4</w:t>
      </w:r>
      <w:r>
        <w:rPr>
          <w:rFonts w:hint="default" w:ascii="Times New Roman" w:hAnsi="Times New Roman" w:eastAsia="宋体" w:cs="Times New Roman"/>
          <w:color w:val="auto"/>
          <w:sz w:val="24"/>
          <w:szCs w:val="24"/>
          <w:u w:val="none" w:color="auto"/>
          <w14:textOutline w14:w="5103" w14:cap="sq" w14:cmpd="sng">
            <w14:solidFill>
              <w14:srgbClr w14:val="000000"/>
            </w14:solidFill>
            <w14:prstDash w14:val="solid"/>
            <w14:bevel/>
          </w14:textOutline>
        </w:rPr>
        <w:t>噪声防治措施及其可行性分析</w:t>
      </w:r>
      <w:bookmarkEnd w:id="281"/>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0"/>
          <w:sz w:val="24"/>
          <w:szCs w:val="24"/>
          <w:u w:val="none" w:color="auto"/>
        </w:rPr>
        <w:t>本</w:t>
      </w:r>
      <w:r>
        <w:rPr>
          <w:rFonts w:hint="default" w:ascii="Times New Roman" w:hAnsi="Times New Roman" w:eastAsia="宋体" w:cs="Times New Roman"/>
          <w:color w:val="auto"/>
          <w:spacing w:val="9"/>
          <w:sz w:val="24"/>
          <w:szCs w:val="24"/>
          <w:u w:val="none" w:color="auto"/>
        </w:rPr>
        <w:t>项</w:t>
      </w:r>
      <w:r>
        <w:rPr>
          <w:rFonts w:hint="default" w:ascii="Times New Roman" w:hAnsi="Times New Roman" w:eastAsia="宋体" w:cs="Times New Roman"/>
          <w:color w:val="auto"/>
          <w:spacing w:val="5"/>
          <w:sz w:val="24"/>
          <w:szCs w:val="24"/>
          <w:u w:val="none" w:color="auto"/>
        </w:rPr>
        <w:t>目的噪声源主要为设备运转时产生的噪声，噪声源强为</w:t>
      </w:r>
      <w:r>
        <w:rPr>
          <w:rFonts w:hint="eastAsia" w:ascii="Times New Roman" w:hAnsi="Times New Roman" w:eastAsia="宋体" w:cs="Times New Roman"/>
          <w:color w:val="auto"/>
          <w:spacing w:val="5"/>
          <w:sz w:val="24"/>
          <w:szCs w:val="24"/>
          <w:u w:val="none" w:color="auto"/>
          <w:lang w:val="en-US" w:eastAsia="zh-CN"/>
        </w:rPr>
        <w:t>75-95</w:t>
      </w:r>
      <w:r>
        <w:rPr>
          <w:rFonts w:hint="default" w:ascii="Times New Roman" w:hAnsi="Times New Roman" w:eastAsia="宋体" w:cs="Times New Roman"/>
          <w:color w:val="auto"/>
          <w:sz w:val="24"/>
          <w:szCs w:val="24"/>
          <w:u w:val="none" w:color="auto"/>
        </w:rPr>
        <w:t>dBA</w:t>
      </w:r>
      <w:r>
        <w:rPr>
          <w:rFonts w:hint="default" w:ascii="Times New Roman" w:hAnsi="Times New Roman" w:eastAsia="宋体" w:cs="Times New Roman"/>
          <w:color w:val="auto"/>
          <w:spacing w:val="5"/>
          <w:sz w:val="24"/>
          <w:szCs w:val="24"/>
          <w:u w:val="none" w:color="auto"/>
        </w:rPr>
        <w:t>，所</w:t>
      </w:r>
      <w:r>
        <w:rPr>
          <w:rFonts w:hint="default" w:ascii="Times New Roman" w:hAnsi="Times New Roman" w:eastAsia="宋体" w:cs="Times New Roman"/>
          <w:color w:val="auto"/>
          <w:spacing w:val="9"/>
          <w:sz w:val="24"/>
          <w:szCs w:val="24"/>
          <w:u w:val="none" w:color="auto"/>
        </w:rPr>
        <w:t>有</w:t>
      </w:r>
      <w:r>
        <w:rPr>
          <w:rFonts w:hint="default" w:ascii="Times New Roman" w:hAnsi="Times New Roman" w:eastAsia="宋体" w:cs="Times New Roman"/>
          <w:color w:val="auto"/>
          <w:spacing w:val="7"/>
          <w:sz w:val="24"/>
          <w:szCs w:val="24"/>
          <w:u w:val="none" w:color="auto"/>
        </w:rPr>
        <w:t>设备均按照工业设备安装的有关规范安装，采取减振隔声措施，且大多数噪声</w:t>
      </w:r>
      <w:r>
        <w:rPr>
          <w:rFonts w:hint="default" w:ascii="Times New Roman" w:hAnsi="Times New Roman" w:eastAsia="宋体" w:cs="Times New Roman"/>
          <w:color w:val="auto"/>
          <w:spacing w:val="9"/>
          <w:sz w:val="24"/>
          <w:szCs w:val="24"/>
          <w:u w:val="none" w:color="auto"/>
        </w:rPr>
        <w:t>源</w:t>
      </w:r>
      <w:r>
        <w:rPr>
          <w:rFonts w:hint="default" w:ascii="Times New Roman" w:hAnsi="Times New Roman" w:eastAsia="宋体" w:cs="Times New Roman"/>
          <w:color w:val="auto"/>
          <w:spacing w:val="7"/>
          <w:sz w:val="24"/>
          <w:szCs w:val="24"/>
          <w:u w:val="none" w:color="auto"/>
        </w:rPr>
        <w:t>设置在室内。对于室外噪声源等安装时尽可能的安装在远离厂界的位置，采用</w:t>
      </w:r>
      <w:r>
        <w:rPr>
          <w:rFonts w:hint="default" w:ascii="Times New Roman" w:hAnsi="Times New Roman" w:eastAsia="宋体" w:cs="Times New Roman"/>
          <w:color w:val="auto"/>
          <w:spacing w:val="12"/>
          <w:sz w:val="24"/>
          <w:szCs w:val="24"/>
          <w:u w:val="none" w:color="auto"/>
        </w:rPr>
        <w:t>隔声房</w:t>
      </w:r>
      <w:r>
        <w:rPr>
          <w:rFonts w:hint="default" w:ascii="Times New Roman" w:hAnsi="Times New Roman" w:eastAsia="宋体" w:cs="Times New Roman"/>
          <w:color w:val="auto"/>
          <w:spacing w:val="10"/>
          <w:sz w:val="24"/>
          <w:szCs w:val="24"/>
          <w:u w:val="none" w:color="auto"/>
        </w:rPr>
        <w:t>或</w:t>
      </w:r>
      <w:r>
        <w:rPr>
          <w:rFonts w:hint="default" w:ascii="Times New Roman" w:hAnsi="Times New Roman" w:eastAsia="宋体" w:cs="Times New Roman"/>
          <w:color w:val="auto"/>
          <w:spacing w:val="6"/>
          <w:sz w:val="24"/>
          <w:szCs w:val="24"/>
          <w:u w:val="none" w:color="auto"/>
        </w:rPr>
        <w:t>隔声罩等隔声措施进行处理；另外在厂区四周设置绿化带，以降低噪声</w:t>
      </w:r>
      <w:r>
        <w:rPr>
          <w:rFonts w:hint="default" w:ascii="Times New Roman" w:hAnsi="Times New Roman" w:eastAsia="宋体" w:cs="Times New Roman"/>
          <w:color w:val="auto"/>
          <w:spacing w:val="8"/>
          <w:sz w:val="24"/>
          <w:szCs w:val="24"/>
          <w:u w:val="none" w:color="auto"/>
        </w:rPr>
        <w:t>对</w:t>
      </w:r>
      <w:r>
        <w:rPr>
          <w:rFonts w:hint="default" w:ascii="Times New Roman" w:hAnsi="Times New Roman" w:eastAsia="宋体" w:cs="Times New Roman"/>
          <w:color w:val="auto"/>
          <w:spacing w:val="4"/>
          <w:sz w:val="24"/>
          <w:szCs w:val="24"/>
          <w:u w:val="none" w:color="auto"/>
        </w:rPr>
        <w:t>环境的影响，使厂界噪声达到《工业企业厂界环境噪声排放标准》(</w:t>
      </w:r>
      <w:r>
        <w:rPr>
          <w:rFonts w:hint="default" w:ascii="Times New Roman" w:hAnsi="Times New Roman" w:eastAsia="宋体" w:cs="Times New Roman"/>
          <w:color w:val="auto"/>
          <w:sz w:val="24"/>
          <w:szCs w:val="24"/>
          <w:u w:val="none" w:color="auto"/>
        </w:rPr>
        <w:t>GB</w:t>
      </w:r>
      <w:r>
        <w:rPr>
          <w:rFonts w:hint="default" w:ascii="Times New Roman" w:hAnsi="Times New Roman" w:eastAsia="宋体" w:cs="Times New Roman"/>
          <w:color w:val="auto"/>
          <w:spacing w:val="4"/>
          <w:sz w:val="24"/>
          <w:szCs w:val="24"/>
          <w:u w:val="none" w:color="auto"/>
        </w:rPr>
        <w:t>12348</w:t>
      </w:r>
      <w:r>
        <w:rPr>
          <w:rFonts w:hint="default" w:ascii="Times New Roman" w:hAnsi="Times New Roman" w:eastAsia="宋体" w:cs="Times New Roman"/>
          <w:color w:val="auto"/>
          <w:spacing w:val="9"/>
          <w:sz w:val="24"/>
          <w:szCs w:val="24"/>
          <w:u w:val="none" w:color="auto"/>
        </w:rPr>
        <w:t>－</w:t>
      </w:r>
      <w:r>
        <w:rPr>
          <w:rFonts w:hint="default" w:ascii="Times New Roman" w:hAnsi="Times New Roman" w:eastAsia="宋体" w:cs="Times New Roman"/>
          <w:color w:val="auto"/>
          <w:spacing w:val="5"/>
          <w:sz w:val="24"/>
          <w:szCs w:val="24"/>
          <w:u w:val="none" w:color="auto"/>
        </w:rPr>
        <w:t>2008)3类标准。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2"/>
          <w:sz w:val="24"/>
          <w:szCs w:val="24"/>
          <w:u w:val="none" w:color="auto"/>
        </w:rPr>
        <w:t>为进一步</w:t>
      </w:r>
      <w:r>
        <w:rPr>
          <w:rFonts w:hint="default" w:ascii="Times New Roman" w:hAnsi="Times New Roman" w:eastAsia="宋体" w:cs="Times New Roman"/>
          <w:color w:val="auto"/>
          <w:spacing w:val="8"/>
          <w:sz w:val="24"/>
          <w:szCs w:val="24"/>
          <w:u w:val="none" w:color="auto"/>
        </w:rPr>
        <w:t>防</w:t>
      </w:r>
      <w:r>
        <w:rPr>
          <w:rFonts w:hint="default" w:ascii="Times New Roman" w:hAnsi="Times New Roman" w:eastAsia="宋体" w:cs="Times New Roman"/>
          <w:color w:val="auto"/>
          <w:spacing w:val="6"/>
          <w:sz w:val="24"/>
          <w:szCs w:val="24"/>
          <w:u w:val="none" w:color="auto"/>
        </w:rPr>
        <w:t>止项目生产产生的噪声对周边环境的影响，确保厂界噪声达标排</w:t>
      </w:r>
      <w:r>
        <w:rPr>
          <w:rFonts w:hint="default" w:ascii="Times New Roman" w:hAnsi="Times New Roman" w:eastAsia="宋体" w:cs="Times New Roman"/>
          <w:color w:val="auto"/>
          <w:spacing w:val="11"/>
          <w:sz w:val="24"/>
          <w:szCs w:val="24"/>
          <w:u w:val="none" w:color="auto"/>
        </w:rPr>
        <w:t>放</w:t>
      </w:r>
      <w:r>
        <w:rPr>
          <w:rFonts w:hint="default" w:ascii="Times New Roman" w:hAnsi="Times New Roman" w:eastAsia="宋体" w:cs="Times New Roman"/>
          <w:color w:val="auto"/>
          <w:spacing w:val="7"/>
          <w:sz w:val="24"/>
          <w:szCs w:val="24"/>
          <w:u w:val="none" w:color="auto"/>
        </w:rPr>
        <w:t>，本环评建议：</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3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4"/>
          <w:sz w:val="24"/>
          <w:szCs w:val="24"/>
          <w:u w:val="none" w:color="auto"/>
        </w:rPr>
        <w:t>(</w:t>
      </w:r>
      <w:r>
        <w:rPr>
          <w:rFonts w:hint="default" w:ascii="Times New Roman" w:hAnsi="Times New Roman" w:eastAsia="宋体" w:cs="Times New Roman"/>
          <w:color w:val="auto"/>
          <w:spacing w:val="13"/>
          <w:sz w:val="24"/>
          <w:szCs w:val="24"/>
          <w:u w:val="none" w:color="auto"/>
        </w:rPr>
        <w:t>1)企业在选购设备时，应向设备供应商提出提供先进的低噪声设备及配</w:t>
      </w:r>
      <w:r>
        <w:rPr>
          <w:rFonts w:hint="default" w:ascii="Times New Roman" w:hAnsi="Times New Roman" w:eastAsia="宋体" w:cs="Times New Roman"/>
          <w:color w:val="auto"/>
          <w:spacing w:val="14"/>
          <w:sz w:val="24"/>
          <w:szCs w:val="24"/>
          <w:u w:val="none" w:color="auto"/>
        </w:rPr>
        <w:t>套的噪声治理设施的要求，购置符合国家颁布的各类机械噪声标准的低噪声</w:t>
      </w:r>
      <w:r>
        <w:rPr>
          <w:rFonts w:hint="default" w:ascii="Times New Roman" w:hAnsi="Times New Roman" w:eastAsia="宋体" w:cs="Times New Roman"/>
          <w:color w:val="auto"/>
          <w:spacing w:val="13"/>
          <w:sz w:val="24"/>
          <w:szCs w:val="24"/>
          <w:u w:val="none" w:color="auto"/>
        </w:rPr>
        <w:t>设</w:t>
      </w:r>
      <w:r>
        <w:rPr>
          <w:rFonts w:hint="default" w:ascii="Times New Roman" w:hAnsi="Times New Roman" w:eastAsia="宋体" w:cs="Times New Roman"/>
          <w:color w:val="auto"/>
          <w:spacing w:val="9"/>
          <w:sz w:val="24"/>
          <w:szCs w:val="24"/>
          <w:u w:val="none" w:color="auto"/>
        </w:rPr>
        <w:t>备，确保设备在车间安装后能符合工业企业车间噪声卫生标准(≤85</w:t>
      </w:r>
      <w:r>
        <w:rPr>
          <w:rFonts w:hint="default" w:ascii="Times New Roman" w:hAnsi="Times New Roman" w:eastAsia="宋体" w:cs="Times New Roman"/>
          <w:color w:val="auto"/>
          <w:sz w:val="24"/>
          <w:szCs w:val="24"/>
          <w:u w:val="none" w:color="auto"/>
        </w:rPr>
        <w:t>dB</w:t>
      </w:r>
      <w:r>
        <w:rPr>
          <w:rFonts w:hint="default" w:ascii="Times New Roman" w:hAnsi="Times New Roman" w:eastAsia="宋体" w:cs="Times New Roman"/>
          <w:color w:val="auto"/>
          <w:spacing w:val="9"/>
          <w:sz w:val="24"/>
          <w:szCs w:val="24"/>
          <w:u w:val="none" w:color="auto"/>
        </w:rPr>
        <w:t>)。禁用</w:t>
      </w:r>
      <w:r>
        <w:rPr>
          <w:rFonts w:hint="default" w:ascii="Times New Roman" w:hAnsi="Times New Roman" w:eastAsia="宋体" w:cs="Times New Roman"/>
          <w:color w:val="auto"/>
          <w:spacing w:val="4"/>
          <w:sz w:val="24"/>
          <w:szCs w:val="24"/>
          <w:u w:val="none" w:color="auto"/>
        </w:rPr>
        <w:t>国</w:t>
      </w:r>
      <w:r>
        <w:rPr>
          <w:rFonts w:hint="default" w:ascii="Times New Roman" w:hAnsi="Times New Roman" w:eastAsia="宋体" w:cs="Times New Roman"/>
          <w:color w:val="auto"/>
          <w:spacing w:val="9"/>
          <w:sz w:val="24"/>
          <w:szCs w:val="24"/>
          <w:u w:val="none" w:color="auto"/>
        </w:rPr>
        <w:t>家和地方明确淘汰落后的高噪声设备和工艺</w:t>
      </w:r>
      <w:r>
        <w:rPr>
          <w:rFonts w:hint="default" w:ascii="Times New Roman" w:hAnsi="Times New Roman" w:eastAsia="宋体" w:cs="Times New Roman"/>
          <w:color w:val="auto"/>
          <w:spacing w:val="8"/>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3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4"/>
          <w:sz w:val="24"/>
          <w:szCs w:val="24"/>
          <w:u w:val="none" w:color="auto"/>
        </w:rPr>
        <w:t>(</w:t>
      </w:r>
      <w:r>
        <w:rPr>
          <w:rFonts w:hint="default" w:ascii="Times New Roman" w:hAnsi="Times New Roman" w:eastAsia="宋体" w:cs="Times New Roman"/>
          <w:color w:val="auto"/>
          <w:spacing w:val="13"/>
          <w:sz w:val="24"/>
          <w:szCs w:val="24"/>
          <w:u w:val="none" w:color="auto"/>
        </w:rPr>
        <w:t>2)将各设备均安装于生产车间内，进行墙体隔声，并且在设备安装时加</w:t>
      </w:r>
      <w:r>
        <w:rPr>
          <w:rFonts w:hint="default" w:ascii="Times New Roman" w:hAnsi="Times New Roman" w:eastAsia="宋体" w:cs="Times New Roman"/>
          <w:color w:val="auto"/>
          <w:spacing w:val="5"/>
          <w:sz w:val="24"/>
          <w:szCs w:val="24"/>
          <w:u w:val="none" w:color="auto"/>
        </w:rPr>
        <w:t>减振垫。</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3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4"/>
          <w:sz w:val="24"/>
          <w:szCs w:val="24"/>
          <w:u w:val="none" w:color="auto"/>
        </w:rPr>
        <w:t>(</w:t>
      </w:r>
      <w:r>
        <w:rPr>
          <w:rFonts w:hint="default" w:ascii="Times New Roman" w:hAnsi="Times New Roman" w:eastAsia="宋体" w:cs="Times New Roman"/>
          <w:color w:val="auto"/>
          <w:spacing w:val="13"/>
          <w:sz w:val="24"/>
          <w:szCs w:val="24"/>
          <w:u w:val="none" w:color="auto"/>
        </w:rPr>
        <w:t>3)应加强设备的保养和维修，使设备随时处于良好的运行状态，避免偶</w:t>
      </w:r>
      <w:r>
        <w:rPr>
          <w:rFonts w:hint="default" w:ascii="Times New Roman" w:hAnsi="Times New Roman" w:eastAsia="宋体" w:cs="Times New Roman"/>
          <w:color w:val="auto"/>
          <w:spacing w:val="16"/>
          <w:sz w:val="24"/>
          <w:szCs w:val="24"/>
          <w:u w:val="none" w:color="auto"/>
        </w:rPr>
        <w:t>发</w:t>
      </w:r>
      <w:r>
        <w:rPr>
          <w:rFonts w:hint="default" w:ascii="Times New Roman" w:hAnsi="Times New Roman" w:eastAsia="宋体" w:cs="Times New Roman"/>
          <w:color w:val="auto"/>
          <w:spacing w:val="9"/>
          <w:sz w:val="24"/>
          <w:szCs w:val="24"/>
          <w:u w:val="none" w:color="auto"/>
        </w:rPr>
        <w:t>强噪声产生。高噪声设备操作人员，操作时应佩戴防护头盔或耳套。</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3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4"/>
          <w:sz w:val="24"/>
          <w:szCs w:val="24"/>
          <w:u w:val="none" w:color="auto"/>
        </w:rPr>
        <w:t>(</w:t>
      </w:r>
      <w:r>
        <w:rPr>
          <w:rFonts w:hint="default" w:ascii="Times New Roman" w:hAnsi="Times New Roman" w:eastAsia="宋体" w:cs="Times New Roman"/>
          <w:color w:val="auto"/>
          <w:spacing w:val="13"/>
          <w:sz w:val="24"/>
          <w:szCs w:val="24"/>
          <w:u w:val="none" w:color="auto"/>
        </w:rPr>
        <w:t>4)声屏障的存在使声波不能直达受声点，从而使受声点噪声降低。声屏</w:t>
      </w:r>
      <w:r>
        <w:rPr>
          <w:rFonts w:hint="default" w:ascii="Times New Roman" w:hAnsi="Times New Roman" w:eastAsia="宋体" w:cs="Times New Roman"/>
          <w:color w:val="auto"/>
          <w:spacing w:val="9"/>
          <w:sz w:val="24"/>
          <w:szCs w:val="24"/>
          <w:u w:val="none" w:color="auto"/>
        </w:rPr>
        <w:t>障</w:t>
      </w:r>
      <w:r>
        <w:rPr>
          <w:rFonts w:hint="default" w:ascii="Times New Roman" w:hAnsi="Times New Roman" w:eastAsia="宋体" w:cs="Times New Roman"/>
          <w:color w:val="auto"/>
          <w:spacing w:val="7"/>
          <w:sz w:val="24"/>
          <w:szCs w:val="24"/>
          <w:u w:val="none" w:color="auto"/>
        </w:rPr>
        <w:t>通常指墙、建筑物、土坡、树丛等。建议结合项目周边防护绿地，种植树木或</w:t>
      </w:r>
      <w:r>
        <w:rPr>
          <w:rFonts w:hint="default" w:ascii="Times New Roman" w:hAnsi="Times New Roman" w:eastAsia="宋体" w:cs="Times New Roman"/>
          <w:color w:val="auto"/>
          <w:spacing w:val="9"/>
          <w:sz w:val="24"/>
          <w:szCs w:val="24"/>
          <w:u w:val="none" w:color="auto"/>
        </w:rPr>
        <w:t>加建围墙，以达到声屏障降噪的目的</w:t>
      </w:r>
      <w:r>
        <w:rPr>
          <w:rFonts w:hint="default" w:ascii="Times New Roman" w:hAnsi="Times New Roman" w:eastAsia="宋体" w:cs="Times New Roman"/>
          <w:color w:val="auto"/>
          <w:spacing w:val="6"/>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2"/>
          <w:sz w:val="24"/>
          <w:szCs w:val="24"/>
          <w:u w:val="none" w:color="auto"/>
        </w:rPr>
        <w:t>综上所述</w:t>
      </w:r>
      <w:r>
        <w:rPr>
          <w:rFonts w:hint="default" w:ascii="Times New Roman" w:hAnsi="Times New Roman" w:eastAsia="宋体" w:cs="Times New Roman"/>
          <w:color w:val="auto"/>
          <w:spacing w:val="8"/>
          <w:sz w:val="24"/>
          <w:szCs w:val="24"/>
          <w:u w:val="none" w:color="auto"/>
        </w:rPr>
        <w:t>，</w:t>
      </w:r>
      <w:r>
        <w:rPr>
          <w:rFonts w:hint="default" w:ascii="Times New Roman" w:hAnsi="Times New Roman" w:eastAsia="宋体" w:cs="Times New Roman"/>
          <w:color w:val="auto"/>
          <w:spacing w:val="6"/>
          <w:sz w:val="24"/>
          <w:szCs w:val="24"/>
          <w:u w:val="none" w:color="auto"/>
        </w:rPr>
        <w:t>在落实各项噪声污染防治措施的情况下，项目投产后对周围声环</w:t>
      </w:r>
      <w:r>
        <w:rPr>
          <w:rFonts w:hint="default" w:ascii="Times New Roman" w:hAnsi="Times New Roman" w:eastAsia="宋体" w:cs="Times New Roman"/>
          <w:color w:val="auto"/>
          <w:spacing w:val="9"/>
          <w:sz w:val="24"/>
          <w:szCs w:val="24"/>
          <w:u w:val="none" w:color="auto"/>
        </w:rPr>
        <w:t>境</w:t>
      </w:r>
      <w:r>
        <w:rPr>
          <w:rFonts w:hint="default" w:ascii="Times New Roman" w:hAnsi="Times New Roman" w:eastAsia="宋体" w:cs="Times New Roman"/>
          <w:color w:val="auto"/>
          <w:spacing w:val="6"/>
          <w:sz w:val="24"/>
          <w:szCs w:val="24"/>
          <w:u w:val="none" w:color="auto"/>
        </w:rPr>
        <w:t>影响较小。</w:t>
      </w:r>
    </w:p>
    <w:p>
      <w:pPr>
        <w:pStyle w:val="7"/>
        <w:bidi w:val="0"/>
        <w:rPr>
          <w:rFonts w:hint="default"/>
          <w:color w:val="auto"/>
        </w:rPr>
      </w:pPr>
      <w:bookmarkStart w:id="282" w:name="_bookmark114"/>
      <w:bookmarkEnd w:id="282"/>
      <w:bookmarkStart w:id="283" w:name="_Toc12107"/>
      <w:r>
        <w:rPr>
          <w:rFonts w:hint="default"/>
          <w:color w:val="auto"/>
        </w:rPr>
        <w:t>6.2.5固体废弃物防治措施及其可行性分析</w:t>
      </w:r>
      <w:bookmarkEnd w:id="283"/>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1、处置方式</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本工程产生的固体废物主要来源于本项目营运期</w:t>
      </w:r>
      <w:r>
        <w:rPr>
          <w:rFonts w:hint="default" w:ascii="Times New Roman" w:hAnsi="Times New Roman" w:eastAsia="宋体" w:cs="Times New Roman"/>
          <w:snapToGrid w:val="0"/>
          <w:color w:val="auto"/>
          <w:spacing w:val="7"/>
          <w:kern w:val="0"/>
          <w:sz w:val="24"/>
          <w:szCs w:val="24"/>
          <w:u w:val="none" w:color="auto"/>
        </w:rPr>
        <w:t>镁熔渣</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7"/>
          <w:kern w:val="0"/>
          <w:sz w:val="24"/>
          <w:szCs w:val="24"/>
          <w:u w:val="none" w:color="auto"/>
        </w:rPr>
        <w:t>废边角料及残次品</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7"/>
          <w:kern w:val="0"/>
          <w:sz w:val="24"/>
          <w:szCs w:val="24"/>
          <w:u w:val="none" w:color="auto"/>
        </w:rPr>
        <w:t>含油滤料及含油污泥</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9"/>
          <w:kern w:val="0"/>
          <w:sz w:val="24"/>
          <w:szCs w:val="24"/>
          <w:u w:val="none" w:color="auto"/>
        </w:rPr>
        <w:t>废活性炭、废矿物油和员工生活垃圾</w:t>
      </w:r>
      <w:r>
        <w:rPr>
          <w:rFonts w:hint="default" w:ascii="Times New Roman" w:hAnsi="Times New Roman" w:eastAsia="宋体" w:cs="Times New Roman"/>
          <w:color w:val="auto"/>
          <w:spacing w:val="7"/>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本项目拟设置一个一般固体废物暂存间和一个危险废物暂存间，一般固体废物需作好防风、防雨措施，地面进行硬化处理，危险固体废物暂存区需作好防风、防雨、防晒，防渗防漏处理。项目一般固体废物分类暂存于暂存区。</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项目</w:t>
      </w:r>
      <w:r>
        <w:rPr>
          <w:rFonts w:hint="eastAsia" w:ascii="Times New Roman" w:hAnsi="Times New Roman" w:eastAsia="宋体" w:cs="Times New Roman"/>
          <w:color w:val="auto"/>
          <w:spacing w:val="7"/>
          <w:sz w:val="24"/>
          <w:szCs w:val="24"/>
          <w:u w:val="none" w:color="auto"/>
          <w:lang w:eastAsia="zh-CN"/>
        </w:rPr>
        <w:t>镁渣在</w:t>
      </w:r>
      <w:r>
        <w:rPr>
          <w:rFonts w:hint="default" w:ascii="Times New Roman" w:hAnsi="Times New Roman" w:eastAsia="宋体" w:cs="Times New Roman"/>
          <w:color w:val="auto"/>
          <w:spacing w:val="7"/>
          <w:sz w:val="24"/>
          <w:szCs w:val="24"/>
          <w:u w:val="none" w:color="auto"/>
        </w:rPr>
        <w:t>一般固体废物暂存区分类收集暂存后，定期外售综合利用。不合格品和</w:t>
      </w:r>
      <w:r>
        <w:rPr>
          <w:rFonts w:hint="eastAsia" w:ascii="Times New Roman" w:hAnsi="Times New Roman" w:eastAsia="宋体" w:cs="Times New Roman"/>
          <w:color w:val="auto"/>
          <w:spacing w:val="7"/>
          <w:sz w:val="24"/>
          <w:szCs w:val="24"/>
          <w:u w:val="none" w:color="auto"/>
          <w:lang w:eastAsia="zh-CN"/>
        </w:rPr>
        <w:t>边角料</w:t>
      </w:r>
      <w:r>
        <w:rPr>
          <w:rFonts w:hint="default" w:ascii="Times New Roman" w:hAnsi="Times New Roman" w:eastAsia="宋体" w:cs="Times New Roman"/>
          <w:color w:val="auto"/>
          <w:spacing w:val="7"/>
          <w:sz w:val="24"/>
          <w:szCs w:val="24"/>
          <w:u w:val="none" w:color="auto"/>
        </w:rPr>
        <w:t>回用于生产。项目一般固体废物的暂存需按照《一般工业固体废物贮存和填埋污染控制标准(GB18599-2020)》的相关要求建设、管理规范暂存库，通过加强管理，不与危险废物和生活垃圾相混。</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项目</w:t>
      </w:r>
      <w:r>
        <w:rPr>
          <w:rFonts w:hint="default" w:ascii="Times New Roman" w:hAnsi="Times New Roman" w:eastAsia="宋体" w:cs="Times New Roman"/>
          <w:snapToGrid w:val="0"/>
          <w:color w:val="auto"/>
          <w:spacing w:val="7"/>
          <w:kern w:val="0"/>
          <w:sz w:val="24"/>
          <w:szCs w:val="24"/>
          <w:u w:val="none" w:color="auto"/>
        </w:rPr>
        <w:t>含油滤料及含油污泥</w:t>
      </w:r>
      <w:r>
        <w:rPr>
          <w:rFonts w:hint="default" w:ascii="Times New Roman" w:hAnsi="Times New Roman" w:eastAsia="宋体" w:cs="Times New Roman"/>
          <w:snapToGrid w:val="0"/>
          <w:color w:val="auto"/>
          <w:spacing w:val="7"/>
          <w:kern w:val="0"/>
          <w:sz w:val="24"/>
          <w:szCs w:val="24"/>
          <w:u w:val="none" w:color="auto"/>
          <w:lang w:eastAsia="zh-CN"/>
        </w:rPr>
        <w:t>、</w:t>
      </w:r>
      <w:r>
        <w:rPr>
          <w:rFonts w:hint="default" w:ascii="Times New Roman" w:hAnsi="Times New Roman" w:eastAsia="宋体" w:cs="Times New Roman"/>
          <w:snapToGrid w:val="0"/>
          <w:color w:val="auto"/>
          <w:spacing w:val="9"/>
          <w:kern w:val="0"/>
          <w:sz w:val="24"/>
          <w:szCs w:val="24"/>
          <w:u w:val="none" w:color="auto"/>
        </w:rPr>
        <w:t>废活性炭、废矿物油</w:t>
      </w:r>
      <w:r>
        <w:rPr>
          <w:rFonts w:hint="default" w:ascii="Times New Roman" w:hAnsi="Times New Roman" w:eastAsia="宋体" w:cs="Times New Roman"/>
          <w:color w:val="auto"/>
          <w:spacing w:val="7"/>
          <w:sz w:val="24"/>
          <w:szCs w:val="24"/>
          <w:u w:val="none" w:color="auto"/>
        </w:rPr>
        <w:t>等属于危险废物。危险废物储存、运输、处置必须严格按《中华人民共和国固体废物污染环境防治法》、国家环保总局《关于发布〈危险废物污染防治技术政策〉的通知》[环发2001(199)号]及《危险废物贮存污染控制标准》(GB18597-20</w:t>
      </w:r>
      <w:r>
        <w:rPr>
          <w:rFonts w:hint="eastAsia" w:ascii="Times New Roman" w:hAnsi="Times New Roman" w:eastAsia="宋体" w:cs="Times New Roman"/>
          <w:color w:val="auto"/>
          <w:spacing w:val="7"/>
          <w:sz w:val="24"/>
          <w:szCs w:val="24"/>
          <w:u w:val="none" w:color="auto"/>
          <w:lang w:val="en-US" w:eastAsia="zh-CN"/>
        </w:rPr>
        <w:t>23</w:t>
      </w:r>
      <w:r>
        <w:rPr>
          <w:rFonts w:hint="default" w:ascii="Times New Roman" w:hAnsi="Times New Roman" w:eastAsia="宋体" w:cs="Times New Roman"/>
          <w:color w:val="auto"/>
          <w:spacing w:val="7"/>
          <w:sz w:val="24"/>
          <w:szCs w:val="24"/>
          <w:u w:val="none" w:color="auto"/>
        </w:rPr>
        <w:t>)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危险废物暂存库根据危险废物贮存场所控制标准等有关规定建设，同时采用10cm防酸水泥+2mmHDPE膜进行防渗，防渗层渗透系数≤10-10cm/s。同时应严格履行国家与地方政府关于危险废物转移的规定，危险废物送至具有危险固废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2、暂存措施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危险废物处置应严格按照以下规定及相关要求管理：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根据《中华人民共和国固体废物污染环境防治法(修订)》规定：对危险废物的容器和包装物以及收集、贮存、运输、处置危险废物的设施、场所、必须设置危险废物识别标志。厂内危险废物临时堆存应采取相应污染控制措施防止对环境产生影响；必须按照国家有关规定制定危险废物管理计划；必须按照国家有关规定处置危险废物，不得擅自倾倒、堆放：从事收集、贮存、处置危险废物经营活动的单位，必须向县级以上人民政府环境保护行政主管部门申请领取经营许可证；禁止将危险废物提供或者委托给无经营许可证的单位从事收集、贮存、利用、处置的经营活动。转移危险废物的，须按照国家有关规定填写危险废物转移联单，并向危险废物移出地的市级以上地方人民政府环境保护行政主管部门提出申请。运输危险废物，必须采取防止污染环境的措施，并遵守国家有关危险货物运输管理的规定。</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收集、贮存、运输、处置危险废物的场所，设施、设备和容器，包装物及其他物品转作他用时，必须经过消除污染的处理．方可使用。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产生、收集、贮存、运输、利用、处置危险废物的单位、应当制定意外事故的防范措施和应急预案，并向所在地县级以上地方人民政府环境保护行政主管部门备案，环境保护行政主管部门应当进行检查。</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pacing w:val="7"/>
          <w:sz w:val="24"/>
          <w:szCs w:val="24"/>
          <w:u w:val="none" w:color="auto"/>
        </w:rPr>
      </w:pPr>
      <w:r>
        <w:rPr>
          <w:rFonts w:hint="default" w:ascii="Times New Roman" w:hAnsi="Times New Roman" w:eastAsia="宋体" w:cs="Times New Roman"/>
          <w:color w:val="auto"/>
          <w:spacing w:val="7"/>
          <w:sz w:val="24"/>
          <w:szCs w:val="24"/>
          <w:u w:val="none" w:color="auto"/>
        </w:rPr>
        <w:t>综上所述，本项目产生的各种固体废物均能得到妥善处置，对周围环境的影响较小。建设方应严格按照《危险废物贮存污染控制标准》(GB18597-20</w:t>
      </w:r>
      <w:r>
        <w:rPr>
          <w:rFonts w:hint="eastAsia" w:ascii="Times New Roman" w:hAnsi="Times New Roman" w:eastAsia="宋体" w:cs="Times New Roman"/>
          <w:color w:val="auto"/>
          <w:spacing w:val="7"/>
          <w:sz w:val="24"/>
          <w:szCs w:val="24"/>
          <w:u w:val="none" w:color="auto"/>
          <w:lang w:val="en-US" w:eastAsia="zh-CN"/>
        </w:rPr>
        <w:t>23</w:t>
      </w:r>
      <w:r>
        <w:rPr>
          <w:rFonts w:hint="default" w:ascii="Times New Roman" w:hAnsi="Times New Roman" w:eastAsia="宋体" w:cs="Times New Roman"/>
          <w:color w:val="auto"/>
          <w:spacing w:val="7"/>
          <w:sz w:val="24"/>
          <w:szCs w:val="24"/>
          <w:u w:val="none" w:color="auto"/>
        </w:rPr>
        <w:t>)建设危险固废暂存间。</w:t>
      </w:r>
    </w:p>
    <w:p>
      <w:pPr>
        <w:pStyle w:val="7"/>
        <w:bidi w:val="0"/>
        <w:rPr>
          <w:rFonts w:hint="default"/>
          <w:color w:val="auto"/>
        </w:rPr>
      </w:pPr>
      <w:bookmarkStart w:id="284" w:name="_bookmark115"/>
      <w:bookmarkEnd w:id="284"/>
      <w:bookmarkStart w:id="285" w:name="_Toc14484"/>
      <w:r>
        <w:rPr>
          <w:rFonts w:hint="default"/>
          <w:color w:val="auto"/>
        </w:rPr>
        <w:t>6.2.6环保措施及投资估算</w:t>
      </w:r>
      <w:bookmarkEnd w:id="285"/>
    </w:p>
    <w:p>
      <w:pPr>
        <w:pageBreakBefore w:val="0"/>
        <w:kinsoku/>
        <w:wordWrap/>
        <w:overflowPunct w:val="0"/>
        <w:topLinePunct/>
        <w:autoSpaceDE w:val="0"/>
        <w:autoSpaceDN w:val="0"/>
        <w:bidi w:val="0"/>
        <w:spacing w:before="207" w:line="372" w:lineRule="auto"/>
        <w:ind w:left="128" w:right="118"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3"/>
          <w:sz w:val="24"/>
          <w:szCs w:val="24"/>
          <w:u w:val="none" w:color="auto"/>
        </w:rPr>
        <w:t>具体环保措施及投资情况见下表</w:t>
      </w:r>
      <w:r>
        <w:rPr>
          <w:rFonts w:hint="default" w:ascii="Times New Roman" w:hAnsi="Times New Roman" w:eastAsia="宋体" w:cs="Times New Roman"/>
          <w:color w:val="auto"/>
          <w:spacing w:val="1"/>
          <w:sz w:val="24"/>
          <w:szCs w:val="24"/>
          <w:u w:val="none" w:color="auto"/>
        </w:rPr>
        <w:t>。</w:t>
      </w:r>
    </w:p>
    <w:p>
      <w:pPr>
        <w:pageBreakBefore w:val="0"/>
        <w:kinsoku/>
        <w:wordWrap/>
        <w:overflowPunct w:val="0"/>
        <w:topLinePunct/>
        <w:autoSpaceDE w:val="0"/>
        <w:autoSpaceDN w:val="0"/>
        <w:bidi w:val="0"/>
        <w:spacing w:before="207" w:line="372" w:lineRule="auto"/>
        <w:ind w:left="0" w:leftChars="0" w:right="0" w:rightChars="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pacing w:val="3"/>
          <w:sz w:val="24"/>
          <w:szCs w:val="24"/>
          <w:u w:val="none" w:color="auto"/>
        </w:rPr>
        <w:t>表6.2-</w:t>
      </w:r>
      <w:r>
        <w:rPr>
          <w:rFonts w:hint="eastAsia" w:ascii="Times New Roman" w:hAnsi="Times New Roman" w:eastAsia="宋体" w:cs="Times New Roman"/>
          <w:b/>
          <w:bCs/>
          <w:color w:val="auto"/>
          <w:spacing w:val="3"/>
          <w:sz w:val="24"/>
          <w:szCs w:val="24"/>
          <w:u w:val="none" w:color="auto"/>
          <w:lang w:val="en-US" w:eastAsia="zh-CN"/>
        </w:rPr>
        <w:t>4</w:t>
      </w:r>
      <w:r>
        <w:rPr>
          <w:rFonts w:hint="default" w:ascii="Times New Roman" w:hAnsi="Times New Roman" w:eastAsia="宋体" w:cs="Times New Roman"/>
          <w:b/>
          <w:bCs/>
          <w:color w:val="auto"/>
          <w:spacing w:val="3"/>
          <w:sz w:val="24"/>
          <w:szCs w:val="24"/>
          <w:u w:val="none" w:color="auto"/>
        </w:rPr>
        <w:t>环保设施投资估算表</w:t>
      </w:r>
    </w:p>
    <w:tbl>
      <w:tblPr>
        <w:tblStyle w:val="204"/>
        <w:tblW w:w="5066" w:type="pct"/>
        <w:tblInd w:w="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32"/>
        <w:gridCol w:w="2"/>
        <w:gridCol w:w="1099"/>
        <w:gridCol w:w="2"/>
        <w:gridCol w:w="1745"/>
        <w:gridCol w:w="2"/>
        <w:gridCol w:w="3830"/>
        <w:gridCol w:w="14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u w:val="none" w:color="auto"/>
              </w:rPr>
            </w:pPr>
            <w:r>
              <w:rPr>
                <w:rFonts w:hint="default" w:ascii="Times New Roman" w:hAnsi="Times New Roman" w:eastAsia="宋体" w:cs="Times New Roman"/>
                <w:color w:val="auto"/>
                <w:spacing w:val="10"/>
                <w:sz w:val="21"/>
                <w:szCs w:val="21"/>
                <w:u w:val="none" w:color="auto"/>
              </w:rPr>
              <w:t>序号</w:t>
            </w:r>
          </w:p>
        </w:tc>
        <w:tc>
          <w:tcPr>
            <w:tcW w:w="634"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u w:val="none" w:color="auto"/>
              </w:rPr>
            </w:pPr>
            <w:r>
              <w:rPr>
                <w:rFonts w:hint="default" w:ascii="Times New Roman" w:hAnsi="Times New Roman" w:eastAsia="宋体" w:cs="Times New Roman"/>
                <w:color w:val="auto"/>
                <w:spacing w:val="10"/>
                <w:sz w:val="21"/>
                <w:szCs w:val="21"/>
                <w:u w:val="none" w:color="auto"/>
              </w:rPr>
              <w:t>环境工程项目</w:t>
            </w: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u w:val="none" w:color="auto"/>
              </w:rPr>
            </w:pPr>
            <w:r>
              <w:rPr>
                <w:rFonts w:hint="default" w:ascii="Times New Roman" w:hAnsi="Times New Roman" w:eastAsia="宋体" w:cs="Times New Roman"/>
                <w:color w:val="auto"/>
                <w:spacing w:val="10"/>
                <w:sz w:val="21"/>
                <w:szCs w:val="21"/>
                <w:u w:val="none" w:color="auto"/>
              </w:rPr>
              <w:t>污染物类别</w:t>
            </w:r>
          </w:p>
        </w:tc>
        <w:tc>
          <w:tcPr>
            <w:tcW w:w="2206"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u w:val="none" w:color="auto"/>
              </w:rPr>
            </w:pPr>
            <w:r>
              <w:rPr>
                <w:rFonts w:hint="default" w:ascii="Times New Roman" w:hAnsi="Times New Roman" w:eastAsia="宋体" w:cs="Times New Roman"/>
                <w:color w:val="auto"/>
                <w:spacing w:val="10"/>
                <w:sz w:val="21"/>
                <w:szCs w:val="21"/>
                <w:u w:val="none" w:color="auto"/>
              </w:rPr>
              <w:t>环保措施</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u w:val="none" w:color="auto"/>
              </w:rPr>
            </w:pPr>
            <w:r>
              <w:rPr>
                <w:rFonts w:hint="default" w:ascii="Times New Roman" w:hAnsi="Times New Roman" w:eastAsia="宋体" w:cs="Times New Roman"/>
                <w:color w:val="auto"/>
                <w:spacing w:val="10"/>
                <w:sz w:val="21"/>
                <w:szCs w:val="21"/>
                <w:u w:val="none" w:color="auto"/>
              </w:rPr>
              <w:t>投资额(万元)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308" w:type="pct"/>
            <w:gridSpan w:val="2"/>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34" w:type="pct"/>
            <w:gridSpan w:val="2"/>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废</w:t>
            </w:r>
            <w:r>
              <w:rPr>
                <w:rFonts w:hint="default" w:ascii="Times New Roman" w:hAnsi="Times New Roman" w:eastAsia="宋体" w:cs="Times New Roman"/>
                <w:color w:val="auto"/>
                <w:spacing w:val="7"/>
                <w:sz w:val="21"/>
                <w:szCs w:val="21"/>
                <w:u w:val="none" w:color="auto"/>
              </w:rPr>
              <w:t>水处理</w:t>
            </w:r>
            <w:r>
              <w:rPr>
                <w:rFonts w:hint="default" w:ascii="Times New Roman" w:hAnsi="Times New Roman" w:eastAsia="宋体" w:cs="Times New Roman"/>
                <w:color w:val="auto"/>
                <w:spacing w:val="4"/>
                <w:sz w:val="21"/>
                <w:szCs w:val="21"/>
                <w:u w:val="none" w:color="auto"/>
              </w:rPr>
              <w:t>工</w:t>
            </w:r>
            <w:r>
              <w:rPr>
                <w:rFonts w:hint="default" w:ascii="Times New Roman" w:hAnsi="Times New Roman" w:eastAsia="宋体" w:cs="Times New Roman"/>
                <w:color w:val="auto"/>
                <w:spacing w:val="3"/>
                <w:sz w:val="21"/>
                <w:szCs w:val="21"/>
                <w:u w:val="none" w:color="auto"/>
              </w:rPr>
              <w:t>程</w:t>
            </w: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生活污</w:t>
            </w:r>
            <w:r>
              <w:rPr>
                <w:rFonts w:hint="default" w:ascii="Times New Roman" w:hAnsi="Times New Roman" w:eastAsia="宋体" w:cs="Times New Roman"/>
                <w:color w:val="auto"/>
                <w:spacing w:val="6"/>
                <w:sz w:val="21"/>
                <w:szCs w:val="21"/>
                <w:u w:val="none" w:color="auto"/>
              </w:rPr>
              <w:t>水</w:t>
            </w:r>
          </w:p>
        </w:tc>
        <w:tc>
          <w:tcPr>
            <w:tcW w:w="2206"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7"/>
                <w:sz w:val="21"/>
                <w:szCs w:val="21"/>
                <w:u w:val="none" w:color="auto"/>
                <w:lang w:eastAsia="zh-CN"/>
              </w:rPr>
              <w:t>化粪池</w:t>
            </w:r>
            <w:r>
              <w:rPr>
                <w:rFonts w:hint="default" w:ascii="Times New Roman" w:hAnsi="Times New Roman" w:eastAsia="宋体" w:cs="Times New Roman"/>
                <w:color w:val="auto"/>
                <w:spacing w:val="7"/>
                <w:sz w:val="21"/>
                <w:szCs w:val="21"/>
                <w:u w:val="none" w:color="auto"/>
              </w:rPr>
              <w:t>隔油池</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pacing w:val="1"/>
                <w:sz w:val="21"/>
                <w:szCs w:val="21"/>
                <w:u w:val="none" w:color="auto"/>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8"/>
                <w:sz w:val="21"/>
                <w:szCs w:val="21"/>
                <w:u w:val="none" w:color="auto"/>
                <w:lang w:eastAsia="zh-CN"/>
              </w:rPr>
            </w:pPr>
            <w:r>
              <w:rPr>
                <w:rFonts w:hint="eastAsia" w:ascii="Times New Roman" w:hAnsi="Times New Roman" w:eastAsia="宋体" w:cs="Times New Roman"/>
                <w:color w:val="auto"/>
                <w:spacing w:val="8"/>
                <w:sz w:val="21"/>
                <w:szCs w:val="21"/>
                <w:u w:val="none" w:color="auto"/>
                <w:lang w:eastAsia="zh-CN"/>
              </w:rPr>
              <w:t>冷却水处理设施</w:t>
            </w:r>
          </w:p>
        </w:tc>
        <w:tc>
          <w:tcPr>
            <w:tcW w:w="2206"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0"/>
                <w:sz w:val="21"/>
                <w:szCs w:val="21"/>
                <w:u w:val="none" w:color="auto"/>
                <w:lang w:eastAsia="zh-CN"/>
              </w:rPr>
            </w:pPr>
            <w:r>
              <w:rPr>
                <w:rFonts w:hint="eastAsia" w:ascii="Times New Roman" w:hAnsi="Times New Roman" w:eastAsia="宋体" w:cs="Times New Roman"/>
                <w:color w:val="auto"/>
                <w:spacing w:val="10"/>
                <w:sz w:val="21"/>
                <w:szCs w:val="21"/>
                <w:u w:val="none" w:color="auto"/>
                <w:lang w:eastAsia="zh-CN"/>
              </w:rPr>
              <w:t>隔油混凝气浮设施</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634" w:type="pct"/>
            <w:gridSpan w:val="2"/>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废</w:t>
            </w:r>
            <w:r>
              <w:rPr>
                <w:rFonts w:hint="default" w:ascii="Times New Roman" w:hAnsi="Times New Roman" w:eastAsia="宋体" w:cs="Times New Roman"/>
                <w:color w:val="auto"/>
                <w:spacing w:val="7"/>
                <w:sz w:val="21"/>
                <w:szCs w:val="21"/>
                <w:u w:val="none" w:color="auto"/>
              </w:rPr>
              <w:t>气治理</w:t>
            </w:r>
            <w:r>
              <w:rPr>
                <w:rFonts w:hint="default" w:ascii="Times New Roman" w:hAnsi="Times New Roman" w:eastAsia="宋体" w:cs="Times New Roman"/>
                <w:color w:val="auto"/>
                <w:spacing w:val="4"/>
                <w:sz w:val="21"/>
                <w:szCs w:val="21"/>
                <w:u w:val="none" w:color="auto"/>
              </w:rPr>
              <w:t>工</w:t>
            </w:r>
            <w:r>
              <w:rPr>
                <w:rFonts w:hint="default" w:ascii="Times New Roman" w:hAnsi="Times New Roman" w:eastAsia="宋体" w:cs="Times New Roman"/>
                <w:color w:val="auto"/>
                <w:spacing w:val="3"/>
                <w:sz w:val="21"/>
                <w:szCs w:val="21"/>
                <w:u w:val="none" w:color="auto"/>
              </w:rPr>
              <w:t>程</w:t>
            </w: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熔</w:t>
            </w:r>
            <w:r>
              <w:rPr>
                <w:rFonts w:hint="default" w:ascii="Times New Roman" w:hAnsi="Times New Roman" w:eastAsia="宋体" w:cs="Times New Roman"/>
                <w:color w:val="auto"/>
                <w:spacing w:val="-5"/>
                <w:sz w:val="21"/>
                <w:szCs w:val="21"/>
                <w:u w:val="none" w:color="auto"/>
              </w:rPr>
              <w:t>炼废气、炒灰、</w:t>
            </w:r>
            <w:r>
              <w:rPr>
                <w:rFonts w:hint="default" w:ascii="Times New Roman" w:hAnsi="Times New Roman" w:eastAsia="宋体" w:cs="Times New Roman"/>
                <w:color w:val="auto"/>
                <w:spacing w:val="-1"/>
                <w:sz w:val="21"/>
                <w:szCs w:val="21"/>
                <w:u w:val="none" w:color="auto"/>
              </w:rPr>
              <w:t>球</w:t>
            </w:r>
            <w:r>
              <w:rPr>
                <w:rFonts w:hint="default" w:ascii="Times New Roman" w:hAnsi="Times New Roman" w:eastAsia="宋体" w:cs="Times New Roman"/>
                <w:color w:val="auto"/>
                <w:sz w:val="21"/>
                <w:szCs w:val="21"/>
                <w:u w:val="none" w:color="auto"/>
              </w:rPr>
              <w:t>磨颗粒物</w:t>
            </w:r>
          </w:p>
        </w:tc>
        <w:tc>
          <w:tcPr>
            <w:tcW w:w="2206"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1"/>
                <w:sz w:val="21"/>
                <w:szCs w:val="21"/>
                <w:u w:val="none" w:color="auto"/>
                <w:lang w:eastAsia="zh-CN"/>
              </w:rPr>
              <w:t>布袋除尘器+碱液喷淋塔</w:t>
            </w:r>
            <w:r>
              <w:rPr>
                <w:rFonts w:hint="eastAsia" w:ascii="Times New Roman" w:hAnsi="Times New Roman" w:eastAsia="宋体" w:cs="Times New Roman"/>
                <w:color w:val="auto"/>
                <w:spacing w:val="11"/>
                <w:sz w:val="21"/>
                <w:szCs w:val="21"/>
                <w:u w:val="none" w:color="auto"/>
                <w:lang w:val="en-US" w:eastAsia="zh-CN"/>
              </w:rPr>
              <w:t>+15m排气筒</w:t>
            </w:r>
            <w:r>
              <w:rPr>
                <w:rFonts w:hint="eastAsia"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DA001</w:t>
            </w:r>
            <w:r>
              <w:rPr>
                <w:rFonts w:hint="eastAsia" w:ascii="Times New Roman" w:hAnsi="Times New Roman" w:cs="Times New Roman"/>
                <w:color w:val="auto"/>
                <w:kern w:val="2"/>
                <w:sz w:val="21"/>
                <w:szCs w:val="21"/>
                <w:lang w:eastAsia="zh-CN"/>
              </w:rPr>
              <w:t>）</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pacing w:val="-2"/>
                <w:sz w:val="21"/>
                <w:szCs w:val="21"/>
                <w:u w:val="none" w:color="auto"/>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kern w:val="2"/>
                <w:sz w:val="21"/>
                <w:szCs w:val="21"/>
                <w:lang w:eastAsia="zh-CN"/>
              </w:rPr>
              <w:t>天然气燃烧废气</w:t>
            </w:r>
          </w:p>
        </w:tc>
        <w:tc>
          <w:tcPr>
            <w:tcW w:w="2206"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lang w:eastAsia="zh-CN"/>
              </w:rPr>
              <w:t>低氮燃烧器</w:t>
            </w:r>
            <w:r>
              <w:rPr>
                <w:rFonts w:hint="eastAsia" w:ascii="Times New Roman" w:hAnsi="Times New Roman" w:cs="Times New Roman"/>
                <w:color w:val="auto"/>
                <w:kern w:val="2"/>
                <w:sz w:val="21"/>
                <w:szCs w:val="21"/>
                <w:lang w:val="en-US" w:eastAsia="zh-CN"/>
              </w:rPr>
              <w:t>+15m排气筒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u w:val="none" w:color="auto"/>
              </w:rPr>
            </w:pPr>
            <w:r>
              <w:rPr>
                <w:rFonts w:hint="default" w:ascii="Times New Roman" w:hAnsi="Times New Roman" w:cs="Times New Roman"/>
                <w:color w:val="auto"/>
                <w:kern w:val="2"/>
                <w:sz w:val="21"/>
                <w:szCs w:val="21"/>
                <w:lang w:val="en-US" w:eastAsia="zh-CN"/>
              </w:rPr>
              <w:t>镁板轧机废气</w:t>
            </w:r>
          </w:p>
        </w:tc>
        <w:tc>
          <w:tcPr>
            <w:tcW w:w="2206"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活性炭吸附</w:t>
            </w:r>
            <w:r>
              <w:rPr>
                <w:rFonts w:hint="eastAsia" w:ascii="Times New Roman" w:hAnsi="Times New Roman" w:cs="Times New Roman"/>
                <w:color w:val="auto"/>
                <w:kern w:val="2"/>
                <w:sz w:val="21"/>
                <w:szCs w:val="21"/>
                <w:lang w:val="en-US" w:eastAsia="zh-CN"/>
              </w:rPr>
              <w:t>+15m排气筒</w:t>
            </w:r>
            <w:r>
              <w:rPr>
                <w:rFonts w:hint="default" w:ascii="Times New Roman" w:hAnsi="Times New Roman" w:cs="Times New Roman"/>
                <w:color w:val="auto"/>
                <w:kern w:val="2"/>
                <w:sz w:val="21"/>
                <w:szCs w:val="21"/>
              </w:rPr>
              <w:t>（DA0</w:t>
            </w:r>
            <w:r>
              <w:rPr>
                <w:rFonts w:hint="eastAsia" w:ascii="Times New Roman" w:hAnsi="Times New Roman" w:cs="Times New Roman"/>
                <w:color w:val="auto"/>
                <w:kern w:val="2"/>
                <w:sz w:val="21"/>
                <w:szCs w:val="21"/>
                <w:lang w:val="en-US" w:eastAsia="zh-CN"/>
              </w:rPr>
              <w:t>03</w:t>
            </w:r>
            <w:r>
              <w:rPr>
                <w:rFonts w:hint="default" w:ascii="Times New Roman" w:hAnsi="Times New Roman" w:cs="Times New Roman"/>
                <w:color w:val="auto"/>
                <w:kern w:val="2"/>
                <w:sz w:val="21"/>
                <w:szCs w:val="21"/>
              </w:rPr>
              <w:t>）</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u w:val="none" w:color="auto"/>
              </w:rPr>
            </w:pPr>
            <w:r>
              <w:rPr>
                <w:rFonts w:hint="default" w:ascii="Times New Roman" w:hAnsi="Times New Roman" w:cs="Times New Roman"/>
                <w:color w:val="auto"/>
                <w:kern w:val="2"/>
                <w:sz w:val="21"/>
                <w:szCs w:val="21"/>
                <w:lang w:eastAsia="zh-CN"/>
              </w:rPr>
              <w:t>等离子喷涂</w:t>
            </w:r>
            <w:r>
              <w:rPr>
                <w:rFonts w:hint="eastAsia" w:ascii="Times New Roman" w:hAnsi="Times New Roman" w:cs="Times New Roman"/>
                <w:color w:val="auto"/>
                <w:kern w:val="2"/>
                <w:sz w:val="21"/>
                <w:szCs w:val="21"/>
                <w:lang w:eastAsia="zh-CN"/>
              </w:rPr>
              <w:t>废气</w:t>
            </w:r>
          </w:p>
        </w:tc>
        <w:tc>
          <w:tcPr>
            <w:tcW w:w="2206"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布袋除尘器</w:t>
            </w:r>
            <w:r>
              <w:rPr>
                <w:rFonts w:hint="eastAsia" w:ascii="Times New Roman" w:hAnsi="Times New Roman" w:cs="Times New Roman"/>
                <w:color w:val="auto"/>
                <w:kern w:val="2"/>
                <w:sz w:val="21"/>
                <w:szCs w:val="21"/>
                <w:lang w:val="en-US" w:eastAsia="zh-CN"/>
              </w:rPr>
              <w:t>+15m排气筒</w:t>
            </w:r>
            <w:r>
              <w:rPr>
                <w:rFonts w:hint="default" w:ascii="Times New Roman" w:hAnsi="Times New Roman" w:cs="Times New Roman"/>
                <w:color w:val="auto"/>
                <w:kern w:val="2"/>
                <w:sz w:val="21"/>
                <w:szCs w:val="21"/>
              </w:rPr>
              <w:t>（DA0</w:t>
            </w:r>
            <w:r>
              <w:rPr>
                <w:rFonts w:hint="eastAsia" w:ascii="Times New Roman" w:hAnsi="Times New Roman" w:cs="Times New Roman"/>
                <w:color w:val="auto"/>
                <w:kern w:val="2"/>
                <w:sz w:val="21"/>
                <w:szCs w:val="21"/>
                <w:lang w:val="en-US" w:eastAsia="zh-CN"/>
              </w:rPr>
              <w:t>03</w:t>
            </w:r>
            <w:r>
              <w:rPr>
                <w:rFonts w:hint="default" w:ascii="Times New Roman" w:hAnsi="Times New Roman" w:cs="Times New Roman"/>
                <w:color w:val="auto"/>
                <w:kern w:val="2"/>
                <w:sz w:val="21"/>
                <w:szCs w:val="21"/>
              </w:rPr>
              <w:t>）</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u w:val="none" w:color="auto"/>
              </w:rPr>
            </w:pPr>
            <w:r>
              <w:rPr>
                <w:rFonts w:hint="eastAsia" w:ascii="Times New Roman" w:hAnsi="Times New Roman" w:cs="Times New Roman"/>
                <w:color w:val="auto"/>
                <w:kern w:val="2"/>
                <w:sz w:val="21"/>
                <w:szCs w:val="21"/>
                <w:lang w:eastAsia="zh-CN"/>
              </w:rPr>
              <w:t>喷漆和烘干</w:t>
            </w:r>
          </w:p>
        </w:tc>
        <w:tc>
          <w:tcPr>
            <w:tcW w:w="2206" w:type="pct"/>
            <w:tcBorders>
              <w:tl2br w:val="nil"/>
              <w:tr2bl w:val="nil"/>
            </w:tcBorders>
            <w:vAlign w:val="center"/>
          </w:tcPr>
          <w:p>
            <w:pPr>
              <w:pStyle w:val="91"/>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eastAsia="zh-CN"/>
              </w:rPr>
            </w:pPr>
            <w:r>
              <w:rPr>
                <w:rFonts w:hint="default" w:ascii="Times New Roman" w:hAnsi="Times New Roman" w:eastAsia="宋体" w:cs="Times New Roman"/>
                <w:color w:val="auto"/>
                <w:sz w:val="21"/>
                <w:szCs w:val="21"/>
                <w:u w:val="none" w:color="auto"/>
                <w:lang w:val="en-US" w:eastAsia="zh-CN"/>
              </w:rPr>
              <w:t>水帘+干式过滤</w:t>
            </w:r>
            <w:r>
              <w:rPr>
                <w:rFonts w:hint="eastAsia" w:ascii="Times New Roman" w:hAnsi="Times New Roman" w:eastAsia="宋体" w:cs="Times New Roman"/>
                <w:color w:val="auto"/>
                <w:sz w:val="21"/>
                <w:szCs w:val="21"/>
                <w:u w:val="none" w:color="auto"/>
                <w:lang w:val="en-US" w:eastAsia="zh-CN"/>
              </w:rPr>
              <w:t>+活性炭吸附</w:t>
            </w:r>
            <w:r>
              <w:rPr>
                <w:rFonts w:hint="default" w:ascii="Times New Roman" w:hAnsi="Times New Roman" w:cs="Times New Roman"/>
                <w:color w:val="auto"/>
                <w:kern w:val="2"/>
                <w:sz w:val="21"/>
                <w:szCs w:val="21"/>
              </w:rPr>
              <w:t>（DA</w:t>
            </w:r>
            <w:r>
              <w:rPr>
                <w:rFonts w:hint="eastAsia" w:ascii="Times New Roman" w:hAnsi="Times New Roman" w:cs="Times New Roman"/>
                <w:color w:val="auto"/>
                <w:kern w:val="2"/>
                <w:sz w:val="21"/>
                <w:szCs w:val="21"/>
                <w:lang w:val="en-US" w:eastAsia="zh-CN"/>
              </w:rPr>
              <w:t>003</w:t>
            </w:r>
            <w:r>
              <w:rPr>
                <w:rFonts w:hint="default" w:ascii="Times New Roman" w:hAnsi="Times New Roman" w:cs="Times New Roman"/>
                <w:color w:val="auto"/>
                <w:kern w:val="2"/>
                <w:sz w:val="21"/>
                <w:szCs w:val="21"/>
              </w:rPr>
              <w:t>）</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8"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食</w:t>
            </w:r>
            <w:r>
              <w:rPr>
                <w:rFonts w:hint="default" w:ascii="Times New Roman" w:hAnsi="Times New Roman" w:eastAsia="宋体" w:cs="Times New Roman"/>
                <w:color w:val="auto"/>
                <w:spacing w:val="4"/>
                <w:sz w:val="21"/>
                <w:szCs w:val="21"/>
                <w:u w:val="none" w:color="auto"/>
              </w:rPr>
              <w:t>堂</w:t>
            </w:r>
          </w:p>
        </w:tc>
        <w:tc>
          <w:tcPr>
            <w:tcW w:w="2206"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9"/>
                <w:sz w:val="21"/>
                <w:szCs w:val="21"/>
                <w:u w:val="none" w:color="auto"/>
              </w:rPr>
              <w:t>油</w:t>
            </w:r>
            <w:r>
              <w:rPr>
                <w:rFonts w:hint="default" w:ascii="Times New Roman" w:hAnsi="Times New Roman" w:eastAsia="宋体" w:cs="Times New Roman"/>
                <w:color w:val="auto"/>
                <w:spacing w:val="7"/>
                <w:sz w:val="21"/>
                <w:szCs w:val="21"/>
                <w:u w:val="none" w:color="auto"/>
              </w:rPr>
              <w:t>烟净化器</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 w:type="pct"/>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634" w:type="pct"/>
            <w:gridSpan w:val="2"/>
            <w:vMerge w:val="restar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固废处</w:t>
            </w:r>
            <w:r>
              <w:rPr>
                <w:rFonts w:hint="default" w:ascii="Times New Roman" w:hAnsi="Times New Roman" w:eastAsia="宋体" w:cs="Times New Roman"/>
                <w:color w:val="auto"/>
                <w:spacing w:val="2"/>
                <w:sz w:val="21"/>
                <w:szCs w:val="21"/>
                <w:u w:val="none" w:color="auto"/>
              </w:rPr>
              <w:t>置</w:t>
            </w:r>
            <w:r>
              <w:rPr>
                <w:rFonts w:hint="default" w:ascii="Times New Roman" w:hAnsi="Times New Roman" w:eastAsia="宋体" w:cs="Times New Roman"/>
                <w:color w:val="auto"/>
                <w:spacing w:val="4"/>
                <w:sz w:val="21"/>
                <w:szCs w:val="21"/>
                <w:u w:val="none" w:color="auto"/>
              </w:rPr>
              <w:t>工</w:t>
            </w:r>
            <w:r>
              <w:rPr>
                <w:rFonts w:hint="default" w:ascii="Times New Roman" w:hAnsi="Times New Roman" w:eastAsia="宋体" w:cs="Times New Roman"/>
                <w:color w:val="auto"/>
                <w:spacing w:val="3"/>
                <w:sz w:val="21"/>
                <w:szCs w:val="21"/>
                <w:u w:val="none" w:color="auto"/>
              </w:rPr>
              <w:t>程</w:t>
            </w: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pacing w:val="9"/>
                <w:sz w:val="21"/>
                <w:szCs w:val="21"/>
                <w:u w:val="none" w:color="auto"/>
                <w:lang w:eastAsia="zh-CN"/>
              </w:rPr>
              <w:t>一般固废</w:t>
            </w:r>
          </w:p>
        </w:tc>
        <w:tc>
          <w:tcPr>
            <w:tcW w:w="2207"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一般固废储存间</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pacing w:val="1"/>
                <w:sz w:val="21"/>
                <w:szCs w:val="21"/>
                <w:u w:val="none" w:color="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危</w:t>
            </w:r>
            <w:r>
              <w:rPr>
                <w:rFonts w:hint="default" w:ascii="Times New Roman" w:hAnsi="Times New Roman" w:eastAsia="宋体" w:cs="Times New Roman"/>
                <w:color w:val="auto"/>
                <w:spacing w:val="3"/>
                <w:sz w:val="21"/>
                <w:szCs w:val="21"/>
                <w:u w:val="none" w:color="auto"/>
              </w:rPr>
              <w:t>废</w:t>
            </w:r>
          </w:p>
        </w:tc>
        <w:tc>
          <w:tcPr>
            <w:tcW w:w="2207"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危废暂存间：严格防渗处理，</w:t>
            </w:r>
            <w:r>
              <w:rPr>
                <w:rFonts w:hint="default" w:ascii="Times New Roman" w:hAnsi="Times New Roman" w:eastAsia="宋体" w:cs="Times New Roman"/>
                <w:color w:val="auto"/>
                <w:spacing w:val="7"/>
                <w:sz w:val="21"/>
                <w:szCs w:val="21"/>
                <w:u w:val="none" w:color="auto"/>
              </w:rPr>
              <w:t>外</w:t>
            </w:r>
            <w:r>
              <w:rPr>
                <w:rFonts w:hint="default" w:ascii="Times New Roman" w:hAnsi="Times New Roman" w:eastAsia="宋体" w:cs="Times New Roman"/>
                <w:color w:val="auto"/>
                <w:spacing w:val="6"/>
                <w:sz w:val="21"/>
                <w:szCs w:val="21"/>
                <w:u w:val="none" w:color="auto"/>
              </w:rPr>
              <w:t>委处置</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 w:type="pct"/>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634" w:type="pct"/>
            <w:gridSpan w:val="2"/>
            <w:vMerge w:val="continue"/>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生活垃</w:t>
            </w:r>
            <w:r>
              <w:rPr>
                <w:rFonts w:hint="default" w:ascii="Times New Roman" w:hAnsi="Times New Roman" w:eastAsia="宋体" w:cs="Times New Roman"/>
                <w:color w:val="auto"/>
                <w:spacing w:val="6"/>
                <w:sz w:val="21"/>
                <w:szCs w:val="21"/>
                <w:u w:val="none" w:color="auto"/>
              </w:rPr>
              <w:t>圾</w:t>
            </w:r>
          </w:p>
        </w:tc>
        <w:tc>
          <w:tcPr>
            <w:tcW w:w="2207"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垃</w:t>
            </w:r>
            <w:r>
              <w:rPr>
                <w:rFonts w:hint="default" w:ascii="Times New Roman" w:hAnsi="Times New Roman" w:eastAsia="宋体" w:cs="Times New Roman"/>
                <w:color w:val="auto"/>
                <w:spacing w:val="6"/>
                <w:sz w:val="21"/>
                <w:szCs w:val="21"/>
                <w:u w:val="none" w:color="auto"/>
              </w:rPr>
              <w:t>圾桶</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4</w:t>
            </w:r>
          </w:p>
        </w:tc>
        <w:tc>
          <w:tcPr>
            <w:tcW w:w="634"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噪声治</w:t>
            </w:r>
            <w:r>
              <w:rPr>
                <w:rFonts w:hint="default" w:ascii="Times New Roman" w:hAnsi="Times New Roman" w:eastAsia="宋体" w:cs="Times New Roman"/>
                <w:color w:val="auto"/>
                <w:spacing w:val="4"/>
                <w:sz w:val="21"/>
                <w:szCs w:val="21"/>
                <w:u w:val="none" w:color="auto"/>
              </w:rPr>
              <w:t>理工</w:t>
            </w:r>
            <w:r>
              <w:rPr>
                <w:rFonts w:hint="default" w:ascii="Times New Roman" w:hAnsi="Times New Roman" w:eastAsia="宋体" w:cs="Times New Roman"/>
                <w:color w:val="auto"/>
                <w:spacing w:val="3"/>
                <w:sz w:val="21"/>
                <w:szCs w:val="21"/>
                <w:u w:val="none" w:color="auto"/>
              </w:rPr>
              <w:t>程</w:t>
            </w: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生产设备噪</w:t>
            </w:r>
            <w:r>
              <w:rPr>
                <w:rFonts w:hint="default" w:ascii="Times New Roman" w:hAnsi="Times New Roman" w:eastAsia="宋体" w:cs="Times New Roman"/>
                <w:color w:val="auto"/>
                <w:spacing w:val="7"/>
                <w:sz w:val="21"/>
                <w:szCs w:val="21"/>
                <w:u w:val="none" w:color="auto"/>
              </w:rPr>
              <w:t>声</w:t>
            </w:r>
          </w:p>
        </w:tc>
        <w:tc>
          <w:tcPr>
            <w:tcW w:w="2207"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2"/>
                <w:sz w:val="21"/>
                <w:szCs w:val="21"/>
                <w:u w:val="none" w:color="auto"/>
              </w:rPr>
              <w:t>隔</w:t>
            </w:r>
            <w:r>
              <w:rPr>
                <w:rFonts w:hint="default" w:ascii="Times New Roman" w:hAnsi="Times New Roman" w:eastAsia="宋体" w:cs="Times New Roman"/>
                <w:color w:val="auto"/>
                <w:spacing w:val="7"/>
                <w:sz w:val="21"/>
                <w:szCs w:val="21"/>
                <w:u w:val="none" w:color="auto"/>
              </w:rPr>
              <w:t>声、加强厂区绿化</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pacing w:val="1"/>
                <w:sz w:val="21"/>
                <w:szCs w:val="21"/>
                <w:u w:val="none" w:color="auto"/>
                <w:lang w:val="en-US" w:eastAsia="zh-CN"/>
              </w:rPr>
              <w:t>110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1" w:type="pct"/>
            <w:gridSpan w:val="3"/>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4"/>
                <w:sz w:val="21"/>
                <w:szCs w:val="21"/>
                <w:u w:val="none" w:color="auto"/>
              </w:rPr>
              <w:t>合计</w:t>
            </w:r>
          </w:p>
        </w:tc>
        <w:tc>
          <w:tcPr>
            <w:tcW w:w="1006"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2"/>
                <w:sz w:val="21"/>
                <w:szCs w:val="21"/>
                <w:u w:val="none" w:color="auto"/>
              </w:rPr>
              <w:t>-</w:t>
            </w:r>
            <w:r>
              <w:rPr>
                <w:rFonts w:hint="default" w:ascii="Times New Roman" w:hAnsi="Times New Roman" w:eastAsia="宋体" w:cs="Times New Roman"/>
                <w:color w:val="auto"/>
                <w:spacing w:val="-1"/>
                <w:sz w:val="21"/>
                <w:szCs w:val="21"/>
                <w:u w:val="none" w:color="auto"/>
              </w:rPr>
              <w:t>-</w:t>
            </w:r>
          </w:p>
        </w:tc>
        <w:tc>
          <w:tcPr>
            <w:tcW w:w="2207"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2"/>
                <w:sz w:val="21"/>
                <w:szCs w:val="21"/>
                <w:u w:val="none" w:color="auto"/>
              </w:rPr>
              <w:t>-</w:t>
            </w:r>
            <w:r>
              <w:rPr>
                <w:rFonts w:hint="default" w:ascii="Times New Roman" w:hAnsi="Times New Roman" w:eastAsia="宋体" w:cs="Times New Roman"/>
                <w:color w:val="auto"/>
                <w:spacing w:val="-1"/>
                <w:sz w:val="21"/>
                <w:szCs w:val="21"/>
                <w:u w:val="none" w:color="auto"/>
              </w:rPr>
              <w:t>-</w:t>
            </w:r>
          </w:p>
        </w:tc>
        <w:tc>
          <w:tcPr>
            <w:tcW w:w="844" w:type="pct"/>
            <w:tcBorders>
              <w:tl2br w:val="nil"/>
              <w:tr2bl w:val="nil"/>
            </w:tcBorders>
            <w:vAlign w:val="center"/>
          </w:tcPr>
          <w:p>
            <w:pPr>
              <w:keepNext w:val="0"/>
              <w:keepLines w:val="0"/>
              <w:pageBreakBefore w:val="0"/>
              <w:widowControl w:val="0"/>
              <w:kinsoku/>
              <w:wordWrap/>
              <w:overflowPunct w:val="0"/>
              <w:topLinePunct/>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pacing w:val="-2"/>
                <w:sz w:val="21"/>
                <w:szCs w:val="21"/>
                <w:u w:val="none" w:color="auto"/>
                <w:lang w:val="en-US" w:eastAsia="zh-CN"/>
              </w:rPr>
              <w:t>1122</w:t>
            </w:r>
          </w:p>
        </w:tc>
      </w:tr>
    </w:tbl>
    <w:p>
      <w:pPr>
        <w:pageBreakBefore w:val="0"/>
        <w:kinsoku/>
        <w:wordWrap/>
        <w:overflowPunct w:val="0"/>
        <w:topLinePunct/>
        <w:autoSpaceDE w:val="0"/>
        <w:autoSpaceDN w:val="0"/>
        <w:bidi w:val="0"/>
        <w:rPr>
          <w:rFonts w:hint="default" w:ascii="Times New Roman" w:hAnsi="Times New Roman" w:eastAsia="宋体" w:cs="Times New Roman"/>
          <w:color w:val="auto"/>
          <w:sz w:val="21"/>
          <w:u w:val="none" w:color="auto"/>
        </w:rPr>
      </w:pPr>
    </w:p>
    <w:p>
      <w:pPr>
        <w:pageBreakBefore w:val="0"/>
        <w:kinsoku/>
        <w:wordWrap/>
        <w:overflowPunct w:val="0"/>
        <w:topLinePunct/>
        <w:autoSpaceDE w:val="0"/>
        <w:autoSpaceDN w:val="0"/>
        <w:bidi w:val="0"/>
        <w:rPr>
          <w:rFonts w:hint="default" w:ascii="Times New Roman" w:hAnsi="Times New Roman" w:eastAsia="宋体" w:cs="Times New Roman"/>
          <w:color w:val="auto"/>
          <w:u w:val="none" w:color="auto"/>
        </w:rPr>
        <w:sectPr>
          <w:headerReference r:id="rId20" w:type="default"/>
          <w:footerReference r:id="rId21" w:type="default"/>
          <w:pgSz w:w="11906" w:h="16839"/>
          <w:pgMar w:top="1132" w:right="1686" w:bottom="1181" w:left="1686" w:header="882" w:footer="994" w:gutter="0"/>
          <w:pgBorders>
            <w:top w:val="none" w:sz="0" w:space="0"/>
            <w:left w:val="none" w:sz="0" w:space="0"/>
            <w:bottom w:val="none" w:sz="0" w:space="0"/>
            <w:right w:val="none" w:sz="0" w:space="0"/>
          </w:pgBorders>
          <w:pgNumType w:fmt="decimal"/>
          <w:cols w:space="720" w:num="1"/>
        </w:sectPr>
      </w:pP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86" w:name="_Toc5005"/>
      <w:bookmarkStart w:id="287" w:name="_Toc21334"/>
      <w:r>
        <w:rPr>
          <w:rFonts w:hint="default" w:ascii="Times New Roman" w:hAnsi="Times New Roman" w:eastAsia="宋体" w:cs="Times New Roman"/>
          <w:color w:val="auto"/>
          <w:highlight w:val="none"/>
          <w:u w:val="none" w:color="auto"/>
        </w:rPr>
        <w:t>第7章环境影响经济损益分析</w:t>
      </w:r>
      <w:bookmarkEnd w:id="257"/>
      <w:bookmarkEnd w:id="258"/>
      <w:bookmarkEnd w:id="286"/>
      <w:bookmarkEnd w:id="287"/>
    </w:p>
    <w:p>
      <w:pPr>
        <w:pStyle w:val="6"/>
        <w:bidi w:val="0"/>
        <w:rPr>
          <w:rFonts w:hint="default"/>
          <w:color w:val="auto"/>
        </w:rPr>
      </w:pPr>
      <w:bookmarkStart w:id="288" w:name="_Toc16851"/>
      <w:r>
        <w:rPr>
          <w:rFonts w:hint="default"/>
          <w:color w:val="auto"/>
        </w:rPr>
        <w:t>7.1环境效益分析</w:t>
      </w:r>
      <w:bookmarkEnd w:id="288"/>
    </w:p>
    <w:p>
      <w:pPr>
        <w:pStyle w:val="7"/>
        <w:bidi w:val="0"/>
        <w:rPr>
          <w:rFonts w:hint="default"/>
          <w:color w:val="auto"/>
        </w:rPr>
      </w:pPr>
      <w:bookmarkStart w:id="289" w:name="_bookmark118"/>
      <w:bookmarkEnd w:id="289"/>
      <w:bookmarkStart w:id="290" w:name="_Toc20063"/>
      <w:r>
        <w:rPr>
          <w:rFonts w:hint="default"/>
          <w:color w:val="auto"/>
        </w:rPr>
        <w:t>7.1.1环境成本</w:t>
      </w:r>
      <w:bookmarkEnd w:id="290"/>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2"/>
          <w:sz w:val="24"/>
          <w:szCs w:val="24"/>
          <w:u w:val="none" w:color="auto"/>
        </w:rPr>
        <w:t>环</w:t>
      </w:r>
      <w:r>
        <w:rPr>
          <w:rFonts w:hint="default" w:ascii="Times New Roman" w:hAnsi="Times New Roman" w:eastAsia="宋体" w:cs="Times New Roman"/>
          <w:color w:val="auto"/>
          <w:spacing w:val="9"/>
          <w:sz w:val="24"/>
          <w:szCs w:val="24"/>
          <w:u w:val="none" w:color="auto"/>
        </w:rPr>
        <w:t>境成本是指治理污染的投资费用和设施运行费用。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08"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7"/>
          <w:sz w:val="24"/>
          <w:szCs w:val="24"/>
          <w:u w:val="none" w:color="auto"/>
        </w:rPr>
        <w:t>环境工程投资是指新建、迁扩建或技改工程为控制污染、实现污染物达标</w:t>
      </w:r>
      <w:r>
        <w:rPr>
          <w:rFonts w:hint="default" w:ascii="Times New Roman" w:hAnsi="Times New Roman" w:eastAsia="宋体" w:cs="Times New Roman"/>
          <w:color w:val="auto"/>
          <w:spacing w:val="3"/>
          <w:sz w:val="24"/>
          <w:szCs w:val="24"/>
          <w:u w:val="none" w:color="auto"/>
        </w:rPr>
        <w:t>排</w:t>
      </w:r>
      <w:r>
        <w:rPr>
          <w:rFonts w:hint="default" w:ascii="Times New Roman" w:hAnsi="Times New Roman" w:eastAsia="宋体" w:cs="Times New Roman"/>
          <w:color w:val="auto"/>
          <w:spacing w:val="9"/>
          <w:sz w:val="24"/>
          <w:szCs w:val="24"/>
          <w:u w:val="none" w:color="auto"/>
        </w:rPr>
        <w:t>放</w:t>
      </w:r>
      <w:r>
        <w:rPr>
          <w:rFonts w:hint="default" w:ascii="Times New Roman" w:hAnsi="Times New Roman" w:eastAsia="宋体" w:cs="Times New Roman"/>
          <w:color w:val="auto"/>
          <w:spacing w:val="7"/>
          <w:sz w:val="24"/>
          <w:szCs w:val="24"/>
          <w:u w:val="none" w:color="auto"/>
        </w:rPr>
        <w:t>或回用及污染物排放总量控制所进行的必要投资，一般由治理费用和辅助费用</w:t>
      </w:r>
      <w:r>
        <w:rPr>
          <w:rFonts w:hint="default" w:ascii="Times New Roman" w:hAnsi="Times New Roman" w:eastAsia="宋体" w:cs="Times New Roman"/>
          <w:color w:val="auto"/>
          <w:spacing w:val="9"/>
          <w:sz w:val="24"/>
          <w:szCs w:val="24"/>
          <w:u w:val="none" w:color="auto"/>
        </w:rPr>
        <w:t>组成。本评价只估算其中的治理费用</w:t>
      </w:r>
      <w:r>
        <w:rPr>
          <w:rFonts w:hint="default" w:ascii="Times New Roman" w:hAnsi="Times New Roman" w:eastAsia="宋体" w:cs="Times New Roman"/>
          <w:color w:val="auto"/>
          <w:spacing w:val="6"/>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6"/>
          <w:sz w:val="24"/>
          <w:szCs w:val="24"/>
          <w:u w:val="none" w:color="auto"/>
        </w:rPr>
        <w:t>该</w:t>
      </w:r>
      <w:r>
        <w:rPr>
          <w:rFonts w:hint="default" w:ascii="Times New Roman" w:hAnsi="Times New Roman" w:eastAsia="宋体" w:cs="Times New Roman"/>
          <w:color w:val="auto"/>
          <w:spacing w:val="13"/>
          <w:sz w:val="24"/>
          <w:szCs w:val="24"/>
          <w:u w:val="none" w:color="auto"/>
        </w:rPr>
        <w:t>项</w:t>
      </w:r>
      <w:r>
        <w:rPr>
          <w:rFonts w:hint="default" w:ascii="Times New Roman" w:hAnsi="Times New Roman" w:eastAsia="宋体" w:cs="Times New Roman"/>
          <w:color w:val="auto"/>
          <w:spacing w:val="8"/>
          <w:sz w:val="24"/>
          <w:szCs w:val="24"/>
          <w:u w:val="none" w:color="auto"/>
        </w:rPr>
        <w:t>目的环境工程包括废水处理工程、废气治理工程、固体废物处置工程、</w:t>
      </w:r>
      <w:r>
        <w:rPr>
          <w:rFonts w:hint="default" w:ascii="Times New Roman" w:hAnsi="Times New Roman" w:eastAsia="宋体" w:cs="Times New Roman"/>
          <w:color w:val="auto"/>
          <w:spacing w:val="7"/>
          <w:sz w:val="24"/>
          <w:szCs w:val="24"/>
          <w:u w:val="none" w:color="auto"/>
        </w:rPr>
        <w:t>噪</w:t>
      </w:r>
      <w:r>
        <w:rPr>
          <w:rFonts w:hint="default" w:ascii="Times New Roman" w:hAnsi="Times New Roman" w:eastAsia="宋体" w:cs="Times New Roman"/>
          <w:color w:val="auto"/>
          <w:spacing w:val="6"/>
          <w:sz w:val="24"/>
          <w:szCs w:val="24"/>
          <w:u w:val="none" w:color="auto"/>
        </w:rPr>
        <w:t>声治理工程等。</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9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本项目总投资约</w:t>
      </w:r>
      <w:r>
        <w:rPr>
          <w:rFonts w:hint="default" w:ascii="Times New Roman" w:hAnsi="Times New Roman" w:eastAsia="宋体" w:cs="Times New Roman"/>
          <w:color w:val="auto"/>
          <w:sz w:val="24"/>
          <w:szCs w:val="24"/>
          <w:highlight w:val="none"/>
          <w:u w:val="none" w:color="auto"/>
          <w:lang w:val="en-US" w:eastAsia="zh-CN"/>
        </w:rPr>
        <w:t>122677</w:t>
      </w:r>
      <w:r>
        <w:rPr>
          <w:rFonts w:hint="default" w:ascii="Times New Roman" w:hAnsi="Times New Roman" w:eastAsia="宋体" w:cs="Times New Roman"/>
          <w:color w:val="auto"/>
          <w:sz w:val="24"/>
          <w:szCs w:val="24"/>
          <w:highlight w:val="none"/>
          <w:u w:val="none" w:color="auto"/>
        </w:rPr>
        <w:t>万元</w:t>
      </w:r>
      <w:r>
        <w:rPr>
          <w:rFonts w:hint="default" w:ascii="Times New Roman" w:hAnsi="Times New Roman" w:eastAsia="宋体" w:cs="Times New Roman"/>
          <w:color w:val="auto"/>
          <w:spacing w:val="4"/>
          <w:sz w:val="24"/>
          <w:szCs w:val="24"/>
          <w:u w:val="none" w:color="auto"/>
        </w:rPr>
        <w:t>，环保投资</w:t>
      </w:r>
      <w:r>
        <w:rPr>
          <w:rFonts w:hint="eastAsia" w:ascii="Times New Roman" w:hAnsi="Times New Roman" w:eastAsia="宋体" w:cs="Times New Roman"/>
          <w:color w:val="auto"/>
          <w:spacing w:val="4"/>
          <w:sz w:val="24"/>
          <w:szCs w:val="24"/>
          <w:u w:val="none" w:color="auto"/>
          <w:lang w:val="en-US" w:eastAsia="zh-CN"/>
        </w:rPr>
        <w:t>1122</w:t>
      </w:r>
      <w:r>
        <w:rPr>
          <w:rFonts w:hint="default" w:ascii="Times New Roman" w:hAnsi="Times New Roman" w:eastAsia="宋体" w:cs="Times New Roman"/>
          <w:color w:val="auto"/>
          <w:spacing w:val="4"/>
          <w:sz w:val="24"/>
          <w:szCs w:val="24"/>
          <w:u w:val="none" w:color="auto"/>
        </w:rPr>
        <w:t>万元，占项目总投资的比例</w:t>
      </w:r>
      <w:r>
        <w:rPr>
          <w:rFonts w:hint="default" w:ascii="Times New Roman" w:hAnsi="Times New Roman" w:eastAsia="宋体" w:cs="Times New Roman"/>
          <w:color w:val="auto"/>
          <w:spacing w:val="-3"/>
          <w:sz w:val="24"/>
          <w:szCs w:val="24"/>
          <w:u w:val="none" w:color="auto"/>
        </w:rPr>
        <w:t>为</w:t>
      </w:r>
      <w:r>
        <w:rPr>
          <w:rFonts w:hint="eastAsia" w:ascii="Times New Roman" w:hAnsi="Times New Roman" w:eastAsia="宋体" w:cs="Times New Roman"/>
          <w:color w:val="auto"/>
          <w:spacing w:val="-3"/>
          <w:sz w:val="24"/>
          <w:szCs w:val="24"/>
          <w:u w:val="none" w:color="auto"/>
          <w:lang w:val="en-US" w:eastAsia="zh-CN"/>
        </w:rPr>
        <w:t>0.91</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sz w:val="24"/>
          <w:szCs w:val="24"/>
          <w:u w:val="none" w:color="auto"/>
        </w:rPr>
        <w:t>。</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3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4"/>
          <w:sz w:val="24"/>
          <w:szCs w:val="24"/>
          <w:u w:val="none" w:color="auto"/>
        </w:rPr>
        <w:t>环保</w:t>
      </w:r>
      <w:r>
        <w:rPr>
          <w:rFonts w:hint="default" w:ascii="Times New Roman" w:hAnsi="Times New Roman" w:eastAsia="宋体" w:cs="Times New Roman"/>
          <w:color w:val="auto"/>
          <w:spacing w:val="7"/>
          <w:sz w:val="24"/>
          <w:szCs w:val="24"/>
          <w:u w:val="none" w:color="auto"/>
        </w:rPr>
        <w:t>年费用包括“三废”处理设施运转费、折旧费、绿化费、排污及超标排污</w:t>
      </w:r>
      <w:r>
        <w:rPr>
          <w:rFonts w:hint="default" w:ascii="Times New Roman" w:hAnsi="Times New Roman" w:eastAsia="宋体" w:cs="Times New Roman"/>
          <w:color w:val="auto"/>
          <w:spacing w:val="12"/>
          <w:sz w:val="24"/>
          <w:szCs w:val="24"/>
          <w:u w:val="none" w:color="auto"/>
        </w:rPr>
        <w:t>费、污染</w:t>
      </w:r>
      <w:r>
        <w:rPr>
          <w:rFonts w:hint="default" w:ascii="Times New Roman" w:hAnsi="Times New Roman" w:eastAsia="宋体" w:cs="Times New Roman"/>
          <w:color w:val="auto"/>
          <w:spacing w:val="6"/>
          <w:sz w:val="24"/>
          <w:szCs w:val="24"/>
          <w:u w:val="none" w:color="auto"/>
        </w:rPr>
        <w:t>事故赔偿费、环保管理费(公关及业务活动费)等。根据运转费用估算</w:t>
      </w:r>
      <w:r>
        <w:rPr>
          <w:rFonts w:hint="default" w:ascii="Times New Roman" w:hAnsi="Times New Roman" w:eastAsia="宋体" w:cs="Times New Roman"/>
          <w:color w:val="auto"/>
          <w:spacing w:val="1"/>
          <w:sz w:val="24"/>
          <w:szCs w:val="24"/>
          <w:u w:val="none" w:color="auto"/>
        </w:rPr>
        <w:t>和厂方经验，项目环保年费用约为100</w:t>
      </w:r>
      <w:r>
        <w:rPr>
          <w:rFonts w:hint="default" w:ascii="Times New Roman" w:hAnsi="Times New Roman" w:eastAsia="宋体" w:cs="Times New Roman"/>
          <w:color w:val="auto"/>
          <w:sz w:val="24"/>
          <w:szCs w:val="24"/>
          <w:u w:val="none" w:color="auto"/>
        </w:rPr>
        <w:t>万元。该部分费用应纳入企业经济核算中，</w:t>
      </w:r>
      <w:r>
        <w:rPr>
          <w:rFonts w:hint="default" w:ascii="Times New Roman" w:hAnsi="Times New Roman" w:eastAsia="宋体" w:cs="Times New Roman"/>
          <w:color w:val="auto"/>
          <w:spacing w:val="18"/>
          <w:sz w:val="24"/>
          <w:szCs w:val="24"/>
          <w:u w:val="none" w:color="auto"/>
        </w:rPr>
        <w:t>即</w:t>
      </w:r>
      <w:r>
        <w:rPr>
          <w:rFonts w:hint="default" w:ascii="Times New Roman" w:hAnsi="Times New Roman" w:eastAsia="宋体" w:cs="Times New Roman"/>
          <w:color w:val="auto"/>
          <w:spacing w:val="9"/>
          <w:sz w:val="24"/>
          <w:szCs w:val="24"/>
          <w:u w:val="none" w:color="auto"/>
        </w:rPr>
        <w:t>纳入产品的成本核算中，使企业真正从根源上减少污染物产生量。</w:t>
      </w:r>
    </w:p>
    <w:p>
      <w:pPr>
        <w:pStyle w:val="7"/>
        <w:bidi w:val="0"/>
        <w:rPr>
          <w:rFonts w:hint="default"/>
          <w:color w:val="auto"/>
        </w:rPr>
      </w:pPr>
      <w:bookmarkStart w:id="291" w:name="_bookmark119"/>
      <w:bookmarkEnd w:id="291"/>
      <w:bookmarkStart w:id="292" w:name="_Toc9168"/>
      <w:r>
        <w:rPr>
          <w:rFonts w:hint="default"/>
          <w:color w:val="auto"/>
        </w:rPr>
        <w:t>7.1.2环境收益</w:t>
      </w:r>
      <w:bookmarkEnd w:id="292"/>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环保投资和运行费用的投入，表观看虽为负经济效益，但其潜在效益十分显著，主要表现在：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1</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rPr>
        <w:t>采用有效的废气治理措施，可减轻熔炼废气对操作员工身体健康和周边空气环境的影响。</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2</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rPr>
        <w:t>固体废物的回收综合利用或有效处置，不仅消除了对环境的污染，而且变废为宝，具有明显的环境效益和经济效益。</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3</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rPr>
        <w:t>厂内设备噪声污染源采取相应治理措施，使厂界噪声低于《工业企业厂界环境噪声排放标准》(GB12348-2008)表1的3类排放限值。</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4</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rPr>
        <w:t>加强厂区环境质量的监测，将监测结果及时反馈回生产调度管理，使生产过程出现的不正常现象能够得以及时准确的纠正。</w:t>
      </w:r>
    </w:p>
    <w:p>
      <w:pPr>
        <w:pStyle w:val="7"/>
        <w:bidi w:val="0"/>
        <w:rPr>
          <w:rFonts w:hint="default"/>
          <w:color w:val="auto"/>
        </w:rPr>
      </w:pPr>
      <w:bookmarkStart w:id="293" w:name="_bookmark120"/>
      <w:bookmarkEnd w:id="293"/>
      <w:bookmarkStart w:id="294" w:name="_Toc11951"/>
      <w:r>
        <w:rPr>
          <w:rFonts w:hint="default"/>
          <w:color w:val="auto"/>
        </w:rPr>
        <w:t>7.1.3经济损益分析</w:t>
      </w:r>
      <w:bookmarkEnd w:id="294"/>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(1)环保投资经济负效益分析</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96"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4"/>
          <w:sz w:val="24"/>
          <w:szCs w:val="24"/>
          <w:u w:val="none" w:color="auto"/>
        </w:rPr>
        <w:t>本项目环保投资</w:t>
      </w:r>
      <w:r>
        <w:rPr>
          <w:rFonts w:hint="eastAsia" w:ascii="Times New Roman" w:hAnsi="Times New Roman" w:eastAsia="宋体" w:cs="Times New Roman"/>
          <w:color w:val="auto"/>
          <w:spacing w:val="4"/>
          <w:sz w:val="24"/>
          <w:szCs w:val="24"/>
          <w:u w:val="none" w:color="auto"/>
          <w:lang w:val="en-US" w:eastAsia="zh-CN"/>
        </w:rPr>
        <w:t>1122</w:t>
      </w:r>
      <w:r>
        <w:rPr>
          <w:rFonts w:hint="default" w:ascii="Times New Roman" w:hAnsi="Times New Roman" w:eastAsia="宋体" w:cs="Times New Roman"/>
          <w:color w:val="auto"/>
          <w:spacing w:val="4"/>
          <w:sz w:val="24"/>
          <w:szCs w:val="24"/>
          <w:u w:val="none" w:color="auto"/>
        </w:rPr>
        <w:t>万元，占项目总投资的比例</w:t>
      </w:r>
      <w:r>
        <w:rPr>
          <w:rFonts w:hint="default" w:ascii="Times New Roman" w:hAnsi="Times New Roman" w:eastAsia="宋体" w:cs="Times New Roman"/>
          <w:color w:val="auto"/>
          <w:spacing w:val="-3"/>
          <w:sz w:val="24"/>
          <w:szCs w:val="24"/>
          <w:u w:val="none" w:color="auto"/>
        </w:rPr>
        <w:t>为</w:t>
      </w:r>
      <w:r>
        <w:rPr>
          <w:rFonts w:hint="eastAsia" w:ascii="Times New Roman" w:hAnsi="Times New Roman" w:eastAsia="宋体" w:cs="Times New Roman"/>
          <w:color w:val="auto"/>
          <w:spacing w:val="-3"/>
          <w:sz w:val="24"/>
          <w:szCs w:val="24"/>
          <w:u w:val="none" w:color="auto"/>
          <w:lang w:val="en-US" w:eastAsia="zh-CN"/>
        </w:rPr>
        <w:t>0.91</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spacing w:val="12"/>
          <w:sz w:val="24"/>
          <w:szCs w:val="24"/>
          <w:u w:val="none" w:color="auto"/>
        </w:rPr>
        <w:t>。每年的环保运行费用约200万元，纳入企业经济核算中，增加了产品的成本。</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(2)环保投资环境效益分析</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年环保费用的经济效益，可用有效的环保治理措施而挽回的经济损失与保证这一效益而每年投入的环保费用之比来确定。</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20" w:firstLineChars="200"/>
        <w:textAlignment w:val="auto"/>
        <w:rPr>
          <w:color w:val="auto"/>
        </w:rPr>
      </w:pPr>
      <w:r>
        <w:rPr>
          <w:color w:val="auto"/>
        </w:rPr>
        <w:drawing>
          <wp:inline distT="0" distB="0" distL="114300" distR="114300">
            <wp:extent cx="2590800" cy="1038225"/>
            <wp:effectExtent l="0" t="0" r="0" b="9525"/>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86"/>
                    <a:stretch>
                      <a:fillRect/>
                    </a:stretch>
                  </pic:blipFill>
                  <pic:spPr>
                    <a:xfrm>
                      <a:off x="0" y="0"/>
                      <a:ext cx="2590800" cy="1038225"/>
                    </a:xfrm>
                    <a:prstGeom prst="rect">
                      <a:avLst/>
                    </a:prstGeom>
                    <a:noFill/>
                    <a:ln>
                      <a:noFill/>
                    </a:ln>
                  </pic:spPr>
                </pic:pic>
              </a:graphicData>
            </a:graphic>
          </wp:inline>
        </w:drawing>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式中：</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Zj—年环保费用的经济效益；</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Si—由于防止污染而挽回的经济价值；</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Hf—年环保费用。</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根据上述分析，针对本项目建设对周围水、大气、生态及人体健康等可能造成的影响和损失，配套一系列环保设备和措施，使这些影响得以减轻，从而挽回经济损失和减轻环境污染负荷。根据类比调查，每投入1元钱的环保费用可以用货币统计出来的挽回收益在1.5~2.0元之间，因此项目环保投资可取得良好的经济效益，同时也可取得显著的社会效益和环境效益。</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企业通过污染治理，可使各项污染做到稳定达标，有助于提高整体形象，同时又是通过ISO14000认证的必备条件。企业声誉提升，社会信用度提高，订单增加，客户忠诚度提高，降低交易成本和经营风险。企业品牌形象提高，终端需求增加，提高竞争力。</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(4)间接效益：社会责任作为企业的战略，顺应大趋势，提高企业可持续发展的能力，重塑企业文化、企业理念及培养有责任心的员工，降低管理成本，满足公众利益，更易获得公众和相关利益集团支持。以身作则形成行业的健康竞争氛围；信用价值形成良好的市场环境，有利于区域的行业声誉；区域品牌形成新的商业伦理，行业规则和社会秩序。</w:t>
      </w:r>
    </w:p>
    <w:p>
      <w:pPr>
        <w:pStyle w:val="6"/>
        <w:bidi w:val="0"/>
        <w:rPr>
          <w:rFonts w:hint="default"/>
          <w:color w:val="auto"/>
        </w:rPr>
      </w:pPr>
      <w:bookmarkStart w:id="295" w:name="_bookmark121"/>
      <w:bookmarkEnd w:id="295"/>
      <w:bookmarkStart w:id="296" w:name="_Toc14123"/>
      <w:r>
        <w:rPr>
          <w:rFonts w:hint="default"/>
          <w:color w:val="auto"/>
        </w:rPr>
        <w:t>7.2社会效益分析</w:t>
      </w:r>
      <w:bookmarkEnd w:id="296"/>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本项目总投资</w:t>
      </w:r>
      <w:r>
        <w:rPr>
          <w:rFonts w:hint="default" w:ascii="Times New Roman" w:hAnsi="Times New Roman" w:eastAsia="宋体" w:cs="Times New Roman"/>
          <w:color w:val="auto"/>
          <w:spacing w:val="12"/>
          <w:sz w:val="24"/>
          <w:szCs w:val="24"/>
          <w:u w:val="none" w:color="auto"/>
          <w:lang w:val="en-US" w:eastAsia="zh-CN"/>
        </w:rPr>
        <w:t>122677</w:t>
      </w:r>
      <w:r>
        <w:rPr>
          <w:rFonts w:hint="default" w:ascii="Times New Roman" w:hAnsi="Times New Roman" w:eastAsia="宋体" w:cs="Times New Roman"/>
          <w:color w:val="auto"/>
          <w:spacing w:val="12"/>
          <w:sz w:val="24"/>
          <w:szCs w:val="24"/>
          <w:u w:val="none" w:color="auto"/>
        </w:rPr>
        <w:t>万元，产品为</w:t>
      </w:r>
      <w:r>
        <w:rPr>
          <w:rFonts w:hint="default" w:ascii="Times New Roman" w:hAnsi="Times New Roman" w:eastAsia="宋体" w:cs="Times New Roman"/>
          <w:color w:val="auto"/>
          <w:spacing w:val="12"/>
          <w:sz w:val="24"/>
          <w:szCs w:val="24"/>
          <w:u w:val="none" w:color="auto"/>
          <w:lang w:val="en-US" w:eastAsia="zh-CN"/>
        </w:rPr>
        <w:t>高性能变形镁合金</w:t>
      </w:r>
      <w:r>
        <w:rPr>
          <w:rFonts w:hint="default" w:ascii="Times New Roman" w:hAnsi="Times New Roman" w:eastAsia="宋体" w:cs="Times New Roman"/>
          <w:color w:val="auto"/>
          <w:spacing w:val="12"/>
          <w:sz w:val="24"/>
          <w:szCs w:val="24"/>
          <w:u w:val="none" w:color="auto"/>
        </w:rPr>
        <w:t>。本项目投产后除企业自身获得良好的经济效益，而且间接地创造了一定的社会效益；同时提供</w:t>
      </w:r>
      <w:r>
        <w:rPr>
          <w:rFonts w:hint="eastAsia" w:ascii="Times New Roman" w:hAnsi="Times New Roman" w:eastAsia="宋体" w:cs="Times New Roman"/>
          <w:color w:val="auto"/>
          <w:spacing w:val="12"/>
          <w:sz w:val="24"/>
          <w:szCs w:val="24"/>
          <w:u w:val="none" w:color="auto"/>
          <w:lang w:val="en-US" w:eastAsia="zh-CN"/>
        </w:rPr>
        <w:t>400</w:t>
      </w:r>
      <w:r>
        <w:rPr>
          <w:rFonts w:hint="default" w:ascii="Times New Roman" w:hAnsi="Times New Roman" w:eastAsia="宋体" w:cs="Times New Roman"/>
          <w:color w:val="auto"/>
          <w:spacing w:val="12"/>
          <w:sz w:val="24"/>
          <w:szCs w:val="24"/>
          <w:u w:val="none" w:color="auto"/>
        </w:rPr>
        <w:t>人的就业机会，产生良好的社会效益。本项目的建设不但能使企业投资、经营者获得经济效益，国家还可以通过对企业收取税收、管理费等手段获得较好的经济效益。</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本项目的建成及运营，不仅可产生较好的经济，对当地的经济发展有一定的促进作用，具有显著的社会与经济效益。</w:t>
      </w:r>
    </w:p>
    <w:p>
      <w:pPr>
        <w:pStyle w:val="6"/>
        <w:bidi w:val="0"/>
        <w:rPr>
          <w:rFonts w:hint="default"/>
          <w:color w:val="auto"/>
        </w:rPr>
      </w:pPr>
      <w:bookmarkStart w:id="297" w:name="_bookmark122"/>
      <w:bookmarkEnd w:id="297"/>
      <w:bookmarkStart w:id="298" w:name="_Toc610"/>
      <w:r>
        <w:rPr>
          <w:rFonts w:hint="default"/>
          <w:color w:val="auto"/>
        </w:rPr>
        <w:t>7.3综合分析</w:t>
      </w:r>
      <w:bookmarkEnd w:id="298"/>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本项目环保投资约为</w:t>
      </w:r>
      <w:r>
        <w:rPr>
          <w:rFonts w:hint="eastAsia" w:ascii="Times New Roman" w:hAnsi="Times New Roman" w:eastAsia="宋体" w:cs="Times New Roman"/>
          <w:color w:val="auto"/>
          <w:spacing w:val="12"/>
          <w:sz w:val="24"/>
          <w:szCs w:val="24"/>
          <w:u w:val="none" w:color="auto"/>
          <w:lang w:val="en-US" w:eastAsia="zh-CN"/>
        </w:rPr>
        <w:t>1122</w:t>
      </w:r>
      <w:r>
        <w:rPr>
          <w:rFonts w:hint="default" w:ascii="Times New Roman" w:hAnsi="Times New Roman" w:eastAsia="宋体" w:cs="Times New Roman"/>
          <w:color w:val="auto"/>
          <w:spacing w:val="12"/>
          <w:sz w:val="24"/>
          <w:szCs w:val="24"/>
          <w:u w:val="none" w:color="auto"/>
        </w:rPr>
        <w:t>万元，占总投资的</w:t>
      </w:r>
      <w:r>
        <w:rPr>
          <w:rFonts w:hint="eastAsia" w:ascii="Times New Roman" w:hAnsi="Times New Roman" w:eastAsia="宋体" w:cs="Times New Roman"/>
          <w:color w:val="auto"/>
          <w:spacing w:val="12"/>
          <w:sz w:val="24"/>
          <w:szCs w:val="24"/>
          <w:u w:val="none" w:color="auto"/>
          <w:lang w:val="en-US" w:eastAsia="zh-CN"/>
        </w:rPr>
        <w:t>0.91</w:t>
      </w:r>
      <w:r>
        <w:rPr>
          <w:rFonts w:hint="default" w:ascii="Times New Roman" w:hAnsi="Times New Roman" w:eastAsia="宋体" w:cs="Times New Roman"/>
          <w:color w:val="auto"/>
          <w:spacing w:val="12"/>
          <w:sz w:val="24"/>
          <w:szCs w:val="24"/>
          <w:u w:val="none" w:color="auto"/>
        </w:rPr>
        <w:t>%。年环保运行费为</w:t>
      </w:r>
      <w:r>
        <w:rPr>
          <w:rFonts w:hint="eastAsia" w:ascii="Times New Roman" w:hAnsi="Times New Roman" w:eastAsia="宋体" w:cs="Times New Roman"/>
          <w:color w:val="auto"/>
          <w:spacing w:val="12"/>
          <w:sz w:val="24"/>
          <w:szCs w:val="24"/>
          <w:u w:val="none" w:color="auto"/>
          <w:lang w:val="en-US" w:eastAsia="zh-CN"/>
        </w:rPr>
        <w:t>2</w:t>
      </w:r>
      <w:r>
        <w:rPr>
          <w:rFonts w:hint="default" w:ascii="Times New Roman" w:hAnsi="Times New Roman" w:eastAsia="宋体" w:cs="Times New Roman"/>
          <w:color w:val="auto"/>
          <w:spacing w:val="12"/>
          <w:sz w:val="24"/>
          <w:szCs w:val="24"/>
          <w:u w:val="none" w:color="auto"/>
        </w:rPr>
        <w:t>00万元。</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环保工程的建设和正常运作，不仅可以给企业带来直接的经济效益，改善企业与附近居民的关系，使企业更顺利地运作，从环境保护角度来讲，更重要的是将对保护生态环境、水环境、大气环境以及确保附近居民和企业职工的身心健康起到很大的作用，具有较大的环境效益和社会效益。</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综上所述，该建设项目的建成具有较好的经济效益、社会效益和环境效益，</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pacing w:val="12"/>
          <w:sz w:val="24"/>
          <w:szCs w:val="24"/>
          <w:u w:val="none" w:color="auto"/>
        </w:rPr>
        <w:t>从环境经济角度来看本项目是可行的。</w:t>
      </w:r>
    </w:p>
    <w:p>
      <w:pPr>
        <w:pageBreakBefore w:val="0"/>
        <w:kinsoku/>
        <w:wordWrap/>
        <w:overflowPunct w:val="0"/>
        <w:topLinePunct/>
        <w:autoSpaceDE w:val="0"/>
        <w:autoSpaceDN w:val="0"/>
        <w:bidi w:val="0"/>
        <w:spacing w:line="360" w:lineRule="auto"/>
        <w:rPr>
          <w:rFonts w:hint="default" w:ascii="Times New Roman" w:hAnsi="Times New Roman" w:eastAsia="宋体" w:cs="Times New Roman"/>
          <w:color w:val="auto"/>
          <w:sz w:val="24"/>
          <w:highlight w:val="none"/>
          <w:u w:val="none" w:color="auto"/>
        </w:rPr>
        <w:sectPr>
          <w:headerReference r:id="rId22" w:type="default"/>
          <w:footerReference r:id="rId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pageBreakBefore w:val="0"/>
        <w:kinsoku/>
        <w:wordWrap/>
        <w:overflowPunct w:val="0"/>
        <w:topLinePunct/>
        <w:autoSpaceDE w:val="0"/>
        <w:autoSpaceDN w:val="0"/>
        <w:bidi w:val="0"/>
        <w:rPr>
          <w:rFonts w:hint="default" w:ascii="Times New Roman" w:hAnsi="Times New Roman" w:eastAsia="宋体" w:cs="Times New Roman"/>
          <w:color w:val="auto"/>
          <w:highlight w:val="none"/>
          <w:u w:val="none" w:color="auto"/>
        </w:rPr>
      </w:pPr>
      <w:bookmarkStart w:id="299" w:name="_Toc41310141"/>
      <w:bookmarkStart w:id="300" w:name="_Toc8240"/>
      <w:bookmarkStart w:id="301" w:name="_Toc4845"/>
      <w:bookmarkStart w:id="302" w:name="_Toc17512"/>
      <w:r>
        <w:rPr>
          <w:rFonts w:hint="default" w:ascii="Times New Roman" w:hAnsi="Times New Roman" w:eastAsia="宋体" w:cs="Times New Roman"/>
          <w:color w:val="auto"/>
          <w:highlight w:val="none"/>
          <w:u w:val="none" w:color="auto"/>
        </w:rPr>
        <w:t>第8章环境管理与监测计划</w:t>
      </w:r>
      <w:bookmarkEnd w:id="299"/>
      <w:bookmarkEnd w:id="300"/>
      <w:bookmarkEnd w:id="301"/>
      <w:bookmarkEnd w:id="302"/>
    </w:p>
    <w:p>
      <w:pPr>
        <w:pStyle w:val="6"/>
        <w:bidi w:val="0"/>
        <w:rPr>
          <w:rFonts w:hint="default"/>
          <w:color w:val="auto"/>
        </w:rPr>
      </w:pPr>
      <w:bookmarkStart w:id="303" w:name="_Toc27176"/>
      <w:r>
        <w:rPr>
          <w:rFonts w:hint="default"/>
          <w:color w:val="auto"/>
        </w:rPr>
        <w:t>8.1环境管理</w:t>
      </w:r>
      <w:bookmarkEnd w:id="303"/>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环境管理是项目建设管理工作的重要组成部分，其主要目的是通过开展环境管理工作，促进项目建设单位和管理单位积极、主动地预防和控制各类环境问题的产生与扩散，促进项目建设生态环境的良性循环。制定出详尽的环境管理监控计划并加以贯彻实施，可以避免因管理不善而可能产生的各种环境污染和环境风险。为此，在项目施工建设及投入运营期间，应贯彻落实国家、地方政府制定的有关法规，正确处理好项目建设、发展与环境保护的协调关系，从而真正使项目的建设达到可持续发展的战略目标。</w:t>
      </w:r>
    </w:p>
    <w:p>
      <w:pPr>
        <w:pStyle w:val="7"/>
        <w:bidi w:val="0"/>
        <w:rPr>
          <w:rFonts w:hint="default"/>
          <w:color w:val="auto"/>
        </w:rPr>
      </w:pPr>
      <w:bookmarkStart w:id="304" w:name="_bookmark125"/>
      <w:bookmarkEnd w:id="304"/>
      <w:bookmarkStart w:id="305" w:name="_Toc27538"/>
      <w:r>
        <w:rPr>
          <w:rFonts w:hint="default"/>
          <w:color w:val="auto"/>
        </w:rPr>
        <w:t>8.1.1环境保护管理目标</w:t>
      </w:r>
      <w:bookmarkEnd w:id="305"/>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将本项目在营运阶段可能对环境造成的不良影响减少到最小程度，使本项目建成运行后，能取得最大的社会效益、环境效益和经济效益。</w:t>
      </w:r>
    </w:p>
    <w:p>
      <w:pPr>
        <w:pStyle w:val="7"/>
        <w:bidi w:val="0"/>
        <w:rPr>
          <w:rFonts w:hint="default"/>
          <w:color w:val="auto"/>
        </w:rPr>
      </w:pPr>
      <w:bookmarkStart w:id="306" w:name="_bookmark126"/>
      <w:bookmarkEnd w:id="306"/>
      <w:bookmarkStart w:id="307" w:name="_Toc11510"/>
      <w:r>
        <w:rPr>
          <w:rFonts w:hint="default"/>
          <w:color w:val="auto"/>
        </w:rPr>
        <w:t>8.1.2环境管理机构设置</w:t>
      </w:r>
      <w:bookmarkEnd w:id="307"/>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根据项目的实际情况，应设置环境管理机构，其基本任务是以保护环境和风险防范为目标，采用技术、经济、法律和行政等手段相结合的办法，保证污染治理设施的建设和正常运行，促进生产的发展。</w:t>
      </w:r>
    </w:p>
    <w:p>
      <w:pPr>
        <w:pStyle w:val="7"/>
        <w:bidi w:val="0"/>
        <w:rPr>
          <w:rFonts w:hint="default"/>
          <w:color w:val="auto"/>
        </w:rPr>
      </w:pPr>
      <w:bookmarkStart w:id="308" w:name="_bookmark127"/>
      <w:bookmarkEnd w:id="308"/>
      <w:bookmarkStart w:id="309" w:name="_Toc18196"/>
      <w:r>
        <w:rPr>
          <w:rFonts w:hint="default"/>
          <w:color w:val="auto"/>
        </w:rPr>
        <w:t>8.1.3环境管理机构的职责</w:t>
      </w:r>
      <w:bookmarkEnd w:id="309"/>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项目建成运行后设置环境管理机构，环境管理部门应设置专门环境管理人员。项目设立环境管理机构主要职责如下：</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(1)全面贯彻落实“保护和改善生产环境与生态环境，防治污染和其它公害”等环境保护基本国策的要求，认真、全面地做好工程项目环境污染防治和当地生态环境保护的工作。</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(2)按照环境保护部门给本企业下达的环境保护目标责任书，结合企业实际情况，制定出本企业的环境保护目标和实施措施，落实到企业年度计划，并作为评定企业指标完成情况的依据之一。</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(3)监督本工程环保措施的落实，确保建设项目主体工程与环保措施同时投入使用；做好环保设施运行管理和维修工作，保证各项环保设施正常运行，确保治理效果。建立并管理好环保设施的档案资料。</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(4)负责建立和健全企业内部环境保护目标责任制度和考核制度，严格考核各环保处理设施的处理效果，要有相应的奖惩制度。</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(5)进一步搞好废水、废气、噪声污染防治和固体废物的综合利用工作。</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(6)定期委托当地环境监测部门开展厂区环境监测；对环境监测结果进行统计分析，了解掌握工艺中的排污动态，发现异常要及时查找原因并及时改正，确保企业能够按国家和地方法规标准合格排放，并反馈给生产部门，防止污染事故发生。厂区内还应配套建设化验室，并配备相应的仪器设备。</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(7)宣传并贯彻、执行国家和地方的有关环保法规。开展环保技术培训，提高职工的环保意识和技术水平。</w:t>
      </w:r>
    </w:p>
    <w:p>
      <w:pPr>
        <w:pStyle w:val="7"/>
        <w:bidi w:val="0"/>
        <w:rPr>
          <w:rFonts w:hint="default"/>
          <w:color w:val="auto"/>
        </w:rPr>
      </w:pPr>
      <w:bookmarkStart w:id="310" w:name="_bookmark128"/>
      <w:bookmarkEnd w:id="310"/>
      <w:bookmarkStart w:id="311" w:name="_Toc4172"/>
      <w:r>
        <w:rPr>
          <w:rFonts w:hint="default"/>
          <w:color w:val="auto"/>
        </w:rPr>
        <w:t>8.1.4环境管理规章制度</w:t>
      </w:r>
      <w:bookmarkEnd w:id="311"/>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建立健全必要的环境管理规章制度，并把它作为企业领导和全体职工必须严格遵守的一种规范和准则。各项规章制度要体现环境管理的任务、内容和准则，使环境管理的特点和要求渗透到企业的各项管理工作之中。</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推行以清洁生产为目标的生产岗位责任制和考核制，对各车间、工段、班组实行责任承包制，制定各生产岗位的责任和详细的考核指标，把污染物处理量、处理成本、运行正常率和污染事故率等都列为考核指标，使其制度化。</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(2)制定各环保设施操作规程，定期维修制度，使各项环保设施在生产过程中处于良好的运行状态。加强对环保设施的运行管理，对运行情况实行监测、记录、汇报制度。如环保设施出现故障，应立即停产检修，严禁非正常排放。</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(3)对技术工作进行上岗前的环保知识法规、风险防范教育及操作规范的培训，使各项环保设施的操作规范化，保证环保设施的正常运转。</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(4)加强环境监测工作，重点是对污染源进行定期监测，污染治理设施的日常维护制度。</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(5)建立台账管理制度是提高环境管理水平的一种有效途径，台账种类是否齐全、内容是否完善，直接反应企业对环境管理的认识程度。在台帐资料的记录、整理和积累过程中能够起到自我督促、强化管理的作用。台账录入要及时、准确、清晰，便于查看。台账要专人录入，数据、信息、记录内容要真实，与实际相符。台账要设专人管理，定点存放。无关人员不得随意移动、查看。重要台账必须纸版与电子版两种形式保存。定期对台账数据进行审核，定期检查台账录入内容，确保台账数据的准确性、及时性和完整性。安全环保台账应与其他台账分开放置，由环境管理专员亲自管理。所有台账盒签必须统一打印，名称清楚、完整。</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要求本项目制定的环境管理制度有如下几个方面：</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①区环境保护管理条例。</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②厂区质量管理规程。</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③厂区环境管理的经济责任制。</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④环境保护业务的管理制度。</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⑤环境管理岗位责任制。</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⑥环境管理领导责任制。</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⑦环境技术管理规程。</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⑧环境保护设施运行管理办法。</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⑨厂区环境保护的年度考核制度。</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⑩风险防范措施及应急预案检查管理制度。</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⑪环保台账管理制度。</w:t>
      </w:r>
    </w:p>
    <w:p>
      <w:pPr>
        <w:pStyle w:val="7"/>
        <w:bidi w:val="0"/>
        <w:rPr>
          <w:rFonts w:hint="default"/>
          <w:color w:val="auto"/>
        </w:rPr>
      </w:pPr>
      <w:bookmarkStart w:id="312" w:name="_bookmark129"/>
      <w:bookmarkEnd w:id="312"/>
      <w:bookmarkStart w:id="313" w:name="_Toc5788"/>
      <w:r>
        <w:rPr>
          <w:rFonts w:hint="default"/>
          <w:color w:val="auto"/>
        </w:rPr>
        <w:t>8.1.5环境管理计划</w:t>
      </w:r>
      <w:bookmarkEnd w:id="313"/>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一般情况下，各企业在各阶段都要有环境管理的具体内容，工程环境管理体系及程序具体情况见下表。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b/>
          <w:bCs/>
          <w:color w:val="auto"/>
          <w:spacing w:val="12"/>
          <w:sz w:val="24"/>
          <w:szCs w:val="24"/>
          <w:u w:val="none" w:color="auto"/>
        </w:rPr>
        <w:t>表8.1-1工程环境管理体系及程序示意表</w:t>
      </w:r>
    </w:p>
    <w:tbl>
      <w:tblPr>
        <w:tblStyle w:val="204"/>
        <w:tblW w:w="85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3394"/>
        <w:gridCol w:w="2253"/>
        <w:gridCol w:w="19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11" w:type="dxa"/>
            <w:tcBorders>
              <w:top w:val="single" w:color="000000" w:sz="12"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项目</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阶段</w:t>
            </w:r>
          </w:p>
        </w:tc>
        <w:tc>
          <w:tcPr>
            <w:tcW w:w="3394" w:type="dxa"/>
            <w:tcBorders>
              <w:top w:val="single" w:color="000000" w:sz="12"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环境保护内容</w:t>
            </w:r>
          </w:p>
        </w:tc>
        <w:tc>
          <w:tcPr>
            <w:tcW w:w="2253" w:type="dxa"/>
            <w:tcBorders>
              <w:top w:val="single" w:color="000000" w:sz="12"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环保措施执行单位</w:t>
            </w:r>
          </w:p>
        </w:tc>
        <w:tc>
          <w:tcPr>
            <w:tcW w:w="1963" w:type="dxa"/>
            <w:tcBorders>
              <w:top w:val="single" w:color="000000" w:sz="12"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环境保护管理监督部门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11" w:type="dxa"/>
            <w:tcBorders>
              <w:top w:val="single" w:color="000000" w:sz="4" w:space="0"/>
              <w:left w:val="single" w:color="000000" w:sz="12" w:space="0"/>
              <w:bottom w:val="single" w:color="000000" w:sz="12"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营运期</w:t>
            </w:r>
          </w:p>
        </w:tc>
        <w:tc>
          <w:tcPr>
            <w:tcW w:w="3394" w:type="dxa"/>
            <w:tcBorders>
              <w:top w:val="single" w:color="000000" w:sz="4" w:space="0"/>
              <w:left w:val="single" w:color="000000" w:sz="4" w:space="0"/>
              <w:bottom w:val="single" w:color="000000" w:sz="12"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实施营运期环保措施、保证环保设</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施的正常稳定运行，负责搞好全厂</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环境，委托监测及环境管理</w:t>
            </w:r>
          </w:p>
        </w:tc>
        <w:tc>
          <w:tcPr>
            <w:tcW w:w="2253" w:type="dxa"/>
            <w:tcBorders>
              <w:top w:val="single" w:color="000000" w:sz="4" w:space="0"/>
              <w:left w:val="single" w:color="000000" w:sz="4" w:space="0"/>
              <w:bottom w:val="single" w:color="000000" w:sz="12"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建设单位环保机构、地方环境管理部门</w:t>
            </w:r>
          </w:p>
        </w:tc>
        <w:tc>
          <w:tcPr>
            <w:tcW w:w="1963" w:type="dxa"/>
            <w:tcBorders>
              <w:top w:val="single" w:color="000000" w:sz="4" w:space="0"/>
              <w:left w:val="single" w:color="000000" w:sz="4" w:space="0"/>
              <w:bottom w:val="single" w:color="000000" w:sz="12" w:space="0"/>
              <w:right w:val="single" w:color="000000" w:sz="12"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地方环境管理部门</w:t>
            </w:r>
          </w:p>
        </w:tc>
      </w:tr>
    </w:tbl>
    <w:p>
      <w:pPr>
        <w:pageBreakBefore w:val="0"/>
        <w:widowControl/>
        <w:kinsoku/>
        <w:wordWrap/>
        <w:overflowPunct w:val="0"/>
        <w:topLinePunct/>
        <w:autoSpaceDE w:val="0"/>
        <w:autoSpaceDN w:val="0"/>
        <w:bidi w:val="0"/>
        <w:adjustRightInd w:val="0"/>
        <w:snapToGrid w:val="0"/>
        <w:spacing w:before="37" w:line="227" w:lineRule="auto"/>
        <w:ind w:left="609"/>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0"/>
          <w:kern w:val="0"/>
          <w:sz w:val="24"/>
          <w:szCs w:val="24"/>
          <w:u w:val="none" w:color="auto"/>
        </w:rPr>
        <w:t>环</w:t>
      </w:r>
      <w:r>
        <w:rPr>
          <w:rFonts w:hint="default" w:ascii="Times New Roman" w:hAnsi="Times New Roman" w:eastAsia="宋体" w:cs="Times New Roman"/>
          <w:snapToGrid w:val="0"/>
          <w:color w:val="auto"/>
          <w:spacing w:val="8"/>
          <w:kern w:val="0"/>
          <w:sz w:val="24"/>
          <w:szCs w:val="24"/>
          <w:u w:val="none" w:color="auto"/>
        </w:rPr>
        <w:t>境管理方案表见下表。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b/>
          <w:bCs/>
          <w:color w:val="auto"/>
          <w:spacing w:val="12"/>
          <w:sz w:val="24"/>
          <w:szCs w:val="24"/>
          <w:u w:val="none" w:color="auto"/>
        </w:rPr>
        <w:t>表8.1-2主要环境管理方案表</w:t>
      </w:r>
    </w:p>
    <w:tbl>
      <w:tblPr>
        <w:tblStyle w:val="204"/>
        <w:tblW w:w="8502" w:type="dxa"/>
        <w:tblInd w:w="2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09"/>
        <w:gridCol w:w="73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环境问题</w:t>
            </w: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防治措施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废气排放</w:t>
            </w: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加强废气治理系统的维护保养，使运行效率不低于设计标准和废气达标。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制定合理的绿化方案，选择滞尘、降噪、对生产中废气排放污染物有较强抵抗和吸收能力的树种进行种植。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废水排放</w:t>
            </w: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严格清污分流、雨污分流管理。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固体废物</w:t>
            </w: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厂区内划出暂存区，对不能及时运走的固体废物暂时贮存，防止废物泄漏。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环境绿化</w:t>
            </w: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加强绿化工作，规划出厂区绿化带。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环境风险</w:t>
            </w: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定期进行生产知识及环保知识培训，提高操作人员文化素质及环保意识。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加强危险化学品泄漏事故风险的预防和控制，杜绝危化品环境风险事故发生。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9"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39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加强事故风险的预防和控制，杜绝环境风险事故发生。</w:t>
            </w:r>
          </w:p>
        </w:tc>
      </w:tr>
    </w:tbl>
    <w:p>
      <w:pPr>
        <w:pageBreakBefore w:val="0"/>
        <w:widowControl/>
        <w:kinsoku/>
        <w:wordWrap/>
        <w:overflowPunct w:val="0"/>
        <w:topLinePunct/>
        <w:autoSpaceDE w:val="0"/>
        <w:autoSpaceDN w:val="0"/>
        <w:bidi w:val="0"/>
        <w:adjustRightInd w:val="0"/>
        <w:snapToGrid w:val="0"/>
        <w:spacing w:before="36" w:line="225" w:lineRule="auto"/>
        <w:ind w:left="612"/>
        <w:jc w:val="left"/>
        <w:textAlignment w:val="baseline"/>
        <w:rPr>
          <w:rFonts w:hint="default" w:ascii="Times New Roman" w:hAnsi="Times New Roman" w:eastAsia="宋体" w:cs="Times New Roman"/>
          <w:snapToGrid w:val="0"/>
          <w:color w:val="auto"/>
          <w:kern w:val="0"/>
          <w:sz w:val="23"/>
          <w:szCs w:val="23"/>
          <w:u w:val="none" w:color="auto"/>
        </w:rPr>
      </w:pPr>
      <w:r>
        <w:rPr>
          <w:rFonts w:hint="default" w:ascii="Times New Roman" w:hAnsi="Times New Roman" w:eastAsia="宋体" w:cs="Times New Roman"/>
          <w:snapToGrid w:val="0"/>
          <w:color w:val="auto"/>
          <w:spacing w:val="16"/>
          <w:kern w:val="0"/>
          <w:sz w:val="23"/>
          <w:szCs w:val="23"/>
          <w:u w:val="none" w:color="auto"/>
        </w:rPr>
        <w:t>各</w:t>
      </w:r>
      <w:r>
        <w:rPr>
          <w:rFonts w:hint="default" w:ascii="Times New Roman" w:hAnsi="Times New Roman" w:eastAsia="宋体" w:cs="Times New Roman"/>
          <w:snapToGrid w:val="0"/>
          <w:color w:val="auto"/>
          <w:spacing w:val="13"/>
          <w:kern w:val="0"/>
          <w:sz w:val="23"/>
          <w:szCs w:val="23"/>
          <w:u w:val="none" w:color="auto"/>
        </w:rPr>
        <w:t>阶</w:t>
      </w:r>
      <w:r>
        <w:rPr>
          <w:rFonts w:hint="default" w:ascii="Times New Roman" w:hAnsi="Times New Roman" w:eastAsia="宋体" w:cs="Times New Roman"/>
          <w:snapToGrid w:val="0"/>
          <w:color w:val="auto"/>
          <w:spacing w:val="8"/>
          <w:kern w:val="0"/>
          <w:sz w:val="23"/>
          <w:szCs w:val="23"/>
          <w:u w:val="none" w:color="auto"/>
        </w:rPr>
        <w:t>段环境管理工作的具体内容见下表。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pacing w:val="12"/>
          <w:sz w:val="24"/>
          <w:szCs w:val="24"/>
          <w:u w:val="none" w:color="auto"/>
        </w:rPr>
      </w:pPr>
      <w:r>
        <w:rPr>
          <w:rFonts w:hint="default" w:ascii="Times New Roman" w:hAnsi="Times New Roman" w:eastAsia="宋体" w:cs="Times New Roman"/>
          <w:b/>
          <w:bCs/>
          <w:color w:val="auto"/>
          <w:spacing w:val="12"/>
          <w:sz w:val="24"/>
          <w:szCs w:val="24"/>
          <w:u w:val="none" w:color="auto"/>
        </w:rPr>
        <w:t>表8.1-3各阶段环境管理工作的具体内容</w:t>
      </w:r>
    </w:p>
    <w:p>
      <w:pPr>
        <w:pageBreakBefore w:val="0"/>
        <w:widowControl/>
        <w:kinsoku/>
        <w:wordWrap/>
        <w:overflowPunct w:val="0"/>
        <w:topLinePunct/>
        <w:autoSpaceDE w:val="0"/>
        <w:autoSpaceDN w:val="0"/>
        <w:bidi w:val="0"/>
        <w:adjustRightInd w:val="0"/>
        <w:snapToGrid w:val="0"/>
        <w:spacing w:line="65" w:lineRule="exact"/>
        <w:jc w:val="left"/>
        <w:textAlignment w:val="baseline"/>
        <w:rPr>
          <w:rFonts w:hint="default" w:ascii="Times New Roman" w:hAnsi="Times New Roman" w:eastAsia="宋体" w:cs="Times New Roman"/>
          <w:snapToGrid w:val="0"/>
          <w:color w:val="auto"/>
          <w:kern w:val="0"/>
          <w:szCs w:val="21"/>
          <w:u w:val="none" w:color="auto"/>
        </w:rPr>
      </w:pPr>
    </w:p>
    <w:tbl>
      <w:tblPr>
        <w:tblStyle w:val="204"/>
        <w:tblW w:w="8522"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7"/>
        <w:gridCol w:w="673"/>
        <w:gridCol w:w="73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60" w:type="dxa"/>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阶段</w:t>
            </w:r>
          </w:p>
        </w:tc>
        <w:tc>
          <w:tcPr>
            <w:tcW w:w="736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环境管理工作计划的具体内容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60" w:type="dxa"/>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企业环境管理总要求</w:t>
            </w:r>
          </w:p>
        </w:tc>
        <w:tc>
          <w:tcPr>
            <w:tcW w:w="736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①可研阶段，委托评价单位进行环境影响评价；</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②开工前，履行“三同时”手续；</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③项目投运试生产达到稳定状态后，尽快进行环保设施竣工验收；</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④营运阶段，定期请当地环保部门监督、检查，协助作好环境管理工作，对不达标装置及时整改；</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⑤配合当地环境监测站搞好监测工作，及时交纳排污费。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7" w:type="dxa"/>
            <w:vMerge w:val="restart"/>
            <w:tcBorders>
              <w:tl2br w:val="nil"/>
              <w:tr2bl w:val="nil"/>
            </w:tcBorders>
            <w:textDirection w:val="tbRlV"/>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竣工验收阶段</w:t>
            </w:r>
          </w:p>
        </w:tc>
        <w:tc>
          <w:tcPr>
            <w:tcW w:w="67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自检准备阶段</w:t>
            </w:r>
          </w:p>
        </w:tc>
        <w:tc>
          <w:tcPr>
            <w:tcW w:w="736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①检查施工项目是否按设计规定全部完工；</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②向环保部门申请试运行；组织检查试车前的各项准备工作；</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③检查操作技术文件和管理制度是否健全；整理技术文件资料档案；</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④建立环保档案。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7" w:type="dxa"/>
            <w:vMerge w:val="continue"/>
            <w:tcBorders>
              <w:tl2br w:val="nil"/>
              <w:tr2bl w:val="nil"/>
            </w:tcBorders>
            <w:textDirection w:val="tbRlV"/>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67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预验收阶段</w:t>
            </w:r>
          </w:p>
        </w:tc>
        <w:tc>
          <w:tcPr>
            <w:tcW w:w="736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①检查污染治理效果和各污染源污染物排放情况；</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②对问题，提出解决或补救措施，落实投资，确保按期完成；</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③邀请环境监测站按环评选定的监测点或断面，有重点地考核生产设施、环保设施运行情况，污染物产生、治理和排污情况及环境污染水平，并提交《建设项目环境保护竣工验收监测报告》，回答环保工程是否满足竣工验收要求和具</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备验收条件。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7" w:type="dxa"/>
            <w:vMerge w:val="continue"/>
            <w:tcBorders>
              <w:tl2br w:val="nil"/>
              <w:tr2bl w:val="nil"/>
            </w:tcBorders>
            <w:textDirection w:val="tbRlV"/>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673"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正式验收阶段</w:t>
            </w:r>
          </w:p>
        </w:tc>
        <w:tc>
          <w:tcPr>
            <w:tcW w:w="736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建设单位完成《环境保护工程竣工验收监测报告》和《环境保护工程竣工验收报告》，申请正式竣工验收；</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②建设单位向环保局申请办理《排污许可证》，转入日常环境保护监督管理。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60" w:type="dxa"/>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生产运行阶段</w:t>
            </w:r>
          </w:p>
        </w:tc>
        <w:tc>
          <w:tcPr>
            <w:tcW w:w="736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①把污染防治和环境管理纳入企业日常经营管理活动，从计划管理、生产管理、技术管理、设备管理到经济成本核算均有控制污染内容和指标，并落实到岗位；</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②企业主要领导负责实行环保责任制，指标逐级分解，奖罚分明；</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③建立健全企业的污染监测系统，为企业环境管理提供依据；</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④建立环境保护信息反馈，接受公众监督；</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⑤建立健全各项环保设施运行操作规则，并有效监督实施，严防跑冒滴漏；</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⑥定期向环保部门汇报情况，配合环保部门的监督、检查。</w:t>
            </w:r>
          </w:p>
        </w:tc>
      </w:tr>
    </w:tbl>
    <w:p>
      <w:pPr>
        <w:pStyle w:val="7"/>
        <w:bidi w:val="0"/>
        <w:rPr>
          <w:rFonts w:hint="default"/>
          <w:color w:val="auto"/>
        </w:rPr>
      </w:pPr>
      <w:bookmarkStart w:id="314" w:name="_bookmark130"/>
      <w:bookmarkEnd w:id="314"/>
      <w:bookmarkStart w:id="315" w:name="_Toc9138"/>
      <w:r>
        <w:rPr>
          <w:rFonts w:hint="default"/>
          <w:color w:val="auto"/>
        </w:rPr>
        <w:t>8.1.6排污口管理</w:t>
      </w:r>
      <w:bookmarkEnd w:id="315"/>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排污口规范化管理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排污口是企业污染物进入环境、污染环境的通道，强化排污口的管理是实施污染物总量控制的基础工作，也是区域环境管理逐步实现污染物排放科学化、定量化的重要手段，具体管理原则如下：</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(1)列入总量控制的污染物排放口以及行业特征污染物排放口，废水总排放口，应列为排污口管理的重点；</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(2)排污口应便于采样与计量监测，便于日常监督检查，应有观测、取样、维修通道，烟囱采样孔和采样平台的设置应符合《污染源监测技术规范》；</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(3)如实向环保管理部门申报排污口数量、位置及所排放的主要污染物种类、数量、浓度、排放去向等情况；</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(4)固体废弃物应分类设置专用堆放场地，并有防扬散、防水土流失措施。</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3、排污口标示管理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根据国家《环境保护图形标志—排放口(源)》(GB15562.1—1995)的规定，本工程针对废水排放口及噪声排放源分别设置国家环保局统一制作的环境保护图形标志牌，并应注意以下几点：</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(1)污染物排放口的环保图形标志牌应设置在靠近采样点的醒目处，标志牌设置高度为其上边缘距离地面约2m；</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(2)污染物排放口和固体废物贮存处置场以设置方式标志牌为主，亦可根据情况设置立面或平面固定式标志牌；</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(3)废水排放口和固定废物堆场，应设置提示性环境保护图形标志牌。</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4、排污口建档管理</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(1)本项目应使用国家环保局统一印制的《中华人民共和国规范化排污口标志登记证》，并按要求填写有关内容；</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snapToGrid w:val="0"/>
          <w:color w:val="auto"/>
          <w:kern w:val="0"/>
          <w:sz w:val="21"/>
          <w:szCs w:val="21"/>
          <w:u w:val="none" w:color="auto"/>
        </w:rPr>
      </w:pPr>
      <w:r>
        <w:rPr>
          <w:rFonts w:hint="default" w:ascii="Times New Roman" w:hAnsi="Times New Roman" w:eastAsia="宋体" w:cs="Times New Roman"/>
          <w:color w:val="auto"/>
          <w:spacing w:val="12"/>
          <w:sz w:val="24"/>
          <w:szCs w:val="24"/>
          <w:u w:val="none" w:color="auto"/>
        </w:rPr>
        <w:t>(2)根据排污口管理内容要求，项目建成投产后，应将主要污染物种类、数量、浓度、排放去向、立标情况及设施运行情况记录于档案。</w:t>
      </w:r>
    </w:p>
    <w:p>
      <w:pPr>
        <w:pStyle w:val="6"/>
        <w:bidi w:val="0"/>
        <w:rPr>
          <w:rFonts w:hint="default"/>
          <w:color w:val="auto"/>
        </w:rPr>
      </w:pPr>
      <w:bookmarkStart w:id="316" w:name="_bookmark131"/>
      <w:bookmarkEnd w:id="316"/>
      <w:bookmarkStart w:id="317" w:name="_Toc2702"/>
      <w:r>
        <w:rPr>
          <w:rFonts w:hint="default"/>
          <w:color w:val="auto"/>
        </w:rPr>
        <w:t>8.2环境监测计划</w:t>
      </w:r>
      <w:bookmarkEnd w:id="317"/>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(1)建立健全监测制度，定期开展对废气和厂界噪声的常规性监测。</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(2)根据《排污许可证申请与核发技术规范</w:t>
      </w:r>
      <w:r>
        <w:rPr>
          <w:rFonts w:hint="eastAsia" w:ascii="Times New Roman" w:hAnsi="Times New Roman" w:eastAsia="宋体" w:cs="Times New Roman"/>
          <w:color w:val="auto"/>
          <w:spacing w:val="12"/>
          <w:sz w:val="24"/>
          <w:szCs w:val="24"/>
          <w:u w:val="none" w:color="auto"/>
          <w:lang w:val="en-US" w:eastAsia="zh-CN"/>
        </w:rPr>
        <w:t>-</w:t>
      </w:r>
      <w:r>
        <w:rPr>
          <w:rFonts w:hint="default" w:ascii="Times New Roman" w:hAnsi="Times New Roman" w:eastAsia="宋体" w:cs="Times New Roman"/>
          <w:color w:val="auto"/>
          <w:spacing w:val="12"/>
          <w:sz w:val="24"/>
          <w:szCs w:val="24"/>
          <w:u w:val="none" w:color="auto"/>
        </w:rPr>
        <w:t>金属铸造工业》(HJ1115-2020)，运营期具体监测计划详见下表。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pacing w:val="12"/>
          <w:sz w:val="24"/>
          <w:szCs w:val="24"/>
          <w:u w:val="none" w:color="auto"/>
        </w:rPr>
      </w:pPr>
      <w:r>
        <w:rPr>
          <w:rFonts w:hint="default" w:ascii="Times New Roman" w:hAnsi="Times New Roman" w:eastAsia="宋体" w:cs="Times New Roman"/>
          <w:b/>
          <w:bCs/>
          <w:color w:val="auto"/>
          <w:spacing w:val="12"/>
          <w:sz w:val="24"/>
          <w:szCs w:val="24"/>
          <w:u w:val="none" w:color="auto"/>
        </w:rPr>
        <w:t>表8.2-1营运期环境监测计划</w:t>
      </w:r>
    </w:p>
    <w:tbl>
      <w:tblPr>
        <w:tblStyle w:val="204"/>
        <w:tblW w:w="8522"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3336"/>
        <w:gridCol w:w="1089"/>
        <w:gridCol w:w="1400"/>
        <w:gridCol w:w="15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项目</w:t>
            </w:r>
          </w:p>
        </w:tc>
        <w:tc>
          <w:tcPr>
            <w:tcW w:w="7346" w:type="dxa"/>
            <w:gridSpan w:val="4"/>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建议内容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监测因子</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监测地点</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监测频率</w:t>
            </w:r>
          </w:p>
        </w:tc>
        <w:tc>
          <w:tcPr>
            <w:tcW w:w="1521"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监测机构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有组织</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DA001</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颗粒物、氟化物、氯化氢</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排气筒采样口</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有组织</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DA002</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颗粒物、SO</w:t>
            </w:r>
            <w:r>
              <w:rPr>
                <w:rFonts w:hint="default" w:ascii="Times New Roman" w:hAnsi="Times New Roman" w:eastAsia="宋体" w:cs="Times New Roman"/>
                <w:color w:val="auto"/>
                <w:sz w:val="21"/>
                <w:szCs w:val="21"/>
                <w:u w:val="none"/>
                <w:vertAlign w:val="subscript"/>
                <w:lang w:val="en-US" w:eastAsia="zh-CN" w:bidi="ar-SA"/>
              </w:rPr>
              <w:t>2</w:t>
            </w:r>
            <w:r>
              <w:rPr>
                <w:rFonts w:hint="default" w:ascii="Times New Roman" w:hAnsi="Times New Roman" w:eastAsia="宋体" w:cs="Times New Roman"/>
                <w:color w:val="auto"/>
                <w:sz w:val="21"/>
                <w:szCs w:val="21"/>
                <w:u w:val="none"/>
                <w:lang w:val="en-US" w:eastAsia="zh-CN" w:bidi="ar-SA"/>
              </w:rPr>
              <w:t>、NOx</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排气筒采样口</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有组织</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DA00</w:t>
            </w:r>
            <w:r>
              <w:rPr>
                <w:rFonts w:hint="eastAsia" w:ascii="Times New Roman" w:hAnsi="Times New Roman" w:eastAsia="宋体" w:cs="Times New Roman"/>
                <w:color w:val="auto"/>
                <w:sz w:val="21"/>
                <w:szCs w:val="21"/>
                <w:u w:val="none"/>
                <w:lang w:val="en-US" w:eastAsia="zh-CN" w:bidi="ar-SA"/>
              </w:rPr>
              <w:t>3</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VOCs（以非甲烷总烃计）</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排气筒采样口</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有组织</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DA00</w:t>
            </w:r>
            <w:r>
              <w:rPr>
                <w:rFonts w:hint="eastAsia" w:ascii="Times New Roman" w:hAnsi="Times New Roman" w:eastAsia="宋体" w:cs="Times New Roman"/>
                <w:color w:val="auto"/>
                <w:sz w:val="21"/>
                <w:szCs w:val="21"/>
                <w:u w:val="none"/>
                <w:lang w:val="en-US" w:eastAsia="zh-CN" w:bidi="ar-SA"/>
              </w:rPr>
              <w:t>4</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排气筒采样口</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有组织</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DA00</w:t>
            </w:r>
            <w:r>
              <w:rPr>
                <w:rFonts w:hint="eastAsia" w:ascii="Times New Roman" w:hAnsi="Times New Roman" w:eastAsia="宋体" w:cs="Times New Roman"/>
                <w:color w:val="auto"/>
                <w:sz w:val="21"/>
                <w:szCs w:val="21"/>
                <w:u w:val="none"/>
                <w:lang w:val="en-US" w:eastAsia="zh-CN" w:bidi="ar-SA"/>
              </w:rPr>
              <w:t>5</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w:t>
            </w:r>
            <w:r>
              <w:rPr>
                <w:rFonts w:hint="eastAsia" w:ascii="Times New Roman" w:hAnsi="Times New Roman" w:eastAsia="宋体" w:cs="Times New Roman"/>
                <w:color w:val="auto"/>
                <w:sz w:val="21"/>
                <w:szCs w:val="21"/>
                <w:u w:val="none"/>
                <w:lang w:val="en-US" w:eastAsia="zh-CN" w:bidi="ar-SA"/>
              </w:rPr>
              <w:t>、VOCs（以非甲烷总烃计）</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排气筒采样口</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无组织排放监测点</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颗粒物、氟化物、氯化氢、</w:t>
            </w:r>
            <w:r>
              <w:rPr>
                <w:rFonts w:hint="eastAsia" w:ascii="Times New Roman" w:hAnsi="Times New Roman" w:eastAsia="宋体" w:cs="Times New Roman"/>
                <w:color w:val="auto"/>
                <w:sz w:val="21"/>
                <w:szCs w:val="21"/>
                <w:u w:val="none"/>
                <w:lang w:val="en-US" w:eastAsia="zh-CN" w:bidi="ar-SA"/>
              </w:rPr>
              <w:t>VOCs</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厂界</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厂界噪声</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Leq(A)(昼、夜)</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厂界</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1次/季度</w:t>
            </w:r>
          </w:p>
        </w:tc>
        <w:tc>
          <w:tcPr>
            <w:tcW w:w="1521"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厂区综合污水总排口DW001</w:t>
            </w:r>
          </w:p>
        </w:tc>
        <w:tc>
          <w:tcPr>
            <w:tcW w:w="3336"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pH、色度、悬浮物、</w:t>
            </w:r>
            <w:r>
              <w:rPr>
                <w:rFonts w:hint="default" w:ascii="Times New Roman" w:hAnsi="Times New Roman" w:eastAsia="宋体" w:cs="Times New Roman"/>
                <w:color w:val="auto"/>
                <w:sz w:val="21"/>
                <w:szCs w:val="21"/>
                <w:u w:val="none"/>
                <w:lang w:val="en-US" w:eastAsia="zh-CN" w:bidi="ar-SA"/>
              </w:rPr>
              <w:t>COD、SS、氨氮、总磷</w:t>
            </w:r>
            <w:r>
              <w:rPr>
                <w:rFonts w:hint="eastAsia" w:ascii="Times New Roman" w:hAnsi="Times New Roman" w:eastAsia="宋体" w:cs="Times New Roman"/>
                <w:color w:val="auto"/>
                <w:sz w:val="21"/>
                <w:szCs w:val="21"/>
                <w:u w:val="none"/>
                <w:lang w:val="en-US" w:eastAsia="zh-CN" w:bidi="ar-SA"/>
              </w:rPr>
              <w:t>、总氮</w:t>
            </w:r>
          </w:p>
        </w:tc>
        <w:tc>
          <w:tcPr>
            <w:tcW w:w="108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厂区综合污水总排口</w:t>
            </w:r>
          </w:p>
        </w:tc>
        <w:tc>
          <w:tcPr>
            <w:tcW w:w="140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1次/年</w:t>
            </w:r>
          </w:p>
        </w:tc>
        <w:tc>
          <w:tcPr>
            <w:tcW w:w="1521" w:type="dxa"/>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(3)环境监测要为环境管理服务。环境监测中发现非正常情况应及时向公司领导汇报，并做好记录，以便为设施维护、生产管理等提供依据。</w:t>
      </w:r>
    </w:p>
    <w:p>
      <w:pPr>
        <w:pStyle w:val="6"/>
        <w:bidi w:val="0"/>
        <w:rPr>
          <w:rFonts w:hint="default"/>
          <w:color w:val="auto"/>
        </w:rPr>
      </w:pPr>
      <w:bookmarkStart w:id="318" w:name="_bookmark132"/>
      <w:bookmarkEnd w:id="318"/>
      <w:bookmarkStart w:id="319" w:name="_Toc8463"/>
      <w:r>
        <w:rPr>
          <w:rFonts w:hint="default"/>
          <w:color w:val="auto"/>
        </w:rPr>
        <w:t>8.3环保设施竣工验收</w:t>
      </w:r>
      <w:bookmarkEnd w:id="319"/>
    </w:p>
    <w:p>
      <w:pPr>
        <w:pageBreakBefore w:val="0"/>
        <w:widowControl/>
        <w:kinsoku/>
        <w:wordWrap/>
        <w:overflowPunct w:val="0"/>
        <w:topLinePunct/>
        <w:autoSpaceDE w:val="0"/>
        <w:autoSpaceDN w:val="0"/>
        <w:bidi w:val="0"/>
        <w:adjustRightInd w:val="0"/>
        <w:snapToGrid w:val="0"/>
        <w:spacing w:before="219" w:line="227" w:lineRule="auto"/>
        <w:ind w:left="611"/>
        <w:jc w:val="left"/>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1"/>
          <w:kern w:val="0"/>
          <w:sz w:val="24"/>
          <w:szCs w:val="24"/>
          <w:u w:val="none" w:color="auto"/>
        </w:rPr>
        <w:t>本</w:t>
      </w:r>
      <w:r>
        <w:rPr>
          <w:rFonts w:hint="default" w:ascii="Times New Roman" w:hAnsi="Times New Roman" w:eastAsia="宋体" w:cs="Times New Roman"/>
          <w:snapToGrid w:val="0"/>
          <w:color w:val="auto"/>
          <w:spacing w:val="9"/>
          <w:kern w:val="0"/>
          <w:sz w:val="24"/>
          <w:szCs w:val="24"/>
          <w:u w:val="none" w:color="auto"/>
        </w:rPr>
        <w:t>建设项目环境保护设施竣工验收项目内容见下表。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pacing w:val="12"/>
          <w:sz w:val="24"/>
          <w:szCs w:val="24"/>
          <w:u w:val="none" w:color="auto"/>
        </w:rPr>
      </w:pPr>
      <w:r>
        <w:rPr>
          <w:rFonts w:hint="default" w:ascii="Times New Roman" w:hAnsi="Times New Roman" w:eastAsia="宋体" w:cs="Times New Roman"/>
          <w:b/>
          <w:bCs/>
          <w:color w:val="auto"/>
          <w:spacing w:val="12"/>
          <w:sz w:val="24"/>
          <w:szCs w:val="24"/>
          <w:u w:val="none" w:color="auto"/>
        </w:rPr>
        <w:t>表8.3-1项目环保竣工验收监测一览表</w:t>
      </w:r>
    </w:p>
    <w:tbl>
      <w:tblPr>
        <w:tblStyle w:val="204"/>
        <w:tblW w:w="516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6"/>
        <w:gridCol w:w="1287"/>
        <w:gridCol w:w="608"/>
        <w:gridCol w:w="974"/>
        <w:gridCol w:w="2343"/>
        <w:gridCol w:w="28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污染</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类型</w:t>
            </w: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排放源</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监测因子</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防治措施</w:t>
            </w:r>
          </w:p>
        </w:tc>
        <w:tc>
          <w:tcPr>
            <w:tcW w:w="1647"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验收执行标准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大气</w:t>
            </w:r>
          </w:p>
        </w:tc>
        <w:tc>
          <w:tcPr>
            <w:tcW w:w="74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7"/>
                <w:sz w:val="21"/>
                <w:szCs w:val="21"/>
                <w:u w:val="none" w:color="auto"/>
              </w:rPr>
              <w:t>熔炼</w:t>
            </w:r>
            <w:r>
              <w:rPr>
                <w:rFonts w:hint="default" w:ascii="Times New Roman" w:hAnsi="Times New Roman" w:eastAsia="宋体" w:cs="Times New Roman"/>
                <w:color w:val="auto"/>
                <w:spacing w:val="7"/>
                <w:sz w:val="21"/>
                <w:szCs w:val="21"/>
                <w:u w:val="none" w:color="auto"/>
                <w:lang w:eastAsia="zh-CN"/>
              </w:rPr>
              <w:t>、浇筑废气</w:t>
            </w:r>
          </w:p>
        </w:tc>
        <w:tc>
          <w:tcPr>
            <w:tcW w:w="919"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11"/>
                <w:sz w:val="21"/>
                <w:szCs w:val="21"/>
                <w:u w:val="none" w:color="auto"/>
              </w:rPr>
              <w:t>颗粒物</w:t>
            </w:r>
            <w:r>
              <w:rPr>
                <w:rFonts w:hint="default" w:ascii="Times New Roman" w:hAnsi="Times New Roman" w:eastAsia="宋体" w:cs="Times New Roman"/>
                <w:color w:val="auto"/>
                <w:spacing w:val="-11"/>
                <w:sz w:val="21"/>
                <w:szCs w:val="21"/>
                <w:u w:val="none" w:color="auto"/>
              </w:rPr>
              <w:t>、</w:t>
            </w:r>
            <w:r>
              <w:rPr>
                <w:rFonts w:hint="default" w:ascii="Times New Roman" w:hAnsi="Times New Roman" w:eastAsia="宋体" w:cs="Times New Roman"/>
                <w:color w:val="auto"/>
                <w:spacing w:val="12"/>
                <w:sz w:val="21"/>
                <w:szCs w:val="21"/>
                <w:u w:val="none" w:color="auto"/>
              </w:rPr>
              <w:t>氟</w:t>
            </w:r>
            <w:r>
              <w:rPr>
                <w:rFonts w:hint="default" w:ascii="Times New Roman" w:hAnsi="Times New Roman" w:eastAsia="宋体" w:cs="Times New Roman"/>
                <w:color w:val="auto"/>
                <w:spacing w:val="10"/>
                <w:sz w:val="21"/>
                <w:szCs w:val="21"/>
                <w:u w:val="none" w:color="auto"/>
              </w:rPr>
              <w:t>化物、</w:t>
            </w:r>
            <w:r>
              <w:rPr>
                <w:rFonts w:hint="default" w:ascii="Times New Roman" w:hAnsi="Times New Roman" w:eastAsia="宋体" w:cs="Times New Roman"/>
                <w:color w:val="auto"/>
                <w:spacing w:val="-4"/>
                <w:sz w:val="21"/>
                <w:szCs w:val="21"/>
                <w:u w:val="none" w:color="auto"/>
              </w:rPr>
              <w:t>HC</w:t>
            </w:r>
            <w:r>
              <w:rPr>
                <w:rFonts w:hint="default" w:ascii="Times New Roman" w:hAnsi="Times New Roman" w:eastAsia="宋体" w:cs="Times New Roman"/>
                <w:color w:val="auto"/>
                <w:spacing w:val="-3"/>
                <w:sz w:val="21"/>
                <w:szCs w:val="21"/>
                <w:u w:val="none" w:color="auto"/>
              </w:rPr>
              <w:t>l</w:t>
            </w:r>
          </w:p>
        </w:tc>
        <w:tc>
          <w:tcPr>
            <w:tcW w:w="1361"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4"/>
                <w:sz w:val="21"/>
                <w:szCs w:val="21"/>
                <w:u w:val="none" w:color="auto"/>
              </w:rPr>
              <w:t>布袋除尘</w:t>
            </w:r>
          </w:p>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8"/>
                <w:position w:val="1"/>
                <w:sz w:val="21"/>
                <w:szCs w:val="21"/>
                <w:u w:val="none" w:color="auto"/>
              </w:rPr>
              <w:t>器</w:t>
            </w:r>
            <w:r>
              <w:rPr>
                <w:rFonts w:hint="default" w:ascii="Times New Roman" w:hAnsi="Times New Roman" w:eastAsia="宋体" w:cs="Times New Roman"/>
                <w:color w:val="auto"/>
                <w:spacing w:val="16"/>
                <w:position w:val="1"/>
                <w:sz w:val="21"/>
                <w:szCs w:val="21"/>
                <w:u w:val="none" w:color="auto"/>
              </w:rPr>
              <w:t>+</w:t>
            </w:r>
            <w:r>
              <w:rPr>
                <w:rFonts w:hint="default" w:ascii="Times New Roman" w:hAnsi="Times New Roman" w:eastAsia="宋体" w:cs="Times New Roman"/>
                <w:color w:val="auto"/>
                <w:spacing w:val="14"/>
                <w:position w:val="1"/>
                <w:sz w:val="21"/>
                <w:szCs w:val="21"/>
                <w:u w:val="none" w:color="auto"/>
              </w:rPr>
              <w:t>碱液喷淋塔”</w:t>
            </w:r>
            <w:r>
              <w:rPr>
                <w:rFonts w:hint="default" w:ascii="Times New Roman" w:hAnsi="Times New Roman" w:eastAsia="宋体" w:cs="Times New Roman"/>
                <w:color w:val="auto"/>
                <w:spacing w:val="14"/>
                <w:position w:val="1"/>
                <w:sz w:val="21"/>
                <w:szCs w:val="21"/>
                <w:u w:val="none" w:color="auto"/>
                <w:lang w:val="en-US" w:eastAsia="zh-CN"/>
              </w:rPr>
              <w:t>+</w:t>
            </w:r>
            <w:r>
              <w:rPr>
                <w:rFonts w:hint="eastAsia" w:ascii="Times New Roman" w:hAnsi="Times New Roman" w:eastAsia="宋体" w:cs="Times New Roman"/>
                <w:color w:val="auto"/>
                <w:spacing w:val="14"/>
                <w:position w:val="1"/>
                <w:sz w:val="21"/>
                <w:szCs w:val="21"/>
                <w:u w:val="none" w:color="auto"/>
                <w:lang w:val="en-US" w:eastAsia="zh-CN"/>
              </w:rPr>
              <w:t>2</w:t>
            </w:r>
            <w:r>
              <w:rPr>
                <w:rFonts w:hint="default" w:ascii="Times New Roman" w:hAnsi="Times New Roman" w:eastAsia="宋体" w:cs="Times New Roman"/>
                <w:color w:val="auto"/>
                <w:spacing w:val="14"/>
                <w:position w:val="1"/>
                <w:sz w:val="21"/>
                <w:szCs w:val="21"/>
                <w:u w:val="none" w:color="auto"/>
                <w:lang w:val="en-US" w:eastAsia="zh-CN"/>
              </w:rPr>
              <w:t>0m排气筒</w:t>
            </w:r>
            <w:r>
              <w:rPr>
                <w:rFonts w:hint="eastAsia" w:ascii="Times New Roman" w:hAnsi="Times New Roman" w:eastAsia="宋体" w:cs="Times New Roman"/>
                <w:color w:val="auto"/>
                <w:spacing w:val="14"/>
                <w:position w:val="1"/>
                <w:sz w:val="21"/>
                <w:szCs w:val="21"/>
                <w:u w:val="none" w:color="auto"/>
                <w:lang w:val="en-US" w:eastAsia="zh-CN"/>
              </w:rPr>
              <w:t>（</w:t>
            </w:r>
            <w:r>
              <w:rPr>
                <w:rFonts w:hint="default" w:ascii="Times New Roman" w:hAnsi="Times New Roman" w:eastAsia="宋体" w:cs="Times New Roman"/>
                <w:color w:val="auto"/>
                <w:sz w:val="21"/>
                <w:szCs w:val="21"/>
                <w:u w:val="none" w:color="auto"/>
              </w:rPr>
              <w:t>DA</w:t>
            </w:r>
            <w:r>
              <w:rPr>
                <w:rFonts w:hint="default" w:ascii="Times New Roman" w:hAnsi="Times New Roman" w:eastAsia="宋体" w:cs="Times New Roman"/>
                <w:color w:val="auto"/>
                <w:spacing w:val="7"/>
                <w:sz w:val="21"/>
                <w:szCs w:val="21"/>
                <w:u w:val="none" w:color="auto"/>
              </w:rPr>
              <w:t>001</w:t>
            </w:r>
            <w:r>
              <w:rPr>
                <w:rFonts w:hint="eastAsia" w:ascii="Times New Roman" w:hAnsi="Times New Roman" w:eastAsia="宋体" w:cs="Times New Roman"/>
                <w:color w:val="auto"/>
                <w:spacing w:val="14"/>
                <w:position w:val="1"/>
                <w:sz w:val="21"/>
                <w:szCs w:val="21"/>
                <w:u w:val="none" w:color="auto"/>
                <w:lang w:val="en-US" w:eastAsia="zh-CN"/>
              </w:rPr>
              <w:t>）</w:t>
            </w:r>
          </w:p>
        </w:tc>
        <w:tc>
          <w:tcPr>
            <w:tcW w:w="283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4"/>
                <w:sz w:val="21"/>
                <w:szCs w:val="21"/>
                <w:u w:val="none" w:color="auto"/>
              </w:rPr>
              <w:t>颗粒物参照《湖南省工业炉窑大气污染综合治理实施方案》(湘环发〔2020〕6号)</w:t>
            </w:r>
            <w:r>
              <w:rPr>
                <w:rFonts w:hint="eastAsia" w:ascii="Times New Roman" w:hAnsi="Times New Roman" w:eastAsia="宋体" w:cs="Times New Roman"/>
                <w:color w:val="auto"/>
                <w:spacing w:val="-4"/>
                <w:sz w:val="21"/>
                <w:szCs w:val="21"/>
                <w:u w:val="none" w:color="auto"/>
                <w:lang w:eastAsia="zh-CN"/>
              </w:rPr>
              <w:t>；</w:t>
            </w:r>
            <w:r>
              <w:rPr>
                <w:rFonts w:hint="default" w:ascii="Times New Roman" w:hAnsi="Times New Roman" w:eastAsia="宋体" w:cs="Times New Roman"/>
                <w:color w:val="auto"/>
                <w:spacing w:val="-4"/>
                <w:sz w:val="21"/>
                <w:szCs w:val="21"/>
                <w:u w:val="none" w:color="auto"/>
              </w:rPr>
              <w:t>HC</w:t>
            </w:r>
            <w:r>
              <w:rPr>
                <w:rFonts w:hint="default" w:ascii="Times New Roman" w:hAnsi="Times New Roman" w:eastAsia="宋体" w:cs="Times New Roman"/>
                <w:color w:val="auto"/>
                <w:spacing w:val="-3"/>
                <w:sz w:val="21"/>
                <w:szCs w:val="21"/>
                <w:u w:val="none" w:color="auto"/>
              </w:rPr>
              <w:t>l</w:t>
            </w:r>
            <w:r>
              <w:rPr>
                <w:rFonts w:hint="eastAsia" w:ascii="Times New Roman" w:hAnsi="Times New Roman" w:eastAsia="宋体" w:cs="Times New Roman"/>
                <w:color w:val="auto"/>
                <w:spacing w:val="-3"/>
                <w:sz w:val="21"/>
                <w:szCs w:val="21"/>
                <w:u w:val="none" w:color="auto"/>
                <w:lang w:eastAsia="zh-CN"/>
              </w:rPr>
              <w:t>执行</w:t>
            </w: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9"/>
                <w:sz w:val="21"/>
                <w:szCs w:val="21"/>
                <w:u w:val="none" w:color="auto"/>
              </w:rPr>
              <w:t>天</w:t>
            </w:r>
            <w:r>
              <w:rPr>
                <w:rFonts w:hint="default" w:ascii="Times New Roman" w:hAnsi="Times New Roman" w:eastAsia="宋体" w:cs="Times New Roman"/>
                <w:color w:val="auto"/>
                <w:spacing w:val="7"/>
                <w:sz w:val="21"/>
                <w:szCs w:val="21"/>
                <w:u w:val="none" w:color="auto"/>
              </w:rPr>
              <w:t>然气燃</w:t>
            </w:r>
            <w:r>
              <w:rPr>
                <w:rFonts w:hint="default" w:ascii="Times New Roman" w:hAnsi="Times New Roman" w:eastAsia="宋体" w:cs="Times New Roman"/>
                <w:color w:val="auto"/>
                <w:spacing w:val="6"/>
                <w:sz w:val="21"/>
                <w:szCs w:val="21"/>
                <w:u w:val="none" w:color="auto"/>
              </w:rPr>
              <w:t>烧</w:t>
            </w:r>
            <w:r>
              <w:rPr>
                <w:rFonts w:hint="default" w:ascii="Times New Roman" w:hAnsi="Times New Roman" w:eastAsia="宋体" w:cs="Times New Roman"/>
                <w:color w:val="auto"/>
                <w:spacing w:val="5"/>
                <w:sz w:val="21"/>
                <w:szCs w:val="21"/>
                <w:u w:val="none" w:color="auto"/>
              </w:rPr>
              <w:t>废气)</w:t>
            </w:r>
          </w:p>
        </w:tc>
        <w:tc>
          <w:tcPr>
            <w:tcW w:w="919"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11"/>
                <w:sz w:val="21"/>
                <w:szCs w:val="21"/>
                <w:u w:val="none" w:color="auto"/>
              </w:rPr>
              <w:t>颗粒物、</w:t>
            </w:r>
            <w:r>
              <w:rPr>
                <w:rFonts w:hint="default" w:ascii="Times New Roman" w:hAnsi="Times New Roman" w:eastAsia="宋体" w:cs="Times New Roman"/>
                <w:color w:val="auto"/>
                <w:spacing w:val="-11"/>
                <w:sz w:val="21"/>
                <w:szCs w:val="21"/>
                <w:u w:val="none" w:color="auto"/>
              </w:rPr>
              <w:t>SO</w:t>
            </w:r>
            <w:r>
              <w:rPr>
                <w:rFonts w:hint="default" w:ascii="Times New Roman" w:hAnsi="Times New Roman" w:eastAsia="宋体" w:cs="Times New Roman"/>
                <w:color w:val="auto"/>
                <w:spacing w:val="-15"/>
                <w:position w:val="-1"/>
                <w:sz w:val="21"/>
                <w:szCs w:val="21"/>
                <w:u w:val="none" w:color="auto"/>
              </w:rPr>
              <w:t>2</w:t>
            </w:r>
            <w:r>
              <w:rPr>
                <w:rFonts w:hint="default" w:ascii="Times New Roman" w:hAnsi="Times New Roman" w:eastAsia="宋体" w:cs="Times New Roman"/>
                <w:color w:val="auto"/>
                <w:spacing w:val="-11"/>
                <w:sz w:val="21"/>
                <w:szCs w:val="21"/>
                <w:u w:val="none" w:color="auto"/>
              </w:rPr>
              <w:t>、NOx、</w:t>
            </w:r>
          </w:p>
        </w:tc>
        <w:tc>
          <w:tcPr>
            <w:tcW w:w="1361"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低氮燃烧器</w:t>
            </w:r>
            <w:r>
              <w:rPr>
                <w:rFonts w:hint="default" w:ascii="Times New Roman" w:hAnsi="Times New Roman" w:eastAsia="宋体"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25</w:t>
            </w:r>
            <w:r>
              <w:rPr>
                <w:rFonts w:hint="default" w:ascii="Times New Roman" w:hAnsi="Times New Roman" w:eastAsia="宋体" w:cs="Times New Roman"/>
                <w:color w:val="auto"/>
                <w:kern w:val="2"/>
                <w:sz w:val="21"/>
                <w:szCs w:val="21"/>
                <w:lang w:val="en-US" w:eastAsia="zh-CN"/>
              </w:rPr>
              <w:t>m排气筒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DA00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p>
        </w:tc>
        <w:tc>
          <w:tcPr>
            <w:tcW w:w="283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pacing w:val="-4"/>
                <w:sz w:val="21"/>
                <w:szCs w:val="21"/>
                <w:u w:val="none" w:color="auto"/>
              </w:rPr>
              <w:t>《湖南省工业炉窑大气污染综合治理实施方案》(湘环发〔2020〕6号)</w:t>
            </w:r>
            <w:r>
              <w:rPr>
                <w:rFonts w:hint="eastAsia" w:ascii="Times New Roman" w:hAnsi="Times New Roman" w:eastAsia="宋体" w:cs="Times New Roman"/>
                <w:color w:val="auto"/>
                <w:spacing w:val="-4"/>
                <w:sz w:val="21"/>
                <w:szCs w:val="21"/>
                <w:u w:val="non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color w:val="auto"/>
              </w:rPr>
            </w:pPr>
          </w:p>
        </w:tc>
        <w:tc>
          <w:tcPr>
            <w:tcW w:w="74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color w:val="auto"/>
              </w:rPr>
            </w:pPr>
            <w:r>
              <w:rPr>
                <w:rFonts w:hint="default" w:ascii="Times New Roman" w:hAnsi="Times New Roman" w:eastAsia="宋体" w:cs="Times New Roman"/>
                <w:color w:val="auto"/>
                <w:kern w:val="2"/>
                <w:sz w:val="21"/>
                <w:szCs w:val="21"/>
                <w:lang w:val="en-US" w:eastAsia="zh-CN"/>
              </w:rPr>
              <w:t>镁板轧机废气</w:t>
            </w:r>
          </w:p>
        </w:tc>
        <w:tc>
          <w:tcPr>
            <w:tcW w:w="919"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val="en-US" w:eastAsia="zh-CN"/>
              </w:rPr>
              <w:t>VOCs</w:t>
            </w:r>
          </w:p>
        </w:tc>
        <w:tc>
          <w:tcPr>
            <w:tcW w:w="1361"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活性炭吸附</w:t>
            </w:r>
            <w:r>
              <w:rPr>
                <w:rFonts w:hint="default" w:ascii="Times New Roman" w:hAnsi="Times New Roman" w:eastAsia="宋体"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0m排气筒</w:t>
            </w:r>
            <w:r>
              <w:rPr>
                <w:rFonts w:hint="default" w:ascii="Times New Roman" w:hAnsi="Times New Roman" w:eastAsia="宋体" w:cs="Times New Roman"/>
                <w:color w:val="auto"/>
                <w:kern w:val="2"/>
                <w:sz w:val="21"/>
                <w:szCs w:val="21"/>
              </w:rPr>
              <w:t>（DA0</w:t>
            </w:r>
            <w:r>
              <w:rPr>
                <w:rFonts w:hint="default" w:ascii="Times New Roman" w:hAnsi="Times New Roman" w:eastAsia="宋体" w:cs="Times New Roman"/>
                <w:color w:val="auto"/>
                <w:kern w:val="2"/>
                <w:sz w:val="21"/>
                <w:szCs w:val="21"/>
                <w:lang w:val="en-US" w:eastAsia="zh-CN"/>
              </w:rPr>
              <w:t>03</w:t>
            </w:r>
            <w:r>
              <w:rPr>
                <w:rFonts w:hint="default" w:ascii="Times New Roman" w:hAnsi="Times New Roman" w:eastAsia="宋体" w:cs="Times New Roman"/>
                <w:color w:val="auto"/>
                <w:kern w:val="2"/>
                <w:sz w:val="21"/>
                <w:szCs w:val="21"/>
              </w:rPr>
              <w:t>）</w:t>
            </w:r>
          </w:p>
        </w:tc>
        <w:tc>
          <w:tcPr>
            <w:tcW w:w="283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等离子喷涂废气</w:t>
            </w:r>
          </w:p>
        </w:tc>
        <w:tc>
          <w:tcPr>
            <w:tcW w:w="919"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颗粒物</w:t>
            </w:r>
          </w:p>
        </w:tc>
        <w:tc>
          <w:tcPr>
            <w:tcW w:w="1361"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布袋除尘器</w:t>
            </w:r>
            <w:r>
              <w:rPr>
                <w:rFonts w:hint="default" w:ascii="Times New Roman" w:hAnsi="Times New Roman" w:eastAsia="宋体"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0m排气筒</w:t>
            </w:r>
            <w:r>
              <w:rPr>
                <w:rFonts w:hint="default" w:ascii="Times New Roman" w:hAnsi="Times New Roman" w:eastAsia="宋体" w:cs="Times New Roman"/>
                <w:color w:val="auto"/>
                <w:kern w:val="2"/>
                <w:sz w:val="21"/>
                <w:szCs w:val="21"/>
              </w:rPr>
              <w:t>（DA0</w:t>
            </w:r>
            <w:r>
              <w:rPr>
                <w:rFonts w:hint="default" w:ascii="Times New Roman" w:hAnsi="Times New Roman" w:eastAsia="宋体" w:cs="Times New Roman"/>
                <w:color w:val="auto"/>
                <w:kern w:val="2"/>
                <w:sz w:val="21"/>
                <w:szCs w:val="21"/>
                <w:lang w:val="en-US" w:eastAsia="zh-CN"/>
              </w:rPr>
              <w:t>0</w:t>
            </w: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w:t>
            </w:r>
          </w:p>
        </w:tc>
        <w:tc>
          <w:tcPr>
            <w:tcW w:w="283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喷漆和烘干</w:t>
            </w:r>
          </w:p>
        </w:tc>
        <w:tc>
          <w:tcPr>
            <w:tcW w:w="919" w:type="pct"/>
            <w:gridSpan w:val="2"/>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sz w:val="21"/>
                <w:szCs w:val="21"/>
                <w:lang w:eastAsia="zh-CN"/>
              </w:rPr>
              <w:t>颗粒物、</w:t>
            </w:r>
            <w:r>
              <w:rPr>
                <w:rFonts w:hint="default" w:ascii="Times New Roman" w:hAnsi="Times New Roman" w:eastAsia="宋体" w:cs="Times New Roman"/>
                <w:color w:val="auto"/>
                <w:kern w:val="2"/>
                <w:sz w:val="21"/>
                <w:szCs w:val="21"/>
                <w:lang w:val="en-US" w:eastAsia="zh-CN"/>
              </w:rPr>
              <w:t>VOCs</w:t>
            </w:r>
          </w:p>
        </w:tc>
        <w:tc>
          <w:tcPr>
            <w:tcW w:w="1361" w:type="pct"/>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color="auto"/>
                <w:lang w:val="en-US" w:eastAsia="zh-CN"/>
              </w:rPr>
              <w:t>水帘+干式过滤+活性炭吸附+</w:t>
            </w:r>
            <w:r>
              <w:rPr>
                <w:rFonts w:hint="eastAsia"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0m排气筒</w:t>
            </w:r>
            <w:r>
              <w:rPr>
                <w:rFonts w:hint="default" w:ascii="Times New Roman" w:hAnsi="Times New Roman" w:eastAsia="宋体" w:cs="Times New Roman"/>
                <w:color w:val="auto"/>
                <w:kern w:val="2"/>
                <w:sz w:val="21"/>
                <w:szCs w:val="21"/>
              </w:rPr>
              <w:t>（DA</w:t>
            </w:r>
            <w:r>
              <w:rPr>
                <w:rFonts w:hint="default" w:ascii="Times New Roman" w:hAnsi="Times New Roman" w:eastAsia="宋体" w:cs="Times New Roman"/>
                <w:color w:val="auto"/>
                <w:kern w:val="2"/>
                <w:sz w:val="21"/>
                <w:szCs w:val="21"/>
                <w:lang w:val="en-US" w:eastAsia="zh-CN"/>
              </w:rPr>
              <w:t>00</w:t>
            </w: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w:t>
            </w:r>
          </w:p>
        </w:tc>
        <w:tc>
          <w:tcPr>
            <w:tcW w:w="2835" w:type="dxa"/>
            <w:tcBorders>
              <w:tl2br w:val="nil"/>
              <w:tr2bl w:val="nil"/>
            </w:tcBorders>
            <w:vAlign w:val="center"/>
          </w:tcPr>
          <w:p>
            <w:pPr>
              <w:keepNext w:val="0"/>
              <w:keepLines w:val="0"/>
              <w:pageBreakBefore w:val="0"/>
              <w:widowControl w:val="0"/>
              <w:kinsoku/>
              <w:wordWrap/>
              <w:overflowPunct w:val="0"/>
              <w:topLinePunct/>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u w:val="none" w:color="auto"/>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厂界</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颗粒物、氟化物、氯化氢、</w:t>
            </w:r>
            <w:r>
              <w:rPr>
                <w:rFonts w:hint="eastAsia" w:ascii="Times New Roman" w:hAnsi="Times New Roman" w:eastAsia="宋体" w:cs="Times New Roman"/>
                <w:color w:val="auto"/>
                <w:sz w:val="21"/>
                <w:szCs w:val="21"/>
                <w:u w:val="none"/>
                <w:lang w:val="en-US" w:eastAsia="zh-CN" w:bidi="ar-SA"/>
              </w:rPr>
              <w:t>VOCs</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采用密闭生产装置，加强日常监管，定期对机泵、阀门、法兰等进行维护和管理，最大限度减少废气无组织排放</w:t>
            </w:r>
          </w:p>
        </w:tc>
        <w:tc>
          <w:tcPr>
            <w:tcW w:w="1647"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《大气污染物综合排放标准》(GB16297-1996)表2无组织排放监控浓度限值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生活区域</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油烟</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油烟净化器</w:t>
            </w:r>
          </w:p>
        </w:tc>
        <w:tc>
          <w:tcPr>
            <w:tcW w:w="1647"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达到《饮食业油烟排放标准》(GB18483-2001)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废水</w:t>
            </w: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综合</w:t>
            </w:r>
            <w:r>
              <w:rPr>
                <w:rFonts w:hint="default" w:ascii="Times New Roman" w:hAnsi="Times New Roman" w:eastAsia="宋体" w:cs="Times New Roman"/>
                <w:color w:val="auto"/>
                <w:sz w:val="21"/>
                <w:szCs w:val="21"/>
                <w:u w:val="none"/>
                <w:lang w:val="en-US" w:eastAsia="zh-CN" w:bidi="ar-SA"/>
              </w:rPr>
              <w:t>污水</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pH、色度、悬浮物、</w:t>
            </w:r>
            <w:r>
              <w:rPr>
                <w:rFonts w:hint="default" w:ascii="Times New Roman" w:hAnsi="Times New Roman" w:eastAsia="宋体" w:cs="Times New Roman"/>
                <w:color w:val="auto"/>
                <w:sz w:val="21"/>
                <w:szCs w:val="21"/>
                <w:u w:val="none"/>
                <w:lang w:val="en-US" w:eastAsia="zh-CN" w:bidi="ar-SA"/>
              </w:rPr>
              <w:t>COD、SS、氨氮、总磷</w:t>
            </w:r>
            <w:r>
              <w:rPr>
                <w:rFonts w:hint="eastAsia" w:ascii="Times New Roman" w:hAnsi="Times New Roman" w:eastAsia="宋体" w:cs="Times New Roman"/>
                <w:color w:val="auto"/>
                <w:sz w:val="21"/>
                <w:szCs w:val="21"/>
                <w:u w:val="none"/>
                <w:lang w:val="en-US" w:eastAsia="zh-CN" w:bidi="ar-SA"/>
              </w:rPr>
              <w:t>、总氮</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隔油沉淀+混凝+气浮设施</w:t>
            </w:r>
          </w:p>
        </w:tc>
        <w:tc>
          <w:tcPr>
            <w:tcW w:w="1647"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湖南三峡环境临港水质净化厂接管标准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固体</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废物</w:t>
            </w: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办公生活</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生活垃圾</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垃圾收集桶、环卫定期清运</w:t>
            </w:r>
          </w:p>
        </w:tc>
        <w:tc>
          <w:tcPr>
            <w:tcW w:w="1647"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综合利用，合理处置、达到环保要求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生产区域</w:t>
            </w:r>
          </w:p>
        </w:tc>
        <w:tc>
          <w:tcPr>
            <w:tcW w:w="353"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一般</w:t>
            </w:r>
          </w:p>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废物</w:t>
            </w:r>
          </w:p>
        </w:tc>
        <w:tc>
          <w:tcPr>
            <w:tcW w:w="566"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snapToGrid w:val="0"/>
                <w:color w:val="auto"/>
                <w:spacing w:val="7"/>
                <w:kern w:val="0"/>
                <w:sz w:val="21"/>
                <w:szCs w:val="21"/>
                <w:u w:val="none" w:color="auto"/>
              </w:rPr>
              <w:t>镁熔渣</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外售至废旧资源综合利用公司</w:t>
            </w:r>
          </w:p>
        </w:tc>
        <w:tc>
          <w:tcPr>
            <w:tcW w:w="1647"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35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566"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snapToGrid w:val="0"/>
                <w:color w:val="auto"/>
                <w:spacing w:val="7"/>
                <w:kern w:val="0"/>
                <w:sz w:val="21"/>
                <w:szCs w:val="21"/>
                <w:u w:val="none" w:color="auto"/>
              </w:rPr>
              <w:t>废边角料及残次品</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回用于生产</w:t>
            </w:r>
          </w:p>
        </w:tc>
        <w:tc>
          <w:tcPr>
            <w:tcW w:w="1647"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353"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危险</w:t>
            </w:r>
            <w:r>
              <w:rPr>
                <w:rFonts w:hint="default" w:ascii="Times New Roman" w:hAnsi="Times New Roman" w:eastAsia="宋体" w:cs="Times New Roman"/>
                <w:color w:val="auto"/>
                <w:sz w:val="21"/>
                <w:szCs w:val="21"/>
                <w:u w:val="none"/>
                <w:lang w:val="en-US" w:eastAsia="zh-CN" w:bidi="ar-SA"/>
              </w:rPr>
              <w:t>废物</w:t>
            </w:r>
          </w:p>
        </w:tc>
        <w:tc>
          <w:tcPr>
            <w:tcW w:w="566"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vertAlign w:val="baseline"/>
                <w:lang w:val="en-US" w:eastAsia="zh-CN"/>
              </w:rPr>
              <w:t>含油滤料及含油污泥</w:t>
            </w:r>
          </w:p>
        </w:tc>
        <w:tc>
          <w:tcPr>
            <w:tcW w:w="1361"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交由资质单位处理</w:t>
            </w:r>
          </w:p>
        </w:tc>
        <w:tc>
          <w:tcPr>
            <w:tcW w:w="1647" w:type="pct"/>
            <w:vMerge w:val="restar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vertAlign w:val="baseline"/>
                <w:lang w:val="en-US" w:eastAsia="zh-CN"/>
              </w:rPr>
              <w:t>暂存于危废暂存间，交由有资质的单位处理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35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566"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vertAlign w:val="baseline"/>
                <w:lang w:val="en-US" w:eastAsia="zh-CN"/>
              </w:rPr>
              <w:t>废活性炭</w:t>
            </w:r>
          </w:p>
        </w:tc>
        <w:tc>
          <w:tcPr>
            <w:tcW w:w="1361"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1647"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748"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353"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566" w:type="pct"/>
            <w:tcBorders>
              <w:tl2br w:val="nil"/>
              <w:tr2bl w:val="nil"/>
            </w:tcBorders>
            <w:vAlign w:val="center"/>
          </w:tcPr>
          <w:p>
            <w:pPr>
              <w:pageBreakBefore w:val="0"/>
              <w:kinsoku/>
              <w:wordWrap/>
              <w:overflowPunct w:val="0"/>
              <w:topLinePunct/>
              <w:autoSpaceDE w:val="0"/>
              <w:autoSpaceDN w:val="0"/>
              <w:bidi w:val="0"/>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vertAlign w:val="baseline"/>
                <w:lang w:val="en-US" w:eastAsia="zh-CN"/>
              </w:rPr>
              <w:t>废矿物油</w:t>
            </w:r>
          </w:p>
        </w:tc>
        <w:tc>
          <w:tcPr>
            <w:tcW w:w="1361"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c>
          <w:tcPr>
            <w:tcW w:w="1647" w:type="pct"/>
            <w:vMerge w:val="continue"/>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噪声</w:t>
            </w: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生产区域</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LeqA</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设备减振底座、加强绿化</w:t>
            </w:r>
          </w:p>
        </w:tc>
        <w:tc>
          <w:tcPr>
            <w:tcW w:w="1647"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《工业企业厂界环境噪声排放标准》(GB12348-2008)3类标准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3"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风险</w:t>
            </w:r>
          </w:p>
        </w:tc>
        <w:tc>
          <w:tcPr>
            <w:tcW w:w="748"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生产区域</w:t>
            </w:r>
          </w:p>
        </w:tc>
        <w:tc>
          <w:tcPr>
            <w:tcW w:w="919" w:type="pct"/>
            <w:gridSpan w:val="2"/>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事故废水</w:t>
            </w:r>
          </w:p>
        </w:tc>
        <w:tc>
          <w:tcPr>
            <w:tcW w:w="1361"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250m³事故池</w:t>
            </w:r>
          </w:p>
        </w:tc>
        <w:tc>
          <w:tcPr>
            <w:tcW w:w="1647" w:type="pct"/>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容纳事故废水、消防废水</w:t>
            </w:r>
          </w:p>
        </w:tc>
      </w:tr>
    </w:tbl>
    <w:p>
      <w:pPr>
        <w:pStyle w:val="6"/>
        <w:bidi w:val="0"/>
        <w:rPr>
          <w:rFonts w:hint="default"/>
          <w:color w:val="auto"/>
        </w:rPr>
      </w:pPr>
      <w:bookmarkStart w:id="320" w:name="_bookmark133"/>
      <w:bookmarkEnd w:id="320"/>
      <w:bookmarkStart w:id="321" w:name="_Toc23550"/>
      <w:r>
        <w:rPr>
          <w:rFonts w:hint="default"/>
          <w:color w:val="auto"/>
        </w:rPr>
        <w:t>8.4总量控制</w:t>
      </w:r>
      <w:bookmarkEnd w:id="321"/>
    </w:p>
    <w:p>
      <w:pPr>
        <w:pStyle w:val="7"/>
        <w:bidi w:val="0"/>
        <w:rPr>
          <w:rFonts w:hint="default"/>
          <w:color w:val="auto"/>
        </w:rPr>
      </w:pPr>
      <w:bookmarkStart w:id="322" w:name="_bookmark134"/>
      <w:bookmarkEnd w:id="322"/>
      <w:bookmarkStart w:id="323" w:name="_Toc20680"/>
      <w:r>
        <w:rPr>
          <w:rFonts w:hint="default"/>
          <w:color w:val="auto"/>
        </w:rPr>
        <w:t>8.4.1总量控制指标的确定</w:t>
      </w:r>
      <w:bookmarkEnd w:id="323"/>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在一定的区域内，环境对污染物的自净能力(即环境容量)是有限度的。在经济发展期间，排污单位增加，向大气和水体排放的污染物即使是达标排放，污染物的数量仍是增加的。如这个数量超过环境容量，所造成的污染导致生态破坏，难以恢复。要使这一区域的环境不被污染，达到所处功能区环境质量标准，就必须控制污染物的排放总量在环境容量的限度以下，从而从根本上消除污染的发生。因此对主要污染物排放实施总量控制是改善环境质量的必然之路，是我国环境保护工作的一项重大举措。</w:t>
      </w:r>
    </w:p>
    <w:p>
      <w:pPr>
        <w:pStyle w:val="7"/>
        <w:bidi w:val="0"/>
        <w:rPr>
          <w:rFonts w:hint="default"/>
          <w:color w:val="auto"/>
        </w:rPr>
      </w:pPr>
      <w:bookmarkStart w:id="324" w:name="_bookmark135"/>
      <w:bookmarkEnd w:id="324"/>
      <w:bookmarkStart w:id="325" w:name="_Toc24281"/>
      <w:r>
        <w:rPr>
          <w:rFonts w:hint="default"/>
          <w:color w:val="auto"/>
        </w:rPr>
        <w:t>8.4.2总量控制因子筛选</w:t>
      </w:r>
      <w:bookmarkEnd w:id="325"/>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根据本工程的污染特点和环保部门的要求，根据国家总量控制有关规定，结合公司生产实际情况，确定本工程总量控制因子为：气污染物建议总量控制因子：SO</w:t>
      </w:r>
      <w:r>
        <w:rPr>
          <w:rFonts w:hint="default" w:ascii="Times New Roman" w:hAnsi="Times New Roman" w:eastAsia="宋体" w:cs="Times New Roman"/>
          <w:color w:val="auto"/>
          <w:spacing w:val="12"/>
          <w:sz w:val="24"/>
          <w:szCs w:val="24"/>
          <w:u w:val="none" w:color="auto"/>
          <w:vertAlign w:val="subscript"/>
        </w:rPr>
        <w:t>2</w:t>
      </w:r>
      <w:r>
        <w:rPr>
          <w:rFonts w:hint="default" w:ascii="Times New Roman" w:hAnsi="Times New Roman" w:eastAsia="宋体" w:cs="Times New Roman"/>
          <w:color w:val="auto"/>
          <w:spacing w:val="12"/>
          <w:sz w:val="24"/>
          <w:szCs w:val="24"/>
          <w:u w:val="none" w:color="auto"/>
        </w:rPr>
        <w:t>、NOx；水总量控制因子：COD、氨氮。</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1</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rPr>
        <w:t>废气污染物排放总量控制分析</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rPr>
      </w:pPr>
      <w:r>
        <w:rPr>
          <w:rFonts w:hint="default" w:ascii="Times New Roman" w:hAnsi="Times New Roman" w:eastAsia="宋体" w:cs="Times New Roman"/>
          <w:color w:val="auto"/>
          <w:spacing w:val="12"/>
          <w:sz w:val="24"/>
          <w:szCs w:val="24"/>
          <w:u w:val="none" w:color="auto"/>
        </w:rPr>
        <w:t>根据工程分析，项目排放的特征污染物为颗粒物、氟化物、氯化氢、SO2、NOx、</w:t>
      </w:r>
      <w:r>
        <w:rPr>
          <w:rFonts w:hint="eastAsia" w:ascii="Times New Roman" w:hAnsi="Times New Roman" w:eastAsia="宋体" w:cs="Times New Roman"/>
          <w:color w:val="auto"/>
          <w:spacing w:val="12"/>
          <w:sz w:val="24"/>
          <w:szCs w:val="24"/>
          <w:u w:val="none" w:color="auto"/>
          <w:lang w:val="en-US" w:eastAsia="zh-CN"/>
        </w:rPr>
        <w:t>VOCs</w:t>
      </w:r>
      <w:r>
        <w:rPr>
          <w:rFonts w:hint="default" w:ascii="Times New Roman" w:hAnsi="Times New Roman" w:eastAsia="宋体" w:cs="Times New Roman"/>
          <w:color w:val="auto"/>
          <w:spacing w:val="12"/>
          <w:sz w:val="24"/>
          <w:szCs w:val="24"/>
          <w:u w:val="none" w:color="auto"/>
        </w:rPr>
        <w:t>，其排放量如下表。以实际排放浓度为总量控制指标依据。</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pacing w:val="12"/>
          <w:sz w:val="24"/>
          <w:szCs w:val="24"/>
          <w:u w:val="none" w:color="auto"/>
        </w:rPr>
      </w:pPr>
      <w:r>
        <w:rPr>
          <w:rFonts w:hint="default" w:ascii="Times New Roman" w:hAnsi="Times New Roman" w:eastAsia="宋体" w:cs="Times New Roman"/>
          <w:b/>
          <w:bCs/>
          <w:color w:val="auto"/>
          <w:spacing w:val="12"/>
          <w:sz w:val="24"/>
          <w:szCs w:val="24"/>
          <w:u w:val="none" w:color="auto"/>
        </w:rPr>
        <w:t>表8.4-</w:t>
      </w:r>
      <w:r>
        <w:rPr>
          <w:rFonts w:hint="eastAsia" w:ascii="Times New Roman" w:hAnsi="Times New Roman" w:eastAsia="宋体" w:cs="Times New Roman"/>
          <w:b/>
          <w:bCs/>
          <w:color w:val="auto"/>
          <w:spacing w:val="12"/>
          <w:sz w:val="24"/>
          <w:szCs w:val="24"/>
          <w:u w:val="none" w:color="auto"/>
          <w:lang w:val="en-US" w:eastAsia="zh-CN"/>
        </w:rPr>
        <w:t>1</w:t>
      </w:r>
      <w:r>
        <w:rPr>
          <w:rFonts w:hint="default" w:ascii="Times New Roman" w:hAnsi="Times New Roman" w:eastAsia="宋体" w:cs="Times New Roman"/>
          <w:b/>
          <w:bCs/>
          <w:color w:val="auto"/>
          <w:spacing w:val="12"/>
          <w:sz w:val="24"/>
          <w:szCs w:val="24"/>
          <w:u w:val="none" w:color="auto"/>
        </w:rPr>
        <w:t>废气污染物排放表</w:t>
      </w:r>
    </w:p>
    <w:p>
      <w:pPr>
        <w:pageBreakBefore w:val="0"/>
        <w:widowControl/>
        <w:kinsoku/>
        <w:wordWrap/>
        <w:overflowPunct w:val="0"/>
        <w:topLinePunct/>
        <w:autoSpaceDE w:val="0"/>
        <w:autoSpaceDN w:val="0"/>
        <w:bidi w:val="0"/>
        <w:adjustRightInd w:val="0"/>
        <w:snapToGrid w:val="0"/>
        <w:spacing w:line="131" w:lineRule="exact"/>
        <w:jc w:val="left"/>
        <w:textAlignment w:val="baseline"/>
        <w:rPr>
          <w:rFonts w:hint="default" w:ascii="Times New Roman" w:hAnsi="Times New Roman" w:eastAsia="宋体" w:cs="Times New Roman"/>
          <w:snapToGrid w:val="0"/>
          <w:color w:val="auto"/>
          <w:kern w:val="0"/>
          <w:szCs w:val="21"/>
          <w:u w:val="none" w:color="auto"/>
        </w:rPr>
      </w:pPr>
    </w:p>
    <w:tbl>
      <w:tblPr>
        <w:tblStyle w:val="204"/>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3"/>
        <w:gridCol w:w="2705"/>
        <w:gridCol w:w="3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12"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序号</w:t>
            </w:r>
          </w:p>
        </w:tc>
        <w:tc>
          <w:tcPr>
            <w:tcW w:w="2705" w:type="dxa"/>
            <w:tcBorders>
              <w:top w:val="single" w:color="000000" w:sz="12"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污染物</w:t>
            </w:r>
          </w:p>
        </w:tc>
        <w:tc>
          <w:tcPr>
            <w:tcW w:w="3804" w:type="dxa"/>
            <w:tcBorders>
              <w:top w:val="single" w:color="000000" w:sz="12"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年排放量(t/a)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4"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1</w:t>
            </w:r>
          </w:p>
        </w:tc>
        <w:tc>
          <w:tcPr>
            <w:tcW w:w="2705" w:type="dxa"/>
            <w:tcBorders>
              <w:top w:val="single" w:color="000000" w:sz="4"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颗粒物</w:t>
            </w:r>
          </w:p>
        </w:tc>
        <w:tc>
          <w:tcPr>
            <w:tcW w:w="3804" w:type="dxa"/>
            <w:tcBorders>
              <w:top w:val="single" w:color="000000" w:sz="4"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kern w:val="2"/>
                <w:u w:val="none" w:color="auto"/>
                <w:lang w:val="en-US" w:eastAsia="zh-CN"/>
              </w:rPr>
              <w:t>3.372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4"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2</w:t>
            </w:r>
          </w:p>
        </w:tc>
        <w:tc>
          <w:tcPr>
            <w:tcW w:w="2705" w:type="dxa"/>
            <w:tcBorders>
              <w:top w:val="single" w:color="000000" w:sz="4"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二氧化硫</w:t>
            </w:r>
          </w:p>
        </w:tc>
        <w:tc>
          <w:tcPr>
            <w:tcW w:w="3804" w:type="dxa"/>
            <w:tcBorders>
              <w:top w:val="single" w:color="000000" w:sz="4"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kern w:val="2"/>
                <w:u w:val="none" w:color="auto"/>
                <w:lang w:val="en-US" w:eastAsia="zh-CN"/>
              </w:rPr>
              <w:t>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4"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3</w:t>
            </w:r>
          </w:p>
        </w:tc>
        <w:tc>
          <w:tcPr>
            <w:tcW w:w="2705" w:type="dxa"/>
            <w:tcBorders>
              <w:top w:val="single" w:color="000000" w:sz="4"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氮氧化物</w:t>
            </w:r>
          </w:p>
        </w:tc>
        <w:tc>
          <w:tcPr>
            <w:tcW w:w="3804" w:type="dxa"/>
            <w:tcBorders>
              <w:top w:val="single" w:color="000000" w:sz="4"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kern w:val="2"/>
                <w:u w:val="none" w:color="auto"/>
                <w:lang w:val="en-US" w:eastAsia="zh-CN"/>
              </w:rPr>
              <w:t>0.067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4"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4</w:t>
            </w:r>
          </w:p>
        </w:tc>
        <w:tc>
          <w:tcPr>
            <w:tcW w:w="2705" w:type="dxa"/>
            <w:tcBorders>
              <w:top w:val="single" w:color="000000" w:sz="4"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氟化物</w:t>
            </w:r>
          </w:p>
        </w:tc>
        <w:tc>
          <w:tcPr>
            <w:tcW w:w="3804" w:type="dxa"/>
            <w:tcBorders>
              <w:top w:val="single" w:color="000000" w:sz="4"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cs="Times New Roman"/>
                <w:color w:val="auto"/>
                <w:sz w:val="21"/>
                <w:szCs w:val="21"/>
                <w:lang w:val="en-US" w:eastAsia="zh-CN"/>
              </w:rPr>
              <w:t>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4" w:space="0"/>
              <w:left w:val="single" w:color="000000" w:sz="12"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5</w:t>
            </w:r>
          </w:p>
        </w:tc>
        <w:tc>
          <w:tcPr>
            <w:tcW w:w="2705" w:type="dxa"/>
            <w:tcBorders>
              <w:top w:val="single" w:color="000000" w:sz="4" w:space="0"/>
              <w:left w:val="single" w:color="000000" w:sz="4" w:space="0"/>
              <w:bottom w:val="single" w:color="000000" w:sz="4"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氯化氢</w:t>
            </w:r>
          </w:p>
        </w:tc>
        <w:tc>
          <w:tcPr>
            <w:tcW w:w="3804" w:type="dxa"/>
            <w:tcBorders>
              <w:top w:val="single" w:color="000000" w:sz="4" w:space="0"/>
              <w:left w:val="single" w:color="000000" w:sz="4" w:space="0"/>
              <w:bottom w:val="single" w:color="000000" w:sz="4" w:space="0"/>
              <w:right w:val="single" w:color="000000" w:sz="12" w:space="0"/>
            </w:tcBorders>
            <w:vAlign w:val="center"/>
          </w:tcPr>
          <w:p>
            <w:pPr>
              <w:pStyle w:val="91"/>
              <w:pageBreakBefore w:val="0"/>
              <w:kinsoku/>
              <w:wordWrap/>
              <w:overflowPunct w:val="0"/>
              <w:topLinePunct/>
              <w:autoSpaceDE w:val="0"/>
              <w:autoSpaceDN w:val="0"/>
              <w:bidi w:val="0"/>
              <w:ind w:left="0" w:leftChars="0" w:right="0" w:rightChars="0" w:firstLine="0" w:firstLineChars="0"/>
              <w:jc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kern w:val="2"/>
                <w:sz w:val="21"/>
                <w:szCs w:val="21"/>
                <w:lang w:val="en-US" w:eastAsia="zh-CN"/>
              </w:rPr>
              <w:t>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tcBorders>
              <w:top w:val="single" w:color="000000" w:sz="4" w:space="0"/>
              <w:left w:val="single" w:color="000000" w:sz="12" w:space="0"/>
              <w:bottom w:val="single" w:color="000000" w:sz="12" w:space="0"/>
              <w:right w:val="single" w:color="000000" w:sz="4" w:space="0"/>
            </w:tcBorders>
            <w:vAlign w:val="center"/>
          </w:tcPr>
          <w:p>
            <w:pPr>
              <w:pStyle w:val="91"/>
              <w:pageBreakBefore w:val="0"/>
              <w:kinsoku/>
              <w:wordWrap/>
              <w:overflowPunct w:val="0"/>
              <w:topLinePunct/>
              <w:autoSpaceDE w:val="0"/>
              <w:autoSpaceDN w:val="0"/>
              <w:bidi w:val="0"/>
              <w:adjustRightInd/>
              <w:snapToGrid/>
              <w:spacing w:after="0" w:line="260" w:lineRule="auto"/>
              <w:ind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6</w:t>
            </w:r>
          </w:p>
        </w:tc>
        <w:tc>
          <w:tcPr>
            <w:tcW w:w="2705" w:type="dxa"/>
            <w:tcBorders>
              <w:top w:val="single" w:color="000000" w:sz="4" w:space="0"/>
              <w:left w:val="single" w:color="000000" w:sz="4" w:space="0"/>
              <w:bottom w:val="single" w:color="000000" w:sz="12" w:space="0"/>
              <w:right w:val="single" w:color="000000" w:sz="4" w:space="0"/>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kern w:val="2"/>
                <w:u w:val="none" w:color="auto"/>
              </w:rPr>
              <w:t>VOCs（以非甲烷总烃计）</w:t>
            </w:r>
          </w:p>
        </w:tc>
        <w:tc>
          <w:tcPr>
            <w:tcW w:w="3804" w:type="dxa"/>
            <w:tcBorders>
              <w:top w:val="single" w:color="000000" w:sz="4" w:space="0"/>
              <w:left w:val="single" w:color="000000" w:sz="4" w:space="0"/>
              <w:bottom w:val="single" w:color="000000" w:sz="12" w:space="0"/>
              <w:right w:val="single" w:color="000000" w:sz="12" w:space="0"/>
            </w:tcBorders>
            <w:vAlign w:val="center"/>
          </w:tcPr>
          <w:p>
            <w:pPr>
              <w:pStyle w:val="91"/>
              <w:pageBreakBefore w:val="0"/>
              <w:kinsoku/>
              <w:wordWrap/>
              <w:overflowPunct w:val="0"/>
              <w:topLinePunct/>
              <w:autoSpaceDE w:val="0"/>
              <w:autoSpaceDN w:val="0"/>
              <w:bidi w:val="0"/>
              <w:ind w:firstLine="0" w:firstLineChars="0"/>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kern w:val="2"/>
                <w:u w:val="none" w:color="auto"/>
                <w:lang w:val="en-US" w:eastAsia="zh-CN"/>
              </w:rPr>
              <w:t>0.785</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lang w:eastAsia="zh-CN"/>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2</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lang w:eastAsia="zh-CN"/>
        </w:rPr>
        <w:t>废水污染物排放总量控制分析</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lang w:eastAsia="zh-CN"/>
        </w:rPr>
      </w:pPr>
      <w:r>
        <w:rPr>
          <w:rFonts w:hint="default" w:ascii="Times New Roman" w:hAnsi="Times New Roman" w:eastAsia="宋体" w:cs="Times New Roman"/>
          <w:color w:val="auto"/>
          <w:spacing w:val="12"/>
          <w:sz w:val="24"/>
          <w:szCs w:val="24"/>
          <w:u w:val="none" w:color="auto"/>
          <w:lang w:eastAsia="zh-CN"/>
        </w:rPr>
        <w:t>本项目废水主要来源于生活污水。生活污水经隔油池、化粪池处理后排入园区生活污水管网进入湖南三峡环境临港水质净化厂处理，湖南三峡环境临港水质净化厂处理出水水质达到《城镇污水处理厂污染物排放标准》(GB18918-2002)一级A标准，外排至</w:t>
      </w:r>
      <w:r>
        <w:rPr>
          <w:rFonts w:hint="eastAsia" w:ascii="Times New Roman" w:hAnsi="Times New Roman" w:eastAsia="宋体" w:cs="Times New Roman"/>
          <w:color w:val="auto"/>
          <w:spacing w:val="12"/>
          <w:sz w:val="24"/>
          <w:szCs w:val="24"/>
          <w:u w:val="none" w:color="auto"/>
          <w:lang w:eastAsia="zh-CN"/>
        </w:rPr>
        <w:t>长江</w:t>
      </w:r>
      <w:r>
        <w:rPr>
          <w:rFonts w:hint="default" w:ascii="Times New Roman" w:hAnsi="Times New Roman" w:eastAsia="宋体" w:cs="Times New Roman"/>
          <w:color w:val="auto"/>
          <w:spacing w:val="12"/>
          <w:sz w:val="24"/>
          <w:szCs w:val="24"/>
          <w:u w:val="none" w:color="auto"/>
          <w:lang w:eastAsia="zh-CN"/>
        </w:rPr>
        <w:t>。</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b/>
          <w:bCs/>
          <w:color w:val="auto"/>
          <w:spacing w:val="12"/>
          <w:sz w:val="24"/>
          <w:szCs w:val="24"/>
          <w:u w:val="none" w:color="auto"/>
        </w:rPr>
        <w:t>表8.4-</w:t>
      </w:r>
      <w:r>
        <w:rPr>
          <w:rFonts w:hint="eastAsia" w:ascii="Times New Roman" w:hAnsi="Times New Roman" w:eastAsia="宋体" w:cs="Times New Roman"/>
          <w:b/>
          <w:bCs/>
          <w:color w:val="auto"/>
          <w:spacing w:val="12"/>
          <w:sz w:val="24"/>
          <w:szCs w:val="24"/>
          <w:u w:val="none" w:color="auto"/>
          <w:lang w:val="en-US" w:eastAsia="zh-CN"/>
        </w:rPr>
        <w:t>2</w:t>
      </w:r>
      <w:r>
        <w:rPr>
          <w:rFonts w:hint="default" w:ascii="Times New Roman" w:hAnsi="Times New Roman" w:eastAsia="宋体" w:cs="Times New Roman"/>
          <w:b/>
          <w:bCs/>
          <w:color w:val="auto"/>
          <w:spacing w:val="12"/>
          <w:sz w:val="24"/>
          <w:szCs w:val="24"/>
          <w:u w:val="none" w:color="auto"/>
        </w:rPr>
        <w:t>废水污染物排放表</w:t>
      </w:r>
    </w:p>
    <w:tbl>
      <w:tblPr>
        <w:tblStyle w:val="204"/>
        <w:tblW w:w="8507" w:type="dxa"/>
        <w:tblInd w:w="2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2120"/>
        <w:gridCol w:w="2119"/>
        <w:gridCol w:w="21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34"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污染物种类</w:t>
            </w:r>
          </w:p>
        </w:tc>
        <w:tc>
          <w:tcPr>
            <w:tcW w:w="212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厂区年排放量(t/a)</w:t>
            </w:r>
          </w:p>
        </w:tc>
        <w:tc>
          <w:tcPr>
            <w:tcW w:w="211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一级A标准(mg/m</w:t>
            </w:r>
            <w:r>
              <w:rPr>
                <w:rFonts w:hint="default" w:ascii="Times New Roman" w:hAnsi="Times New Roman" w:eastAsia="宋体" w:cs="Times New Roman"/>
                <w:color w:val="auto"/>
                <w:sz w:val="21"/>
                <w:szCs w:val="21"/>
                <w:u w:val="none"/>
                <w:vertAlign w:val="superscript"/>
                <w:lang w:val="en-US" w:eastAsia="zh-CN" w:bidi="ar-SA"/>
              </w:rPr>
              <w:t>3</w:t>
            </w:r>
            <w:r>
              <w:rPr>
                <w:rFonts w:hint="default" w:ascii="Times New Roman" w:hAnsi="Times New Roman" w:eastAsia="宋体" w:cs="Times New Roman"/>
                <w:color w:val="auto"/>
                <w:sz w:val="21"/>
                <w:szCs w:val="21"/>
                <w:u w:val="none"/>
                <w:lang w:val="en-US" w:eastAsia="zh-CN" w:bidi="ar-SA"/>
              </w:rPr>
              <w:t>)</w:t>
            </w:r>
          </w:p>
        </w:tc>
        <w:tc>
          <w:tcPr>
            <w:tcW w:w="2134"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污水厂排放量/(t/a)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34"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COD</w:t>
            </w:r>
          </w:p>
        </w:tc>
        <w:tc>
          <w:tcPr>
            <w:tcW w:w="212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5.59</w:t>
            </w:r>
          </w:p>
        </w:tc>
        <w:tc>
          <w:tcPr>
            <w:tcW w:w="211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50</w:t>
            </w:r>
          </w:p>
        </w:tc>
        <w:tc>
          <w:tcPr>
            <w:tcW w:w="2134"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34"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氨氮</w:t>
            </w:r>
          </w:p>
        </w:tc>
        <w:tc>
          <w:tcPr>
            <w:tcW w:w="212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0.56</w:t>
            </w:r>
          </w:p>
        </w:tc>
        <w:tc>
          <w:tcPr>
            <w:tcW w:w="2119"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5</w:t>
            </w:r>
          </w:p>
        </w:tc>
        <w:tc>
          <w:tcPr>
            <w:tcW w:w="2134"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0.09</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lang w:eastAsia="zh-CN"/>
        </w:rPr>
      </w:pPr>
      <w:r>
        <w:rPr>
          <w:rFonts w:hint="eastAsia" w:ascii="Times New Roman" w:hAnsi="Times New Roman" w:eastAsia="宋体" w:cs="Times New Roman"/>
          <w:color w:val="auto"/>
          <w:spacing w:val="12"/>
          <w:sz w:val="24"/>
          <w:szCs w:val="24"/>
          <w:u w:val="none" w:color="auto"/>
          <w:lang w:eastAsia="zh-CN"/>
        </w:rPr>
        <w:t>（</w:t>
      </w:r>
      <w:r>
        <w:rPr>
          <w:rFonts w:hint="eastAsia" w:ascii="Times New Roman" w:hAnsi="Times New Roman" w:eastAsia="宋体" w:cs="Times New Roman"/>
          <w:color w:val="auto"/>
          <w:spacing w:val="12"/>
          <w:sz w:val="24"/>
          <w:szCs w:val="24"/>
          <w:u w:val="none" w:color="auto"/>
          <w:lang w:val="en-US" w:eastAsia="zh-CN"/>
        </w:rPr>
        <w:t>3</w:t>
      </w:r>
      <w:r>
        <w:rPr>
          <w:rFonts w:hint="eastAsia" w:ascii="Times New Roman" w:hAnsi="Times New Roman" w:eastAsia="宋体" w:cs="Times New Roman"/>
          <w:color w:val="auto"/>
          <w:spacing w:val="12"/>
          <w:sz w:val="24"/>
          <w:szCs w:val="24"/>
          <w:u w:val="none" w:color="auto"/>
          <w:lang w:eastAsia="zh-CN"/>
        </w:rPr>
        <w:t>）</w:t>
      </w:r>
      <w:r>
        <w:rPr>
          <w:rFonts w:hint="default" w:ascii="Times New Roman" w:hAnsi="Times New Roman" w:eastAsia="宋体" w:cs="Times New Roman"/>
          <w:color w:val="auto"/>
          <w:spacing w:val="12"/>
          <w:sz w:val="24"/>
          <w:szCs w:val="24"/>
          <w:u w:val="none" w:color="auto"/>
          <w:lang w:eastAsia="zh-CN"/>
        </w:rPr>
        <w:t>本项目总量控制分析</w:t>
      </w:r>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pacing w:val="12"/>
          <w:sz w:val="24"/>
          <w:szCs w:val="24"/>
          <w:u w:val="none" w:color="auto"/>
          <w:lang w:eastAsia="zh-CN"/>
        </w:rPr>
      </w:pPr>
      <w:r>
        <w:rPr>
          <w:rFonts w:hint="default" w:ascii="Times New Roman" w:hAnsi="Times New Roman" w:eastAsia="宋体" w:cs="Times New Roman"/>
          <w:color w:val="auto"/>
          <w:spacing w:val="12"/>
          <w:sz w:val="24"/>
          <w:szCs w:val="24"/>
          <w:u w:val="none" w:color="auto"/>
          <w:lang w:eastAsia="zh-CN"/>
        </w:rPr>
        <w:t>本项目污染物排放总量指标汇总见下表。</w:t>
      </w:r>
    </w:p>
    <w:p>
      <w:pPr>
        <w:keepNext w:val="0"/>
        <w:keepLines w:val="0"/>
        <w:pageBreakBefore w:val="0"/>
        <w:widowControl w:val="0"/>
        <w:kinsoku/>
        <w:wordWrap/>
        <w:overflowPunct w:val="0"/>
        <w:topLinePunct/>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b/>
          <w:bCs/>
          <w:color w:val="auto"/>
          <w:spacing w:val="12"/>
          <w:sz w:val="24"/>
          <w:szCs w:val="24"/>
          <w:u w:val="none" w:color="auto"/>
        </w:rPr>
        <w:t>表8.4-</w:t>
      </w:r>
      <w:r>
        <w:rPr>
          <w:rFonts w:hint="eastAsia" w:ascii="Times New Roman" w:hAnsi="Times New Roman" w:eastAsia="宋体" w:cs="Times New Roman"/>
          <w:b/>
          <w:bCs/>
          <w:color w:val="auto"/>
          <w:spacing w:val="12"/>
          <w:sz w:val="24"/>
          <w:szCs w:val="24"/>
          <w:u w:val="none" w:color="auto"/>
          <w:lang w:val="en-US" w:eastAsia="zh-CN"/>
        </w:rPr>
        <w:t>3</w:t>
      </w:r>
      <w:r>
        <w:rPr>
          <w:rFonts w:hint="default" w:ascii="Times New Roman" w:hAnsi="Times New Roman" w:eastAsia="宋体" w:cs="Times New Roman"/>
          <w:b/>
          <w:bCs/>
          <w:color w:val="auto"/>
          <w:spacing w:val="12"/>
          <w:sz w:val="24"/>
          <w:szCs w:val="24"/>
          <w:u w:val="none" w:color="auto"/>
        </w:rPr>
        <w:t>污染物排放总量指标</w:t>
      </w:r>
    </w:p>
    <w:tbl>
      <w:tblPr>
        <w:tblStyle w:val="204"/>
        <w:tblW w:w="8522"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90"/>
        <w:gridCol w:w="2960"/>
        <w:gridCol w:w="29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总量控制因子</w:t>
            </w:r>
          </w:p>
        </w:tc>
        <w:tc>
          <w:tcPr>
            <w:tcW w:w="296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排放量(t/a)</w:t>
            </w:r>
          </w:p>
        </w:tc>
        <w:tc>
          <w:tcPr>
            <w:tcW w:w="297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建议总量控制指标(t/a)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二氧化硫</w:t>
            </w:r>
          </w:p>
        </w:tc>
        <w:tc>
          <w:tcPr>
            <w:tcW w:w="296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0.44</w:t>
            </w:r>
          </w:p>
        </w:tc>
        <w:tc>
          <w:tcPr>
            <w:tcW w:w="297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氮氧化物</w:t>
            </w:r>
          </w:p>
        </w:tc>
        <w:tc>
          <w:tcPr>
            <w:tcW w:w="296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0.067</w:t>
            </w:r>
          </w:p>
        </w:tc>
        <w:tc>
          <w:tcPr>
            <w:tcW w:w="297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COD</w:t>
            </w:r>
          </w:p>
        </w:tc>
        <w:tc>
          <w:tcPr>
            <w:tcW w:w="296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0.82</w:t>
            </w:r>
          </w:p>
        </w:tc>
        <w:tc>
          <w:tcPr>
            <w:tcW w:w="297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氨氮</w:t>
            </w:r>
          </w:p>
        </w:tc>
        <w:tc>
          <w:tcPr>
            <w:tcW w:w="2960"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0.09</w:t>
            </w:r>
          </w:p>
        </w:tc>
        <w:tc>
          <w:tcPr>
            <w:tcW w:w="2972" w:type="dxa"/>
            <w:tcBorders>
              <w:tl2br w:val="nil"/>
              <w:tr2bl w:val="nil"/>
            </w:tcBorders>
            <w:vAlign w:val="center"/>
          </w:tcPr>
          <w:p>
            <w:pPr>
              <w:pStyle w:val="91"/>
              <w:pageBreakBefore w:val="0"/>
              <w:kinsoku/>
              <w:wordWrap/>
              <w:overflowPunct w:val="0"/>
              <w:topLinePunct/>
              <w:autoSpaceDE w:val="0"/>
              <w:autoSpaceDN w:val="0"/>
              <w:bidi w:val="0"/>
              <w:adjustRightInd/>
              <w:snapToGrid/>
              <w:spacing w:after="0" w:line="260" w:lineRule="auto"/>
              <w:ind w:left="0" w:leftChars="0" w:right="0" w:rightChars="0" w:firstLine="0" w:firstLineChars="0"/>
              <w:jc w:val="center"/>
              <w:textAlignment w:val="center"/>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0.1</w:t>
            </w:r>
          </w:p>
        </w:tc>
      </w:tr>
    </w:tbl>
    <w:p>
      <w:pPr>
        <w:keepNext w:val="0"/>
        <w:keepLines w:val="0"/>
        <w:pageBreakBefore w:val="0"/>
        <w:widowControl w:val="0"/>
        <w:kinsoku/>
        <w:wordWrap/>
        <w:overflowPunct w:val="0"/>
        <w:topLinePunct/>
        <w:autoSpaceDE w:val="0"/>
        <w:autoSpaceDN w:val="0"/>
        <w:bidi w:val="0"/>
        <w:adjustRightInd/>
        <w:snapToGrid/>
        <w:spacing w:line="360" w:lineRule="auto"/>
        <w:ind w:left="0" w:right="0" w:firstLine="528" w:firstLineChars="200"/>
        <w:textAlignment w:val="auto"/>
        <w:rPr>
          <w:rFonts w:hint="default" w:ascii="Times New Roman" w:hAnsi="Times New Roman" w:eastAsia="宋体" w:cs="Times New Roman"/>
          <w:color w:val="auto"/>
          <w:sz w:val="24"/>
          <w:szCs w:val="24"/>
          <w:highlight w:val="none"/>
          <w:u w:val="none" w:color="auto"/>
          <w:lang w:val="en-US" w:eastAsia="zh-CN"/>
        </w:rPr>
        <w:sectPr>
          <w:headerReference r:id="rId24" w:type="default"/>
          <w:footerReference r:id="rId2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pacing w:val="12"/>
          <w:sz w:val="24"/>
          <w:szCs w:val="24"/>
          <w:u w:val="none" w:color="auto"/>
        </w:rPr>
        <w:t>由上表可知，本项目需购买的污染物排放总量指标为</w:t>
      </w:r>
      <w:r>
        <w:rPr>
          <w:rFonts w:hint="default" w:ascii="Times New Roman" w:hAnsi="Times New Roman" w:eastAsia="宋体" w:cs="Times New Roman"/>
          <w:color w:val="auto"/>
          <w:sz w:val="24"/>
          <w:szCs w:val="24"/>
          <w:highlight w:val="none"/>
          <w:u w:val="none" w:color="auto"/>
        </w:rPr>
        <w:t>二氧化硫</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0.5t/a、</w:t>
      </w:r>
      <w:r>
        <w:rPr>
          <w:rFonts w:hint="default" w:ascii="Times New Roman" w:hAnsi="Times New Roman" w:eastAsia="宋体" w:cs="Times New Roman"/>
          <w:color w:val="auto"/>
          <w:sz w:val="24"/>
          <w:szCs w:val="24"/>
          <w:highlight w:val="none"/>
          <w:u w:val="none" w:color="auto"/>
        </w:rPr>
        <w:t>氮氧化物</w:t>
      </w:r>
      <w:r>
        <w:rPr>
          <w:rFonts w:hint="eastAsia" w:ascii="Times New Roman" w:hAnsi="Times New Roman" w:eastAsia="宋体" w:cs="Times New Roman"/>
          <w:color w:val="auto"/>
          <w:sz w:val="24"/>
          <w:szCs w:val="24"/>
          <w:highlight w:val="none"/>
          <w:u w:val="none" w:color="auto"/>
          <w:lang w:val="en-US" w:eastAsia="zh-CN"/>
        </w:rPr>
        <w:t>0.1t/a、</w:t>
      </w:r>
      <w:r>
        <w:rPr>
          <w:rFonts w:hint="default" w:ascii="Times New Roman" w:hAnsi="Times New Roman" w:eastAsia="宋体" w:cs="Times New Roman"/>
          <w:color w:val="auto"/>
          <w:sz w:val="24"/>
          <w:szCs w:val="24"/>
          <w:highlight w:val="none"/>
          <w:u w:val="none" w:color="auto"/>
        </w:rPr>
        <w:t>COD</w:t>
      </w:r>
      <w:r>
        <w:rPr>
          <w:rFonts w:hint="eastAsia" w:ascii="Times New Roman" w:hAnsi="Times New Roman" w:eastAsia="宋体" w:cs="Times New Roman"/>
          <w:color w:val="auto"/>
          <w:sz w:val="24"/>
          <w:szCs w:val="24"/>
          <w:highlight w:val="none"/>
          <w:u w:val="none" w:color="auto"/>
          <w:lang w:val="en-US" w:eastAsia="zh-CN"/>
        </w:rPr>
        <w:t>:0.9t/a、</w:t>
      </w:r>
      <w:r>
        <w:rPr>
          <w:rFonts w:hint="default" w:ascii="Times New Roman" w:hAnsi="Times New Roman" w:eastAsia="宋体" w:cs="Times New Roman"/>
          <w:color w:val="auto"/>
          <w:sz w:val="24"/>
          <w:szCs w:val="24"/>
          <w:highlight w:val="none"/>
          <w:u w:val="none" w:color="auto"/>
        </w:rPr>
        <w:t>氨氮</w:t>
      </w:r>
      <w:r>
        <w:rPr>
          <w:rFonts w:hint="eastAsia" w:ascii="Times New Roman" w:hAnsi="Times New Roman" w:eastAsia="宋体" w:cs="Times New Roman"/>
          <w:color w:val="auto"/>
          <w:sz w:val="24"/>
          <w:szCs w:val="24"/>
          <w:highlight w:val="none"/>
          <w:u w:val="none" w:color="auto"/>
          <w:lang w:val="en-US" w:eastAsia="zh-CN"/>
        </w:rPr>
        <w:t>:0.1t/a。.</w:t>
      </w:r>
    </w:p>
    <w:p>
      <w:pPr>
        <w:pageBreakBefore w:val="0"/>
        <w:widowControl/>
        <w:kinsoku/>
        <w:wordWrap/>
        <w:overflowPunct w:val="0"/>
        <w:topLinePunct/>
        <w:autoSpaceDE w:val="0"/>
        <w:autoSpaceDN w:val="0"/>
        <w:bidi w:val="0"/>
        <w:adjustRightInd w:val="0"/>
        <w:snapToGrid w:val="0"/>
        <w:spacing w:before="101" w:line="237" w:lineRule="auto"/>
        <w:ind w:left="3131"/>
        <w:jc w:val="left"/>
        <w:textAlignment w:val="baseline"/>
        <w:outlineLvl w:val="0"/>
        <w:rPr>
          <w:rFonts w:hint="default" w:ascii="Times New Roman" w:hAnsi="Times New Roman" w:eastAsia="宋体" w:cs="Times New Roman"/>
          <w:snapToGrid w:val="0"/>
          <w:color w:val="auto"/>
          <w:kern w:val="0"/>
          <w:sz w:val="31"/>
          <w:szCs w:val="31"/>
          <w:u w:val="none" w:color="auto"/>
        </w:rPr>
      </w:pPr>
      <w:bookmarkStart w:id="326" w:name="_Toc6089"/>
      <w:r>
        <w:rPr>
          <w:rFonts w:hint="default" w:ascii="Times New Roman" w:hAnsi="Times New Roman" w:eastAsia="宋体" w:cs="Times New Roman"/>
          <w:b/>
          <w:bCs/>
          <w:snapToGrid w:val="0"/>
          <w:color w:val="auto"/>
          <w:spacing w:val="-4"/>
          <w:kern w:val="0"/>
          <w:sz w:val="31"/>
          <w:szCs w:val="31"/>
          <w:u w:val="none" w:color="auto"/>
        </w:rPr>
        <w:t>9</w:t>
      </w:r>
      <w:r>
        <w:rPr>
          <w:rFonts w:hint="default" w:ascii="Times New Roman" w:hAnsi="Times New Roman" w:eastAsia="宋体" w:cs="Times New Roman"/>
          <w:snapToGrid w:val="0"/>
          <w:color w:val="auto"/>
          <w:spacing w:val="-2"/>
          <w:kern w:val="0"/>
          <w:sz w:val="31"/>
          <w:szCs w:val="31"/>
          <w:u w:val="none" w:color="auto"/>
          <w14:textOutline w14:w="5793" w14:cap="sq" w14:cmpd="sng">
            <w14:solidFill>
              <w14:srgbClr w14:val="000000"/>
            </w14:solidFill>
            <w14:prstDash w14:val="solid"/>
            <w14:bevel/>
          </w14:textOutline>
        </w:rPr>
        <w:t>、结论与建议</w:t>
      </w:r>
      <w:bookmarkEnd w:id="326"/>
    </w:p>
    <w:p>
      <w:pPr>
        <w:pStyle w:val="6"/>
        <w:bidi w:val="0"/>
        <w:rPr>
          <w:rFonts w:hint="default"/>
          <w:color w:val="auto"/>
        </w:rPr>
      </w:pPr>
      <w:bookmarkStart w:id="327" w:name="_bookmark137"/>
      <w:bookmarkEnd w:id="327"/>
      <w:bookmarkStart w:id="328" w:name="_Toc2627"/>
      <w:r>
        <w:rPr>
          <w:rFonts w:hint="default"/>
          <w:color w:val="auto"/>
        </w:rPr>
        <w:t>9.1项目概况</w:t>
      </w:r>
      <w:bookmarkEnd w:id="328"/>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29" w:name="_bookmark138"/>
      <w:bookmarkEnd w:id="329"/>
      <w:bookmarkStart w:id="330" w:name="_Toc18149"/>
      <w:r>
        <w:rPr>
          <w:rFonts w:hint="default" w:ascii="Times New Roman" w:hAnsi="Times New Roman" w:eastAsia="宋体" w:cs="Times New Roman"/>
          <w:color w:val="auto"/>
          <w:sz w:val="24"/>
          <w:szCs w:val="24"/>
          <w:highlight w:val="none"/>
          <w:u w:val="none" w:color="auto"/>
        </w:rPr>
        <w:t>（1）项目名称：</w:t>
      </w:r>
      <w:r>
        <w:rPr>
          <w:rFonts w:hint="default" w:ascii="Times New Roman" w:hAnsi="Times New Roman" w:eastAsia="宋体" w:cs="Times New Roman"/>
          <w:color w:val="auto"/>
          <w:sz w:val="24"/>
          <w:szCs w:val="24"/>
          <w:highlight w:val="none"/>
          <w:u w:val="none" w:color="auto"/>
          <w:lang w:val="en-US" w:eastAsia="zh-CN"/>
        </w:rPr>
        <w:t>高性能变形镁合金产业链产业化项目</w:t>
      </w:r>
      <w:r>
        <w:rPr>
          <w:rFonts w:hint="default" w:ascii="Times New Roman" w:hAnsi="Times New Roman" w:eastAsia="宋体" w:cs="Times New Roman"/>
          <w:color w:val="auto"/>
          <w:sz w:val="24"/>
          <w:szCs w:val="24"/>
          <w:highlight w:val="none"/>
          <w:u w:val="none" w:color="auto"/>
        </w:rPr>
        <w:t>；</w:t>
      </w:r>
      <w:bookmarkEnd w:id="330"/>
    </w:p>
    <w:p>
      <w:pPr>
        <w:pStyle w:val="58"/>
        <w:keepNext w:val="0"/>
        <w:keepLines w:val="0"/>
        <w:pageBreakBefore w:val="0"/>
        <w:kinsoku/>
        <w:wordWrap/>
        <w:overflowPunct w:val="0"/>
        <w:topLinePunct/>
        <w:autoSpaceDE w:val="0"/>
        <w:autoSpaceDN w:val="0"/>
        <w:bidi w:val="0"/>
        <w:spacing w:after="0" w:line="360" w:lineRule="auto"/>
        <w:ind w:left="0" w:right="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（2）建设单位：</w:t>
      </w:r>
      <w:r>
        <w:rPr>
          <w:rFonts w:hint="default" w:ascii="Times New Roman" w:hAnsi="Times New Roman" w:eastAsia="宋体" w:cs="Times New Roman"/>
          <w:color w:val="auto"/>
          <w:kern w:val="2"/>
          <w:sz w:val="24"/>
          <w:szCs w:val="24"/>
          <w:u w:val="none" w:color="auto"/>
          <w:lang w:val="en-US" w:eastAsia="zh-CN" w:bidi="ar-SA"/>
        </w:rPr>
        <w:t>湖南</w:t>
      </w:r>
      <w:r>
        <w:rPr>
          <w:rFonts w:hint="default" w:ascii="Times New Roman" w:hAnsi="Times New Roman" w:eastAsia="宋体" w:cs="Times New Roman"/>
          <w:color w:val="auto"/>
          <w:sz w:val="24"/>
          <w:szCs w:val="24"/>
          <w:highlight w:val="none"/>
          <w:u w:val="none" w:color="auto"/>
        </w:rPr>
        <w:t>镁宇科技有限公司；</w:t>
      </w:r>
    </w:p>
    <w:p>
      <w:pPr>
        <w:pStyle w:val="58"/>
        <w:keepNext w:val="0"/>
        <w:keepLines w:val="0"/>
        <w:pageBreakBefore w:val="0"/>
        <w:kinsoku/>
        <w:wordWrap/>
        <w:overflowPunct w:val="0"/>
        <w:topLinePunct/>
        <w:autoSpaceDE w:val="0"/>
        <w:autoSpaceDN w:val="0"/>
        <w:bidi w:val="0"/>
        <w:spacing w:after="0" w:line="360" w:lineRule="auto"/>
        <w:ind w:left="0" w:right="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（3）建设性质：新建；</w:t>
      </w:r>
    </w:p>
    <w:p>
      <w:pPr>
        <w:pStyle w:val="58"/>
        <w:keepNext w:val="0"/>
        <w:keepLines w:val="0"/>
        <w:pageBreakBefore w:val="0"/>
        <w:kinsoku/>
        <w:wordWrap/>
        <w:overflowPunct w:val="0"/>
        <w:topLinePunct/>
        <w:autoSpaceDE w:val="0"/>
        <w:autoSpaceDN w:val="0"/>
        <w:bidi w:val="0"/>
        <w:spacing w:after="0" w:line="360" w:lineRule="auto"/>
        <w:ind w:left="0" w:right="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（4）建设地点：岳阳临港高新技术产业开发区创新创业基地内，东至兴城路，西至道陆路，北至兴松路，南至兴岭路。（厂址中心坐标为：东经：113°15'31.27"，北纬：29°30'21.28"），具体地理位置详见附图1。</w:t>
      </w:r>
    </w:p>
    <w:p>
      <w:pPr>
        <w:pStyle w:val="58"/>
        <w:keepNext w:val="0"/>
        <w:keepLines w:val="0"/>
        <w:pageBreakBefore w:val="0"/>
        <w:kinsoku/>
        <w:wordWrap/>
        <w:overflowPunct w:val="0"/>
        <w:topLinePunct/>
        <w:autoSpaceDE w:val="0"/>
        <w:autoSpaceDN w:val="0"/>
        <w:bidi w:val="0"/>
        <w:spacing w:after="0" w:line="360" w:lineRule="auto"/>
        <w:ind w:left="0" w:right="0" w:firstLine="480" w:firstLineChars="200"/>
        <w:outlineLvl w:val="2"/>
        <w:rPr>
          <w:rFonts w:hint="default" w:ascii="Times New Roman" w:hAnsi="Times New Roman" w:eastAsia="宋体" w:cs="Times New Roman"/>
          <w:color w:val="auto"/>
          <w:sz w:val="24"/>
          <w:szCs w:val="24"/>
          <w:highlight w:val="none"/>
          <w:u w:val="none" w:color="auto"/>
        </w:rPr>
      </w:pPr>
      <w:bookmarkStart w:id="331" w:name="_Toc20731"/>
      <w:r>
        <w:rPr>
          <w:rFonts w:hint="default" w:ascii="Times New Roman" w:hAnsi="Times New Roman" w:eastAsia="宋体" w:cs="Times New Roman"/>
          <w:color w:val="auto"/>
          <w:sz w:val="24"/>
          <w:szCs w:val="24"/>
          <w:highlight w:val="none"/>
          <w:u w:val="none" w:color="auto"/>
        </w:rPr>
        <w:t>（5）行业类别：C-</w:t>
      </w:r>
      <w:r>
        <w:rPr>
          <w:rFonts w:hint="default" w:ascii="Times New Roman" w:hAnsi="Times New Roman" w:eastAsia="宋体" w:cs="Times New Roman"/>
          <w:color w:val="auto"/>
          <w:sz w:val="24"/>
          <w:szCs w:val="24"/>
          <w:highlight w:val="none"/>
          <w:u w:val="none" w:color="auto"/>
          <w:lang w:val="en-US" w:eastAsia="zh-CN"/>
        </w:rPr>
        <w:t>3240</w:t>
      </w:r>
      <w:r>
        <w:rPr>
          <w:rFonts w:hint="default" w:ascii="Times New Roman" w:hAnsi="Times New Roman" w:eastAsia="宋体" w:cs="Times New Roman"/>
          <w:color w:val="auto"/>
          <w:sz w:val="24"/>
          <w:szCs w:val="24"/>
          <w:highlight w:val="none"/>
          <w:u w:val="none" w:color="auto"/>
        </w:rPr>
        <w:t>有色金属合金制造；</w:t>
      </w:r>
      <w:bookmarkEnd w:id="331"/>
    </w:p>
    <w:p>
      <w:pPr>
        <w:keepNext w:val="0"/>
        <w:keepLines w:val="0"/>
        <w:pageBreakBefore w:val="0"/>
        <w:widowControl w:val="0"/>
        <w:kinsoku/>
        <w:wordWrap/>
        <w:overflowPunct w:val="0"/>
        <w:topLinePunct/>
        <w:autoSpaceDE w:val="0"/>
        <w:autoSpaceDN w:val="0"/>
        <w:bidi w:val="0"/>
        <w:adjustRightInd/>
        <w:snapToGrid/>
        <w:spacing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（6）项目投资：</w:t>
      </w:r>
      <w:r>
        <w:rPr>
          <w:rFonts w:hint="default" w:ascii="Times New Roman" w:hAnsi="Times New Roman" w:eastAsia="宋体" w:cs="Times New Roman"/>
          <w:color w:val="auto"/>
          <w:spacing w:val="4"/>
          <w:sz w:val="24"/>
          <w:szCs w:val="24"/>
          <w:u w:val="none" w:color="auto"/>
        </w:rPr>
        <w:t>本项目总投资约</w:t>
      </w:r>
      <w:r>
        <w:rPr>
          <w:rFonts w:hint="default" w:ascii="Times New Roman" w:hAnsi="Times New Roman" w:eastAsia="宋体" w:cs="Times New Roman"/>
          <w:color w:val="auto"/>
          <w:sz w:val="24"/>
          <w:szCs w:val="24"/>
          <w:highlight w:val="none"/>
          <w:u w:val="none" w:color="auto"/>
          <w:lang w:val="en-US" w:eastAsia="zh-CN"/>
        </w:rPr>
        <w:t>122677</w:t>
      </w:r>
      <w:r>
        <w:rPr>
          <w:rFonts w:hint="default" w:ascii="Times New Roman" w:hAnsi="Times New Roman" w:eastAsia="宋体" w:cs="Times New Roman"/>
          <w:color w:val="auto"/>
          <w:sz w:val="24"/>
          <w:szCs w:val="24"/>
          <w:highlight w:val="none"/>
          <w:u w:val="none" w:color="auto"/>
        </w:rPr>
        <w:t>万元</w:t>
      </w:r>
      <w:r>
        <w:rPr>
          <w:rFonts w:hint="default" w:ascii="Times New Roman" w:hAnsi="Times New Roman" w:eastAsia="宋体" w:cs="Times New Roman"/>
          <w:color w:val="auto"/>
          <w:spacing w:val="4"/>
          <w:sz w:val="24"/>
          <w:szCs w:val="24"/>
          <w:u w:val="none" w:color="auto"/>
        </w:rPr>
        <w:t>，环保投资</w:t>
      </w:r>
      <w:r>
        <w:rPr>
          <w:rFonts w:hint="eastAsia" w:ascii="Times New Roman" w:hAnsi="Times New Roman" w:eastAsia="宋体" w:cs="Times New Roman"/>
          <w:color w:val="auto"/>
          <w:spacing w:val="4"/>
          <w:sz w:val="24"/>
          <w:szCs w:val="24"/>
          <w:u w:val="none" w:color="auto"/>
          <w:lang w:val="en-US" w:eastAsia="zh-CN"/>
        </w:rPr>
        <w:t>1122</w:t>
      </w:r>
      <w:r>
        <w:rPr>
          <w:rFonts w:hint="default" w:ascii="Times New Roman" w:hAnsi="Times New Roman" w:eastAsia="宋体" w:cs="Times New Roman"/>
          <w:color w:val="auto"/>
          <w:spacing w:val="4"/>
          <w:sz w:val="24"/>
          <w:szCs w:val="24"/>
          <w:u w:val="none" w:color="auto"/>
        </w:rPr>
        <w:t>万元，占项目总投资的比例</w:t>
      </w:r>
      <w:r>
        <w:rPr>
          <w:rFonts w:hint="default" w:ascii="Times New Roman" w:hAnsi="Times New Roman" w:eastAsia="宋体" w:cs="Times New Roman"/>
          <w:color w:val="auto"/>
          <w:spacing w:val="-3"/>
          <w:sz w:val="24"/>
          <w:szCs w:val="24"/>
          <w:u w:val="none" w:color="auto"/>
        </w:rPr>
        <w:t>为</w:t>
      </w:r>
      <w:r>
        <w:rPr>
          <w:rFonts w:hint="eastAsia" w:ascii="Times New Roman" w:hAnsi="Times New Roman" w:eastAsia="宋体" w:cs="Times New Roman"/>
          <w:color w:val="auto"/>
          <w:spacing w:val="-3"/>
          <w:sz w:val="24"/>
          <w:szCs w:val="24"/>
          <w:u w:val="none" w:color="auto"/>
          <w:lang w:val="en-US" w:eastAsia="zh-CN"/>
        </w:rPr>
        <w:t>0.91</w:t>
      </w:r>
      <w:r>
        <w:rPr>
          <w:rFonts w:hint="default" w:ascii="Times New Roman" w:hAnsi="Times New Roman" w:eastAsia="宋体" w:cs="Times New Roman"/>
          <w:color w:val="auto"/>
          <w:spacing w:val="-3"/>
          <w:sz w:val="24"/>
          <w:szCs w:val="24"/>
          <w:u w:val="none" w:color="auto"/>
        </w:rPr>
        <w:t>%</w:t>
      </w:r>
      <w:r>
        <w:rPr>
          <w:rFonts w:hint="eastAsia" w:ascii="Times New Roman" w:hAnsi="Times New Roman" w:eastAsia="宋体" w:cs="Times New Roman"/>
          <w:color w:val="auto"/>
          <w:spacing w:val="-3"/>
          <w:sz w:val="24"/>
          <w:szCs w:val="24"/>
          <w:u w:val="none" w:color="auto"/>
          <w:lang w:eastAsia="zh-CN"/>
        </w:rPr>
        <w:t>；</w:t>
      </w:r>
    </w:p>
    <w:p>
      <w:pPr>
        <w:pStyle w:val="58"/>
        <w:keepNext w:val="0"/>
        <w:keepLines w:val="0"/>
        <w:pageBreakBefore w:val="0"/>
        <w:kinsoku/>
        <w:wordWrap/>
        <w:overflowPunct w:val="0"/>
        <w:topLinePunct/>
        <w:autoSpaceDE w:val="0"/>
        <w:autoSpaceDN w:val="0"/>
        <w:bidi w:val="0"/>
        <w:spacing w:after="0" w:line="360" w:lineRule="auto"/>
        <w:ind w:left="0" w:right="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（7）职工人数：</w:t>
      </w:r>
      <w:r>
        <w:rPr>
          <w:rFonts w:hint="default" w:ascii="Times New Roman" w:hAnsi="Times New Roman" w:eastAsia="宋体" w:cs="Times New Roman"/>
          <w:bCs/>
          <w:color w:val="auto"/>
          <w:sz w:val="24"/>
          <w:szCs w:val="24"/>
          <w:u w:val="none" w:color="auto"/>
        </w:rPr>
        <w:t>项目劳动定员400人，其中生产人员360人、非生产人员40人</w:t>
      </w:r>
      <w:r>
        <w:rPr>
          <w:rFonts w:hint="default" w:ascii="Times New Roman" w:hAnsi="Times New Roman" w:eastAsia="宋体" w:cs="Times New Roman"/>
          <w:color w:val="auto"/>
          <w:sz w:val="24"/>
          <w:szCs w:val="24"/>
          <w:highlight w:val="none"/>
          <w:u w:val="none" w:color="auto"/>
        </w:rPr>
        <w:t>；</w:t>
      </w:r>
    </w:p>
    <w:p>
      <w:pPr>
        <w:pStyle w:val="58"/>
        <w:keepNext w:val="0"/>
        <w:keepLines w:val="0"/>
        <w:pageBreakBefore w:val="0"/>
        <w:kinsoku/>
        <w:wordWrap/>
        <w:overflowPunct w:val="0"/>
        <w:topLinePunct/>
        <w:autoSpaceDE w:val="0"/>
        <w:autoSpaceDN w:val="0"/>
        <w:bidi w:val="0"/>
        <w:spacing w:after="0" w:line="360" w:lineRule="auto"/>
        <w:ind w:left="0" w:right="0" w:firstLine="480" w:firstLineChars="200"/>
        <w:outlineLvl w:val="2"/>
        <w:rPr>
          <w:rFonts w:hint="default" w:ascii="Times New Roman" w:hAnsi="Times New Roman" w:eastAsia="宋体" w:cs="Times New Roman"/>
          <w:color w:val="auto"/>
          <w:sz w:val="24"/>
          <w:szCs w:val="24"/>
          <w:highlight w:val="none"/>
          <w:u w:val="none" w:color="auto"/>
        </w:rPr>
      </w:pPr>
      <w:bookmarkStart w:id="332" w:name="_Toc15926"/>
      <w:r>
        <w:rPr>
          <w:rFonts w:hint="default" w:ascii="Times New Roman" w:hAnsi="Times New Roman" w:eastAsia="宋体" w:cs="Times New Roman"/>
          <w:color w:val="auto"/>
          <w:sz w:val="24"/>
          <w:szCs w:val="24"/>
          <w:highlight w:val="none"/>
          <w:u w:val="none" w:color="auto"/>
        </w:rPr>
        <w:t>（8）工作制度：</w:t>
      </w:r>
      <w:r>
        <w:rPr>
          <w:rFonts w:hint="eastAsia" w:ascii="Times New Roman" w:hAnsi="Times New Roman" w:eastAsia="宋体" w:cs="Times New Roman"/>
          <w:bCs/>
          <w:color w:val="auto"/>
          <w:sz w:val="24"/>
          <w:szCs w:val="24"/>
          <w:u w:val="none" w:color="auto"/>
          <w:lang w:eastAsia="zh-CN"/>
        </w:rPr>
        <w:t>年工作</w:t>
      </w:r>
      <w:r>
        <w:rPr>
          <w:rFonts w:hint="eastAsia" w:ascii="Times New Roman" w:hAnsi="Times New Roman" w:eastAsia="宋体" w:cs="Times New Roman"/>
          <w:bCs/>
          <w:color w:val="auto"/>
          <w:sz w:val="24"/>
          <w:szCs w:val="24"/>
          <w:u w:val="none" w:color="auto"/>
          <w:lang w:val="en-US" w:eastAsia="zh-CN"/>
        </w:rPr>
        <w:t>300</w:t>
      </w:r>
      <w:r>
        <w:rPr>
          <w:rFonts w:hint="default" w:ascii="Times New Roman" w:hAnsi="Times New Roman" w:eastAsia="宋体" w:cs="Times New Roman"/>
          <w:bCs/>
          <w:color w:val="auto"/>
          <w:sz w:val="24"/>
          <w:szCs w:val="24"/>
          <w:u w:val="none" w:color="auto"/>
        </w:rPr>
        <w:t>d，日工作班次为3班</w:t>
      </w:r>
      <w:r>
        <w:rPr>
          <w:rFonts w:hint="default" w:ascii="Times New Roman" w:hAnsi="Times New Roman" w:eastAsia="宋体" w:cs="Times New Roman"/>
          <w:bCs/>
          <w:color w:val="auto"/>
          <w:sz w:val="24"/>
          <w:szCs w:val="24"/>
          <w:u w:val="none" w:color="auto"/>
          <w:lang w:val="en-US" w:eastAsia="zh-CN"/>
        </w:rPr>
        <w:t>8小时制</w:t>
      </w:r>
      <w:r>
        <w:rPr>
          <w:rFonts w:hint="default" w:ascii="Times New Roman" w:hAnsi="Times New Roman" w:eastAsia="宋体" w:cs="Times New Roman"/>
          <w:color w:val="auto"/>
          <w:sz w:val="24"/>
          <w:szCs w:val="24"/>
          <w:highlight w:val="none"/>
          <w:u w:val="none" w:color="auto"/>
        </w:rPr>
        <w:t>；</w:t>
      </w:r>
      <w:bookmarkEnd w:id="332"/>
    </w:p>
    <w:p>
      <w:pPr>
        <w:pStyle w:val="6"/>
        <w:bidi w:val="0"/>
        <w:rPr>
          <w:rFonts w:hint="default"/>
          <w:color w:val="auto"/>
        </w:rPr>
      </w:pPr>
      <w:bookmarkStart w:id="333" w:name="_Toc12737"/>
      <w:r>
        <w:rPr>
          <w:rFonts w:hint="default"/>
          <w:color w:val="auto"/>
        </w:rPr>
        <w:t>9.2环境质量现状评价结论</w:t>
      </w:r>
      <w:bookmarkEnd w:id="333"/>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80" w:firstLineChars="200"/>
        <w:jc w:val="both"/>
        <w:textAlignment w:val="baseline"/>
        <w:outlineLvl w:val="2"/>
        <w:rPr>
          <w:rFonts w:hint="default" w:ascii="Times New Roman" w:hAnsi="Times New Roman" w:eastAsia="宋体" w:cs="Times New Roman"/>
          <w:snapToGrid w:val="0"/>
          <w:color w:val="auto"/>
          <w:kern w:val="0"/>
          <w:sz w:val="24"/>
          <w:szCs w:val="24"/>
          <w:u w:val="none" w:color="auto"/>
        </w:rPr>
      </w:pPr>
      <w:bookmarkStart w:id="334" w:name="_Toc19545"/>
      <w:r>
        <w:rPr>
          <w:rFonts w:hint="default" w:ascii="Times New Roman" w:hAnsi="Times New Roman" w:eastAsia="宋体" w:cs="Times New Roman"/>
          <w:snapToGrid w:val="0"/>
          <w:color w:val="auto"/>
          <w:spacing w:val="25"/>
          <w:kern w:val="0"/>
          <w:sz w:val="24"/>
          <w:szCs w:val="24"/>
          <w:u w:val="none" w:color="auto"/>
        </w:rPr>
        <w:t>(</w:t>
      </w:r>
      <w:r>
        <w:rPr>
          <w:rFonts w:hint="default" w:ascii="Times New Roman" w:hAnsi="Times New Roman" w:eastAsia="宋体" w:cs="Times New Roman"/>
          <w:snapToGrid w:val="0"/>
          <w:color w:val="auto"/>
          <w:spacing w:val="18"/>
          <w:kern w:val="0"/>
          <w:sz w:val="24"/>
          <w:szCs w:val="24"/>
          <w:u w:val="none" w:color="auto"/>
        </w:rPr>
        <w:t>1)地表水环境</w:t>
      </w:r>
      <w:bookmarkEnd w:id="334"/>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52"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eastAsia" w:ascii="Times New Roman" w:hAnsi="Times New Roman" w:eastAsia="宋体" w:cs="Times New Roman"/>
          <w:snapToGrid w:val="0"/>
          <w:color w:val="auto"/>
          <w:spacing w:val="18"/>
          <w:kern w:val="0"/>
          <w:sz w:val="24"/>
          <w:szCs w:val="24"/>
          <w:u w:val="none" w:color="auto"/>
          <w:lang w:eastAsia="zh-CN"/>
        </w:rPr>
        <w:t>项目废水受纳水体长江，</w:t>
      </w:r>
      <w:r>
        <w:rPr>
          <w:rFonts w:hint="eastAsia" w:ascii="Times New Roman" w:hAnsi="Times New Roman" w:eastAsia="宋体" w:cs="Times New Roman"/>
          <w:snapToGrid w:val="0"/>
          <w:color w:val="auto"/>
          <w:spacing w:val="18"/>
          <w:kern w:val="0"/>
          <w:sz w:val="24"/>
          <w:szCs w:val="24"/>
          <w:u w:val="none" w:color="auto"/>
          <w:lang w:val="en-US" w:eastAsia="zh-CN"/>
        </w:rPr>
        <w:t>2022年，长江</w:t>
      </w:r>
      <w:r>
        <w:rPr>
          <w:rFonts w:hint="eastAsia" w:ascii="Times New Roman" w:hAnsi="Times New Roman" w:eastAsia="宋体" w:cs="Times New Roman"/>
          <w:snapToGrid w:val="0"/>
          <w:color w:val="auto"/>
          <w:spacing w:val="18"/>
          <w:kern w:val="0"/>
          <w:sz w:val="24"/>
          <w:szCs w:val="24"/>
          <w:u w:val="none" w:color="auto"/>
          <w:lang w:eastAsia="zh-CN"/>
        </w:rPr>
        <w:t>城陵矶和陆城断面水质均能满足</w:t>
      </w:r>
      <w:r>
        <w:rPr>
          <w:rFonts w:hint="default" w:ascii="Times New Roman" w:hAnsi="Times New Roman" w:eastAsia="宋体" w:cs="Times New Roman"/>
          <w:snapToGrid w:val="0"/>
          <w:color w:val="auto"/>
          <w:spacing w:val="9"/>
          <w:kern w:val="0"/>
          <w:sz w:val="24"/>
          <w:szCs w:val="24"/>
          <w:u w:val="none" w:color="auto"/>
        </w:rPr>
        <w:t>《地表水环境质量标准》</w:t>
      </w:r>
      <w:r>
        <w:rPr>
          <w:rFonts w:hint="default" w:ascii="Times New Roman" w:hAnsi="Times New Roman" w:eastAsia="宋体" w:cs="Times New Roman"/>
          <w:snapToGrid w:val="0"/>
          <w:color w:val="auto"/>
          <w:spacing w:val="21"/>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11"/>
          <w:kern w:val="0"/>
          <w:sz w:val="24"/>
          <w:szCs w:val="24"/>
          <w:u w:val="none" w:color="auto"/>
        </w:rPr>
        <w:t>3838-2002)中的Ⅲ类标准</w:t>
      </w:r>
      <w:r>
        <w:rPr>
          <w:rFonts w:hint="default" w:ascii="Times New Roman" w:hAnsi="Times New Roman" w:eastAsia="宋体" w:cs="Times New Roman"/>
          <w:snapToGrid w:val="0"/>
          <w:color w:val="auto"/>
          <w:spacing w:val="9"/>
          <w:kern w:val="0"/>
          <w:sz w:val="24"/>
          <w:szCs w:val="24"/>
          <w:u w:val="none" w:color="auto"/>
        </w:rPr>
        <w:t>，</w:t>
      </w:r>
      <w:r>
        <w:rPr>
          <w:rFonts w:hint="eastAsia" w:ascii="Times New Roman" w:hAnsi="Times New Roman" w:eastAsia="宋体" w:cs="Times New Roman"/>
          <w:snapToGrid w:val="0"/>
          <w:color w:val="auto"/>
          <w:spacing w:val="9"/>
          <w:kern w:val="0"/>
          <w:sz w:val="24"/>
          <w:szCs w:val="24"/>
          <w:u w:val="none" w:color="auto"/>
          <w:lang w:eastAsia="zh-CN"/>
        </w:rPr>
        <w:t>区域附近水体松杨湖水质不能满足</w:t>
      </w:r>
      <w:r>
        <w:rPr>
          <w:rFonts w:hint="default" w:ascii="Times New Roman" w:hAnsi="Times New Roman" w:eastAsia="宋体" w:cs="Times New Roman"/>
          <w:snapToGrid w:val="0"/>
          <w:color w:val="auto"/>
          <w:spacing w:val="9"/>
          <w:kern w:val="0"/>
          <w:sz w:val="24"/>
          <w:szCs w:val="24"/>
          <w:u w:val="none" w:color="auto"/>
        </w:rPr>
        <w:t>《地表水环境质量标准》</w:t>
      </w:r>
      <w:r>
        <w:rPr>
          <w:rFonts w:hint="default" w:ascii="Times New Roman" w:hAnsi="Times New Roman" w:eastAsia="宋体" w:cs="Times New Roman"/>
          <w:snapToGrid w:val="0"/>
          <w:color w:val="auto"/>
          <w:spacing w:val="21"/>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11"/>
          <w:kern w:val="0"/>
          <w:sz w:val="24"/>
          <w:szCs w:val="24"/>
          <w:u w:val="none" w:color="auto"/>
        </w:rPr>
        <w:t>3838-2002)中的Ⅳ类标准，</w:t>
      </w:r>
      <w:r>
        <w:rPr>
          <w:rFonts w:hint="eastAsia" w:ascii="Times New Roman" w:hAnsi="Times New Roman" w:eastAsia="宋体" w:cs="Times New Roman"/>
          <w:snapToGrid w:val="0"/>
          <w:color w:val="auto"/>
          <w:spacing w:val="9"/>
          <w:kern w:val="0"/>
          <w:sz w:val="24"/>
          <w:szCs w:val="24"/>
          <w:u w:val="none" w:color="auto"/>
          <w:lang w:eastAsia="zh-CN"/>
        </w:rPr>
        <w:t>桑泥湖水质不能满足</w:t>
      </w:r>
      <w:r>
        <w:rPr>
          <w:rFonts w:hint="default" w:ascii="Times New Roman" w:hAnsi="Times New Roman" w:eastAsia="宋体" w:cs="Times New Roman"/>
          <w:snapToGrid w:val="0"/>
          <w:color w:val="auto"/>
          <w:spacing w:val="9"/>
          <w:kern w:val="0"/>
          <w:sz w:val="24"/>
          <w:szCs w:val="24"/>
          <w:u w:val="none" w:color="auto"/>
        </w:rPr>
        <w:t>《地表水环境质量标准》</w:t>
      </w:r>
      <w:r>
        <w:rPr>
          <w:rFonts w:hint="default" w:ascii="Times New Roman" w:hAnsi="Times New Roman" w:eastAsia="宋体" w:cs="Times New Roman"/>
          <w:snapToGrid w:val="0"/>
          <w:color w:val="auto"/>
          <w:spacing w:val="21"/>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11"/>
          <w:kern w:val="0"/>
          <w:sz w:val="24"/>
          <w:szCs w:val="24"/>
          <w:u w:val="none" w:color="auto"/>
        </w:rPr>
        <w:t>3838-2002)中的Ⅲ类标准。</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60" w:firstLineChars="200"/>
        <w:jc w:val="both"/>
        <w:textAlignment w:val="baseline"/>
        <w:outlineLvl w:val="2"/>
        <w:rPr>
          <w:rFonts w:hint="default" w:ascii="Times New Roman" w:hAnsi="Times New Roman" w:eastAsia="宋体" w:cs="Times New Roman"/>
          <w:snapToGrid w:val="0"/>
          <w:color w:val="auto"/>
          <w:kern w:val="0"/>
          <w:sz w:val="24"/>
          <w:szCs w:val="24"/>
          <w:u w:val="none" w:color="auto"/>
        </w:rPr>
      </w:pPr>
      <w:bookmarkStart w:id="335" w:name="_Toc26646"/>
      <w:r>
        <w:rPr>
          <w:rFonts w:hint="default" w:ascii="Times New Roman" w:hAnsi="Times New Roman" w:eastAsia="宋体" w:cs="Times New Roman"/>
          <w:snapToGrid w:val="0"/>
          <w:color w:val="auto"/>
          <w:spacing w:val="20"/>
          <w:kern w:val="0"/>
          <w:sz w:val="24"/>
          <w:szCs w:val="24"/>
          <w:u w:val="none" w:color="auto"/>
        </w:rPr>
        <w:t>(2)大气环</w:t>
      </w:r>
      <w:r>
        <w:rPr>
          <w:rFonts w:hint="default" w:ascii="Times New Roman" w:hAnsi="Times New Roman" w:eastAsia="宋体" w:cs="Times New Roman"/>
          <w:snapToGrid w:val="0"/>
          <w:color w:val="auto"/>
          <w:spacing w:val="19"/>
          <w:kern w:val="0"/>
          <w:sz w:val="24"/>
          <w:szCs w:val="24"/>
          <w:u w:val="none" w:color="auto"/>
        </w:rPr>
        <w:t>境</w:t>
      </w:r>
      <w:bookmarkEnd w:id="335"/>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根据202</w:t>
      </w:r>
      <w:r>
        <w:rPr>
          <w:rFonts w:hint="eastAsia" w:ascii="Times New Roman" w:hAnsi="Times New Roman" w:eastAsia="宋体" w:cs="Times New Roman"/>
          <w:snapToGrid w:val="0"/>
          <w:color w:val="auto"/>
          <w:spacing w:val="8"/>
          <w:kern w:val="0"/>
          <w:sz w:val="24"/>
          <w:szCs w:val="24"/>
          <w:u w:val="none" w:color="auto"/>
          <w:lang w:val="en-US" w:eastAsia="zh-CN"/>
        </w:rPr>
        <w:t>2</w:t>
      </w:r>
      <w:r>
        <w:rPr>
          <w:rFonts w:hint="default" w:ascii="Times New Roman" w:hAnsi="Times New Roman" w:eastAsia="宋体" w:cs="Times New Roman"/>
          <w:snapToGrid w:val="0"/>
          <w:color w:val="auto"/>
          <w:spacing w:val="8"/>
          <w:kern w:val="0"/>
          <w:sz w:val="24"/>
          <w:szCs w:val="24"/>
          <w:u w:val="none" w:color="auto"/>
        </w:rPr>
        <w:t>年</w:t>
      </w:r>
      <w:r>
        <w:rPr>
          <w:rFonts w:hint="eastAsia" w:ascii="Times New Roman" w:hAnsi="Times New Roman" w:eastAsia="宋体" w:cs="Times New Roman"/>
          <w:snapToGrid w:val="0"/>
          <w:color w:val="auto"/>
          <w:spacing w:val="8"/>
          <w:kern w:val="0"/>
          <w:sz w:val="24"/>
          <w:szCs w:val="24"/>
          <w:u w:val="none" w:color="auto"/>
          <w:lang w:eastAsia="zh-CN"/>
        </w:rPr>
        <w:t>岳阳市</w:t>
      </w:r>
      <w:r>
        <w:rPr>
          <w:rFonts w:hint="default" w:ascii="Times New Roman" w:hAnsi="Times New Roman" w:eastAsia="宋体" w:cs="Times New Roman"/>
          <w:snapToGrid w:val="0"/>
          <w:color w:val="auto"/>
          <w:spacing w:val="8"/>
          <w:kern w:val="0"/>
          <w:sz w:val="24"/>
          <w:szCs w:val="24"/>
          <w:u w:val="none" w:color="auto"/>
        </w:rPr>
        <w:t>环境空气监测数据，项目所在区域为环境空气质量达</w:t>
      </w:r>
      <w:r>
        <w:rPr>
          <w:rFonts w:hint="default" w:ascii="Times New Roman" w:hAnsi="Times New Roman" w:eastAsia="宋体" w:cs="Times New Roman"/>
          <w:snapToGrid w:val="0"/>
          <w:color w:val="auto"/>
          <w:spacing w:val="2"/>
          <w:kern w:val="0"/>
          <w:sz w:val="24"/>
          <w:szCs w:val="24"/>
          <w:u w:val="none" w:color="auto"/>
        </w:rPr>
        <w:t>标</w:t>
      </w:r>
      <w:r>
        <w:rPr>
          <w:rFonts w:hint="default" w:ascii="Times New Roman" w:hAnsi="Times New Roman" w:eastAsia="宋体" w:cs="Times New Roman"/>
          <w:snapToGrid w:val="0"/>
          <w:color w:val="auto"/>
          <w:spacing w:val="-10"/>
          <w:kern w:val="0"/>
          <w:sz w:val="24"/>
          <w:szCs w:val="24"/>
          <w:u w:val="none" w:color="auto"/>
        </w:rPr>
        <w:t>区</w:t>
      </w:r>
      <w:r>
        <w:rPr>
          <w:rFonts w:hint="default" w:ascii="Times New Roman" w:hAnsi="Times New Roman" w:eastAsia="宋体" w:cs="Times New Roman"/>
          <w:snapToGrid w:val="0"/>
          <w:color w:val="auto"/>
          <w:spacing w:val="-8"/>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72" w:firstLineChars="200"/>
        <w:jc w:val="both"/>
        <w:textAlignment w:val="baseline"/>
        <w:outlineLvl w:val="2"/>
        <w:rPr>
          <w:rFonts w:hint="default" w:ascii="Times New Roman" w:hAnsi="Times New Roman" w:eastAsia="宋体" w:cs="Times New Roman"/>
          <w:snapToGrid w:val="0"/>
          <w:color w:val="auto"/>
          <w:kern w:val="0"/>
          <w:sz w:val="24"/>
          <w:szCs w:val="24"/>
          <w:u w:val="none" w:color="auto"/>
        </w:rPr>
      </w:pPr>
      <w:bookmarkStart w:id="336" w:name="_Toc12481"/>
      <w:r>
        <w:rPr>
          <w:rFonts w:hint="default" w:ascii="Times New Roman" w:hAnsi="Times New Roman" w:eastAsia="宋体" w:cs="Times New Roman"/>
          <w:snapToGrid w:val="0"/>
          <w:color w:val="auto"/>
          <w:spacing w:val="23"/>
          <w:kern w:val="0"/>
          <w:sz w:val="24"/>
          <w:szCs w:val="24"/>
          <w:u w:val="none" w:color="auto"/>
        </w:rPr>
        <w:t>(</w:t>
      </w:r>
      <w:r>
        <w:rPr>
          <w:rFonts w:hint="default" w:ascii="Times New Roman" w:hAnsi="Times New Roman" w:eastAsia="宋体" w:cs="Times New Roman"/>
          <w:snapToGrid w:val="0"/>
          <w:color w:val="auto"/>
          <w:spacing w:val="21"/>
          <w:kern w:val="0"/>
          <w:sz w:val="24"/>
          <w:szCs w:val="24"/>
          <w:u w:val="none" w:color="auto"/>
        </w:rPr>
        <w:t>3)声环境</w:t>
      </w:r>
      <w:bookmarkEnd w:id="336"/>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12"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8"/>
          <w:kern w:val="0"/>
          <w:sz w:val="24"/>
          <w:szCs w:val="24"/>
          <w:u w:val="none" w:color="auto"/>
        </w:rPr>
        <w:t>评价</w:t>
      </w:r>
      <w:r>
        <w:rPr>
          <w:rFonts w:hint="default" w:ascii="Times New Roman" w:hAnsi="Times New Roman" w:eastAsia="宋体" w:cs="Times New Roman"/>
          <w:snapToGrid w:val="0"/>
          <w:color w:val="auto"/>
          <w:spacing w:val="5"/>
          <w:kern w:val="0"/>
          <w:sz w:val="24"/>
          <w:szCs w:val="24"/>
          <w:u w:val="none" w:color="auto"/>
        </w:rPr>
        <w:t>区</w:t>
      </w:r>
      <w:r>
        <w:rPr>
          <w:rFonts w:hint="default" w:ascii="Times New Roman" w:hAnsi="Times New Roman" w:eastAsia="宋体" w:cs="Times New Roman"/>
          <w:snapToGrid w:val="0"/>
          <w:color w:val="auto"/>
          <w:spacing w:val="4"/>
          <w:kern w:val="0"/>
          <w:sz w:val="24"/>
          <w:szCs w:val="24"/>
          <w:u w:val="none" w:color="auto"/>
        </w:rPr>
        <w:t>厂界昼夜环境噪声质量现状符合《声环境质量标准》(</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4"/>
          <w:kern w:val="0"/>
          <w:sz w:val="24"/>
          <w:szCs w:val="24"/>
          <w:u w:val="none" w:color="auto"/>
        </w:rPr>
        <w:t>3096-2008)</w:t>
      </w:r>
      <w:r>
        <w:rPr>
          <w:rFonts w:hint="default" w:ascii="Times New Roman" w:hAnsi="Times New Roman" w:eastAsia="宋体" w:cs="Times New Roman"/>
          <w:snapToGrid w:val="0"/>
          <w:color w:val="auto"/>
          <w:spacing w:val="16"/>
          <w:kern w:val="0"/>
          <w:sz w:val="24"/>
          <w:szCs w:val="24"/>
          <w:u w:val="none" w:color="auto"/>
        </w:rPr>
        <w:t>3</w:t>
      </w:r>
      <w:r>
        <w:rPr>
          <w:rFonts w:hint="default" w:ascii="Times New Roman" w:hAnsi="Times New Roman" w:eastAsia="宋体" w:cs="Times New Roman"/>
          <w:snapToGrid w:val="0"/>
          <w:color w:val="auto"/>
          <w:spacing w:val="8"/>
          <w:kern w:val="0"/>
          <w:sz w:val="24"/>
          <w:szCs w:val="24"/>
          <w:u w:val="none" w:color="auto"/>
        </w:rPr>
        <w:t>类标准要求，项目所在区域声环境质量较好。</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56" w:firstLineChars="200"/>
        <w:jc w:val="both"/>
        <w:textAlignment w:val="baseline"/>
        <w:outlineLvl w:val="2"/>
        <w:rPr>
          <w:rFonts w:hint="default" w:ascii="Times New Roman" w:hAnsi="Times New Roman" w:eastAsia="宋体" w:cs="Times New Roman"/>
          <w:snapToGrid w:val="0"/>
          <w:color w:val="auto"/>
          <w:kern w:val="0"/>
          <w:sz w:val="24"/>
          <w:szCs w:val="24"/>
          <w:u w:val="none" w:color="auto"/>
        </w:rPr>
      </w:pPr>
      <w:bookmarkStart w:id="337" w:name="_Toc10188"/>
      <w:r>
        <w:rPr>
          <w:rFonts w:hint="default" w:ascii="Times New Roman" w:hAnsi="Times New Roman" w:eastAsia="宋体" w:cs="Times New Roman"/>
          <w:snapToGrid w:val="0"/>
          <w:color w:val="auto"/>
          <w:spacing w:val="19"/>
          <w:kern w:val="0"/>
          <w:sz w:val="24"/>
          <w:szCs w:val="24"/>
          <w:u w:val="none" w:color="auto"/>
        </w:rPr>
        <w:t>(</w:t>
      </w:r>
      <w:r>
        <w:rPr>
          <w:rFonts w:hint="default" w:ascii="Times New Roman" w:hAnsi="Times New Roman" w:eastAsia="宋体" w:cs="Times New Roman"/>
          <w:snapToGrid w:val="0"/>
          <w:color w:val="auto"/>
          <w:spacing w:val="17"/>
          <w:kern w:val="0"/>
          <w:sz w:val="24"/>
          <w:szCs w:val="24"/>
          <w:u w:val="none" w:color="auto"/>
        </w:rPr>
        <w:t>4)地下水环境现状</w:t>
      </w:r>
      <w:bookmarkEnd w:id="337"/>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0"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0"/>
          <w:kern w:val="0"/>
          <w:sz w:val="24"/>
          <w:szCs w:val="24"/>
          <w:u w:val="none" w:color="auto"/>
        </w:rPr>
        <w:t>各监</w:t>
      </w:r>
      <w:r>
        <w:rPr>
          <w:rFonts w:hint="default" w:ascii="Times New Roman" w:hAnsi="Times New Roman" w:eastAsia="宋体" w:cs="Times New Roman"/>
          <w:snapToGrid w:val="0"/>
          <w:color w:val="auto"/>
          <w:spacing w:val="7"/>
          <w:kern w:val="0"/>
          <w:sz w:val="24"/>
          <w:szCs w:val="24"/>
          <w:u w:val="none" w:color="auto"/>
        </w:rPr>
        <w:t>测</w:t>
      </w:r>
      <w:r>
        <w:rPr>
          <w:rFonts w:hint="default" w:ascii="Times New Roman" w:hAnsi="Times New Roman" w:eastAsia="宋体" w:cs="Times New Roman"/>
          <w:snapToGrid w:val="0"/>
          <w:color w:val="auto"/>
          <w:spacing w:val="5"/>
          <w:kern w:val="0"/>
          <w:sz w:val="24"/>
          <w:szCs w:val="24"/>
          <w:u w:val="none" w:color="auto"/>
        </w:rPr>
        <w:t>点监测因子均符合《地下水质量标准》(</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5"/>
          <w:kern w:val="0"/>
          <w:sz w:val="24"/>
          <w:szCs w:val="24"/>
          <w:u w:val="none" w:color="auto"/>
        </w:rPr>
        <w:t>/</w:t>
      </w:r>
      <w:r>
        <w:rPr>
          <w:rFonts w:hint="default" w:ascii="Times New Roman" w:hAnsi="Times New Roman" w:eastAsia="宋体" w:cs="Times New Roman"/>
          <w:snapToGrid w:val="0"/>
          <w:color w:val="auto"/>
          <w:kern w:val="0"/>
          <w:sz w:val="24"/>
          <w:szCs w:val="24"/>
          <w:u w:val="none" w:color="auto"/>
        </w:rPr>
        <w:t>T</w:t>
      </w:r>
      <w:r>
        <w:rPr>
          <w:rFonts w:hint="default" w:ascii="Times New Roman" w:hAnsi="Times New Roman" w:eastAsia="宋体" w:cs="Times New Roman"/>
          <w:snapToGrid w:val="0"/>
          <w:color w:val="auto"/>
          <w:spacing w:val="5"/>
          <w:kern w:val="0"/>
          <w:sz w:val="24"/>
          <w:szCs w:val="24"/>
          <w:u w:val="none" w:color="auto"/>
        </w:rPr>
        <w:t>14848-2017)中的Ⅲ类</w:t>
      </w:r>
      <w:r>
        <w:rPr>
          <w:rFonts w:hint="default" w:ascii="Times New Roman" w:hAnsi="Times New Roman" w:eastAsia="宋体" w:cs="Times New Roman"/>
          <w:snapToGrid w:val="0"/>
          <w:color w:val="auto"/>
          <w:spacing w:val="9"/>
          <w:kern w:val="0"/>
          <w:sz w:val="24"/>
          <w:szCs w:val="24"/>
          <w:u w:val="none" w:color="auto"/>
        </w:rPr>
        <w:t>标准要求，说明评价区域地下水环境较好</w:t>
      </w:r>
      <w:r>
        <w:rPr>
          <w:rFonts w:hint="default" w:ascii="Times New Roman" w:hAnsi="Times New Roman" w:eastAsia="宋体" w:cs="Times New Roman"/>
          <w:snapToGrid w:val="0"/>
          <w:color w:val="auto"/>
          <w:spacing w:val="7"/>
          <w:kern w:val="0"/>
          <w:sz w:val="24"/>
          <w:szCs w:val="24"/>
          <w:u w:val="none" w:color="auto"/>
        </w:rPr>
        <w:t>。</w:t>
      </w:r>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72" w:firstLineChars="200"/>
        <w:jc w:val="both"/>
        <w:textAlignment w:val="baseline"/>
        <w:outlineLvl w:val="2"/>
        <w:rPr>
          <w:rFonts w:hint="default" w:ascii="Times New Roman" w:hAnsi="Times New Roman" w:eastAsia="宋体" w:cs="Times New Roman"/>
          <w:snapToGrid w:val="0"/>
          <w:color w:val="auto"/>
          <w:kern w:val="0"/>
          <w:sz w:val="24"/>
          <w:szCs w:val="24"/>
          <w:u w:val="none" w:color="auto"/>
        </w:rPr>
      </w:pPr>
      <w:bookmarkStart w:id="338" w:name="_Toc8568"/>
      <w:r>
        <w:rPr>
          <w:rFonts w:hint="default" w:ascii="Times New Roman" w:hAnsi="Times New Roman" w:eastAsia="宋体" w:cs="Times New Roman"/>
          <w:snapToGrid w:val="0"/>
          <w:color w:val="auto"/>
          <w:spacing w:val="23"/>
          <w:kern w:val="0"/>
          <w:sz w:val="24"/>
          <w:szCs w:val="24"/>
          <w:u w:val="none" w:color="auto"/>
        </w:rPr>
        <w:t>(</w:t>
      </w:r>
      <w:r>
        <w:rPr>
          <w:rFonts w:hint="default" w:ascii="Times New Roman" w:hAnsi="Times New Roman" w:eastAsia="宋体" w:cs="Times New Roman"/>
          <w:snapToGrid w:val="0"/>
          <w:color w:val="auto"/>
          <w:spacing w:val="16"/>
          <w:kern w:val="0"/>
          <w:sz w:val="24"/>
          <w:szCs w:val="24"/>
          <w:u w:val="none" w:color="auto"/>
        </w:rPr>
        <w:t>5)土壤环境质量现状</w:t>
      </w:r>
      <w:bookmarkEnd w:id="338"/>
    </w:p>
    <w:p>
      <w:pPr>
        <w:keepNext w:val="0"/>
        <w:keepLines w:val="0"/>
        <w:pageBreakBefore w:val="0"/>
        <w:widowControl/>
        <w:kinsoku/>
        <w:wordWrap/>
        <w:overflowPunct w:val="0"/>
        <w:topLinePunct/>
        <w:autoSpaceDE w:val="0"/>
        <w:autoSpaceDN w:val="0"/>
        <w:bidi w:val="0"/>
        <w:adjustRightInd w:val="0"/>
        <w:snapToGrid w:val="0"/>
        <w:spacing w:line="360" w:lineRule="auto"/>
        <w:ind w:left="0" w:right="0" w:firstLine="528" w:firstLineChars="200"/>
        <w:jc w:val="both"/>
        <w:textAlignment w:val="baseline"/>
        <w:rPr>
          <w:rFonts w:hint="default"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snapToGrid w:val="0"/>
          <w:color w:val="auto"/>
          <w:spacing w:val="12"/>
          <w:kern w:val="0"/>
          <w:sz w:val="24"/>
          <w:szCs w:val="24"/>
          <w:u w:val="none" w:color="auto"/>
        </w:rPr>
        <w:t>项目所在</w:t>
      </w:r>
      <w:r>
        <w:rPr>
          <w:rFonts w:hint="default" w:ascii="Times New Roman" w:hAnsi="Times New Roman" w:eastAsia="宋体" w:cs="Times New Roman"/>
          <w:snapToGrid w:val="0"/>
          <w:color w:val="auto"/>
          <w:spacing w:val="7"/>
          <w:kern w:val="0"/>
          <w:sz w:val="24"/>
          <w:szCs w:val="24"/>
          <w:u w:val="none" w:color="auto"/>
        </w:rPr>
        <w:t>地</w:t>
      </w:r>
      <w:r>
        <w:rPr>
          <w:rFonts w:hint="default" w:ascii="Times New Roman" w:hAnsi="Times New Roman" w:eastAsia="宋体" w:cs="Times New Roman"/>
          <w:snapToGrid w:val="0"/>
          <w:color w:val="auto"/>
          <w:spacing w:val="6"/>
          <w:kern w:val="0"/>
          <w:sz w:val="24"/>
          <w:szCs w:val="24"/>
          <w:u w:val="none" w:color="auto"/>
        </w:rPr>
        <w:t>各监测点各监测因子均满足《土壤环境质量建设用地土壤污染风</w:t>
      </w:r>
      <w:r>
        <w:rPr>
          <w:rFonts w:hint="default" w:ascii="Times New Roman" w:hAnsi="Times New Roman" w:eastAsia="宋体" w:cs="Times New Roman"/>
          <w:snapToGrid w:val="0"/>
          <w:color w:val="auto"/>
          <w:spacing w:val="4"/>
          <w:kern w:val="0"/>
          <w:sz w:val="24"/>
          <w:szCs w:val="24"/>
          <w:u w:val="none" w:color="auto"/>
        </w:rPr>
        <w:t>险管控标准(</w:t>
      </w:r>
      <w:r>
        <w:rPr>
          <w:rFonts w:hint="default" w:ascii="Times New Roman" w:hAnsi="Times New Roman" w:eastAsia="宋体" w:cs="Times New Roman"/>
          <w:snapToGrid w:val="0"/>
          <w:color w:val="auto"/>
          <w:spacing w:val="2"/>
          <w:kern w:val="0"/>
          <w:sz w:val="24"/>
          <w:szCs w:val="24"/>
          <w:u w:val="none" w:color="auto"/>
        </w:rPr>
        <w:t>试行)》(</w:t>
      </w:r>
      <w:r>
        <w:rPr>
          <w:rFonts w:hint="default" w:ascii="Times New Roman" w:hAnsi="Times New Roman" w:eastAsia="宋体" w:cs="Times New Roman"/>
          <w:snapToGrid w:val="0"/>
          <w:color w:val="auto"/>
          <w:kern w:val="0"/>
          <w:sz w:val="24"/>
          <w:szCs w:val="24"/>
          <w:u w:val="none" w:color="auto"/>
        </w:rPr>
        <w:t>GB</w:t>
      </w:r>
      <w:r>
        <w:rPr>
          <w:rFonts w:hint="default" w:ascii="Times New Roman" w:hAnsi="Times New Roman" w:eastAsia="宋体" w:cs="Times New Roman"/>
          <w:snapToGrid w:val="0"/>
          <w:color w:val="auto"/>
          <w:spacing w:val="2"/>
          <w:kern w:val="0"/>
          <w:sz w:val="24"/>
          <w:szCs w:val="24"/>
          <w:u w:val="none" w:color="auto"/>
        </w:rPr>
        <w:t>36600-2018)表1中第二类用地筛选值。</w:t>
      </w:r>
    </w:p>
    <w:p>
      <w:pPr>
        <w:pStyle w:val="6"/>
        <w:bidi w:val="0"/>
        <w:rPr>
          <w:rFonts w:hint="default"/>
          <w:color w:val="auto"/>
        </w:rPr>
      </w:pPr>
      <w:bookmarkStart w:id="339" w:name="_bookmark139"/>
      <w:bookmarkEnd w:id="339"/>
      <w:bookmarkStart w:id="340" w:name="_Toc25149"/>
      <w:r>
        <w:rPr>
          <w:rFonts w:hint="default"/>
          <w:color w:val="auto"/>
        </w:rPr>
        <w:t>9.3项目环境可行性</w:t>
      </w:r>
      <w:bookmarkEnd w:id="340"/>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41" w:name="_Toc30722"/>
      <w:r>
        <w:rPr>
          <w:rFonts w:hint="default" w:ascii="Times New Roman" w:hAnsi="Times New Roman" w:eastAsia="宋体" w:cs="Times New Roman"/>
          <w:color w:val="auto"/>
          <w:sz w:val="24"/>
          <w:szCs w:val="24"/>
          <w:highlight w:val="none"/>
          <w:u w:val="none" w:color="auto"/>
        </w:rPr>
        <w:t>1、产业政策符合性</w:t>
      </w:r>
      <w:bookmarkEnd w:id="341"/>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与《产业结构调整指导目录(2019年本)》(2021年修改)相符性</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根据《产业结构调整指导目录》(2019年本)(2021年修改)的相关规定本项目不属于限制类和淘汰类，且本项目符合其中鼓励类两项，并且所用设备均为允许类，因此，项目符合国家最新产业政策。</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(3)项目平面布置合理性结论</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总体布局和功能分区充分考虑了位置、朝向等各个因素，各类污染防治措施布置合理可行，保证了污染物的达标排放及合理处置。总体说来，项目总平面布置基本合理，功能分区明确，人流物流通畅，环保设施齐全，总平面布置基本能够满足企业生产组织的需要及环保的要求。</w:t>
      </w:r>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42" w:name="_Toc18985"/>
      <w:r>
        <w:rPr>
          <w:rFonts w:hint="default" w:ascii="Times New Roman" w:hAnsi="Times New Roman" w:eastAsia="宋体" w:cs="Times New Roman"/>
          <w:color w:val="auto"/>
          <w:sz w:val="24"/>
          <w:szCs w:val="24"/>
          <w:highlight w:val="none"/>
          <w:u w:val="none" w:color="auto"/>
        </w:rPr>
        <w:t>3、环境风险分析可接受性</w:t>
      </w:r>
      <w:bookmarkEnd w:id="342"/>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通过对本项目风险识别，认为项目涉及的天然气以及产品等在使用和贮运过程中均存在的风险影响，经对项目贮运系统和生产系统进行分析，根据类比调查，泄漏事故属低概率的风险事故，综合计算得出本项目环境风险水平可接受。因此，在建设单位制定严格的生产运行管理、加强职工的安全生产教育、提高风险意识，严格落实相关风险防范措施和安全应急措施的前提下，并制度详细的风险应急预案基础上，项目环境风险影响可接受。</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bookmarkStart w:id="343" w:name="_Toc1600"/>
      <w:r>
        <w:rPr>
          <w:rFonts w:hint="default" w:ascii="Times New Roman" w:hAnsi="Times New Roman" w:eastAsia="宋体" w:cs="Times New Roman"/>
          <w:color w:val="auto"/>
          <w:sz w:val="24"/>
          <w:szCs w:val="24"/>
          <w:highlight w:val="none"/>
          <w:u w:val="none" w:color="auto"/>
        </w:rPr>
        <w:t>4、总量控制</w:t>
      </w:r>
      <w:bookmarkEnd w:id="343"/>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根据本工程的污染特点和环保部门的要求，根据国家总量控制有关规定，结合公司生产实际情况，确定本工程总量控制因子为：气污染物建议总量控制因子：SO2、NOx</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VOCs</w:t>
      </w:r>
      <w:r>
        <w:rPr>
          <w:rFonts w:hint="default" w:ascii="Times New Roman" w:hAnsi="Times New Roman" w:eastAsia="宋体" w:cs="Times New Roman"/>
          <w:color w:val="auto"/>
          <w:sz w:val="24"/>
          <w:szCs w:val="24"/>
          <w:highlight w:val="none"/>
          <w:u w:val="none" w:color="auto"/>
        </w:rPr>
        <w:t>；水总量控制因子：COD、氨氮。</w:t>
      </w:r>
    </w:p>
    <w:p>
      <w:pPr>
        <w:pStyle w:val="58"/>
        <w:keepNext w:val="0"/>
        <w:keepLines w:val="0"/>
        <w:pageBreakBefore w:val="0"/>
        <w:widowControl w:val="0"/>
        <w:kinsoku/>
        <w:wordWrap/>
        <w:overflowPunct w:val="0"/>
        <w:topLinePunct/>
        <w:autoSpaceDE w:val="0"/>
        <w:autoSpaceDN w:val="0"/>
        <w:bidi w:val="0"/>
        <w:adjustRightInd/>
        <w:snapToGrid/>
        <w:spacing w:after="0"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bookmarkStart w:id="344" w:name="_Toc13190"/>
      <w:r>
        <w:rPr>
          <w:rFonts w:hint="default" w:ascii="Times New Roman" w:hAnsi="Times New Roman" w:eastAsia="宋体" w:cs="Times New Roman"/>
          <w:color w:val="auto"/>
          <w:sz w:val="24"/>
          <w:szCs w:val="24"/>
          <w:highlight w:val="none"/>
          <w:u w:val="none" w:color="auto"/>
        </w:rPr>
        <w:t>5、公众意见采纳与不采纳情况说明</w:t>
      </w:r>
      <w:bookmarkEnd w:id="344"/>
    </w:p>
    <w:p>
      <w:pPr>
        <w:keepNext w:val="0"/>
        <w:keepLines w:val="0"/>
        <w:pageBreakBefore w:val="0"/>
        <w:widowControl w:val="0"/>
        <w:kinsoku/>
        <w:wordWrap/>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建设单位在委托湖南佳蓝检测技术有限公司承担本项目的环境影响评价工作后7天内，于2023年3月1 日在岳阳城投集团网站以公告形式进行第一次公示；在本项目环境影响报告书基本完成，形成征求意见稿后，于 2023年 5 月 16 日在岳阳城投集团网站以公告形式进行第二次公示， 于 2023 年 5 月 18 日、5月19日分别在岳阳晚报(国内统一刊号：CN 43-0067) 登报公告，并在项目周边张贴公告，并进行现场走访，并拍 照记录。第一次网络公示，征求意见稿网络、报纸、现场公示期间，均未收到群 众和社会各界对本项目的相关意见。</w:t>
      </w:r>
    </w:p>
    <w:p>
      <w:pPr>
        <w:keepNext w:val="0"/>
        <w:keepLines w:val="0"/>
        <w:pageBreakBefore w:val="0"/>
        <w:widowControl w:val="0"/>
        <w:kinsoku/>
        <w:wordWrap/>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虽未收到任何反馈意见，建设单位在项目建设运营过程中仍会严格落实各项 环保措施，确保本项目建设运营过程中废气、废水、噪声达标排放，固体废物妥 善处置，并加强日常监管与维护，避免技术故障及管理不善等问题，杜绝污染事 故的发生，以降低本项目建设运营对周围环境空气、地表水环境、地下水环境、 声环境、生态环境的影响，争取公众持久的支持。公示期间未收到公众反馈意见。</w:t>
      </w:r>
    </w:p>
    <w:p>
      <w:pPr>
        <w:pStyle w:val="6"/>
        <w:bidi w:val="0"/>
        <w:rPr>
          <w:rFonts w:hint="default"/>
          <w:color w:val="auto"/>
        </w:rPr>
      </w:pPr>
      <w:bookmarkStart w:id="345" w:name="_bookmark140"/>
      <w:bookmarkEnd w:id="345"/>
      <w:bookmarkStart w:id="346" w:name="_Toc23429"/>
      <w:r>
        <w:rPr>
          <w:rFonts w:hint="default"/>
          <w:color w:val="auto"/>
        </w:rPr>
        <w:t>9.4环境影响评价结论</w:t>
      </w:r>
      <w:bookmarkEnd w:id="346"/>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47" w:name="_Toc5829"/>
      <w:r>
        <w:rPr>
          <w:rFonts w:hint="default" w:ascii="Times New Roman" w:hAnsi="Times New Roman" w:eastAsia="宋体" w:cs="Times New Roman"/>
          <w:color w:val="auto"/>
          <w:sz w:val="24"/>
          <w:szCs w:val="24"/>
          <w:highlight w:val="none"/>
          <w:u w:val="none" w:color="auto"/>
        </w:rPr>
        <w:t>1、施工期</w:t>
      </w:r>
      <w:bookmarkEnd w:id="347"/>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施工期建设内容主要有：厂房建设、设备安装和调试，主要污染有施工人员生活污水、车辆运输扬尘、施工噪声、建筑垃圾和施工人员生活垃圾等。只要落实洒水抑尘，合理安排施工时间，施工人员生活污水、生活垃圾与员工生活污水、生活垃圾一并处理，施工期对环境影响不大，污防措施可行。</w:t>
      </w:r>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48" w:name="_Toc17212"/>
      <w:r>
        <w:rPr>
          <w:rFonts w:hint="default" w:ascii="Times New Roman" w:hAnsi="Times New Roman" w:eastAsia="宋体" w:cs="Times New Roman"/>
          <w:color w:val="auto"/>
          <w:sz w:val="24"/>
          <w:szCs w:val="24"/>
          <w:highlight w:val="none"/>
          <w:u w:val="none" w:color="auto"/>
        </w:rPr>
        <w:t>2、运营期</w:t>
      </w:r>
      <w:bookmarkEnd w:id="348"/>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(1)大气环境影响结论</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本项目废气处理措施可行，对环境的影响可以承受。</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(2)地表水环境影响结论</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项目冷却排污水经过隔油沉淀后与</w:t>
      </w:r>
      <w:r>
        <w:rPr>
          <w:rFonts w:hint="default" w:ascii="Times New Roman" w:hAnsi="Times New Roman" w:eastAsia="宋体" w:cs="Times New Roman"/>
          <w:color w:val="auto"/>
          <w:sz w:val="24"/>
          <w:szCs w:val="24"/>
          <w:highlight w:val="none"/>
          <w:u w:val="none" w:color="auto"/>
        </w:rPr>
        <w:t>生活污水</w:t>
      </w:r>
      <w:r>
        <w:rPr>
          <w:rFonts w:hint="eastAsia" w:ascii="Times New Roman" w:hAnsi="Times New Roman" w:eastAsia="宋体" w:cs="Times New Roman"/>
          <w:color w:val="auto"/>
          <w:sz w:val="24"/>
          <w:szCs w:val="24"/>
          <w:highlight w:val="none"/>
          <w:u w:val="none" w:color="auto"/>
          <w:lang w:eastAsia="zh-CN"/>
        </w:rPr>
        <w:t>进化粪池处理后</w:t>
      </w:r>
      <w:r>
        <w:rPr>
          <w:rFonts w:hint="default" w:ascii="Times New Roman" w:hAnsi="Times New Roman" w:eastAsia="宋体" w:cs="Times New Roman"/>
          <w:color w:val="auto"/>
          <w:sz w:val="24"/>
          <w:szCs w:val="24"/>
          <w:highlight w:val="none"/>
          <w:u w:val="none" w:color="auto"/>
        </w:rPr>
        <w:t>达到《污水综合排放标准》(GB8978-1996)表4中三级标准和湖南三峡环境临港水质净化厂接管标准的较严值后</w:t>
      </w:r>
      <w:r>
        <w:rPr>
          <w:rFonts w:hint="eastAsia" w:ascii="Times New Roman" w:hAnsi="Times New Roman" w:eastAsia="宋体" w:cs="Times New Roman"/>
          <w:color w:val="auto"/>
          <w:sz w:val="24"/>
          <w:szCs w:val="24"/>
          <w:highlight w:val="none"/>
          <w:u w:val="none" w:color="auto"/>
          <w:lang w:eastAsia="zh-CN"/>
        </w:rPr>
        <w:t>一同</w:t>
      </w:r>
      <w:r>
        <w:rPr>
          <w:rFonts w:hint="default" w:ascii="Times New Roman" w:hAnsi="Times New Roman" w:eastAsia="宋体" w:cs="Times New Roman"/>
          <w:color w:val="auto"/>
          <w:sz w:val="24"/>
          <w:szCs w:val="24"/>
          <w:highlight w:val="none"/>
          <w:u w:val="none" w:color="auto"/>
        </w:rPr>
        <w:t>排入园区污水管网进入湖南三峡环境临港水质净化厂处理，最终排入</w:t>
      </w:r>
      <w:r>
        <w:rPr>
          <w:rFonts w:hint="eastAsia" w:ascii="Times New Roman" w:hAnsi="Times New Roman" w:eastAsia="宋体" w:cs="Times New Roman"/>
          <w:color w:val="auto"/>
          <w:sz w:val="24"/>
          <w:szCs w:val="24"/>
          <w:highlight w:val="none"/>
          <w:u w:val="none" w:color="auto"/>
          <w:lang w:eastAsia="zh-CN"/>
        </w:rPr>
        <w:t>长</w:t>
      </w:r>
      <w:r>
        <w:rPr>
          <w:rFonts w:hint="default" w:ascii="Times New Roman" w:hAnsi="Times New Roman" w:eastAsia="宋体" w:cs="Times New Roman"/>
          <w:color w:val="auto"/>
          <w:sz w:val="24"/>
          <w:szCs w:val="24"/>
          <w:highlight w:val="none"/>
          <w:u w:val="none" w:color="auto"/>
        </w:rPr>
        <w:t>江。</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(3)土壤和地下水环境影响</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已从工艺装置的设计、地面硬化等各方面对本项目所在装置区域进行了较为全面的防渗措施，本项目生产区域、成品暂存区、原料暂存区的地面均采用防渗漏水泥地坪，不会发生废水对地下水渗漏，影响地下水。在规范生产、排污及加强监管等前提下，本项目生产对项目区地下水和土壤影响不大。</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(4)声环境影响</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建成后厂界噪声均符合《声环境质量标准》(GB3096-2008)中的3类标准要求；由于项目本底噪声值较低且敏感目标距离本项目所在地有一定距离，项目建成后主要噪声源对厂界噪声和敏感目标的影响范围和程度均较小。</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(5)固体废物环境影响</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固体废物分类收集，其中生活垃圾由环卫部门及时收集和清运，一般工业废物可以回收利用的，回用于生产，其余分类收集后外售处理，危险废物在厂内危废库内分类暂存后委托有资质的专门单位收集处理。各类固体废物均有成熟可靠的处理措施，企业能够实施有效管理，不会对区域环境产生影响，可做到安全处置。</w:t>
      </w:r>
    </w:p>
    <w:p>
      <w:pPr>
        <w:pStyle w:val="6"/>
        <w:bidi w:val="0"/>
        <w:rPr>
          <w:rFonts w:hint="default"/>
          <w:color w:val="auto"/>
        </w:rPr>
      </w:pPr>
      <w:bookmarkStart w:id="349" w:name="_bookmark141"/>
      <w:bookmarkEnd w:id="349"/>
      <w:bookmarkStart w:id="350" w:name="_Toc31584"/>
      <w:r>
        <w:rPr>
          <w:rFonts w:hint="default"/>
          <w:color w:val="auto"/>
        </w:rPr>
        <w:t>9.5总结论</w:t>
      </w:r>
      <w:bookmarkEnd w:id="350"/>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的建设符合当前国家产业政策，符合土地利用规划，选址可行；工程工艺合理，工程的建设符合有关规定和要求；在落实报告中的环保措施后，企业生产过程中产生的各种污染物均可实现达标排放，该项目具有明显的社会、经济效益。</w:t>
      </w:r>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通过分析，本评价认为，只要建设单位能认真贯彻执行国家和地方的环境保护法规政策，加强企业环境管理，认真落实本评价中提出的各项污染防治对策，则本项目在该址建设，从环保角度来说是可行的。</w:t>
      </w:r>
    </w:p>
    <w:p>
      <w:pPr>
        <w:pStyle w:val="6"/>
        <w:bidi w:val="0"/>
        <w:rPr>
          <w:rFonts w:hint="default"/>
          <w:color w:val="auto"/>
        </w:rPr>
      </w:pPr>
      <w:bookmarkStart w:id="351" w:name="_bookmark142"/>
      <w:bookmarkEnd w:id="351"/>
      <w:bookmarkStart w:id="352" w:name="_Toc20941"/>
      <w:r>
        <w:rPr>
          <w:rFonts w:hint="default"/>
          <w:color w:val="auto"/>
        </w:rPr>
        <w:t>9.6建议</w:t>
      </w:r>
      <w:bookmarkEnd w:id="352"/>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53" w:name="_Toc27559"/>
      <w:r>
        <w:rPr>
          <w:rFonts w:hint="default" w:ascii="Times New Roman" w:hAnsi="Times New Roman" w:eastAsia="宋体" w:cs="Times New Roman"/>
          <w:color w:val="auto"/>
          <w:sz w:val="24"/>
          <w:szCs w:val="24"/>
          <w:highlight w:val="none"/>
          <w:u w:val="none" w:color="auto"/>
        </w:rPr>
        <w:t>(1)确保环保设施投入正常运行，保证污染物长期稳定达标排放。</w:t>
      </w:r>
      <w:bookmarkEnd w:id="353"/>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(2)营运单位一定要重视和加强环境风险管理和防范，切实做好安全生产，杜绝各类风险事故发生；</w:t>
      </w:r>
    </w:p>
    <w:p>
      <w:pPr>
        <w:pStyle w:val="58"/>
        <w:keepNext w:val="0"/>
        <w:keepLines w:val="0"/>
        <w:pageBreakBefore w:val="0"/>
        <w:kinsoku/>
        <w:wordWrap/>
        <w:overflowPunct w:val="0"/>
        <w:topLinePunct/>
        <w:autoSpaceDE w:val="0"/>
        <w:autoSpaceDN w:val="0"/>
        <w:bidi w:val="0"/>
        <w:spacing w:after="0" w:line="360" w:lineRule="auto"/>
        <w:ind w:firstLine="480" w:firstLineChars="200"/>
        <w:outlineLvl w:val="2"/>
        <w:rPr>
          <w:rFonts w:hint="default" w:ascii="Times New Roman" w:hAnsi="Times New Roman" w:eastAsia="宋体" w:cs="Times New Roman"/>
          <w:color w:val="auto"/>
          <w:sz w:val="24"/>
          <w:szCs w:val="24"/>
          <w:highlight w:val="none"/>
          <w:u w:val="none" w:color="auto"/>
        </w:rPr>
      </w:pPr>
      <w:bookmarkStart w:id="354" w:name="_Toc14759"/>
      <w:r>
        <w:rPr>
          <w:rFonts w:hint="default" w:ascii="Times New Roman" w:hAnsi="Times New Roman" w:eastAsia="宋体" w:cs="Times New Roman"/>
          <w:color w:val="auto"/>
          <w:sz w:val="24"/>
          <w:szCs w:val="24"/>
          <w:highlight w:val="none"/>
          <w:u w:val="none" w:color="auto"/>
        </w:rPr>
        <w:t>(3)设立环境管理部门，建立完善的环境管理制度。</w:t>
      </w:r>
      <w:bookmarkEnd w:id="354"/>
    </w:p>
    <w:p>
      <w:pPr>
        <w:pStyle w:val="58"/>
        <w:keepNext w:val="0"/>
        <w:keepLines w:val="0"/>
        <w:pageBreakBefore w:val="0"/>
        <w:kinsoku/>
        <w:wordWrap/>
        <w:overflowPunct w:val="0"/>
        <w:topLinePunct/>
        <w:autoSpaceDE w:val="0"/>
        <w:autoSpaceDN w:val="0"/>
        <w:bidi w:val="0"/>
        <w:spacing w:after="0"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(4)加强企业管理的同时，应注意职工环境保护的宣传教育工作，提高全体员工的环保意识，做到环境保护，人人有责。</w:t>
      </w:r>
    </w:p>
    <w:sectPr>
      <w:headerReference r:id="rId26" w:type="default"/>
      <w:footerReference r:id="rId2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微软雅黑"/>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Microsoft YaHei UI">
    <w:panose1 w:val="020B0503020204020204"/>
    <w:charset w:val="86"/>
    <w:family w:val="swiss"/>
    <w:pitch w:val="default"/>
    <w:sig w:usb0="80000287" w:usb1="28C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Noto Sans CJK JP Medium">
    <w:altName w:val="Arial"/>
    <w:panose1 w:val="00000000000000000000"/>
    <w:charset w:val="00"/>
    <w:family w:val="swiss"/>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10" w:usb3="00000000" w:csb0="00020001" w:csb1="00000000"/>
  </w:font>
  <w:font w:name="Arial Black">
    <w:panose1 w:val="020B0A04020102020204"/>
    <w:charset w:val="00"/>
    <w:family w:val="swiss"/>
    <w:pitch w:val="default"/>
    <w:sig w:usb0="00000287" w:usb1="00000000" w:usb2="00000000" w:usb3="00000000" w:csb0="2000009F" w:csb1="DFD70000"/>
  </w:font>
  <w:font w:name="等线 Light">
    <w:altName w:val="宋体"/>
    <w:panose1 w:val="02010600030101010101"/>
    <w:charset w:val="86"/>
    <w:family w:val="auto"/>
    <w:pitch w:val="default"/>
    <w:sig w:usb0="00000000" w:usb1="00000000" w:usb2="00000016" w:usb3="00000000" w:csb0="0004000F" w:csb1="00000000"/>
  </w:font>
  <w:font w:name="Noto Sans CJK JP Black">
    <w:altName w:val="Arial"/>
    <w:panose1 w:val="00000000000000000000"/>
    <w:charset w:val="00"/>
    <w:family w:val="swiss"/>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大黑体">
    <w:altName w:val="宋体"/>
    <w:panose1 w:val="00000000000000000000"/>
    <w:charset w:val="86"/>
    <w:family w:val="roman"/>
    <w:pitch w:val="default"/>
    <w:sig w:usb0="00000000" w:usb1="00000000" w:usb2="00000000" w:usb3="00000000" w:csb0="00040001" w:csb1="00000000"/>
  </w:font>
  <w:font w:name="Bookman Old Style">
    <w:panose1 w:val="02050604050505020204"/>
    <w:charset w:val="00"/>
    <w:family w:val="roman"/>
    <w:pitch w:val="default"/>
    <w:sig w:usb0="00000287" w:usb1="00000000" w:usb2="00000000" w:usb3="00000000" w:csb0="2000009F" w:csb1="DFD7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194"/>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301"/>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194"/>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94" w:lineRule="auto"/>
      <w:ind w:left="4075"/>
      <w:jc w:val="left"/>
      <w:textAlignment w:val="baseline"/>
      <w:rPr>
        <w:rFonts w:ascii="Times New Roman" w:hAnsi="Times New Roman" w:eastAsia="Times New Roman" w:cs="Times New Roman"/>
        <w:snapToGrid w:val="0"/>
        <w:color w:val="000000"/>
        <w:kern w:val="0"/>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94" w:lineRule="auto"/>
      <w:ind w:left="4181"/>
      <w:jc w:val="left"/>
      <w:textAlignment w:val="baseline"/>
      <w:rPr>
        <w:rFonts w:ascii="Times New Roman" w:hAnsi="Times New Roman" w:eastAsia="Times New Roman" w:cs="Times New Roman"/>
        <w:snapToGrid w:val="0"/>
        <w:color w:val="000000"/>
        <w:kern w:val="0"/>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94" w:lineRule="auto"/>
      <w:ind w:left="4174"/>
      <w:jc w:val="left"/>
      <w:textAlignment w:val="baseline"/>
      <w:rPr>
        <w:rFonts w:ascii="Times New Roman" w:hAnsi="Times New Roman" w:eastAsia="Times New Roman" w:cs="Times New Roman"/>
        <w:snapToGrid w:val="0"/>
        <w:color w:val="000000"/>
        <w:kern w:val="0"/>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412"/>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232"/>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204"/>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703"/>
      <w:rPr>
        <w:rFonts w:hint="eastAsia" w:ascii="宋体" w:hAnsi="宋体" w:cs="宋体" w:eastAsiaTheme="minorEastAsia"/>
        <w:sz w:val="20"/>
        <w:szCs w:val="20"/>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604"/>
      <w:rPr>
        <w:rFonts w:hint="eastAsia" w:ascii="宋体" w:hAnsi="宋体" w:cs="宋体" w:eastAsiaTheme="minorEastAsia"/>
        <w:sz w:val="20"/>
        <w:szCs w:val="20"/>
        <w:lang w:eastAsia="zh-CN"/>
      </w:rPr>
    </w:pPr>
    <w:r>
      <mc:AlternateContent>
        <mc:Choice Requires="wps">
          <w:drawing>
            <wp:anchor distT="0" distB="0" distL="114300" distR="114300" simplePos="0" relativeHeight="251663360" behindDoc="0" locked="0" layoutInCell="0" allowOverlap="1">
              <wp:simplePos x="0" y="0"/>
              <wp:positionH relativeFrom="page">
                <wp:posOffset>1143000</wp:posOffset>
              </wp:positionH>
              <wp:positionV relativeFrom="page">
                <wp:posOffset>713105</wp:posOffset>
              </wp:positionV>
              <wp:extent cx="5274310" cy="6350"/>
              <wp:effectExtent l="0" t="0" r="0" b="0"/>
              <wp:wrapNone/>
              <wp:docPr id="201" name="任意多边形 201"/>
              <wp:cNvGraphicFramePr/>
              <a:graphic xmlns:a="http://schemas.openxmlformats.org/drawingml/2006/main">
                <a:graphicData uri="http://schemas.microsoft.com/office/word/2010/wordprocessingShape">
                  <wps:wsp>
                    <wps:cNvSpPr/>
                    <wps:spPr>
                      <a:xfrm>
                        <a:off x="0" y="0"/>
                        <a:ext cx="5274310"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56.15pt;height:0.5pt;width:415.3pt;mso-position-horizontal-relative:page;mso-position-vertical-relative:page;z-index:251663360;mso-width-relative:page;mso-height-relative:page;" fillcolor="#000000" filled="t" stroked="f" coordsize="8305,10" o:allowincell="f" o:gfxdata="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jhn+dkAAAAMAQAADwAAAAAAAAAB&#10;ACAAAAAiAAAAZHJzL2Rvd25yZXYueG1sUEsBAhQAFAAAAAgAh07iQEL4QtMPAgAAfQQAAA4AAAAA&#10;AAAAAQAgAAAAKAEAAGRycy9lMm9Eb2MueG1sUEsFBgAAAAAGAAYAWQEAAKkFAAAAAA==&#10;" path="m0,0l8305,0,8305,9,0,9,0,0xe">
              <v:fill on="t" focussize="0,0"/>
              <v:stroke on="f"/>
              <v:imagedata o:title=""/>
              <o:lock v:ext="edit" aspectratio="f"/>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711"/>
      <w:rPr>
        <w:rFonts w:hint="eastAsia" w:ascii="宋体" w:hAnsi="宋体" w:cs="宋体" w:eastAsiaTheme="minorEastAsia"/>
        <w:sz w:val="20"/>
        <w:szCs w:val="20"/>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226" w:lineRule="auto"/>
      <w:ind w:left="604"/>
      <w:jc w:val="left"/>
      <w:textAlignment w:val="baseline"/>
      <w:rPr>
        <w:rFonts w:ascii="宋体" w:hAnsi="宋体" w:eastAsia="宋体" w:cs="宋体"/>
        <w:snapToGrid w:val="0"/>
        <w:color w:val="000000"/>
        <w:kern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26" w:lineRule="auto"/>
      <w:ind w:left="604"/>
      <w:rPr>
        <w:rFonts w:ascii="宋体" w:hAnsi="宋体" w:eastAsia="宋体" w:cs="宋体"/>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226" w:lineRule="auto"/>
      <w:ind w:left="604"/>
      <w:jc w:val="left"/>
      <w:textAlignment w:val="baseline"/>
      <w:rPr>
        <w:rFonts w:ascii="宋体" w:hAnsi="宋体" w:eastAsia="宋体" w:cs="宋体"/>
        <w:snapToGrid w:val="0"/>
        <w:color w:val="000000"/>
        <w:kern w:val="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712"/>
      <w:rPr>
        <w:rFonts w:ascii="宋体" w:hAnsi="宋体" w:eastAsia="宋体" w:cs="宋体"/>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858"/>
      <w:rPr>
        <w:rFonts w:ascii="宋体" w:hAnsi="宋体" w:eastAsia="宋体" w:cs="宋体"/>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F9800D"/>
    <w:multiLevelType w:val="singleLevel"/>
    <w:tmpl w:val="C6F9800D"/>
    <w:lvl w:ilvl="0" w:tentative="0">
      <w:start w:val="1"/>
      <w:numFmt w:val="decimal"/>
      <w:suff w:val="nothing"/>
      <w:lvlText w:val="%1）"/>
      <w:lvlJc w:val="left"/>
    </w:lvl>
  </w:abstractNum>
  <w:abstractNum w:abstractNumId="1">
    <w:nsid w:val="F71C4E29"/>
    <w:multiLevelType w:val="singleLevel"/>
    <w:tmpl w:val="F71C4E29"/>
    <w:lvl w:ilvl="0" w:tentative="0">
      <w:start w:val="1"/>
      <w:numFmt w:val="decimal"/>
      <w:suff w:val="nothing"/>
      <w:lvlText w:val="（%1）"/>
      <w:lvlJc w:val="left"/>
    </w:lvl>
  </w:abstractNum>
  <w:abstractNum w:abstractNumId="2">
    <w:nsid w:val="04CD5844"/>
    <w:multiLevelType w:val="multilevel"/>
    <w:tmpl w:val="04CD5844"/>
    <w:lvl w:ilvl="0" w:tentative="0">
      <w:start w:val="1"/>
      <w:numFmt w:val="decimal"/>
      <w:pStyle w:val="103"/>
      <w:lvlText w:val="第%1章"/>
      <w:lvlJc w:val="left"/>
      <w:pPr>
        <w:ind w:left="-56" w:firstLine="0"/>
      </w:pPr>
      <w:rPr>
        <w:rFonts w:hint="default" w:ascii="Times New Roman" w:hAnsi="Times New Roman"/>
      </w:rPr>
    </w:lvl>
    <w:lvl w:ilvl="1" w:tentative="0">
      <w:start w:val="1"/>
      <w:numFmt w:val="decimal"/>
      <w:suff w:val="space"/>
      <w:lvlText w:val="%1.%2"/>
      <w:lvlJc w:val="left"/>
      <w:pPr>
        <w:ind w:left="-56" w:firstLine="0"/>
      </w:pPr>
      <w:rPr>
        <w:rFonts w:hint="eastAsia" w:eastAsia="Times New Roman"/>
      </w:rPr>
    </w:lvl>
    <w:lvl w:ilvl="2" w:tentative="0">
      <w:start w:val="1"/>
      <w:numFmt w:val="decimal"/>
      <w:suff w:val="space"/>
      <w:lvlText w:val="%1.%2.%3"/>
      <w:lvlJc w:val="left"/>
      <w:pPr>
        <w:ind w:left="-56" w:firstLine="0"/>
      </w:pPr>
      <w:rPr>
        <w:rFonts w:hint="eastAsia" w:ascii="Times New Roman" w:hAnsi="Times New Roman" w:eastAsia="Times New Roman"/>
        <w:dstrike w:val="0"/>
        <w:snapToGrid/>
        <w:kern w:val="0"/>
        <w:sz w:val="24"/>
        <w:vertAlign w:val="baseline"/>
      </w:rPr>
    </w:lvl>
    <w:lvl w:ilvl="3" w:tentative="0">
      <w:start w:val="1"/>
      <w:numFmt w:val="decimal"/>
      <w:lvlText w:val="%1.%2.%3.%4"/>
      <w:lvlJc w:val="left"/>
      <w:pPr>
        <w:ind w:left="2135" w:hanging="708"/>
      </w:pPr>
      <w:rPr>
        <w:rFonts w:hint="eastAsia"/>
      </w:rPr>
    </w:lvl>
    <w:lvl w:ilvl="4" w:tentative="0">
      <w:start w:val="1"/>
      <w:numFmt w:val="decimal"/>
      <w:lvlText w:val="%1.%2.%3.%4.%5"/>
      <w:lvlJc w:val="left"/>
      <w:pPr>
        <w:ind w:left="2702" w:hanging="850"/>
      </w:pPr>
      <w:rPr>
        <w:rFonts w:hint="eastAsia"/>
      </w:rPr>
    </w:lvl>
    <w:lvl w:ilvl="5" w:tentative="0">
      <w:start w:val="1"/>
      <w:numFmt w:val="decimal"/>
      <w:lvlText w:val="%1.%2.%3.%4.%5.%6"/>
      <w:lvlJc w:val="left"/>
      <w:pPr>
        <w:ind w:left="3411" w:hanging="1134"/>
      </w:pPr>
      <w:rPr>
        <w:rFonts w:hint="eastAsia"/>
      </w:rPr>
    </w:lvl>
    <w:lvl w:ilvl="6" w:tentative="0">
      <w:start w:val="1"/>
      <w:numFmt w:val="decimal"/>
      <w:lvlText w:val="%1.%2.%3.%4.%5.%6.%7"/>
      <w:lvlJc w:val="left"/>
      <w:pPr>
        <w:ind w:left="3978" w:hanging="1276"/>
      </w:pPr>
      <w:rPr>
        <w:rFonts w:hint="eastAsia"/>
      </w:rPr>
    </w:lvl>
    <w:lvl w:ilvl="7" w:tentative="0">
      <w:start w:val="1"/>
      <w:numFmt w:val="decimal"/>
      <w:lvlText w:val="%1.%2.%3.%4.%5.%6.%7.%8"/>
      <w:lvlJc w:val="left"/>
      <w:pPr>
        <w:ind w:left="4545" w:hanging="1418"/>
      </w:pPr>
      <w:rPr>
        <w:rFonts w:hint="eastAsia"/>
      </w:rPr>
    </w:lvl>
    <w:lvl w:ilvl="8" w:tentative="0">
      <w:start w:val="1"/>
      <w:numFmt w:val="decimal"/>
      <w:lvlText w:val="%1.%2.%3.%4.%5.%6.%7.%8.%9"/>
      <w:lvlJc w:val="left"/>
      <w:pPr>
        <w:ind w:left="5253" w:hanging="1700"/>
      </w:pPr>
      <w:rPr>
        <w:rFonts w:hint="eastAsia"/>
      </w:rPr>
    </w:lvl>
  </w:abstractNum>
  <w:abstractNum w:abstractNumId="3">
    <w:nsid w:val="4DB1EF26"/>
    <w:multiLevelType w:val="singleLevel"/>
    <w:tmpl w:val="4DB1EF26"/>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Y2UwYTk2YTBiNDMxZmIwY2E3MmM5M2E3NzFiNTYifQ=="/>
  </w:docVars>
  <w:rsids>
    <w:rsidRoot w:val="00172A27"/>
    <w:rsid w:val="000029AD"/>
    <w:rsid w:val="00016383"/>
    <w:rsid w:val="000472D7"/>
    <w:rsid w:val="000739E4"/>
    <w:rsid w:val="00073B88"/>
    <w:rsid w:val="00073DDD"/>
    <w:rsid w:val="00077199"/>
    <w:rsid w:val="00086926"/>
    <w:rsid w:val="000873FD"/>
    <w:rsid w:val="00090ADD"/>
    <w:rsid w:val="000957CE"/>
    <w:rsid w:val="0009652F"/>
    <w:rsid w:val="0012530C"/>
    <w:rsid w:val="00126975"/>
    <w:rsid w:val="001456FF"/>
    <w:rsid w:val="00172A27"/>
    <w:rsid w:val="001A47A2"/>
    <w:rsid w:val="001C111F"/>
    <w:rsid w:val="0020071F"/>
    <w:rsid w:val="00205C99"/>
    <w:rsid w:val="002177D1"/>
    <w:rsid w:val="00222C6C"/>
    <w:rsid w:val="00223964"/>
    <w:rsid w:val="002448E8"/>
    <w:rsid w:val="00253B31"/>
    <w:rsid w:val="00260DC3"/>
    <w:rsid w:val="0026438B"/>
    <w:rsid w:val="00270759"/>
    <w:rsid w:val="002776C9"/>
    <w:rsid w:val="00311CB1"/>
    <w:rsid w:val="003247EC"/>
    <w:rsid w:val="00332369"/>
    <w:rsid w:val="00332DCE"/>
    <w:rsid w:val="003370D7"/>
    <w:rsid w:val="00360155"/>
    <w:rsid w:val="00363670"/>
    <w:rsid w:val="00386549"/>
    <w:rsid w:val="003924A3"/>
    <w:rsid w:val="00392663"/>
    <w:rsid w:val="00393516"/>
    <w:rsid w:val="003A1826"/>
    <w:rsid w:val="003A75D2"/>
    <w:rsid w:val="003C1D58"/>
    <w:rsid w:val="00420723"/>
    <w:rsid w:val="00480B32"/>
    <w:rsid w:val="00496191"/>
    <w:rsid w:val="004E2BEA"/>
    <w:rsid w:val="00514543"/>
    <w:rsid w:val="00522A96"/>
    <w:rsid w:val="005329DE"/>
    <w:rsid w:val="00545BE4"/>
    <w:rsid w:val="005560D3"/>
    <w:rsid w:val="00564BF5"/>
    <w:rsid w:val="0058675C"/>
    <w:rsid w:val="005B2283"/>
    <w:rsid w:val="005C0062"/>
    <w:rsid w:val="005C7538"/>
    <w:rsid w:val="005D25DB"/>
    <w:rsid w:val="00610FE6"/>
    <w:rsid w:val="0061696E"/>
    <w:rsid w:val="00622B23"/>
    <w:rsid w:val="006233D6"/>
    <w:rsid w:val="00634D4F"/>
    <w:rsid w:val="00640077"/>
    <w:rsid w:val="00667233"/>
    <w:rsid w:val="006710AC"/>
    <w:rsid w:val="006852FB"/>
    <w:rsid w:val="00685478"/>
    <w:rsid w:val="006869EF"/>
    <w:rsid w:val="00687F9D"/>
    <w:rsid w:val="006960D2"/>
    <w:rsid w:val="006977F7"/>
    <w:rsid w:val="006C4A2D"/>
    <w:rsid w:val="006D59F3"/>
    <w:rsid w:val="007145FC"/>
    <w:rsid w:val="00715C43"/>
    <w:rsid w:val="00731CFD"/>
    <w:rsid w:val="007323A2"/>
    <w:rsid w:val="0073405D"/>
    <w:rsid w:val="00741BDA"/>
    <w:rsid w:val="0075132B"/>
    <w:rsid w:val="00771DCF"/>
    <w:rsid w:val="00793B77"/>
    <w:rsid w:val="00794F63"/>
    <w:rsid w:val="007C02F8"/>
    <w:rsid w:val="007D1AEE"/>
    <w:rsid w:val="007D1BB2"/>
    <w:rsid w:val="007D5F04"/>
    <w:rsid w:val="007E137F"/>
    <w:rsid w:val="00835AA4"/>
    <w:rsid w:val="008413FD"/>
    <w:rsid w:val="00843536"/>
    <w:rsid w:val="008539C4"/>
    <w:rsid w:val="00870E6D"/>
    <w:rsid w:val="0088471A"/>
    <w:rsid w:val="008A4A93"/>
    <w:rsid w:val="008B2E10"/>
    <w:rsid w:val="008B53F4"/>
    <w:rsid w:val="008B78D4"/>
    <w:rsid w:val="008D3178"/>
    <w:rsid w:val="0090532D"/>
    <w:rsid w:val="00910593"/>
    <w:rsid w:val="00923055"/>
    <w:rsid w:val="00923A01"/>
    <w:rsid w:val="00934CB9"/>
    <w:rsid w:val="00952B3B"/>
    <w:rsid w:val="009602AE"/>
    <w:rsid w:val="009844DC"/>
    <w:rsid w:val="00987CFB"/>
    <w:rsid w:val="0099779B"/>
    <w:rsid w:val="00997C1C"/>
    <w:rsid w:val="009B70A7"/>
    <w:rsid w:val="009F23A1"/>
    <w:rsid w:val="00A16599"/>
    <w:rsid w:val="00A22A91"/>
    <w:rsid w:val="00A4740B"/>
    <w:rsid w:val="00A64F13"/>
    <w:rsid w:val="00A867CD"/>
    <w:rsid w:val="00A94F22"/>
    <w:rsid w:val="00AB2813"/>
    <w:rsid w:val="00AC444A"/>
    <w:rsid w:val="00AD1180"/>
    <w:rsid w:val="00B1438C"/>
    <w:rsid w:val="00B35B85"/>
    <w:rsid w:val="00B3738C"/>
    <w:rsid w:val="00BB4149"/>
    <w:rsid w:val="00BB614F"/>
    <w:rsid w:val="00BC5E99"/>
    <w:rsid w:val="00BC6FBA"/>
    <w:rsid w:val="00BF1D43"/>
    <w:rsid w:val="00BF7CBE"/>
    <w:rsid w:val="00C003E4"/>
    <w:rsid w:val="00C028C1"/>
    <w:rsid w:val="00C15343"/>
    <w:rsid w:val="00C276C7"/>
    <w:rsid w:val="00C37A65"/>
    <w:rsid w:val="00C72B45"/>
    <w:rsid w:val="00C82BE9"/>
    <w:rsid w:val="00CB10C7"/>
    <w:rsid w:val="00CC325A"/>
    <w:rsid w:val="00CC3BE6"/>
    <w:rsid w:val="00CF444C"/>
    <w:rsid w:val="00D03309"/>
    <w:rsid w:val="00D177CA"/>
    <w:rsid w:val="00D20C9B"/>
    <w:rsid w:val="00D21F4F"/>
    <w:rsid w:val="00D257D3"/>
    <w:rsid w:val="00D2712A"/>
    <w:rsid w:val="00D275D4"/>
    <w:rsid w:val="00D346C8"/>
    <w:rsid w:val="00D42D2F"/>
    <w:rsid w:val="00D45E18"/>
    <w:rsid w:val="00D4732E"/>
    <w:rsid w:val="00D6746E"/>
    <w:rsid w:val="00D96BA8"/>
    <w:rsid w:val="00DA1555"/>
    <w:rsid w:val="00DC0B34"/>
    <w:rsid w:val="00DC7917"/>
    <w:rsid w:val="00DD77E9"/>
    <w:rsid w:val="00DE1C15"/>
    <w:rsid w:val="00DE4D0D"/>
    <w:rsid w:val="00DE6B2C"/>
    <w:rsid w:val="00E059CC"/>
    <w:rsid w:val="00E609F6"/>
    <w:rsid w:val="00E719C5"/>
    <w:rsid w:val="00E7289D"/>
    <w:rsid w:val="00E72AA5"/>
    <w:rsid w:val="00E73776"/>
    <w:rsid w:val="00EA60F3"/>
    <w:rsid w:val="00EB16B8"/>
    <w:rsid w:val="00EE0654"/>
    <w:rsid w:val="00EF2B89"/>
    <w:rsid w:val="00F00124"/>
    <w:rsid w:val="00F06E85"/>
    <w:rsid w:val="00F11952"/>
    <w:rsid w:val="00F438FC"/>
    <w:rsid w:val="00F4729D"/>
    <w:rsid w:val="00F56460"/>
    <w:rsid w:val="00F56DC9"/>
    <w:rsid w:val="00F64EE9"/>
    <w:rsid w:val="00F677B4"/>
    <w:rsid w:val="00F7181E"/>
    <w:rsid w:val="00F93AB3"/>
    <w:rsid w:val="00F96662"/>
    <w:rsid w:val="00FA67A2"/>
    <w:rsid w:val="00FC3F1A"/>
    <w:rsid w:val="01026EF7"/>
    <w:rsid w:val="010A26FC"/>
    <w:rsid w:val="012B07A3"/>
    <w:rsid w:val="012C07A2"/>
    <w:rsid w:val="012C14C4"/>
    <w:rsid w:val="012E2079"/>
    <w:rsid w:val="01343EC9"/>
    <w:rsid w:val="01501BCA"/>
    <w:rsid w:val="017C3E87"/>
    <w:rsid w:val="018426C7"/>
    <w:rsid w:val="018843C7"/>
    <w:rsid w:val="018F1490"/>
    <w:rsid w:val="01A13758"/>
    <w:rsid w:val="01A80CAE"/>
    <w:rsid w:val="01B629C2"/>
    <w:rsid w:val="01D606C5"/>
    <w:rsid w:val="01E75E0C"/>
    <w:rsid w:val="01F461B0"/>
    <w:rsid w:val="01F60BEC"/>
    <w:rsid w:val="02010BE8"/>
    <w:rsid w:val="02194F94"/>
    <w:rsid w:val="025B2D66"/>
    <w:rsid w:val="02720B87"/>
    <w:rsid w:val="02992B9B"/>
    <w:rsid w:val="02AD13B1"/>
    <w:rsid w:val="02AF504B"/>
    <w:rsid w:val="02C46128"/>
    <w:rsid w:val="02CC1470"/>
    <w:rsid w:val="02E5387C"/>
    <w:rsid w:val="02F959E8"/>
    <w:rsid w:val="030E27C0"/>
    <w:rsid w:val="03105E8A"/>
    <w:rsid w:val="031E6F10"/>
    <w:rsid w:val="0324563A"/>
    <w:rsid w:val="03631249"/>
    <w:rsid w:val="036C512D"/>
    <w:rsid w:val="03A66CA7"/>
    <w:rsid w:val="03AE72A4"/>
    <w:rsid w:val="03BB5D9E"/>
    <w:rsid w:val="03C01440"/>
    <w:rsid w:val="03C316DB"/>
    <w:rsid w:val="03D16E8D"/>
    <w:rsid w:val="03EB6E4F"/>
    <w:rsid w:val="041E20EC"/>
    <w:rsid w:val="042A2EEE"/>
    <w:rsid w:val="043D0BD6"/>
    <w:rsid w:val="04867FB8"/>
    <w:rsid w:val="04B64A55"/>
    <w:rsid w:val="04B95B57"/>
    <w:rsid w:val="04BF78DF"/>
    <w:rsid w:val="04CB6FC7"/>
    <w:rsid w:val="04DB2FD6"/>
    <w:rsid w:val="04F2715D"/>
    <w:rsid w:val="04F32431"/>
    <w:rsid w:val="05026D2C"/>
    <w:rsid w:val="0533780D"/>
    <w:rsid w:val="05813815"/>
    <w:rsid w:val="05973951"/>
    <w:rsid w:val="05F944CB"/>
    <w:rsid w:val="061478DD"/>
    <w:rsid w:val="06293510"/>
    <w:rsid w:val="0647462B"/>
    <w:rsid w:val="06545198"/>
    <w:rsid w:val="066B582C"/>
    <w:rsid w:val="06C4775E"/>
    <w:rsid w:val="070A725B"/>
    <w:rsid w:val="071A3835"/>
    <w:rsid w:val="075F3455"/>
    <w:rsid w:val="07644C94"/>
    <w:rsid w:val="077B25A5"/>
    <w:rsid w:val="078A38E0"/>
    <w:rsid w:val="07EF11DD"/>
    <w:rsid w:val="08122176"/>
    <w:rsid w:val="083D1D47"/>
    <w:rsid w:val="086258CC"/>
    <w:rsid w:val="086342F6"/>
    <w:rsid w:val="087D278B"/>
    <w:rsid w:val="08A20553"/>
    <w:rsid w:val="08A4449A"/>
    <w:rsid w:val="08AC2B74"/>
    <w:rsid w:val="08AF47DE"/>
    <w:rsid w:val="08B566FD"/>
    <w:rsid w:val="08E373A0"/>
    <w:rsid w:val="08F0033F"/>
    <w:rsid w:val="090E3259"/>
    <w:rsid w:val="09104E98"/>
    <w:rsid w:val="09131BAB"/>
    <w:rsid w:val="09484AB4"/>
    <w:rsid w:val="095C6A6C"/>
    <w:rsid w:val="095E64E4"/>
    <w:rsid w:val="09973682"/>
    <w:rsid w:val="09D82F59"/>
    <w:rsid w:val="09F46337"/>
    <w:rsid w:val="0A1947EB"/>
    <w:rsid w:val="0A1D1BD0"/>
    <w:rsid w:val="0A5026F3"/>
    <w:rsid w:val="0A7B164E"/>
    <w:rsid w:val="0A923A2A"/>
    <w:rsid w:val="0AEA595E"/>
    <w:rsid w:val="0AF879B9"/>
    <w:rsid w:val="0B1D121D"/>
    <w:rsid w:val="0B296A31"/>
    <w:rsid w:val="0B2E1C40"/>
    <w:rsid w:val="0B39199E"/>
    <w:rsid w:val="0B4C02C5"/>
    <w:rsid w:val="0B583B97"/>
    <w:rsid w:val="0B7441E5"/>
    <w:rsid w:val="0B965286"/>
    <w:rsid w:val="0B9C537D"/>
    <w:rsid w:val="0BAE51E3"/>
    <w:rsid w:val="0BE93127"/>
    <w:rsid w:val="0C1D14B6"/>
    <w:rsid w:val="0C543069"/>
    <w:rsid w:val="0CB82569"/>
    <w:rsid w:val="0D06574E"/>
    <w:rsid w:val="0D0865FB"/>
    <w:rsid w:val="0D3E0B86"/>
    <w:rsid w:val="0D3E66CA"/>
    <w:rsid w:val="0E155A34"/>
    <w:rsid w:val="0E2578FE"/>
    <w:rsid w:val="0E353C68"/>
    <w:rsid w:val="0E4B1EB5"/>
    <w:rsid w:val="0E4D7C6A"/>
    <w:rsid w:val="0E84585A"/>
    <w:rsid w:val="0E8C6202"/>
    <w:rsid w:val="0EDD542D"/>
    <w:rsid w:val="0F0B1338"/>
    <w:rsid w:val="0F0B19B1"/>
    <w:rsid w:val="0F407BBA"/>
    <w:rsid w:val="0F5709E5"/>
    <w:rsid w:val="0F5F466C"/>
    <w:rsid w:val="0F8C5606"/>
    <w:rsid w:val="0F95278E"/>
    <w:rsid w:val="0F97126F"/>
    <w:rsid w:val="0FCE230A"/>
    <w:rsid w:val="1021578F"/>
    <w:rsid w:val="102F1B71"/>
    <w:rsid w:val="104E2601"/>
    <w:rsid w:val="106C46AD"/>
    <w:rsid w:val="109A0046"/>
    <w:rsid w:val="10EB2C08"/>
    <w:rsid w:val="110B2CCD"/>
    <w:rsid w:val="11182CB9"/>
    <w:rsid w:val="11312EC1"/>
    <w:rsid w:val="113A211D"/>
    <w:rsid w:val="11622E65"/>
    <w:rsid w:val="11806B30"/>
    <w:rsid w:val="11930C86"/>
    <w:rsid w:val="11B16BC8"/>
    <w:rsid w:val="11DF60BC"/>
    <w:rsid w:val="11F64AE3"/>
    <w:rsid w:val="120252A5"/>
    <w:rsid w:val="122912CF"/>
    <w:rsid w:val="125A5320"/>
    <w:rsid w:val="127155D6"/>
    <w:rsid w:val="1282076F"/>
    <w:rsid w:val="12864828"/>
    <w:rsid w:val="12880988"/>
    <w:rsid w:val="12987984"/>
    <w:rsid w:val="12A61A33"/>
    <w:rsid w:val="12A77AF4"/>
    <w:rsid w:val="12AA5183"/>
    <w:rsid w:val="12BE517C"/>
    <w:rsid w:val="12C81C13"/>
    <w:rsid w:val="12F06577"/>
    <w:rsid w:val="136E09EF"/>
    <w:rsid w:val="13740E04"/>
    <w:rsid w:val="138575C9"/>
    <w:rsid w:val="13D3596B"/>
    <w:rsid w:val="13E0465A"/>
    <w:rsid w:val="14201DD8"/>
    <w:rsid w:val="147A34F5"/>
    <w:rsid w:val="14802D01"/>
    <w:rsid w:val="148769F8"/>
    <w:rsid w:val="14A026F0"/>
    <w:rsid w:val="14A04B1E"/>
    <w:rsid w:val="14BF6CD5"/>
    <w:rsid w:val="14D4018B"/>
    <w:rsid w:val="14DA3D7D"/>
    <w:rsid w:val="14DF6C6C"/>
    <w:rsid w:val="150B1BAA"/>
    <w:rsid w:val="150D4683"/>
    <w:rsid w:val="15262597"/>
    <w:rsid w:val="152F2695"/>
    <w:rsid w:val="15437EE0"/>
    <w:rsid w:val="155F1D19"/>
    <w:rsid w:val="15732BB6"/>
    <w:rsid w:val="157E10DD"/>
    <w:rsid w:val="15D23585"/>
    <w:rsid w:val="15D76FE5"/>
    <w:rsid w:val="15DE0DE7"/>
    <w:rsid w:val="15E423BB"/>
    <w:rsid w:val="15E5670A"/>
    <w:rsid w:val="16096376"/>
    <w:rsid w:val="16150547"/>
    <w:rsid w:val="163D4A55"/>
    <w:rsid w:val="164D2FCB"/>
    <w:rsid w:val="167F264F"/>
    <w:rsid w:val="16825B0F"/>
    <w:rsid w:val="16877676"/>
    <w:rsid w:val="169067F0"/>
    <w:rsid w:val="16A66796"/>
    <w:rsid w:val="16C01B7F"/>
    <w:rsid w:val="16DF2652"/>
    <w:rsid w:val="16EA590B"/>
    <w:rsid w:val="170A238F"/>
    <w:rsid w:val="17382F8F"/>
    <w:rsid w:val="176621A0"/>
    <w:rsid w:val="1775210C"/>
    <w:rsid w:val="17754D77"/>
    <w:rsid w:val="178871D4"/>
    <w:rsid w:val="17927FC5"/>
    <w:rsid w:val="17B53F12"/>
    <w:rsid w:val="182A7592"/>
    <w:rsid w:val="18740D43"/>
    <w:rsid w:val="1890760C"/>
    <w:rsid w:val="18947311"/>
    <w:rsid w:val="18A6075F"/>
    <w:rsid w:val="18A82933"/>
    <w:rsid w:val="18BA5CD8"/>
    <w:rsid w:val="18BC2BE8"/>
    <w:rsid w:val="18BC447B"/>
    <w:rsid w:val="18C8656D"/>
    <w:rsid w:val="18E140E1"/>
    <w:rsid w:val="18FA63EE"/>
    <w:rsid w:val="19052BF7"/>
    <w:rsid w:val="192E0E22"/>
    <w:rsid w:val="19413300"/>
    <w:rsid w:val="197032BC"/>
    <w:rsid w:val="198A2F0F"/>
    <w:rsid w:val="19972F6B"/>
    <w:rsid w:val="19993E7D"/>
    <w:rsid w:val="19A4079F"/>
    <w:rsid w:val="19BB55B4"/>
    <w:rsid w:val="19D05FB0"/>
    <w:rsid w:val="19EE3898"/>
    <w:rsid w:val="1A3B0303"/>
    <w:rsid w:val="1A7D7FF9"/>
    <w:rsid w:val="1A875CFA"/>
    <w:rsid w:val="1A9318CA"/>
    <w:rsid w:val="1AB5764B"/>
    <w:rsid w:val="1ACC5FEE"/>
    <w:rsid w:val="1AE71170"/>
    <w:rsid w:val="1AFF2AF6"/>
    <w:rsid w:val="1B0769A5"/>
    <w:rsid w:val="1B3C0408"/>
    <w:rsid w:val="1B5A5081"/>
    <w:rsid w:val="1B7E56B0"/>
    <w:rsid w:val="1B8567C7"/>
    <w:rsid w:val="1BBA7010"/>
    <w:rsid w:val="1BCE29C6"/>
    <w:rsid w:val="1C104B27"/>
    <w:rsid w:val="1C302D02"/>
    <w:rsid w:val="1C514B32"/>
    <w:rsid w:val="1CB33702"/>
    <w:rsid w:val="1CC760C7"/>
    <w:rsid w:val="1CD57B3C"/>
    <w:rsid w:val="1CE00EF4"/>
    <w:rsid w:val="1D183A2A"/>
    <w:rsid w:val="1D227A82"/>
    <w:rsid w:val="1D2E0898"/>
    <w:rsid w:val="1D7A5275"/>
    <w:rsid w:val="1D7F2D8C"/>
    <w:rsid w:val="1D9776FC"/>
    <w:rsid w:val="1DB22302"/>
    <w:rsid w:val="1DD24C73"/>
    <w:rsid w:val="1DED0B7B"/>
    <w:rsid w:val="1E036392"/>
    <w:rsid w:val="1E304CEC"/>
    <w:rsid w:val="1E31549E"/>
    <w:rsid w:val="1EAA2DD3"/>
    <w:rsid w:val="1EB6643B"/>
    <w:rsid w:val="1EFB44B2"/>
    <w:rsid w:val="1F2A3EE6"/>
    <w:rsid w:val="1F3B105A"/>
    <w:rsid w:val="1F59580F"/>
    <w:rsid w:val="1F935360"/>
    <w:rsid w:val="1F9833C7"/>
    <w:rsid w:val="1FC122DB"/>
    <w:rsid w:val="1FD51496"/>
    <w:rsid w:val="1FD83403"/>
    <w:rsid w:val="1FE82FBF"/>
    <w:rsid w:val="20016FDE"/>
    <w:rsid w:val="203B50FF"/>
    <w:rsid w:val="20622D09"/>
    <w:rsid w:val="20AF4F89"/>
    <w:rsid w:val="20BC626A"/>
    <w:rsid w:val="20C02209"/>
    <w:rsid w:val="20D46575"/>
    <w:rsid w:val="20D50B20"/>
    <w:rsid w:val="20F23809"/>
    <w:rsid w:val="20F70D76"/>
    <w:rsid w:val="2104198B"/>
    <w:rsid w:val="2119653A"/>
    <w:rsid w:val="213B0BFB"/>
    <w:rsid w:val="214D749F"/>
    <w:rsid w:val="215406B1"/>
    <w:rsid w:val="215A288F"/>
    <w:rsid w:val="21610D0D"/>
    <w:rsid w:val="216B48A0"/>
    <w:rsid w:val="21987737"/>
    <w:rsid w:val="220902B5"/>
    <w:rsid w:val="22126606"/>
    <w:rsid w:val="22303620"/>
    <w:rsid w:val="22360E37"/>
    <w:rsid w:val="2249056E"/>
    <w:rsid w:val="22573368"/>
    <w:rsid w:val="227E410F"/>
    <w:rsid w:val="22875528"/>
    <w:rsid w:val="22975EA8"/>
    <w:rsid w:val="231A3EA3"/>
    <w:rsid w:val="232A13A9"/>
    <w:rsid w:val="233B39CA"/>
    <w:rsid w:val="23547815"/>
    <w:rsid w:val="2371028A"/>
    <w:rsid w:val="238076FB"/>
    <w:rsid w:val="23900F59"/>
    <w:rsid w:val="239E0F2E"/>
    <w:rsid w:val="239F30DE"/>
    <w:rsid w:val="23A54B46"/>
    <w:rsid w:val="23C3605C"/>
    <w:rsid w:val="23CF7F56"/>
    <w:rsid w:val="23D243BF"/>
    <w:rsid w:val="23F55A38"/>
    <w:rsid w:val="23F97056"/>
    <w:rsid w:val="24014006"/>
    <w:rsid w:val="249443A5"/>
    <w:rsid w:val="24A828CA"/>
    <w:rsid w:val="24C4367F"/>
    <w:rsid w:val="24CA07D5"/>
    <w:rsid w:val="24D71843"/>
    <w:rsid w:val="24E459CF"/>
    <w:rsid w:val="24F548B4"/>
    <w:rsid w:val="25163194"/>
    <w:rsid w:val="25956E7F"/>
    <w:rsid w:val="25DD0E98"/>
    <w:rsid w:val="25E8687F"/>
    <w:rsid w:val="260322ED"/>
    <w:rsid w:val="2627401E"/>
    <w:rsid w:val="26504C7B"/>
    <w:rsid w:val="26701E0C"/>
    <w:rsid w:val="26CE7551"/>
    <w:rsid w:val="26D14735"/>
    <w:rsid w:val="26FA2453"/>
    <w:rsid w:val="27040C21"/>
    <w:rsid w:val="270B3D28"/>
    <w:rsid w:val="27293266"/>
    <w:rsid w:val="274F5867"/>
    <w:rsid w:val="27564EC1"/>
    <w:rsid w:val="27815E26"/>
    <w:rsid w:val="279274CE"/>
    <w:rsid w:val="27AA27AE"/>
    <w:rsid w:val="27B46AB7"/>
    <w:rsid w:val="27B639EC"/>
    <w:rsid w:val="27D85191"/>
    <w:rsid w:val="280D3BFD"/>
    <w:rsid w:val="281D35D4"/>
    <w:rsid w:val="287F2A04"/>
    <w:rsid w:val="288543B5"/>
    <w:rsid w:val="288A285A"/>
    <w:rsid w:val="28904440"/>
    <w:rsid w:val="28A774FA"/>
    <w:rsid w:val="28C06D5B"/>
    <w:rsid w:val="28C74387"/>
    <w:rsid w:val="28DE3229"/>
    <w:rsid w:val="28DF4713"/>
    <w:rsid w:val="28EB21E3"/>
    <w:rsid w:val="28F64EAA"/>
    <w:rsid w:val="29077D29"/>
    <w:rsid w:val="2942250E"/>
    <w:rsid w:val="295016E1"/>
    <w:rsid w:val="29B75D61"/>
    <w:rsid w:val="29BA664A"/>
    <w:rsid w:val="29BF22FB"/>
    <w:rsid w:val="29DF6721"/>
    <w:rsid w:val="2A1D59F5"/>
    <w:rsid w:val="2A2D38BE"/>
    <w:rsid w:val="2A3E7517"/>
    <w:rsid w:val="2A550A57"/>
    <w:rsid w:val="2A6863DB"/>
    <w:rsid w:val="2A7702D8"/>
    <w:rsid w:val="2A837564"/>
    <w:rsid w:val="2AA32F82"/>
    <w:rsid w:val="2AA86194"/>
    <w:rsid w:val="2AC40252"/>
    <w:rsid w:val="2ACE4595"/>
    <w:rsid w:val="2AE0207D"/>
    <w:rsid w:val="2AE409E3"/>
    <w:rsid w:val="2B105B14"/>
    <w:rsid w:val="2B1D72A9"/>
    <w:rsid w:val="2B2F0F16"/>
    <w:rsid w:val="2BD0748C"/>
    <w:rsid w:val="2BEF6A93"/>
    <w:rsid w:val="2C2D6375"/>
    <w:rsid w:val="2C3F2C8B"/>
    <w:rsid w:val="2C59333C"/>
    <w:rsid w:val="2C6025C7"/>
    <w:rsid w:val="2C6619A2"/>
    <w:rsid w:val="2C6803E8"/>
    <w:rsid w:val="2C69354A"/>
    <w:rsid w:val="2CB83485"/>
    <w:rsid w:val="2CD377A9"/>
    <w:rsid w:val="2CDC2730"/>
    <w:rsid w:val="2CDE5F3A"/>
    <w:rsid w:val="2D06599D"/>
    <w:rsid w:val="2D237B12"/>
    <w:rsid w:val="2D555FF7"/>
    <w:rsid w:val="2D59719E"/>
    <w:rsid w:val="2D793D14"/>
    <w:rsid w:val="2D8845CE"/>
    <w:rsid w:val="2D8B22EC"/>
    <w:rsid w:val="2D9C45B1"/>
    <w:rsid w:val="2DAE789F"/>
    <w:rsid w:val="2DDE00C5"/>
    <w:rsid w:val="2DF23ACB"/>
    <w:rsid w:val="2E0F4AE4"/>
    <w:rsid w:val="2E124879"/>
    <w:rsid w:val="2E185CD2"/>
    <w:rsid w:val="2E417E4F"/>
    <w:rsid w:val="2E7B2B38"/>
    <w:rsid w:val="2EED6DA8"/>
    <w:rsid w:val="2EEF1DAD"/>
    <w:rsid w:val="2F091A5C"/>
    <w:rsid w:val="2F0A1031"/>
    <w:rsid w:val="2F6968DC"/>
    <w:rsid w:val="2FA32252"/>
    <w:rsid w:val="2FA81CB2"/>
    <w:rsid w:val="2FAD7B51"/>
    <w:rsid w:val="2FB825C5"/>
    <w:rsid w:val="30506FCB"/>
    <w:rsid w:val="305E1770"/>
    <w:rsid w:val="306D2551"/>
    <w:rsid w:val="3078476D"/>
    <w:rsid w:val="30CA2898"/>
    <w:rsid w:val="30F057BD"/>
    <w:rsid w:val="31423281"/>
    <w:rsid w:val="315512CA"/>
    <w:rsid w:val="315A79A0"/>
    <w:rsid w:val="316225AF"/>
    <w:rsid w:val="31675BE2"/>
    <w:rsid w:val="31685D1D"/>
    <w:rsid w:val="316F062B"/>
    <w:rsid w:val="31A07D60"/>
    <w:rsid w:val="31A61C33"/>
    <w:rsid w:val="31A801C4"/>
    <w:rsid w:val="31A87972"/>
    <w:rsid w:val="31AD53AB"/>
    <w:rsid w:val="31B20DBB"/>
    <w:rsid w:val="31B7500F"/>
    <w:rsid w:val="31C41690"/>
    <w:rsid w:val="31E7799D"/>
    <w:rsid w:val="31F75DB5"/>
    <w:rsid w:val="3203193D"/>
    <w:rsid w:val="320C41BF"/>
    <w:rsid w:val="32196617"/>
    <w:rsid w:val="32296B8D"/>
    <w:rsid w:val="322E5F42"/>
    <w:rsid w:val="32354618"/>
    <w:rsid w:val="32685E86"/>
    <w:rsid w:val="32B4733E"/>
    <w:rsid w:val="32C17E8E"/>
    <w:rsid w:val="32C41B02"/>
    <w:rsid w:val="32CB624E"/>
    <w:rsid w:val="333C5D0B"/>
    <w:rsid w:val="337510D9"/>
    <w:rsid w:val="33824494"/>
    <w:rsid w:val="33836597"/>
    <w:rsid w:val="33936143"/>
    <w:rsid w:val="33997124"/>
    <w:rsid w:val="33EA6888"/>
    <w:rsid w:val="3402576B"/>
    <w:rsid w:val="34220118"/>
    <w:rsid w:val="342C7DF3"/>
    <w:rsid w:val="343E248B"/>
    <w:rsid w:val="34454EAA"/>
    <w:rsid w:val="34841EDD"/>
    <w:rsid w:val="34CC50C6"/>
    <w:rsid w:val="34DE77E3"/>
    <w:rsid w:val="34FB369C"/>
    <w:rsid w:val="350F5D08"/>
    <w:rsid w:val="351D6428"/>
    <w:rsid w:val="35365E1D"/>
    <w:rsid w:val="355A3890"/>
    <w:rsid w:val="355B4F88"/>
    <w:rsid w:val="35874440"/>
    <w:rsid w:val="35966981"/>
    <w:rsid w:val="35A41248"/>
    <w:rsid w:val="35C75D54"/>
    <w:rsid w:val="35E6692B"/>
    <w:rsid w:val="35E84325"/>
    <w:rsid w:val="35ED2287"/>
    <w:rsid w:val="361C76BB"/>
    <w:rsid w:val="361C7EB5"/>
    <w:rsid w:val="362B1416"/>
    <w:rsid w:val="36365FB5"/>
    <w:rsid w:val="36486FD8"/>
    <w:rsid w:val="364A5352"/>
    <w:rsid w:val="3670655F"/>
    <w:rsid w:val="369806C5"/>
    <w:rsid w:val="36AA3FA6"/>
    <w:rsid w:val="36AA4C0A"/>
    <w:rsid w:val="36D8767E"/>
    <w:rsid w:val="36DC1542"/>
    <w:rsid w:val="36EF58FF"/>
    <w:rsid w:val="36F812C1"/>
    <w:rsid w:val="3710177A"/>
    <w:rsid w:val="37192562"/>
    <w:rsid w:val="372E0C52"/>
    <w:rsid w:val="37767AD5"/>
    <w:rsid w:val="377D67C1"/>
    <w:rsid w:val="378C7842"/>
    <w:rsid w:val="37B71B38"/>
    <w:rsid w:val="37EA3110"/>
    <w:rsid w:val="38200AA6"/>
    <w:rsid w:val="386A48D8"/>
    <w:rsid w:val="386C1302"/>
    <w:rsid w:val="386C6C94"/>
    <w:rsid w:val="389D7BD7"/>
    <w:rsid w:val="38C249AD"/>
    <w:rsid w:val="38C7601E"/>
    <w:rsid w:val="38CF5F38"/>
    <w:rsid w:val="38E20E00"/>
    <w:rsid w:val="39180983"/>
    <w:rsid w:val="39281F16"/>
    <w:rsid w:val="39492910"/>
    <w:rsid w:val="396B4B3F"/>
    <w:rsid w:val="39AA5712"/>
    <w:rsid w:val="39B93D1C"/>
    <w:rsid w:val="39F50FCD"/>
    <w:rsid w:val="39F56C01"/>
    <w:rsid w:val="3A336188"/>
    <w:rsid w:val="3A742245"/>
    <w:rsid w:val="3A996D06"/>
    <w:rsid w:val="3AA033C6"/>
    <w:rsid w:val="3ACC75DA"/>
    <w:rsid w:val="3ACF32CF"/>
    <w:rsid w:val="3AD1165C"/>
    <w:rsid w:val="3ADB523E"/>
    <w:rsid w:val="3AE875A9"/>
    <w:rsid w:val="3AF936CC"/>
    <w:rsid w:val="3B0F57BC"/>
    <w:rsid w:val="3B1100BF"/>
    <w:rsid w:val="3B186FBA"/>
    <w:rsid w:val="3B447E3E"/>
    <w:rsid w:val="3B672FE6"/>
    <w:rsid w:val="3B7C4268"/>
    <w:rsid w:val="3B972887"/>
    <w:rsid w:val="3BA11C4E"/>
    <w:rsid w:val="3BA126C5"/>
    <w:rsid w:val="3BB75440"/>
    <w:rsid w:val="3BCA4602"/>
    <w:rsid w:val="3BCD4018"/>
    <w:rsid w:val="3BDC7669"/>
    <w:rsid w:val="3BF06978"/>
    <w:rsid w:val="3C2E5B7A"/>
    <w:rsid w:val="3C38461F"/>
    <w:rsid w:val="3C753C8A"/>
    <w:rsid w:val="3C9902B5"/>
    <w:rsid w:val="3CD17C85"/>
    <w:rsid w:val="3CD4125D"/>
    <w:rsid w:val="3CDD0C87"/>
    <w:rsid w:val="3CDF5061"/>
    <w:rsid w:val="3CE2439E"/>
    <w:rsid w:val="3D1054AA"/>
    <w:rsid w:val="3D301D0D"/>
    <w:rsid w:val="3D3F6A59"/>
    <w:rsid w:val="3D4329A9"/>
    <w:rsid w:val="3D5A410A"/>
    <w:rsid w:val="3D7F5E0E"/>
    <w:rsid w:val="3D8E29EA"/>
    <w:rsid w:val="3D92320A"/>
    <w:rsid w:val="3DA415A5"/>
    <w:rsid w:val="3E0C7CD2"/>
    <w:rsid w:val="3E1F24E6"/>
    <w:rsid w:val="3E424244"/>
    <w:rsid w:val="3E6B40B9"/>
    <w:rsid w:val="3E876642"/>
    <w:rsid w:val="3E927663"/>
    <w:rsid w:val="3F1841A5"/>
    <w:rsid w:val="3F1B0894"/>
    <w:rsid w:val="3F602DB0"/>
    <w:rsid w:val="3F6921BC"/>
    <w:rsid w:val="3F711581"/>
    <w:rsid w:val="3F7313F8"/>
    <w:rsid w:val="3F842046"/>
    <w:rsid w:val="3F866AF4"/>
    <w:rsid w:val="3FA821D3"/>
    <w:rsid w:val="3FD40B5B"/>
    <w:rsid w:val="400E188A"/>
    <w:rsid w:val="4021256A"/>
    <w:rsid w:val="40231308"/>
    <w:rsid w:val="403B59CB"/>
    <w:rsid w:val="406A604D"/>
    <w:rsid w:val="408B3EE3"/>
    <w:rsid w:val="40E22C4E"/>
    <w:rsid w:val="410559AC"/>
    <w:rsid w:val="41160F6D"/>
    <w:rsid w:val="413728B1"/>
    <w:rsid w:val="413B73FB"/>
    <w:rsid w:val="413C2F89"/>
    <w:rsid w:val="419A1A64"/>
    <w:rsid w:val="41E44510"/>
    <w:rsid w:val="42343DFB"/>
    <w:rsid w:val="42423587"/>
    <w:rsid w:val="42562958"/>
    <w:rsid w:val="428B7559"/>
    <w:rsid w:val="42935005"/>
    <w:rsid w:val="42DB70C6"/>
    <w:rsid w:val="430D5F84"/>
    <w:rsid w:val="434C547A"/>
    <w:rsid w:val="43643C01"/>
    <w:rsid w:val="438511B9"/>
    <w:rsid w:val="438E3665"/>
    <w:rsid w:val="43AE037A"/>
    <w:rsid w:val="43BC105A"/>
    <w:rsid w:val="43D12A07"/>
    <w:rsid w:val="43E52E6B"/>
    <w:rsid w:val="43E918BE"/>
    <w:rsid w:val="44175D1E"/>
    <w:rsid w:val="44301AAB"/>
    <w:rsid w:val="44355EEF"/>
    <w:rsid w:val="444364BA"/>
    <w:rsid w:val="445C6480"/>
    <w:rsid w:val="448165DB"/>
    <w:rsid w:val="449A58CF"/>
    <w:rsid w:val="44BC2676"/>
    <w:rsid w:val="44CB529E"/>
    <w:rsid w:val="44D23A7B"/>
    <w:rsid w:val="44EB4375"/>
    <w:rsid w:val="44EC24D3"/>
    <w:rsid w:val="44FA3B74"/>
    <w:rsid w:val="44FE0D95"/>
    <w:rsid w:val="454044FF"/>
    <w:rsid w:val="45425F57"/>
    <w:rsid w:val="456C1285"/>
    <w:rsid w:val="456C27E2"/>
    <w:rsid w:val="45704DCD"/>
    <w:rsid w:val="459F36DC"/>
    <w:rsid w:val="45DB4132"/>
    <w:rsid w:val="45FF2520"/>
    <w:rsid w:val="46204B87"/>
    <w:rsid w:val="46390666"/>
    <w:rsid w:val="464D25DB"/>
    <w:rsid w:val="46BA3633"/>
    <w:rsid w:val="46C67423"/>
    <w:rsid w:val="46DC35FC"/>
    <w:rsid w:val="471A114E"/>
    <w:rsid w:val="47283B5E"/>
    <w:rsid w:val="47980129"/>
    <w:rsid w:val="47981484"/>
    <w:rsid w:val="47C8548A"/>
    <w:rsid w:val="47CA579A"/>
    <w:rsid w:val="47CC3299"/>
    <w:rsid w:val="47F756E8"/>
    <w:rsid w:val="47FD482E"/>
    <w:rsid w:val="48136A58"/>
    <w:rsid w:val="48646658"/>
    <w:rsid w:val="48756884"/>
    <w:rsid w:val="488D4D75"/>
    <w:rsid w:val="48926AD8"/>
    <w:rsid w:val="48A029C0"/>
    <w:rsid w:val="48AC5A86"/>
    <w:rsid w:val="48C200B9"/>
    <w:rsid w:val="48D377ED"/>
    <w:rsid w:val="48D663A5"/>
    <w:rsid w:val="48E16798"/>
    <w:rsid w:val="48E70AD1"/>
    <w:rsid w:val="49073F6A"/>
    <w:rsid w:val="491A1A67"/>
    <w:rsid w:val="4934311A"/>
    <w:rsid w:val="49427795"/>
    <w:rsid w:val="49494DF5"/>
    <w:rsid w:val="49500DFF"/>
    <w:rsid w:val="495817A4"/>
    <w:rsid w:val="4995005F"/>
    <w:rsid w:val="49F4646D"/>
    <w:rsid w:val="49FC64E9"/>
    <w:rsid w:val="4A1E4574"/>
    <w:rsid w:val="4A2D0FFD"/>
    <w:rsid w:val="4A493E0D"/>
    <w:rsid w:val="4A506766"/>
    <w:rsid w:val="4AD944A2"/>
    <w:rsid w:val="4B021DA8"/>
    <w:rsid w:val="4B120666"/>
    <w:rsid w:val="4B1B2E8B"/>
    <w:rsid w:val="4B7C2392"/>
    <w:rsid w:val="4B944988"/>
    <w:rsid w:val="4B9D2850"/>
    <w:rsid w:val="4BA3547B"/>
    <w:rsid w:val="4BC51B36"/>
    <w:rsid w:val="4BE956C5"/>
    <w:rsid w:val="4BEE5FF7"/>
    <w:rsid w:val="4C0E1F7B"/>
    <w:rsid w:val="4C0F2477"/>
    <w:rsid w:val="4C182EE3"/>
    <w:rsid w:val="4C544813"/>
    <w:rsid w:val="4C5A57FC"/>
    <w:rsid w:val="4C617616"/>
    <w:rsid w:val="4CC81284"/>
    <w:rsid w:val="4CFE17B6"/>
    <w:rsid w:val="4D0651E4"/>
    <w:rsid w:val="4D093362"/>
    <w:rsid w:val="4D5E00D3"/>
    <w:rsid w:val="4D732071"/>
    <w:rsid w:val="4DA432A4"/>
    <w:rsid w:val="4DC72685"/>
    <w:rsid w:val="4DCB4F61"/>
    <w:rsid w:val="4DEE7DC6"/>
    <w:rsid w:val="4E0B47AF"/>
    <w:rsid w:val="4E2B2C17"/>
    <w:rsid w:val="4E48125E"/>
    <w:rsid w:val="4E5C2D2E"/>
    <w:rsid w:val="4E621EC8"/>
    <w:rsid w:val="4E6425D3"/>
    <w:rsid w:val="4E6D4534"/>
    <w:rsid w:val="4EB539FD"/>
    <w:rsid w:val="4EC16D2E"/>
    <w:rsid w:val="4F0457FB"/>
    <w:rsid w:val="4F1D3A53"/>
    <w:rsid w:val="4F2D50E0"/>
    <w:rsid w:val="4F823A4D"/>
    <w:rsid w:val="4F924EE2"/>
    <w:rsid w:val="502970D1"/>
    <w:rsid w:val="50356D71"/>
    <w:rsid w:val="503B77F1"/>
    <w:rsid w:val="503C6B8E"/>
    <w:rsid w:val="505F5354"/>
    <w:rsid w:val="505F7986"/>
    <w:rsid w:val="506124EC"/>
    <w:rsid w:val="50BE27C4"/>
    <w:rsid w:val="50BE4C33"/>
    <w:rsid w:val="50DA4338"/>
    <w:rsid w:val="50DE09FF"/>
    <w:rsid w:val="50DF4740"/>
    <w:rsid w:val="50EA7EA8"/>
    <w:rsid w:val="50FA6AE8"/>
    <w:rsid w:val="51097278"/>
    <w:rsid w:val="512F6B6C"/>
    <w:rsid w:val="5154489E"/>
    <w:rsid w:val="51564CAD"/>
    <w:rsid w:val="517B2B25"/>
    <w:rsid w:val="517B6CCB"/>
    <w:rsid w:val="51B55C50"/>
    <w:rsid w:val="51B83CCD"/>
    <w:rsid w:val="51C57002"/>
    <w:rsid w:val="51E53B4D"/>
    <w:rsid w:val="51FF4CE1"/>
    <w:rsid w:val="520E0031"/>
    <w:rsid w:val="52193E8B"/>
    <w:rsid w:val="521A774C"/>
    <w:rsid w:val="52283F5F"/>
    <w:rsid w:val="522F3DCF"/>
    <w:rsid w:val="52383CFD"/>
    <w:rsid w:val="52687EA1"/>
    <w:rsid w:val="528D15A1"/>
    <w:rsid w:val="52A15AC9"/>
    <w:rsid w:val="52B70309"/>
    <w:rsid w:val="52B942DD"/>
    <w:rsid w:val="52CA5791"/>
    <w:rsid w:val="52CB4780"/>
    <w:rsid w:val="52CB7098"/>
    <w:rsid w:val="52D617D5"/>
    <w:rsid w:val="52E45D75"/>
    <w:rsid w:val="52F40607"/>
    <w:rsid w:val="52FD4675"/>
    <w:rsid w:val="530065B7"/>
    <w:rsid w:val="5304360D"/>
    <w:rsid w:val="532E6EAB"/>
    <w:rsid w:val="533B30A6"/>
    <w:rsid w:val="536D10BD"/>
    <w:rsid w:val="539C6B0D"/>
    <w:rsid w:val="53C31449"/>
    <w:rsid w:val="53D5064B"/>
    <w:rsid w:val="53E63D95"/>
    <w:rsid w:val="53EB0722"/>
    <w:rsid w:val="53F70728"/>
    <w:rsid w:val="5422648F"/>
    <w:rsid w:val="54293F87"/>
    <w:rsid w:val="54306181"/>
    <w:rsid w:val="544020CF"/>
    <w:rsid w:val="54AC3FBB"/>
    <w:rsid w:val="54B723FC"/>
    <w:rsid w:val="54EA561E"/>
    <w:rsid w:val="54FA0653"/>
    <w:rsid w:val="55055E00"/>
    <w:rsid w:val="55070E5A"/>
    <w:rsid w:val="55224893"/>
    <w:rsid w:val="554439EA"/>
    <w:rsid w:val="556D27EF"/>
    <w:rsid w:val="557B3DD6"/>
    <w:rsid w:val="55AB4853"/>
    <w:rsid w:val="55B20A8D"/>
    <w:rsid w:val="55B96D06"/>
    <w:rsid w:val="55DC682F"/>
    <w:rsid w:val="55FE51EE"/>
    <w:rsid w:val="560511B9"/>
    <w:rsid w:val="56290486"/>
    <w:rsid w:val="563A7593"/>
    <w:rsid w:val="56486139"/>
    <w:rsid w:val="5651496C"/>
    <w:rsid w:val="56580E48"/>
    <w:rsid w:val="56871158"/>
    <w:rsid w:val="568C4CB5"/>
    <w:rsid w:val="56921DC9"/>
    <w:rsid w:val="569B6385"/>
    <w:rsid w:val="56A06599"/>
    <w:rsid w:val="56B97ED6"/>
    <w:rsid w:val="56EF16E8"/>
    <w:rsid w:val="56FA6B09"/>
    <w:rsid w:val="57321DE8"/>
    <w:rsid w:val="574401F9"/>
    <w:rsid w:val="57785B80"/>
    <w:rsid w:val="57985F95"/>
    <w:rsid w:val="5799354E"/>
    <w:rsid w:val="57A646AE"/>
    <w:rsid w:val="57B02B65"/>
    <w:rsid w:val="582B780C"/>
    <w:rsid w:val="58353181"/>
    <w:rsid w:val="586A5EB3"/>
    <w:rsid w:val="58763BE6"/>
    <w:rsid w:val="587A6BDF"/>
    <w:rsid w:val="58952250"/>
    <w:rsid w:val="58B4463F"/>
    <w:rsid w:val="58DB28DB"/>
    <w:rsid w:val="58EB71D3"/>
    <w:rsid w:val="593034AC"/>
    <w:rsid w:val="59402294"/>
    <w:rsid w:val="594278A1"/>
    <w:rsid w:val="595C0F2D"/>
    <w:rsid w:val="59BA62FB"/>
    <w:rsid w:val="59F47EE8"/>
    <w:rsid w:val="5A34104C"/>
    <w:rsid w:val="5A3A653C"/>
    <w:rsid w:val="5A4D2173"/>
    <w:rsid w:val="5A6A6E88"/>
    <w:rsid w:val="5A851481"/>
    <w:rsid w:val="5AA555A8"/>
    <w:rsid w:val="5AB5339C"/>
    <w:rsid w:val="5AB715FA"/>
    <w:rsid w:val="5AB95573"/>
    <w:rsid w:val="5B102E66"/>
    <w:rsid w:val="5B137B89"/>
    <w:rsid w:val="5B163070"/>
    <w:rsid w:val="5B246B13"/>
    <w:rsid w:val="5B5B31B7"/>
    <w:rsid w:val="5B655A7A"/>
    <w:rsid w:val="5B7D5DA1"/>
    <w:rsid w:val="5B8632F4"/>
    <w:rsid w:val="5BBF7349"/>
    <w:rsid w:val="5BC66112"/>
    <w:rsid w:val="5C4C78B5"/>
    <w:rsid w:val="5C503075"/>
    <w:rsid w:val="5C5B5FD0"/>
    <w:rsid w:val="5C8506D8"/>
    <w:rsid w:val="5CD60F22"/>
    <w:rsid w:val="5CEA2211"/>
    <w:rsid w:val="5CED14B2"/>
    <w:rsid w:val="5D0D4DE8"/>
    <w:rsid w:val="5D2B5E3B"/>
    <w:rsid w:val="5D464C86"/>
    <w:rsid w:val="5D603A3C"/>
    <w:rsid w:val="5D6E5BEB"/>
    <w:rsid w:val="5D784065"/>
    <w:rsid w:val="5D9F35B3"/>
    <w:rsid w:val="5DA8171E"/>
    <w:rsid w:val="5DEC720D"/>
    <w:rsid w:val="5E057180"/>
    <w:rsid w:val="5E16310C"/>
    <w:rsid w:val="5E1B0770"/>
    <w:rsid w:val="5E3E6BD5"/>
    <w:rsid w:val="5E413714"/>
    <w:rsid w:val="5E5057EC"/>
    <w:rsid w:val="5E6671DC"/>
    <w:rsid w:val="5E814857"/>
    <w:rsid w:val="5E9420E8"/>
    <w:rsid w:val="5EAD68AB"/>
    <w:rsid w:val="5EB33B56"/>
    <w:rsid w:val="5EB96ED6"/>
    <w:rsid w:val="5ED3543F"/>
    <w:rsid w:val="5EE6789A"/>
    <w:rsid w:val="5EF07044"/>
    <w:rsid w:val="5F0702E0"/>
    <w:rsid w:val="5F0D3FB8"/>
    <w:rsid w:val="5F1B757D"/>
    <w:rsid w:val="5F40606B"/>
    <w:rsid w:val="5F4E554D"/>
    <w:rsid w:val="5F560542"/>
    <w:rsid w:val="5F785708"/>
    <w:rsid w:val="5FA46EBB"/>
    <w:rsid w:val="5FAE58BB"/>
    <w:rsid w:val="5FEF6D16"/>
    <w:rsid w:val="600D086F"/>
    <w:rsid w:val="600E2815"/>
    <w:rsid w:val="604433FC"/>
    <w:rsid w:val="60481558"/>
    <w:rsid w:val="605E645B"/>
    <w:rsid w:val="6071080C"/>
    <w:rsid w:val="607A2643"/>
    <w:rsid w:val="607B7DEC"/>
    <w:rsid w:val="60885401"/>
    <w:rsid w:val="60915AD2"/>
    <w:rsid w:val="60CB5E72"/>
    <w:rsid w:val="61112140"/>
    <w:rsid w:val="61627A72"/>
    <w:rsid w:val="616A5599"/>
    <w:rsid w:val="617236BC"/>
    <w:rsid w:val="6192792E"/>
    <w:rsid w:val="61976A2D"/>
    <w:rsid w:val="61C362A5"/>
    <w:rsid w:val="61C87FA7"/>
    <w:rsid w:val="61E66301"/>
    <w:rsid w:val="61F56D34"/>
    <w:rsid w:val="62033725"/>
    <w:rsid w:val="62062B16"/>
    <w:rsid w:val="622C58A0"/>
    <w:rsid w:val="623F5E72"/>
    <w:rsid w:val="625B557B"/>
    <w:rsid w:val="627A5076"/>
    <w:rsid w:val="629845D2"/>
    <w:rsid w:val="629A400B"/>
    <w:rsid w:val="62A14CE3"/>
    <w:rsid w:val="62BB482C"/>
    <w:rsid w:val="62E87B1C"/>
    <w:rsid w:val="62F90A0D"/>
    <w:rsid w:val="6342716C"/>
    <w:rsid w:val="634C5C16"/>
    <w:rsid w:val="636D3E34"/>
    <w:rsid w:val="63801185"/>
    <w:rsid w:val="63880BF0"/>
    <w:rsid w:val="63915065"/>
    <w:rsid w:val="639727D2"/>
    <w:rsid w:val="63FA1330"/>
    <w:rsid w:val="64116996"/>
    <w:rsid w:val="647B3257"/>
    <w:rsid w:val="64B75D6D"/>
    <w:rsid w:val="64F124A6"/>
    <w:rsid w:val="64F409E4"/>
    <w:rsid w:val="64F96306"/>
    <w:rsid w:val="650D2125"/>
    <w:rsid w:val="65197B7A"/>
    <w:rsid w:val="651B2C8E"/>
    <w:rsid w:val="654446DE"/>
    <w:rsid w:val="655D5D15"/>
    <w:rsid w:val="656830ED"/>
    <w:rsid w:val="65701825"/>
    <w:rsid w:val="657C7C30"/>
    <w:rsid w:val="65964652"/>
    <w:rsid w:val="659E7F88"/>
    <w:rsid w:val="65BF6E4D"/>
    <w:rsid w:val="65C7281F"/>
    <w:rsid w:val="65E5398F"/>
    <w:rsid w:val="65F64DBD"/>
    <w:rsid w:val="66076C4B"/>
    <w:rsid w:val="662B6624"/>
    <w:rsid w:val="6635617D"/>
    <w:rsid w:val="66391081"/>
    <w:rsid w:val="664137A6"/>
    <w:rsid w:val="66553847"/>
    <w:rsid w:val="66590075"/>
    <w:rsid w:val="6659704B"/>
    <w:rsid w:val="668D637F"/>
    <w:rsid w:val="66D43AA4"/>
    <w:rsid w:val="66F80097"/>
    <w:rsid w:val="670E575C"/>
    <w:rsid w:val="67587269"/>
    <w:rsid w:val="6759645F"/>
    <w:rsid w:val="67626D53"/>
    <w:rsid w:val="678074B0"/>
    <w:rsid w:val="67B02D24"/>
    <w:rsid w:val="67B818EA"/>
    <w:rsid w:val="67C33D7D"/>
    <w:rsid w:val="67C54409"/>
    <w:rsid w:val="67D635B8"/>
    <w:rsid w:val="67DF1B96"/>
    <w:rsid w:val="67E7429B"/>
    <w:rsid w:val="67E766E9"/>
    <w:rsid w:val="67EE4844"/>
    <w:rsid w:val="68084A7D"/>
    <w:rsid w:val="68112BFE"/>
    <w:rsid w:val="68113EFC"/>
    <w:rsid w:val="68330BA8"/>
    <w:rsid w:val="68355186"/>
    <w:rsid w:val="6851329C"/>
    <w:rsid w:val="68942F82"/>
    <w:rsid w:val="68A52291"/>
    <w:rsid w:val="68DE044F"/>
    <w:rsid w:val="690B172C"/>
    <w:rsid w:val="69415462"/>
    <w:rsid w:val="69C73BEF"/>
    <w:rsid w:val="69D50260"/>
    <w:rsid w:val="69DF0C42"/>
    <w:rsid w:val="69EA7BFB"/>
    <w:rsid w:val="6A4846A3"/>
    <w:rsid w:val="6A56548E"/>
    <w:rsid w:val="6A851680"/>
    <w:rsid w:val="6AA76E07"/>
    <w:rsid w:val="6AB931CD"/>
    <w:rsid w:val="6AFF72DC"/>
    <w:rsid w:val="6B022872"/>
    <w:rsid w:val="6B065B1C"/>
    <w:rsid w:val="6B14402E"/>
    <w:rsid w:val="6B28169C"/>
    <w:rsid w:val="6B811D7E"/>
    <w:rsid w:val="6B974693"/>
    <w:rsid w:val="6B9D0ACC"/>
    <w:rsid w:val="6BF21C3F"/>
    <w:rsid w:val="6BF8445C"/>
    <w:rsid w:val="6C0C4AAD"/>
    <w:rsid w:val="6C40565D"/>
    <w:rsid w:val="6C461A2C"/>
    <w:rsid w:val="6C4C6EB6"/>
    <w:rsid w:val="6C53101A"/>
    <w:rsid w:val="6C866836"/>
    <w:rsid w:val="6C8764C8"/>
    <w:rsid w:val="6CB95E20"/>
    <w:rsid w:val="6CCC3DF5"/>
    <w:rsid w:val="6CDD63BE"/>
    <w:rsid w:val="6CE0596C"/>
    <w:rsid w:val="6CFE3A9C"/>
    <w:rsid w:val="6D2154B9"/>
    <w:rsid w:val="6D2F32DB"/>
    <w:rsid w:val="6D3B2C0F"/>
    <w:rsid w:val="6D4658D6"/>
    <w:rsid w:val="6D522C0D"/>
    <w:rsid w:val="6D9A7925"/>
    <w:rsid w:val="6E104C6E"/>
    <w:rsid w:val="6E435832"/>
    <w:rsid w:val="6E454908"/>
    <w:rsid w:val="6E646992"/>
    <w:rsid w:val="6EAF40EA"/>
    <w:rsid w:val="6EB9421E"/>
    <w:rsid w:val="6EBD0976"/>
    <w:rsid w:val="6EDD09A8"/>
    <w:rsid w:val="6F0C1A32"/>
    <w:rsid w:val="6F393692"/>
    <w:rsid w:val="6F7430D3"/>
    <w:rsid w:val="6F881164"/>
    <w:rsid w:val="6F90644C"/>
    <w:rsid w:val="6FB03B38"/>
    <w:rsid w:val="70281EF8"/>
    <w:rsid w:val="704D78CE"/>
    <w:rsid w:val="708A497A"/>
    <w:rsid w:val="70A25E85"/>
    <w:rsid w:val="70C23D9C"/>
    <w:rsid w:val="70CE3F3E"/>
    <w:rsid w:val="70D326D5"/>
    <w:rsid w:val="70FE1D55"/>
    <w:rsid w:val="711E22A2"/>
    <w:rsid w:val="711E2502"/>
    <w:rsid w:val="715D4A75"/>
    <w:rsid w:val="715F108B"/>
    <w:rsid w:val="716C73B2"/>
    <w:rsid w:val="71871845"/>
    <w:rsid w:val="71B03ADE"/>
    <w:rsid w:val="71B15BA8"/>
    <w:rsid w:val="720A7C80"/>
    <w:rsid w:val="72104706"/>
    <w:rsid w:val="72370CD5"/>
    <w:rsid w:val="723D22E5"/>
    <w:rsid w:val="7268518A"/>
    <w:rsid w:val="72720B5D"/>
    <w:rsid w:val="72F27897"/>
    <w:rsid w:val="72FA39AF"/>
    <w:rsid w:val="73450DF4"/>
    <w:rsid w:val="734B195B"/>
    <w:rsid w:val="735B7CCF"/>
    <w:rsid w:val="736031AA"/>
    <w:rsid w:val="73924A34"/>
    <w:rsid w:val="73BF4676"/>
    <w:rsid w:val="73C32645"/>
    <w:rsid w:val="73DF2F79"/>
    <w:rsid w:val="73F4174F"/>
    <w:rsid w:val="74037B90"/>
    <w:rsid w:val="743555C4"/>
    <w:rsid w:val="74551160"/>
    <w:rsid w:val="74971D95"/>
    <w:rsid w:val="74A02EAF"/>
    <w:rsid w:val="74D24DEE"/>
    <w:rsid w:val="74D81F3F"/>
    <w:rsid w:val="74D92FE4"/>
    <w:rsid w:val="74E01C2B"/>
    <w:rsid w:val="74EC0F23"/>
    <w:rsid w:val="7501673C"/>
    <w:rsid w:val="7517495D"/>
    <w:rsid w:val="752022EF"/>
    <w:rsid w:val="7532452C"/>
    <w:rsid w:val="7537472B"/>
    <w:rsid w:val="75AD5EC1"/>
    <w:rsid w:val="75B07C95"/>
    <w:rsid w:val="75D03E40"/>
    <w:rsid w:val="7605599D"/>
    <w:rsid w:val="760F11E6"/>
    <w:rsid w:val="762A3BA8"/>
    <w:rsid w:val="76497D52"/>
    <w:rsid w:val="768245B8"/>
    <w:rsid w:val="76E06474"/>
    <w:rsid w:val="77051DB6"/>
    <w:rsid w:val="770E0D79"/>
    <w:rsid w:val="77884CAC"/>
    <w:rsid w:val="779E1D6E"/>
    <w:rsid w:val="77AB76DA"/>
    <w:rsid w:val="77C01E88"/>
    <w:rsid w:val="77C35763"/>
    <w:rsid w:val="77CA1DA9"/>
    <w:rsid w:val="77E1303B"/>
    <w:rsid w:val="78017EB8"/>
    <w:rsid w:val="788A7DB3"/>
    <w:rsid w:val="78953FAA"/>
    <w:rsid w:val="7899759D"/>
    <w:rsid w:val="789C227F"/>
    <w:rsid w:val="78D0070B"/>
    <w:rsid w:val="79060687"/>
    <w:rsid w:val="791208A4"/>
    <w:rsid w:val="79512A97"/>
    <w:rsid w:val="79533A3E"/>
    <w:rsid w:val="79A91E91"/>
    <w:rsid w:val="79B41898"/>
    <w:rsid w:val="79CB00B1"/>
    <w:rsid w:val="7A01778E"/>
    <w:rsid w:val="7A0818BF"/>
    <w:rsid w:val="7A2B50EE"/>
    <w:rsid w:val="7A3750C1"/>
    <w:rsid w:val="7A422D50"/>
    <w:rsid w:val="7A483E91"/>
    <w:rsid w:val="7A8708B0"/>
    <w:rsid w:val="7ADF4BC5"/>
    <w:rsid w:val="7AF379FF"/>
    <w:rsid w:val="7B0110EB"/>
    <w:rsid w:val="7B2874C4"/>
    <w:rsid w:val="7B443C6D"/>
    <w:rsid w:val="7B48344A"/>
    <w:rsid w:val="7B597EC8"/>
    <w:rsid w:val="7B956CF3"/>
    <w:rsid w:val="7BC05648"/>
    <w:rsid w:val="7BD87F13"/>
    <w:rsid w:val="7C095D12"/>
    <w:rsid w:val="7C10067A"/>
    <w:rsid w:val="7C760E79"/>
    <w:rsid w:val="7C7718F9"/>
    <w:rsid w:val="7C796E19"/>
    <w:rsid w:val="7C853CCD"/>
    <w:rsid w:val="7CA31C4E"/>
    <w:rsid w:val="7CB636DA"/>
    <w:rsid w:val="7CC664AC"/>
    <w:rsid w:val="7CEE2212"/>
    <w:rsid w:val="7D4E275F"/>
    <w:rsid w:val="7D7341E5"/>
    <w:rsid w:val="7D7D29B0"/>
    <w:rsid w:val="7D93595E"/>
    <w:rsid w:val="7D936E0C"/>
    <w:rsid w:val="7DB5375E"/>
    <w:rsid w:val="7DE36B05"/>
    <w:rsid w:val="7DF81D71"/>
    <w:rsid w:val="7E0538EF"/>
    <w:rsid w:val="7E09112D"/>
    <w:rsid w:val="7E457877"/>
    <w:rsid w:val="7E9A06FA"/>
    <w:rsid w:val="7E9C6075"/>
    <w:rsid w:val="7EAE6031"/>
    <w:rsid w:val="7ECC159E"/>
    <w:rsid w:val="7ECD48DC"/>
    <w:rsid w:val="7EE67CA0"/>
    <w:rsid w:val="7EF57608"/>
    <w:rsid w:val="7F1708E6"/>
    <w:rsid w:val="7F210F2D"/>
    <w:rsid w:val="7F2170C2"/>
    <w:rsid w:val="7F2D1D53"/>
    <w:rsid w:val="7F333B2E"/>
    <w:rsid w:val="7F460786"/>
    <w:rsid w:val="7F5D5486"/>
    <w:rsid w:val="7F796138"/>
    <w:rsid w:val="7F7A1510"/>
    <w:rsid w:val="7F7A1921"/>
    <w:rsid w:val="7F7B08EA"/>
    <w:rsid w:val="7FC43980"/>
    <w:rsid w:val="7FC64657"/>
    <w:rsid w:val="7FF0184A"/>
    <w:rsid w:val="7FF51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1"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iPriority="99"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link w:val="114"/>
    <w:qFormat/>
    <w:uiPriority w:val="0"/>
    <w:pPr>
      <w:keepNext/>
      <w:keepLines/>
      <w:spacing w:before="340" w:after="330" w:line="480" w:lineRule="auto"/>
      <w:jc w:val="center"/>
      <w:outlineLvl w:val="0"/>
    </w:pPr>
    <w:rPr>
      <w:rFonts w:ascii="Times New Roman" w:hAnsi="Times New Roman"/>
      <w:b/>
      <w:kern w:val="44"/>
      <w:sz w:val="36"/>
    </w:rPr>
  </w:style>
  <w:style w:type="paragraph" w:styleId="6">
    <w:name w:val="heading 2"/>
    <w:basedOn w:val="1"/>
    <w:next w:val="1"/>
    <w:link w:val="75"/>
    <w:unhideWhenUsed/>
    <w:qFormat/>
    <w:uiPriority w:val="0"/>
    <w:pPr>
      <w:keepNext/>
      <w:keepLines/>
      <w:spacing w:before="260" w:after="260" w:line="360" w:lineRule="auto"/>
      <w:outlineLvl w:val="1"/>
    </w:pPr>
    <w:rPr>
      <w:rFonts w:ascii="Times New Roman" w:hAnsi="Times New Roman" w:eastAsia="宋体"/>
      <w:b/>
      <w:sz w:val="32"/>
    </w:rPr>
  </w:style>
  <w:style w:type="paragraph" w:styleId="7">
    <w:name w:val="heading 3"/>
    <w:basedOn w:val="1"/>
    <w:next w:val="1"/>
    <w:link w:val="54"/>
    <w:unhideWhenUsed/>
    <w:qFormat/>
    <w:uiPriority w:val="0"/>
    <w:pPr>
      <w:keepNext/>
      <w:keepLines/>
      <w:spacing w:line="360" w:lineRule="auto"/>
      <w:outlineLvl w:val="2"/>
    </w:pPr>
    <w:rPr>
      <w:rFonts w:ascii="Times New Roman" w:hAnsi="Times New Roman" w:eastAsia="宋体"/>
      <w:b/>
      <w:sz w:val="28"/>
    </w:rPr>
  </w:style>
  <w:style w:type="paragraph" w:styleId="8">
    <w:name w:val="heading 4"/>
    <w:basedOn w:val="1"/>
    <w:next w:val="1"/>
    <w:link w:val="67"/>
    <w:unhideWhenUsed/>
    <w:qFormat/>
    <w:uiPriority w:val="0"/>
    <w:pPr>
      <w:keepNext/>
      <w:keepLines/>
      <w:spacing w:line="360" w:lineRule="auto"/>
      <w:outlineLvl w:val="3"/>
    </w:pPr>
    <w:rPr>
      <w:rFonts w:ascii="Times New Roman" w:hAnsi="Times New Roman" w:eastAsia="宋体"/>
      <w:b/>
      <w:sz w:val="24"/>
    </w:rPr>
  </w:style>
  <w:style w:type="paragraph" w:styleId="9">
    <w:name w:val="heading 5"/>
    <w:basedOn w:val="1"/>
    <w:next w:val="1"/>
    <w:qFormat/>
    <w:uiPriority w:val="1"/>
    <w:pPr>
      <w:ind w:left="1762"/>
      <w:outlineLvl w:val="4"/>
    </w:pPr>
    <w:rPr>
      <w:rFonts w:ascii="宋体" w:hAnsi="宋体" w:eastAsia="宋体" w:cs="宋体"/>
      <w:b/>
      <w:bCs/>
      <w:sz w:val="24"/>
      <w:lang w:val="zh-CN" w:bidi="zh-CN"/>
    </w:rPr>
  </w:style>
  <w:style w:type="paragraph" w:styleId="10">
    <w:name w:val="heading 6"/>
    <w:basedOn w:val="1"/>
    <w:next w:val="1"/>
    <w:link w:val="106"/>
    <w:qFormat/>
    <w:uiPriority w:val="0"/>
    <w:pPr>
      <w:keepNext/>
      <w:keepLines/>
      <w:widowControl/>
      <w:spacing w:before="240" w:after="64" w:line="320" w:lineRule="auto"/>
      <w:jc w:val="left"/>
      <w:outlineLvl w:val="5"/>
    </w:pPr>
    <w:rPr>
      <w:rFonts w:ascii="Cambria" w:hAnsi="Cambria" w:eastAsia="宋体" w:cs="Times New Roman"/>
      <w:b/>
      <w:bCs/>
      <w:kern w:val="0"/>
      <w:sz w:val="24"/>
    </w:rPr>
  </w:style>
  <w:style w:type="character" w:default="1" w:styleId="43">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131"/>
    <w:qFormat/>
    <w:uiPriority w:val="0"/>
    <w:pPr>
      <w:topLinePunct/>
      <w:adjustRightInd w:val="0"/>
      <w:snapToGrid w:val="0"/>
      <w:spacing w:line="360" w:lineRule="auto"/>
      <w:ind w:firstLine="420"/>
    </w:pPr>
    <w:rPr>
      <w:rFonts w:ascii="宋体" w:hAnsi="宋体"/>
      <w:snapToGrid w:val="0"/>
      <w:kern w:val="0"/>
      <w:sz w:val="24"/>
      <w:szCs w:val="20"/>
    </w:rPr>
  </w:style>
  <w:style w:type="paragraph" w:styleId="3">
    <w:name w:val="Body Text First Indent 2"/>
    <w:basedOn w:val="4"/>
    <w:next w:val="1"/>
    <w:link w:val="127"/>
    <w:qFormat/>
    <w:uiPriority w:val="0"/>
    <w:pPr>
      <w:ind w:firstLine="420" w:firstLineChars="200"/>
    </w:pPr>
  </w:style>
  <w:style w:type="paragraph" w:styleId="4">
    <w:name w:val="Body Text Indent"/>
    <w:basedOn w:val="1"/>
    <w:next w:val="3"/>
    <w:link w:val="156"/>
    <w:qFormat/>
    <w:uiPriority w:val="0"/>
    <w:pPr>
      <w:spacing w:after="120"/>
      <w:ind w:left="420" w:leftChars="200"/>
    </w:pPr>
  </w:style>
  <w:style w:type="paragraph" w:styleId="11">
    <w:name w:val="toc 7"/>
    <w:basedOn w:val="1"/>
    <w:next w:val="1"/>
    <w:unhideWhenUsed/>
    <w:qFormat/>
    <w:uiPriority w:val="39"/>
    <w:pPr>
      <w:widowControl/>
      <w:ind w:left="1260"/>
      <w:jc w:val="left"/>
    </w:pPr>
    <w:rPr>
      <w:rFonts w:ascii="Calibri" w:hAnsi="Calibri" w:eastAsia="宋体" w:cs="Calibri"/>
      <w:kern w:val="0"/>
      <w:sz w:val="18"/>
      <w:szCs w:val="18"/>
    </w:rPr>
  </w:style>
  <w:style w:type="paragraph" w:styleId="12">
    <w:name w:val="caption"/>
    <w:basedOn w:val="1"/>
    <w:next w:val="1"/>
    <w:link w:val="172"/>
    <w:qFormat/>
    <w:uiPriority w:val="35"/>
    <w:pPr>
      <w:adjustRightInd w:val="0"/>
      <w:snapToGrid w:val="0"/>
      <w:ind w:left="210"/>
      <w:jc w:val="center"/>
    </w:pPr>
    <w:rPr>
      <w:b/>
      <w:sz w:val="24"/>
      <w:szCs w:val="20"/>
    </w:rPr>
  </w:style>
  <w:style w:type="paragraph" w:styleId="13">
    <w:name w:val="Document Map"/>
    <w:basedOn w:val="1"/>
    <w:link w:val="126"/>
    <w:qFormat/>
    <w:uiPriority w:val="0"/>
    <w:pPr>
      <w:widowControl/>
      <w:shd w:val="clear" w:color="auto" w:fill="000080"/>
      <w:jc w:val="left"/>
    </w:pPr>
    <w:rPr>
      <w:rFonts w:ascii="Times New Roman" w:hAnsi="Times New Roman" w:eastAsia="宋体" w:cs="Times New Roman"/>
    </w:rPr>
  </w:style>
  <w:style w:type="paragraph" w:styleId="14">
    <w:name w:val="annotation text"/>
    <w:basedOn w:val="1"/>
    <w:link w:val="183"/>
    <w:qFormat/>
    <w:uiPriority w:val="0"/>
    <w:pPr>
      <w:jc w:val="left"/>
    </w:pPr>
  </w:style>
  <w:style w:type="paragraph" w:styleId="15">
    <w:name w:val="Body Text"/>
    <w:basedOn w:val="1"/>
    <w:next w:val="16"/>
    <w:link w:val="140"/>
    <w:qFormat/>
    <w:uiPriority w:val="0"/>
    <w:pPr>
      <w:spacing w:after="120"/>
    </w:pPr>
  </w:style>
  <w:style w:type="paragraph" w:customStyle="1" w:styleId="16">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7">
    <w:name w:val="Block Text"/>
    <w:basedOn w:val="1"/>
    <w:qFormat/>
    <w:uiPriority w:val="0"/>
    <w:pPr>
      <w:spacing w:after="120"/>
      <w:ind w:left="1440" w:leftChars="700" w:right="1440" w:rightChars="700"/>
    </w:pPr>
  </w:style>
  <w:style w:type="paragraph" w:styleId="18">
    <w:name w:val="toc 5"/>
    <w:basedOn w:val="1"/>
    <w:next w:val="1"/>
    <w:qFormat/>
    <w:uiPriority w:val="39"/>
    <w:pPr>
      <w:widowControl/>
      <w:ind w:left="840"/>
      <w:jc w:val="left"/>
    </w:pPr>
    <w:rPr>
      <w:rFonts w:ascii="Calibri" w:hAnsi="Calibri" w:eastAsia="宋体" w:cs="Calibri"/>
      <w:kern w:val="0"/>
      <w:sz w:val="18"/>
      <w:szCs w:val="18"/>
    </w:rPr>
  </w:style>
  <w:style w:type="paragraph" w:styleId="19">
    <w:name w:val="toc 3"/>
    <w:basedOn w:val="1"/>
    <w:next w:val="1"/>
    <w:qFormat/>
    <w:uiPriority w:val="39"/>
    <w:pPr>
      <w:ind w:left="840" w:leftChars="400"/>
    </w:pPr>
  </w:style>
  <w:style w:type="paragraph" w:styleId="20">
    <w:name w:val="Plain Text"/>
    <w:basedOn w:val="1"/>
    <w:next w:val="1"/>
    <w:link w:val="108"/>
    <w:qFormat/>
    <w:uiPriority w:val="0"/>
    <w:rPr>
      <w:rFonts w:ascii="宋体" w:hAnsi="Courier New"/>
      <w:szCs w:val="21"/>
    </w:rPr>
  </w:style>
  <w:style w:type="paragraph" w:styleId="21">
    <w:name w:val="toc 8"/>
    <w:basedOn w:val="1"/>
    <w:next w:val="1"/>
    <w:unhideWhenUsed/>
    <w:qFormat/>
    <w:uiPriority w:val="39"/>
    <w:pPr>
      <w:widowControl/>
      <w:ind w:left="1470"/>
      <w:jc w:val="left"/>
    </w:pPr>
    <w:rPr>
      <w:rFonts w:ascii="Calibri" w:hAnsi="Calibri" w:eastAsia="宋体" w:cs="Calibri"/>
      <w:kern w:val="0"/>
      <w:sz w:val="18"/>
      <w:szCs w:val="18"/>
    </w:rPr>
  </w:style>
  <w:style w:type="paragraph" w:styleId="22">
    <w:name w:val="Date"/>
    <w:basedOn w:val="1"/>
    <w:next w:val="1"/>
    <w:link w:val="166"/>
    <w:qFormat/>
    <w:uiPriority w:val="0"/>
    <w:pPr>
      <w:widowControl/>
      <w:ind w:left="100" w:leftChars="2500"/>
      <w:jc w:val="left"/>
    </w:pPr>
    <w:rPr>
      <w:rFonts w:ascii="Times New Roman" w:hAnsi="Times New Roman" w:eastAsia="宋体" w:cs="Times New Roman"/>
    </w:rPr>
  </w:style>
  <w:style w:type="paragraph" w:styleId="23">
    <w:name w:val="Body Text Indent 2"/>
    <w:basedOn w:val="1"/>
    <w:link w:val="117"/>
    <w:qFormat/>
    <w:uiPriority w:val="0"/>
    <w:pPr>
      <w:widowControl/>
      <w:spacing w:after="120" w:line="480" w:lineRule="auto"/>
      <w:ind w:left="420" w:leftChars="200"/>
      <w:jc w:val="left"/>
    </w:pPr>
    <w:rPr>
      <w:rFonts w:ascii="Times New Roman" w:hAnsi="Times New Roman" w:eastAsia="宋体" w:cs="Times New Roman"/>
    </w:rPr>
  </w:style>
  <w:style w:type="paragraph" w:styleId="24">
    <w:name w:val="Balloon Text"/>
    <w:basedOn w:val="1"/>
    <w:link w:val="102"/>
    <w:qFormat/>
    <w:uiPriority w:val="0"/>
    <w:rPr>
      <w:sz w:val="18"/>
      <w:szCs w:val="18"/>
    </w:rPr>
  </w:style>
  <w:style w:type="paragraph" w:styleId="25">
    <w:name w:val="footer"/>
    <w:basedOn w:val="1"/>
    <w:link w:val="159"/>
    <w:qFormat/>
    <w:uiPriority w:val="99"/>
    <w:pPr>
      <w:tabs>
        <w:tab w:val="center" w:pos="4153"/>
        <w:tab w:val="right" w:pos="8306"/>
      </w:tabs>
      <w:snapToGrid w:val="0"/>
    </w:pPr>
    <w:rPr>
      <w:sz w:val="18"/>
      <w:szCs w:val="18"/>
    </w:rPr>
  </w:style>
  <w:style w:type="paragraph" w:styleId="26">
    <w:name w:val="header"/>
    <w:basedOn w:val="1"/>
    <w:next w:val="17"/>
    <w:link w:val="168"/>
    <w:qFormat/>
    <w:uiPriority w:val="99"/>
    <w:pPr>
      <w:tabs>
        <w:tab w:val="center" w:pos="4153"/>
        <w:tab w:val="right" w:pos="8306"/>
      </w:tabs>
      <w:snapToGrid w:val="0"/>
      <w:jc w:val="right"/>
    </w:pPr>
    <w:rPr>
      <w:sz w:val="18"/>
      <w:szCs w:val="18"/>
    </w:rPr>
  </w:style>
  <w:style w:type="paragraph" w:styleId="27">
    <w:name w:val="toc 1"/>
    <w:basedOn w:val="1"/>
    <w:next w:val="1"/>
    <w:qFormat/>
    <w:uiPriority w:val="39"/>
    <w:rPr>
      <w:b/>
      <w:sz w:val="28"/>
    </w:rPr>
  </w:style>
  <w:style w:type="paragraph" w:styleId="28">
    <w:name w:val="toc 4"/>
    <w:basedOn w:val="1"/>
    <w:next w:val="1"/>
    <w:unhideWhenUsed/>
    <w:qFormat/>
    <w:uiPriority w:val="39"/>
    <w:pPr>
      <w:widowControl/>
      <w:ind w:left="630"/>
      <w:jc w:val="left"/>
    </w:pPr>
    <w:rPr>
      <w:rFonts w:ascii="Calibri" w:hAnsi="Calibri" w:eastAsia="宋体" w:cs="Calibri"/>
      <w:kern w:val="0"/>
      <w:sz w:val="18"/>
      <w:szCs w:val="18"/>
    </w:rPr>
  </w:style>
  <w:style w:type="paragraph" w:styleId="29">
    <w:name w:val="List"/>
    <w:basedOn w:val="1"/>
    <w:qFormat/>
    <w:uiPriority w:val="0"/>
    <w:pPr>
      <w:ind w:left="200" w:hanging="200" w:hangingChars="200"/>
      <w:jc w:val="center"/>
    </w:pPr>
  </w:style>
  <w:style w:type="paragraph" w:styleId="30">
    <w:name w:val="footnote text"/>
    <w:basedOn w:val="1"/>
    <w:qFormat/>
    <w:uiPriority w:val="0"/>
    <w:pPr>
      <w:snapToGrid w:val="0"/>
      <w:jc w:val="left"/>
    </w:pPr>
    <w:rPr>
      <w:sz w:val="18"/>
    </w:rPr>
  </w:style>
  <w:style w:type="paragraph" w:styleId="31">
    <w:name w:val="toc 6"/>
    <w:basedOn w:val="1"/>
    <w:next w:val="1"/>
    <w:unhideWhenUsed/>
    <w:qFormat/>
    <w:uiPriority w:val="39"/>
    <w:pPr>
      <w:widowControl/>
      <w:ind w:left="1050"/>
      <w:jc w:val="left"/>
    </w:pPr>
    <w:rPr>
      <w:rFonts w:ascii="Calibri" w:hAnsi="Calibri" w:eastAsia="宋体" w:cs="Calibri"/>
      <w:kern w:val="0"/>
      <w:sz w:val="18"/>
      <w:szCs w:val="18"/>
    </w:rPr>
  </w:style>
  <w:style w:type="paragraph" w:styleId="32">
    <w:name w:val="toc 2"/>
    <w:basedOn w:val="1"/>
    <w:next w:val="1"/>
    <w:qFormat/>
    <w:uiPriority w:val="39"/>
    <w:pPr>
      <w:tabs>
        <w:tab w:val="right" w:leader="dot" w:pos="8296"/>
      </w:tabs>
      <w:spacing w:line="360" w:lineRule="auto"/>
      <w:ind w:left="420" w:leftChars="200"/>
    </w:pPr>
    <w:rPr>
      <w:rFonts w:eastAsia="黑体"/>
      <w:sz w:val="24"/>
    </w:rPr>
  </w:style>
  <w:style w:type="paragraph" w:styleId="33">
    <w:name w:val="toc 9"/>
    <w:basedOn w:val="1"/>
    <w:next w:val="1"/>
    <w:unhideWhenUsed/>
    <w:qFormat/>
    <w:uiPriority w:val="39"/>
    <w:pPr>
      <w:widowControl/>
      <w:ind w:left="1680"/>
      <w:jc w:val="left"/>
    </w:pPr>
    <w:rPr>
      <w:rFonts w:ascii="Calibri" w:hAnsi="Calibri" w:eastAsia="宋体" w:cs="Calibri"/>
      <w:kern w:val="0"/>
      <w:sz w:val="18"/>
      <w:szCs w:val="18"/>
    </w:rPr>
  </w:style>
  <w:style w:type="paragraph" w:styleId="34">
    <w:name w:val="HTML Preformatted"/>
    <w:basedOn w:val="1"/>
    <w:link w:val="128"/>
    <w:unhideWhenUsed/>
    <w:qFormat/>
    <w:uiPriority w:val="0"/>
    <w:pPr>
      <w:widowControl/>
      <w:jc w:val="left"/>
    </w:pPr>
    <w:rPr>
      <w:rFonts w:ascii="Courier New" w:hAnsi="Courier New" w:eastAsia="宋体" w:cs="Times New Roman"/>
      <w:kern w:val="0"/>
      <w:sz w:val="20"/>
      <w:szCs w:val="20"/>
    </w:rPr>
  </w:style>
  <w:style w:type="paragraph" w:styleId="35">
    <w:name w:val="Normal (Web)"/>
    <w:basedOn w:val="1"/>
    <w:qFormat/>
    <w:uiPriority w:val="99"/>
    <w:pPr>
      <w:spacing w:before="100" w:beforeAutospacing="1" w:after="100" w:afterAutospacing="1"/>
    </w:pPr>
    <w:rPr>
      <w:rFonts w:ascii="Arial Unicode MS" w:hAnsi="Arial Unicode MS" w:eastAsia="Times New Roman"/>
      <w:kern w:val="0"/>
      <w:sz w:val="24"/>
    </w:rPr>
  </w:style>
  <w:style w:type="paragraph" w:styleId="36">
    <w:name w:val="index 1"/>
    <w:basedOn w:val="1"/>
    <w:next w:val="1"/>
    <w:qFormat/>
    <w:uiPriority w:val="0"/>
    <w:pPr>
      <w:widowControl/>
      <w:tabs>
        <w:tab w:val="left" w:pos="5580"/>
      </w:tabs>
      <w:spacing w:line="280" w:lineRule="exact"/>
      <w:jc w:val="left"/>
    </w:pPr>
    <w:rPr>
      <w:rFonts w:ascii="宋体" w:hAnsi="宋体" w:eastAsia="宋体" w:cs="宋体"/>
      <w:spacing w:val="10"/>
      <w:kern w:val="0"/>
      <w:sz w:val="24"/>
    </w:rPr>
  </w:style>
  <w:style w:type="paragraph" w:styleId="37">
    <w:name w:val="Title"/>
    <w:basedOn w:val="1"/>
    <w:next w:val="8"/>
    <w:link w:val="226"/>
    <w:qFormat/>
    <w:uiPriority w:val="1"/>
    <w:pPr>
      <w:autoSpaceDE w:val="0"/>
      <w:autoSpaceDN w:val="0"/>
      <w:spacing w:line="1011" w:lineRule="exact"/>
      <w:ind w:left="108"/>
      <w:jc w:val="left"/>
    </w:pPr>
    <w:rPr>
      <w:rFonts w:ascii="Times New Roman" w:hAnsi="Times New Roman" w:eastAsia="Times New Roman" w:cs="Times New Roman"/>
      <w:kern w:val="0"/>
      <w:sz w:val="89"/>
      <w:szCs w:val="89"/>
      <w:lang w:eastAsia="en-US"/>
    </w:rPr>
  </w:style>
  <w:style w:type="paragraph" w:styleId="38">
    <w:name w:val="annotation subject"/>
    <w:basedOn w:val="14"/>
    <w:next w:val="14"/>
    <w:link w:val="122"/>
    <w:qFormat/>
    <w:uiPriority w:val="0"/>
    <w:pPr>
      <w:widowControl/>
    </w:pPr>
    <w:rPr>
      <w:rFonts w:ascii="Times New Roman" w:hAnsi="Times New Roman" w:eastAsia="宋体" w:cs="Times New Roman"/>
      <w:b/>
      <w:bCs/>
    </w:rPr>
  </w:style>
  <w:style w:type="paragraph" w:styleId="39">
    <w:name w:val="Body Text First Indent"/>
    <w:basedOn w:val="15"/>
    <w:next w:val="1"/>
    <w:link w:val="123"/>
    <w:qFormat/>
    <w:uiPriority w:val="99"/>
    <w:pPr>
      <w:ind w:firstLine="420" w:firstLineChars="1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Table Theme"/>
    <w:basedOn w:val="40"/>
    <w:unhideWhenUsed/>
    <w:qFormat/>
    <w:uiPriority w:val="99"/>
    <w:pPr>
      <w:widowControl w:val="0"/>
      <w:jc w:val="both"/>
    </w:pPr>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unhideWhenUsed/>
    <w:qFormat/>
    <w:uiPriority w:val="99"/>
    <w:rPr>
      <w:color w:val="800080"/>
      <w:u w:val="single"/>
    </w:rPr>
  </w:style>
  <w:style w:type="character" w:styleId="47">
    <w:name w:val="Emphasis"/>
    <w:qFormat/>
    <w:uiPriority w:val="20"/>
    <w:rPr>
      <w:i/>
      <w:iCs/>
    </w:rPr>
  </w:style>
  <w:style w:type="character" w:styleId="48">
    <w:name w:val="Hyperlink"/>
    <w:qFormat/>
    <w:uiPriority w:val="99"/>
    <w:rPr>
      <w:color w:val="0000FF"/>
      <w:u w:val="single"/>
    </w:rPr>
  </w:style>
  <w:style w:type="character" w:styleId="49">
    <w:name w:val="HTML Code"/>
    <w:basedOn w:val="43"/>
    <w:qFormat/>
    <w:uiPriority w:val="0"/>
    <w:rPr>
      <w:rFonts w:ascii="Consolas" w:hAnsi="Consolas" w:eastAsia="Consolas" w:cs="Consolas"/>
      <w:color w:val="E83E8C"/>
      <w:sz w:val="21"/>
      <w:szCs w:val="21"/>
    </w:rPr>
  </w:style>
  <w:style w:type="character" w:styleId="50">
    <w:name w:val="annotation reference"/>
    <w:qFormat/>
    <w:uiPriority w:val="0"/>
    <w:rPr>
      <w:sz w:val="21"/>
      <w:szCs w:val="21"/>
    </w:rPr>
  </w:style>
  <w:style w:type="character" w:styleId="51">
    <w:name w:val="footnote reference"/>
    <w:basedOn w:val="43"/>
    <w:qFormat/>
    <w:uiPriority w:val="0"/>
    <w:rPr>
      <w:vertAlign w:val="superscript"/>
    </w:rPr>
  </w:style>
  <w:style w:type="character" w:styleId="52">
    <w:name w:val="HTML Keyboard"/>
    <w:basedOn w:val="43"/>
    <w:qFormat/>
    <w:uiPriority w:val="0"/>
    <w:rPr>
      <w:rFonts w:hint="default" w:ascii="Consolas" w:hAnsi="Consolas" w:eastAsia="Consolas" w:cs="Consolas"/>
      <w:color w:val="FFFFFF"/>
      <w:sz w:val="21"/>
      <w:szCs w:val="21"/>
      <w:shd w:val="clear" w:fill="212529"/>
    </w:rPr>
  </w:style>
  <w:style w:type="character" w:styleId="53">
    <w:name w:val="HTML Sample"/>
    <w:basedOn w:val="43"/>
    <w:qFormat/>
    <w:uiPriority w:val="0"/>
    <w:rPr>
      <w:rFonts w:hint="default" w:ascii="Consolas" w:hAnsi="Consolas" w:eastAsia="Consolas" w:cs="Consolas"/>
      <w:sz w:val="21"/>
      <w:szCs w:val="21"/>
    </w:rPr>
  </w:style>
  <w:style w:type="character" w:customStyle="1" w:styleId="54">
    <w:name w:val="标题 3 字符"/>
    <w:link w:val="7"/>
    <w:qFormat/>
    <w:uiPriority w:val="0"/>
    <w:rPr>
      <w:rFonts w:ascii="Times New Roman" w:hAnsi="Times New Roman" w:eastAsia="宋体"/>
      <w:b/>
      <w:sz w:val="28"/>
    </w:rPr>
  </w:style>
  <w:style w:type="paragraph" w:customStyle="1" w:styleId="55">
    <w:name w:val="一级标题"/>
    <w:basedOn w:val="5"/>
    <w:next w:val="6"/>
    <w:qFormat/>
    <w:uiPriority w:val="0"/>
    <w:pPr>
      <w:spacing w:line="240" w:lineRule="auto"/>
    </w:pPr>
    <w:rPr>
      <w:rFonts w:eastAsia="宋体"/>
      <w:sz w:val="32"/>
      <w:szCs w:val="32"/>
    </w:rPr>
  </w:style>
  <w:style w:type="paragraph" w:customStyle="1" w:styleId="56">
    <w:name w:val="二级标题报告书"/>
    <w:basedOn w:val="1"/>
    <w:next w:val="7"/>
    <w:qFormat/>
    <w:uiPriority w:val="0"/>
    <w:pPr>
      <w:spacing w:line="360" w:lineRule="auto"/>
    </w:pPr>
    <w:rPr>
      <w:rFonts w:ascii="Times New Roman" w:hAnsi="Times New Roman" w:eastAsia="宋体"/>
      <w:sz w:val="30"/>
      <w:szCs w:val="22"/>
    </w:rPr>
  </w:style>
  <w:style w:type="paragraph" w:customStyle="1" w:styleId="57">
    <w:name w:val="三级标题报告书"/>
    <w:basedOn w:val="7"/>
    <w:next w:val="1"/>
    <w:qFormat/>
    <w:uiPriority w:val="0"/>
    <w:rPr>
      <w:sz w:val="28"/>
      <w:szCs w:val="22"/>
    </w:rPr>
  </w:style>
  <w:style w:type="paragraph" w:customStyle="1" w:styleId="58">
    <w:name w:val="正文报告书"/>
    <w:basedOn w:val="15"/>
    <w:next w:val="1"/>
    <w:link w:val="65"/>
    <w:qFormat/>
    <w:uiPriority w:val="0"/>
    <w:pPr>
      <w:ind w:firstLine="643"/>
    </w:pPr>
    <w:rPr>
      <w:rFonts w:cs="Times New Roman"/>
      <w:sz w:val="24"/>
      <w:szCs w:val="20"/>
    </w:rPr>
  </w:style>
  <w:style w:type="paragraph" w:customStyle="1" w:styleId="59">
    <w:name w:val="正文1"/>
    <w:basedOn w:val="1"/>
    <w:next w:val="1"/>
    <w:qFormat/>
    <w:uiPriority w:val="0"/>
    <w:pPr>
      <w:spacing w:line="360" w:lineRule="auto"/>
      <w:ind w:firstLine="420" w:firstLineChars="200"/>
    </w:pPr>
    <w:rPr>
      <w:rFonts w:ascii="Times New Roman" w:hAnsi="Times New Roman" w:eastAsia="宋体"/>
      <w:sz w:val="28"/>
    </w:rPr>
  </w:style>
  <w:style w:type="paragraph" w:customStyle="1" w:styleId="60">
    <w:name w:val="表格报告书"/>
    <w:basedOn w:val="58"/>
    <w:next w:val="58"/>
    <w:link w:val="78"/>
    <w:qFormat/>
    <w:uiPriority w:val="0"/>
    <w:pPr>
      <w:spacing w:line="240" w:lineRule="auto"/>
      <w:ind w:firstLine="0" w:firstLineChars="0"/>
      <w:jc w:val="center"/>
    </w:pPr>
    <w:rPr>
      <w:sz w:val="21"/>
    </w:rPr>
  </w:style>
  <w:style w:type="paragraph" w:customStyle="1" w:styleId="61">
    <w:name w:val="样式1"/>
    <w:basedOn w:val="1"/>
    <w:qFormat/>
    <w:uiPriority w:val="0"/>
    <w:rPr>
      <w:rFonts w:ascii="Times New Roman" w:hAnsi="Times New Roman" w:eastAsia="仿宋"/>
      <w:sz w:val="28"/>
    </w:rPr>
  </w:style>
  <w:style w:type="paragraph" w:customStyle="1" w:styleId="62">
    <w:name w:val="表格标题"/>
    <w:basedOn w:val="1"/>
    <w:next w:val="60"/>
    <w:link w:val="63"/>
    <w:qFormat/>
    <w:uiPriority w:val="0"/>
    <w:pPr>
      <w:spacing w:line="360" w:lineRule="auto"/>
      <w:jc w:val="center"/>
    </w:pPr>
    <w:rPr>
      <w:rFonts w:ascii="Times New Roman" w:hAnsi="Times New Roman" w:eastAsia="宋体" w:cs="Times New Roman"/>
      <w:b/>
      <w:sz w:val="24"/>
      <w:szCs w:val="22"/>
    </w:rPr>
  </w:style>
  <w:style w:type="character" w:customStyle="1" w:styleId="63">
    <w:name w:val="表格标题 Char"/>
    <w:link w:val="62"/>
    <w:qFormat/>
    <w:uiPriority w:val="0"/>
    <w:rPr>
      <w:rFonts w:ascii="Times New Roman" w:hAnsi="Times New Roman" w:eastAsia="宋体" w:cs="Times New Roman"/>
      <w:b/>
      <w:sz w:val="24"/>
      <w:szCs w:val="22"/>
    </w:rPr>
  </w:style>
  <w:style w:type="paragraph" w:customStyle="1" w:styleId="64">
    <w:name w:val="报告表正文"/>
    <w:basedOn w:val="1"/>
    <w:qFormat/>
    <w:uiPriority w:val="0"/>
    <w:pPr>
      <w:spacing w:line="360" w:lineRule="auto"/>
    </w:pPr>
    <w:rPr>
      <w:rFonts w:ascii="Times New Roman" w:hAnsi="Times New Roman"/>
      <w:sz w:val="24"/>
    </w:rPr>
  </w:style>
  <w:style w:type="character" w:customStyle="1" w:styleId="65">
    <w:name w:val="正文报告书 Char"/>
    <w:link w:val="58"/>
    <w:qFormat/>
    <w:uiPriority w:val="0"/>
    <w:rPr>
      <w:rFonts w:ascii="Times New Roman" w:hAnsi="Times New Roman" w:eastAsia="宋体" w:cs="Times New Roman"/>
      <w:sz w:val="24"/>
      <w:szCs w:val="20"/>
    </w:rPr>
  </w:style>
  <w:style w:type="paragraph" w:customStyle="1" w:styleId="6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7">
    <w:name w:val="标题 4 字符1"/>
    <w:link w:val="8"/>
    <w:qFormat/>
    <w:uiPriority w:val="0"/>
    <w:rPr>
      <w:rFonts w:ascii="Times New Roman" w:hAnsi="Times New Roman" w:eastAsia="宋体" w:cstheme="minorBidi"/>
      <w:b/>
      <w:kern w:val="2"/>
      <w:sz w:val="24"/>
      <w:szCs w:val="24"/>
    </w:rPr>
  </w:style>
  <w:style w:type="character" w:customStyle="1" w:styleId="68">
    <w:name w:val="标题 1 Char"/>
    <w:qFormat/>
    <w:locked/>
    <w:uiPriority w:val="0"/>
    <w:rPr>
      <w:rFonts w:ascii="宋体" w:hAnsi="宋体" w:eastAsia="黑体" w:cs="宋体"/>
      <w:bCs/>
      <w:kern w:val="44"/>
      <w:sz w:val="24"/>
      <w:szCs w:val="44"/>
    </w:rPr>
  </w:style>
  <w:style w:type="character" w:customStyle="1" w:styleId="69">
    <w:name w:val="标题 2 Char"/>
    <w:qFormat/>
    <w:uiPriority w:val="0"/>
    <w:rPr>
      <w:rFonts w:ascii="宋体" w:hAnsi="宋体" w:eastAsia="黑体" w:cs="宋体"/>
      <w:bCs/>
      <w:sz w:val="24"/>
      <w:szCs w:val="32"/>
    </w:rPr>
  </w:style>
  <w:style w:type="character" w:customStyle="1" w:styleId="70">
    <w:name w:val="标题 3 Char"/>
    <w:qFormat/>
    <w:uiPriority w:val="0"/>
    <w:rPr>
      <w:rFonts w:ascii="宋体" w:hAnsi="宋体" w:cs="宋体"/>
      <w:bCs/>
      <w:sz w:val="24"/>
      <w:szCs w:val="32"/>
    </w:rPr>
  </w:style>
  <w:style w:type="character" w:customStyle="1" w:styleId="71">
    <w:name w:val="正文文本 Char"/>
    <w:qFormat/>
    <w:uiPriority w:val="0"/>
    <w:rPr>
      <w:szCs w:val="24"/>
    </w:rPr>
  </w:style>
  <w:style w:type="paragraph" w:customStyle="1" w:styleId="72">
    <w:name w:val="Date1"/>
    <w:basedOn w:val="1"/>
    <w:next w:val="1"/>
    <w:qFormat/>
    <w:uiPriority w:val="0"/>
    <w:pPr>
      <w:adjustRightInd w:val="0"/>
      <w:jc w:val="left"/>
      <w:textAlignment w:val="baseline"/>
    </w:pPr>
    <w:rPr>
      <w:rFonts w:ascii="宋体" w:hAnsi="宋体"/>
      <w:sz w:val="28"/>
      <w:szCs w:val="20"/>
    </w:rPr>
  </w:style>
  <w:style w:type="paragraph" w:customStyle="1" w:styleId="73">
    <w:name w:val="四级条标题"/>
    <w:next w:val="74"/>
    <w:qFormat/>
    <w:uiPriority w:val="0"/>
    <w:pPr>
      <w:tabs>
        <w:tab w:val="left" w:pos="1260"/>
        <w:tab w:val="left" w:pos="1680"/>
      </w:tabs>
      <w:jc w:val="both"/>
      <w:outlineLvl w:val="5"/>
    </w:pPr>
    <w:rPr>
      <w:rFonts w:ascii="黑体" w:hAnsi="Times New Roman" w:eastAsia="黑体" w:cs="Times New Roman"/>
      <w:sz w:val="21"/>
      <w:lang w:val="en-US" w:eastAsia="zh-CN" w:bidi="ar-SA"/>
    </w:rPr>
  </w:style>
  <w:style w:type="paragraph" w:customStyle="1" w:styleId="74">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75">
    <w:name w:val="标题 2 字符"/>
    <w:link w:val="6"/>
    <w:qFormat/>
    <w:uiPriority w:val="0"/>
    <w:rPr>
      <w:rFonts w:ascii="Times New Roman" w:hAnsi="Times New Roman" w:eastAsia="宋体"/>
      <w:b/>
      <w:sz w:val="32"/>
    </w:rPr>
  </w:style>
  <w:style w:type="character" w:customStyle="1" w:styleId="76">
    <w:name w:val="px141"/>
    <w:qFormat/>
    <w:uiPriority w:val="0"/>
    <w:rPr>
      <w:sz w:val="28"/>
      <w:szCs w:val="28"/>
    </w:rPr>
  </w:style>
  <w:style w:type="character" w:customStyle="1" w:styleId="77">
    <w:name w:val="不明显强调1"/>
    <w:qFormat/>
    <w:uiPriority w:val="19"/>
    <w:rPr>
      <w:i/>
      <w:iCs/>
      <w:color w:val="404040"/>
    </w:rPr>
  </w:style>
  <w:style w:type="character" w:customStyle="1" w:styleId="78">
    <w:name w:val="表格报告书 Char"/>
    <w:link w:val="60"/>
    <w:qFormat/>
    <w:uiPriority w:val="0"/>
    <w:rPr>
      <w:rFonts w:ascii="Times New Roman" w:hAnsi="Times New Roman" w:eastAsia="宋体"/>
      <w:sz w:val="21"/>
    </w:rPr>
  </w:style>
  <w:style w:type="paragraph" w:customStyle="1" w:styleId="79">
    <w:name w:val="表格正文"/>
    <w:basedOn w:val="1"/>
    <w:qFormat/>
    <w:uiPriority w:val="0"/>
    <w:pPr>
      <w:adjustRightInd w:val="0"/>
      <w:snapToGrid w:val="0"/>
      <w:spacing w:line="0" w:lineRule="atLeast"/>
      <w:jc w:val="center"/>
    </w:pPr>
    <w:rPr>
      <w:kern w:val="0"/>
      <w:sz w:val="20"/>
      <w:szCs w:val="21"/>
      <w:lang w:val="zh-CN"/>
    </w:rPr>
  </w:style>
  <w:style w:type="paragraph" w:customStyle="1" w:styleId="80">
    <w:name w:val="文章正文"/>
    <w:basedOn w:val="1"/>
    <w:qFormat/>
    <w:uiPriority w:val="0"/>
    <w:pPr>
      <w:spacing w:beforeLines="50" w:afterLines="50" w:line="360" w:lineRule="auto"/>
      <w:ind w:firstLine="480" w:firstLineChars="200"/>
    </w:pPr>
    <w:rPr>
      <w:rFonts w:ascii="宋体" w:hAnsi="宋体" w:cs="宋体"/>
      <w:sz w:val="24"/>
    </w:rPr>
  </w:style>
  <w:style w:type="paragraph" w:customStyle="1" w:styleId="81">
    <w:name w:val="样式 样式 行距: 1.5 倍行距 + 首行缩进:  2 字符"/>
    <w:basedOn w:val="1"/>
    <w:link w:val="151"/>
    <w:qFormat/>
    <w:uiPriority w:val="0"/>
    <w:pPr>
      <w:adjustRightInd w:val="0"/>
      <w:snapToGrid w:val="0"/>
      <w:spacing w:line="360" w:lineRule="auto"/>
      <w:ind w:firstLine="480" w:firstLineChars="200"/>
    </w:pPr>
    <w:rPr>
      <w:rFonts w:ascii="宋体" w:hAnsi="宋体"/>
      <w:sz w:val="24"/>
    </w:rPr>
  </w:style>
  <w:style w:type="paragraph" w:customStyle="1" w:styleId="82">
    <w:name w:val="标题二"/>
    <w:basedOn w:val="1"/>
    <w:link w:val="107"/>
    <w:qFormat/>
    <w:uiPriority w:val="0"/>
  </w:style>
  <w:style w:type="paragraph" w:customStyle="1" w:styleId="83">
    <w:name w:val="新4级标题"/>
    <w:basedOn w:val="1"/>
    <w:qFormat/>
    <w:uiPriority w:val="0"/>
    <w:pPr>
      <w:adjustRightInd w:val="0"/>
      <w:snapToGrid w:val="0"/>
      <w:spacing w:line="360" w:lineRule="auto"/>
      <w:outlineLvl w:val="3"/>
    </w:pPr>
    <w:rPr>
      <w:rFonts w:eastAsia="黑体"/>
      <w:kern w:val="0"/>
      <w:sz w:val="24"/>
      <w:szCs w:val="20"/>
    </w:rPr>
  </w:style>
  <w:style w:type="paragraph" w:styleId="84">
    <w:name w:val="No Spacing"/>
    <w:basedOn w:val="1"/>
    <w:next w:val="1"/>
    <w:qFormat/>
    <w:uiPriority w:val="0"/>
    <w:pPr>
      <w:autoSpaceDN w:val="0"/>
      <w:adjustRightInd w:val="0"/>
      <w:snapToGrid w:val="0"/>
    </w:pPr>
    <w:rPr>
      <w:szCs w:val="22"/>
    </w:rPr>
  </w:style>
  <w:style w:type="paragraph" w:customStyle="1" w:styleId="85">
    <w:name w:val="新表格正文"/>
    <w:basedOn w:val="1"/>
    <w:qFormat/>
    <w:uiPriority w:val="0"/>
    <w:pPr>
      <w:jc w:val="center"/>
    </w:pPr>
    <w:rPr>
      <w:kern w:val="0"/>
      <w:sz w:val="20"/>
      <w:szCs w:val="21"/>
      <w:lang w:val="zh-CN"/>
    </w:rPr>
  </w:style>
  <w:style w:type="paragraph" w:customStyle="1" w:styleId="86">
    <w:name w:val="Table Paragraph"/>
    <w:basedOn w:val="1"/>
    <w:qFormat/>
    <w:uiPriority w:val="1"/>
    <w:pPr>
      <w:autoSpaceDE w:val="0"/>
      <w:autoSpaceDN w:val="0"/>
      <w:jc w:val="center"/>
    </w:pPr>
    <w:rPr>
      <w:rFonts w:eastAsia="Times New Roman"/>
      <w:kern w:val="0"/>
      <w:sz w:val="22"/>
      <w:szCs w:val="22"/>
      <w:lang w:eastAsia="en-US"/>
    </w:rPr>
  </w:style>
  <w:style w:type="paragraph" w:customStyle="1" w:styleId="87">
    <w:name w:val="表格正文0524"/>
    <w:basedOn w:val="85"/>
    <w:qFormat/>
    <w:uiPriority w:val="0"/>
    <w:rPr>
      <w:kern w:val="2"/>
      <w:sz w:val="21"/>
    </w:rPr>
  </w:style>
  <w:style w:type="paragraph" w:customStyle="1" w:styleId="88">
    <w:name w:val="新3级标题"/>
    <w:basedOn w:val="1"/>
    <w:qFormat/>
    <w:uiPriority w:val="0"/>
    <w:pPr>
      <w:adjustRightInd w:val="0"/>
      <w:snapToGrid w:val="0"/>
      <w:spacing w:line="360" w:lineRule="auto"/>
      <w:outlineLvl w:val="2"/>
    </w:pPr>
    <w:rPr>
      <w:rFonts w:eastAsia="黑体"/>
      <w:sz w:val="28"/>
      <w:szCs w:val="28"/>
    </w:rPr>
  </w:style>
  <w:style w:type="paragraph" w:customStyle="1" w:styleId="89">
    <w:name w:val="自定正文"/>
    <w:basedOn w:val="1"/>
    <w:qFormat/>
    <w:uiPriority w:val="0"/>
    <w:pPr>
      <w:snapToGrid w:val="0"/>
      <w:spacing w:line="360" w:lineRule="auto"/>
      <w:ind w:firstLine="200" w:firstLineChars="200"/>
      <w:textAlignment w:val="center"/>
    </w:pPr>
    <w:rPr>
      <w:rFonts w:ascii="Arial" w:hAnsi="Arial"/>
      <w:color w:val="000000"/>
      <w:sz w:val="24"/>
    </w:rPr>
  </w:style>
  <w:style w:type="paragraph" w:customStyle="1" w:styleId="90">
    <w:name w:val="报告正文"/>
    <w:basedOn w:val="1"/>
    <w:link w:val="171"/>
    <w:qFormat/>
    <w:uiPriority w:val="0"/>
    <w:pPr>
      <w:adjustRightInd w:val="0"/>
      <w:snapToGrid w:val="0"/>
      <w:spacing w:line="360" w:lineRule="auto"/>
      <w:ind w:firstLine="200" w:firstLineChars="200"/>
    </w:pPr>
    <w:rPr>
      <w:rFonts w:ascii="宋体"/>
      <w:sz w:val="24"/>
      <w:szCs w:val="20"/>
    </w:rPr>
  </w:style>
  <w:style w:type="paragraph" w:customStyle="1" w:styleId="91">
    <w:name w:val="表格文字"/>
    <w:basedOn w:val="39"/>
    <w:next w:val="1"/>
    <w:link w:val="142"/>
    <w:qFormat/>
    <w:uiPriority w:val="0"/>
    <w:pPr>
      <w:adjustRightInd w:val="0"/>
      <w:snapToGrid w:val="0"/>
      <w:spacing w:after="0"/>
      <w:ind w:firstLine="0" w:firstLineChars="0"/>
      <w:jc w:val="center"/>
    </w:pPr>
    <w:rPr>
      <w:szCs w:val="20"/>
    </w:rPr>
  </w:style>
  <w:style w:type="paragraph" w:customStyle="1" w:styleId="92">
    <w:name w:val="表头字体"/>
    <w:basedOn w:val="1"/>
    <w:next w:val="1"/>
    <w:qFormat/>
    <w:uiPriority w:val="0"/>
    <w:pPr>
      <w:jc w:val="center"/>
    </w:pPr>
    <w:rPr>
      <w:rFonts w:eastAsia="黑体"/>
      <w:b/>
      <w:sz w:val="24"/>
    </w:rPr>
  </w:style>
  <w:style w:type="paragraph" w:customStyle="1" w:styleId="93">
    <w:name w:val="图片格式"/>
    <w:basedOn w:val="1"/>
    <w:qFormat/>
    <w:uiPriority w:val="0"/>
    <w:pPr>
      <w:jc w:val="center"/>
    </w:pPr>
    <w:rPr>
      <w:rFonts w:cs="宋体"/>
      <w:sz w:val="24"/>
    </w:rPr>
  </w:style>
  <w:style w:type="character" w:customStyle="1" w:styleId="94">
    <w:name w:val="font21"/>
    <w:basedOn w:val="43"/>
    <w:qFormat/>
    <w:uiPriority w:val="0"/>
    <w:rPr>
      <w:rFonts w:hint="eastAsia" w:ascii="宋体" w:hAnsi="宋体" w:eastAsia="宋体" w:cs="宋体"/>
      <w:color w:val="000000"/>
      <w:sz w:val="21"/>
      <w:szCs w:val="21"/>
      <w:u w:val="none"/>
      <w:vertAlign w:val="subscript"/>
    </w:rPr>
  </w:style>
  <w:style w:type="character" w:customStyle="1" w:styleId="95">
    <w:name w:val="font11"/>
    <w:basedOn w:val="43"/>
    <w:qFormat/>
    <w:uiPriority w:val="0"/>
    <w:rPr>
      <w:rFonts w:hint="default" w:ascii="Times New Roman" w:hAnsi="Times New Roman" w:cs="Times New Roman"/>
      <w:color w:val="000000"/>
      <w:sz w:val="21"/>
      <w:szCs w:val="21"/>
      <w:u w:val="none"/>
      <w:vertAlign w:val="subscript"/>
    </w:rPr>
  </w:style>
  <w:style w:type="character" w:customStyle="1" w:styleId="96">
    <w:name w:val="font41"/>
    <w:basedOn w:val="43"/>
    <w:qFormat/>
    <w:uiPriority w:val="0"/>
    <w:rPr>
      <w:rFonts w:hint="default" w:ascii="Times New Roman" w:hAnsi="Times New Roman" w:cs="Times New Roman"/>
      <w:color w:val="000000"/>
      <w:sz w:val="21"/>
      <w:szCs w:val="21"/>
      <w:u w:val="none"/>
    </w:rPr>
  </w:style>
  <w:style w:type="paragraph" w:customStyle="1" w:styleId="97">
    <w:name w:val="WPSOffice手动目录 1"/>
    <w:qFormat/>
    <w:uiPriority w:val="0"/>
    <w:rPr>
      <w:rFonts w:ascii="Times New Roman" w:hAnsi="Times New Roman" w:eastAsia="宋体" w:cs="Times New Roman"/>
      <w:lang w:val="en-US" w:eastAsia="zh-CN" w:bidi="ar-SA"/>
    </w:rPr>
  </w:style>
  <w:style w:type="paragraph" w:customStyle="1" w:styleId="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00">
    <w:name w:val="Other|1"/>
    <w:basedOn w:val="1"/>
    <w:qFormat/>
    <w:uiPriority w:val="0"/>
    <w:pPr>
      <w:jc w:val="center"/>
    </w:pPr>
    <w:rPr>
      <w:sz w:val="20"/>
      <w:szCs w:val="20"/>
      <w:lang w:val="zh-TW" w:eastAsia="zh-TW" w:bidi="zh-TW"/>
    </w:rPr>
  </w:style>
  <w:style w:type="table" w:customStyle="1" w:styleId="101">
    <w:name w:val="普通表格1"/>
    <w:qFormat/>
    <w:uiPriority w:val="0"/>
    <w:rPr>
      <w:rFonts w:hAnsi="Calibri"/>
      <w:sz w:val="21"/>
      <w:szCs w:val="22"/>
    </w:rPr>
    <w:tblPr>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
  </w:style>
  <w:style w:type="character" w:customStyle="1" w:styleId="102">
    <w:name w:val="批注框文本 字符"/>
    <w:basedOn w:val="43"/>
    <w:link w:val="24"/>
    <w:qFormat/>
    <w:uiPriority w:val="0"/>
    <w:rPr>
      <w:rFonts w:asciiTheme="minorHAnsi" w:hAnsiTheme="minorHAnsi" w:eastAsiaTheme="minorEastAsia" w:cstheme="minorBidi"/>
      <w:kern w:val="2"/>
      <w:sz w:val="18"/>
      <w:szCs w:val="18"/>
    </w:rPr>
  </w:style>
  <w:style w:type="paragraph" w:customStyle="1" w:styleId="103">
    <w:name w:val="标题1"/>
    <w:basedOn w:val="1"/>
    <w:next w:val="1"/>
    <w:link w:val="137"/>
    <w:qFormat/>
    <w:uiPriority w:val="0"/>
    <w:pPr>
      <w:widowControl/>
      <w:numPr>
        <w:ilvl w:val="0"/>
        <w:numId w:val="1"/>
      </w:numPr>
      <w:spacing w:before="120" w:beforeLines="50" w:after="120" w:afterLines="50" w:line="360" w:lineRule="auto"/>
      <w:jc w:val="center"/>
      <w:outlineLvl w:val="0"/>
    </w:pPr>
    <w:rPr>
      <w:rFonts w:ascii="Times New Roman" w:hAnsi="Times New Roman" w:eastAsia="宋体" w:cs="Times New Roman"/>
      <w:b/>
      <w:sz w:val="32"/>
      <w:szCs w:val="32"/>
    </w:rPr>
  </w:style>
  <w:style w:type="paragraph" w:styleId="104">
    <w:name w:val="List Paragraph"/>
    <w:basedOn w:val="1"/>
    <w:qFormat/>
    <w:uiPriority w:val="34"/>
    <w:pPr>
      <w:ind w:firstLine="420" w:firstLineChars="200"/>
    </w:pPr>
  </w:style>
  <w:style w:type="character" w:customStyle="1" w:styleId="105">
    <w:name w:val="标题 6 字符"/>
    <w:basedOn w:val="43"/>
    <w:qFormat/>
    <w:uiPriority w:val="0"/>
    <w:rPr>
      <w:rFonts w:asciiTheme="majorHAnsi" w:hAnsiTheme="majorHAnsi" w:eastAsiaTheme="majorEastAsia" w:cstheme="majorBidi"/>
      <w:b/>
      <w:bCs/>
      <w:kern w:val="2"/>
      <w:sz w:val="24"/>
      <w:szCs w:val="24"/>
    </w:rPr>
  </w:style>
  <w:style w:type="character" w:customStyle="1" w:styleId="106">
    <w:name w:val="标题 6 字符1"/>
    <w:link w:val="10"/>
    <w:qFormat/>
    <w:uiPriority w:val="0"/>
    <w:rPr>
      <w:rFonts w:ascii="Cambria" w:hAnsi="Cambria"/>
      <w:b/>
      <w:bCs/>
      <w:sz w:val="24"/>
      <w:szCs w:val="24"/>
    </w:rPr>
  </w:style>
  <w:style w:type="character" w:customStyle="1" w:styleId="107">
    <w:name w:val="标题二 Char"/>
    <w:link w:val="82"/>
    <w:qFormat/>
    <w:uiPriority w:val="0"/>
    <w:rPr>
      <w:rFonts w:asciiTheme="minorHAnsi" w:hAnsiTheme="minorHAnsi" w:eastAsiaTheme="minorEastAsia" w:cstheme="minorBidi"/>
      <w:kern w:val="2"/>
      <w:sz w:val="21"/>
      <w:szCs w:val="24"/>
    </w:rPr>
  </w:style>
  <w:style w:type="character" w:customStyle="1" w:styleId="108">
    <w:name w:val="纯文本 字符2"/>
    <w:link w:val="20"/>
    <w:qFormat/>
    <w:uiPriority w:val="0"/>
    <w:rPr>
      <w:rFonts w:ascii="宋体" w:hAnsi="Courier New" w:eastAsiaTheme="minorEastAsia" w:cstheme="minorBidi"/>
      <w:kern w:val="2"/>
      <w:sz w:val="21"/>
      <w:szCs w:val="21"/>
    </w:rPr>
  </w:style>
  <w:style w:type="character" w:customStyle="1" w:styleId="109">
    <w:name w:val="报告 Char"/>
    <w:link w:val="110"/>
    <w:qFormat/>
    <w:locked/>
    <w:uiPriority w:val="0"/>
    <w:rPr>
      <w:sz w:val="24"/>
    </w:rPr>
  </w:style>
  <w:style w:type="paragraph" w:customStyle="1" w:styleId="110">
    <w:name w:val="报告"/>
    <w:basedOn w:val="1"/>
    <w:link w:val="109"/>
    <w:qFormat/>
    <w:uiPriority w:val="0"/>
    <w:pPr>
      <w:widowControl/>
      <w:overflowPunct w:val="0"/>
      <w:autoSpaceDE w:val="0"/>
      <w:autoSpaceDN w:val="0"/>
      <w:adjustRightInd w:val="0"/>
      <w:spacing w:before="120" w:after="120" w:line="400" w:lineRule="atLeast"/>
      <w:ind w:left="840" w:leftChars="400"/>
      <w:jc w:val="left"/>
      <w:textAlignment w:val="baseline"/>
    </w:pPr>
    <w:rPr>
      <w:rFonts w:ascii="Times New Roman" w:hAnsi="Times New Roman" w:eastAsia="宋体" w:cs="Times New Roman"/>
      <w:kern w:val="0"/>
      <w:sz w:val="24"/>
      <w:szCs w:val="20"/>
    </w:rPr>
  </w:style>
  <w:style w:type="character" w:customStyle="1" w:styleId="111">
    <w:name w:val="正文文本2"/>
    <w:qFormat/>
    <w:uiPriority w:val="0"/>
    <w:rPr>
      <w:rFonts w:ascii="MingLiU" w:hAnsi="MingLiU" w:eastAsia="MingLiU" w:cs="MingLiU"/>
      <w:color w:val="000000"/>
      <w:spacing w:val="0"/>
      <w:w w:val="100"/>
      <w:position w:val="0"/>
      <w:sz w:val="19"/>
      <w:szCs w:val="19"/>
      <w:u w:val="none"/>
      <w:lang w:val="zh-TW"/>
    </w:rPr>
  </w:style>
  <w:style w:type="character" w:customStyle="1" w:styleId="112">
    <w:name w:val="Body text + SimHei"/>
    <w:qFormat/>
    <w:uiPriority w:val="0"/>
    <w:rPr>
      <w:rFonts w:ascii="黑体" w:hAnsi="黑体" w:eastAsia="黑体" w:cs="黑体"/>
      <w:color w:val="000000"/>
      <w:spacing w:val="-40"/>
      <w:w w:val="100"/>
      <w:position w:val="0"/>
      <w:sz w:val="20"/>
      <w:szCs w:val="20"/>
      <w:u w:val="none"/>
      <w:shd w:val="clear" w:color="auto" w:fill="FFFFFF"/>
      <w:lang w:val="en-US"/>
    </w:rPr>
  </w:style>
  <w:style w:type="character" w:customStyle="1" w:styleId="113">
    <w:name w:val="表格11 Char"/>
    <w:qFormat/>
    <w:uiPriority w:val="0"/>
    <w:rPr>
      <w:rFonts w:eastAsia="宋体"/>
      <w:kern w:val="18"/>
      <w:sz w:val="21"/>
      <w:szCs w:val="18"/>
      <w:lang w:val="en-US" w:eastAsia="zh-CN" w:bidi="ar-SA"/>
    </w:rPr>
  </w:style>
  <w:style w:type="character" w:customStyle="1" w:styleId="114">
    <w:name w:val="标题 1 字符1"/>
    <w:link w:val="5"/>
    <w:qFormat/>
    <w:locked/>
    <w:uiPriority w:val="0"/>
    <w:rPr>
      <w:rFonts w:eastAsiaTheme="minorEastAsia" w:cstheme="minorBidi"/>
      <w:b/>
      <w:kern w:val="44"/>
      <w:sz w:val="36"/>
      <w:szCs w:val="24"/>
    </w:rPr>
  </w:style>
  <w:style w:type="character" w:customStyle="1" w:styleId="115">
    <w:name w:val="表文 Char Char"/>
    <w:link w:val="116"/>
    <w:qFormat/>
    <w:locked/>
    <w:uiPriority w:val="0"/>
    <w:rPr>
      <w:rFonts w:ascii="宋体" w:hAnsi="宋体"/>
      <w:kern w:val="10"/>
      <w:sz w:val="21"/>
    </w:rPr>
  </w:style>
  <w:style w:type="paragraph" w:customStyle="1" w:styleId="116">
    <w:name w:val="表文"/>
    <w:basedOn w:val="1"/>
    <w:link w:val="115"/>
    <w:qFormat/>
    <w:uiPriority w:val="0"/>
    <w:pPr>
      <w:widowControl/>
      <w:tabs>
        <w:tab w:val="left" w:pos="1021"/>
      </w:tabs>
      <w:jc w:val="center"/>
    </w:pPr>
    <w:rPr>
      <w:rFonts w:ascii="宋体" w:hAnsi="宋体" w:eastAsia="宋体" w:cs="Times New Roman"/>
      <w:kern w:val="10"/>
      <w:szCs w:val="20"/>
    </w:rPr>
  </w:style>
  <w:style w:type="character" w:customStyle="1" w:styleId="117">
    <w:name w:val="正文文本缩进 2 字符2"/>
    <w:link w:val="23"/>
    <w:qFormat/>
    <w:uiPriority w:val="0"/>
    <w:rPr>
      <w:kern w:val="2"/>
      <w:sz w:val="21"/>
      <w:szCs w:val="24"/>
    </w:rPr>
  </w:style>
  <w:style w:type="character" w:customStyle="1" w:styleId="118">
    <w:name w:val="表文字 Char Char"/>
    <w:qFormat/>
    <w:locked/>
    <w:uiPriority w:val="0"/>
    <w:rPr>
      <w:rFonts w:eastAsia="宋体"/>
      <w:sz w:val="24"/>
      <w:lang w:val="en-US" w:eastAsia="zh-CN" w:bidi="ar-SA"/>
    </w:rPr>
  </w:style>
  <w:style w:type="character" w:customStyle="1" w:styleId="119">
    <w:name w:val="批注框文本 Char"/>
    <w:qFormat/>
    <w:uiPriority w:val="0"/>
    <w:rPr>
      <w:kern w:val="2"/>
      <w:sz w:val="18"/>
      <w:szCs w:val="18"/>
    </w:rPr>
  </w:style>
  <w:style w:type="character" w:customStyle="1" w:styleId="120">
    <w:name w:val="Body text_"/>
    <w:link w:val="121"/>
    <w:qFormat/>
    <w:uiPriority w:val="0"/>
    <w:rPr>
      <w:rFonts w:ascii="MingLiU" w:hAnsi="MingLiU" w:eastAsia="MingLiU" w:cs="MingLiU"/>
      <w:sz w:val="19"/>
      <w:szCs w:val="19"/>
      <w:shd w:val="clear" w:color="auto" w:fill="FFFFFF"/>
    </w:rPr>
  </w:style>
  <w:style w:type="paragraph" w:customStyle="1" w:styleId="121">
    <w:name w:val="正文文本5"/>
    <w:basedOn w:val="1"/>
    <w:link w:val="120"/>
    <w:qFormat/>
    <w:uiPriority w:val="0"/>
    <w:pPr>
      <w:shd w:val="clear" w:color="auto" w:fill="FFFFFF"/>
      <w:spacing w:after="960" w:line="0" w:lineRule="atLeast"/>
      <w:jc w:val="center"/>
    </w:pPr>
    <w:rPr>
      <w:rFonts w:ascii="MingLiU" w:hAnsi="MingLiU" w:eastAsia="MingLiU" w:cs="MingLiU"/>
      <w:kern w:val="0"/>
      <w:sz w:val="19"/>
      <w:szCs w:val="19"/>
    </w:rPr>
  </w:style>
  <w:style w:type="character" w:customStyle="1" w:styleId="122">
    <w:name w:val="批注主题 字符1"/>
    <w:link w:val="38"/>
    <w:qFormat/>
    <w:uiPriority w:val="0"/>
    <w:rPr>
      <w:b/>
      <w:bCs/>
      <w:kern w:val="2"/>
      <w:sz w:val="21"/>
      <w:szCs w:val="24"/>
    </w:rPr>
  </w:style>
  <w:style w:type="character" w:customStyle="1" w:styleId="123">
    <w:name w:val="正文文本首行缩进 字符2"/>
    <w:link w:val="39"/>
    <w:qFormat/>
    <w:uiPriority w:val="99"/>
    <w:rPr>
      <w:rFonts w:asciiTheme="minorHAnsi" w:hAnsiTheme="minorHAnsi" w:eastAsiaTheme="minorEastAsia" w:cstheme="minorBidi"/>
      <w:kern w:val="2"/>
      <w:sz w:val="21"/>
      <w:szCs w:val="24"/>
    </w:rPr>
  </w:style>
  <w:style w:type="character" w:customStyle="1" w:styleId="124">
    <w:name w:val="正文缩进 Char1"/>
    <w:qFormat/>
    <w:uiPriority w:val="0"/>
    <w:rPr>
      <w:rFonts w:eastAsia="宋体"/>
      <w:kern w:val="2"/>
      <w:sz w:val="21"/>
      <w:szCs w:val="24"/>
      <w:lang w:val="en-US" w:eastAsia="zh-CN" w:bidi="ar-SA"/>
    </w:rPr>
  </w:style>
  <w:style w:type="character" w:customStyle="1" w:styleId="125">
    <w:name w:val="Char Char5"/>
    <w:qFormat/>
    <w:locked/>
    <w:uiPriority w:val="0"/>
    <w:rPr>
      <w:rFonts w:ascii="宋体" w:hAnsi="宋体" w:eastAsia="宋体"/>
      <w:b/>
      <w:kern w:val="2"/>
      <w:sz w:val="24"/>
      <w:szCs w:val="24"/>
      <w:lang w:val="en-US" w:eastAsia="zh-CN" w:bidi="ar-SA"/>
    </w:rPr>
  </w:style>
  <w:style w:type="character" w:customStyle="1" w:styleId="126">
    <w:name w:val="文档结构图 字符2"/>
    <w:link w:val="13"/>
    <w:qFormat/>
    <w:uiPriority w:val="0"/>
    <w:rPr>
      <w:kern w:val="2"/>
      <w:sz w:val="21"/>
      <w:szCs w:val="24"/>
      <w:shd w:val="clear" w:color="auto" w:fill="000080"/>
    </w:rPr>
  </w:style>
  <w:style w:type="character" w:customStyle="1" w:styleId="127">
    <w:name w:val="正文文本首行缩进 2 字符2"/>
    <w:link w:val="3"/>
    <w:qFormat/>
    <w:uiPriority w:val="99"/>
    <w:rPr>
      <w:rFonts w:asciiTheme="minorHAnsi" w:hAnsiTheme="minorHAnsi" w:eastAsiaTheme="minorEastAsia" w:cstheme="minorBidi"/>
      <w:kern w:val="2"/>
      <w:sz w:val="21"/>
      <w:szCs w:val="24"/>
    </w:rPr>
  </w:style>
  <w:style w:type="character" w:customStyle="1" w:styleId="128">
    <w:name w:val="HTML 预设格式 字符2"/>
    <w:link w:val="34"/>
    <w:qFormat/>
    <w:uiPriority w:val="0"/>
    <w:rPr>
      <w:rFonts w:ascii="Courier New" w:hAnsi="Courier New"/>
    </w:rPr>
  </w:style>
  <w:style w:type="character" w:customStyle="1" w:styleId="129">
    <w:name w:val="ask-title"/>
    <w:basedOn w:val="43"/>
    <w:qFormat/>
    <w:uiPriority w:val="0"/>
  </w:style>
  <w:style w:type="character" w:customStyle="1" w:styleId="130">
    <w:name w:val="Body text + 10 pt"/>
    <w:qFormat/>
    <w:uiPriority w:val="0"/>
    <w:rPr>
      <w:rFonts w:ascii="MingLiU" w:hAnsi="MingLiU" w:eastAsia="MingLiU" w:cs="MingLiU"/>
      <w:color w:val="000000"/>
      <w:spacing w:val="0"/>
      <w:w w:val="100"/>
      <w:position w:val="0"/>
      <w:sz w:val="20"/>
      <w:szCs w:val="20"/>
      <w:u w:val="none"/>
      <w:shd w:val="clear" w:color="auto" w:fill="FFFFFF"/>
    </w:rPr>
  </w:style>
  <w:style w:type="character" w:customStyle="1" w:styleId="131">
    <w:name w:val="正文缩进 字符1"/>
    <w:link w:val="2"/>
    <w:qFormat/>
    <w:uiPriority w:val="0"/>
    <w:rPr>
      <w:rFonts w:ascii="宋体" w:hAnsi="宋体" w:eastAsiaTheme="minorEastAsia" w:cstheme="minorBidi"/>
      <w:snapToGrid w:val="0"/>
      <w:sz w:val="24"/>
    </w:rPr>
  </w:style>
  <w:style w:type="character" w:customStyle="1" w:styleId="132">
    <w:name w:val="标准条文 Char Char"/>
    <w:link w:val="133"/>
    <w:qFormat/>
    <w:uiPriority w:val="0"/>
    <w:rPr>
      <w:bCs/>
      <w:kern w:val="2"/>
      <w:sz w:val="21"/>
      <w:szCs w:val="24"/>
    </w:rPr>
  </w:style>
  <w:style w:type="paragraph" w:customStyle="1" w:styleId="133">
    <w:name w:val="标准条文"/>
    <w:link w:val="132"/>
    <w:qFormat/>
    <w:uiPriority w:val="0"/>
    <w:pPr>
      <w:tabs>
        <w:tab w:val="left" w:pos="6096"/>
      </w:tabs>
      <w:adjustRightInd w:val="0"/>
      <w:ind w:right="-143" w:rightChars="-68" w:firstLine="567" w:firstLineChars="270"/>
    </w:pPr>
    <w:rPr>
      <w:rFonts w:ascii="Times New Roman" w:hAnsi="Times New Roman" w:eastAsia="宋体" w:cs="Times New Roman"/>
      <w:bCs/>
      <w:kern w:val="2"/>
      <w:sz w:val="21"/>
      <w:szCs w:val="24"/>
      <w:lang w:val="en-US" w:eastAsia="zh-CN" w:bidi="ar-SA"/>
    </w:rPr>
  </w:style>
  <w:style w:type="character" w:customStyle="1" w:styleId="134">
    <w:name w:val="表头 Char"/>
    <w:qFormat/>
    <w:uiPriority w:val="0"/>
    <w:rPr>
      <w:rFonts w:eastAsia="宋体"/>
      <w:b/>
      <w:bCs/>
      <w:kern w:val="2"/>
      <w:sz w:val="24"/>
      <w:szCs w:val="24"/>
      <w:lang w:val="en-US" w:eastAsia="zh-CN" w:bidi="ar-SA"/>
    </w:rPr>
  </w:style>
  <w:style w:type="character" w:customStyle="1" w:styleId="135">
    <w:name w:val="表格11 Char Char"/>
    <w:link w:val="136"/>
    <w:qFormat/>
    <w:uiPriority w:val="0"/>
    <w:rPr>
      <w:kern w:val="18"/>
      <w:sz w:val="21"/>
      <w:szCs w:val="18"/>
    </w:rPr>
  </w:style>
  <w:style w:type="paragraph" w:customStyle="1" w:styleId="136">
    <w:name w:val="表格11"/>
    <w:basedOn w:val="1"/>
    <w:next w:val="1"/>
    <w:link w:val="135"/>
    <w:qFormat/>
    <w:uiPriority w:val="0"/>
    <w:pPr>
      <w:widowControl/>
      <w:snapToGrid w:val="0"/>
      <w:spacing w:line="240" w:lineRule="atLeast"/>
      <w:jc w:val="center"/>
    </w:pPr>
    <w:rPr>
      <w:rFonts w:ascii="Times New Roman" w:hAnsi="Times New Roman" w:eastAsia="宋体" w:cs="Times New Roman"/>
      <w:kern w:val="18"/>
      <w:szCs w:val="18"/>
    </w:rPr>
  </w:style>
  <w:style w:type="character" w:customStyle="1" w:styleId="137">
    <w:name w:val="标题1 Char"/>
    <w:link w:val="103"/>
    <w:qFormat/>
    <w:uiPriority w:val="0"/>
    <w:rPr>
      <w:b/>
      <w:kern w:val="2"/>
      <w:sz w:val="32"/>
      <w:szCs w:val="32"/>
    </w:rPr>
  </w:style>
  <w:style w:type="character" w:customStyle="1" w:styleId="138">
    <w:name w:val="缩进 Char"/>
    <w:link w:val="139"/>
    <w:qFormat/>
    <w:uiPriority w:val="0"/>
    <w:rPr>
      <w:sz w:val="24"/>
    </w:rPr>
  </w:style>
  <w:style w:type="paragraph" w:customStyle="1" w:styleId="139">
    <w:name w:val="缩进"/>
    <w:basedOn w:val="1"/>
    <w:link w:val="138"/>
    <w:qFormat/>
    <w:uiPriority w:val="0"/>
    <w:pPr>
      <w:widowControl/>
      <w:autoSpaceDE w:val="0"/>
      <w:autoSpaceDN w:val="0"/>
      <w:adjustRightInd w:val="0"/>
      <w:spacing w:line="400" w:lineRule="atLeast"/>
      <w:ind w:firstLine="425"/>
      <w:jc w:val="left"/>
      <w:textAlignment w:val="baseline"/>
    </w:pPr>
    <w:rPr>
      <w:rFonts w:ascii="Times New Roman" w:hAnsi="Times New Roman" w:eastAsia="宋体" w:cs="Times New Roman"/>
      <w:kern w:val="0"/>
      <w:sz w:val="24"/>
      <w:szCs w:val="20"/>
    </w:rPr>
  </w:style>
  <w:style w:type="character" w:customStyle="1" w:styleId="140">
    <w:name w:val="正文文本 字符1"/>
    <w:link w:val="15"/>
    <w:qFormat/>
    <w:uiPriority w:val="0"/>
    <w:rPr>
      <w:rFonts w:asciiTheme="minorHAnsi" w:hAnsiTheme="minorHAnsi" w:eastAsiaTheme="minorEastAsia" w:cstheme="minorBidi"/>
      <w:kern w:val="2"/>
      <w:sz w:val="21"/>
      <w:szCs w:val="24"/>
    </w:rPr>
  </w:style>
  <w:style w:type="character" w:customStyle="1" w:styleId="141">
    <w:name w:val="text-success"/>
    <w:qFormat/>
    <w:uiPriority w:val="0"/>
  </w:style>
  <w:style w:type="character" w:customStyle="1" w:styleId="142">
    <w:name w:val="表格文字 Char"/>
    <w:link w:val="91"/>
    <w:qFormat/>
    <w:uiPriority w:val="0"/>
    <w:rPr>
      <w:rFonts w:asciiTheme="minorHAnsi" w:hAnsiTheme="minorHAnsi" w:eastAsiaTheme="minorEastAsia" w:cstheme="minorBidi"/>
      <w:kern w:val="2"/>
      <w:sz w:val="21"/>
    </w:rPr>
  </w:style>
  <w:style w:type="character" w:customStyle="1" w:styleId="143">
    <w:name w:val="段落 Char1"/>
    <w:link w:val="144"/>
    <w:qFormat/>
    <w:locked/>
    <w:uiPriority w:val="0"/>
    <w:rPr>
      <w:rFonts w:ascii="宋体" w:hAnsi="宋体"/>
      <w:color w:val="000000"/>
      <w:kern w:val="24"/>
      <w:sz w:val="24"/>
    </w:rPr>
  </w:style>
  <w:style w:type="paragraph" w:customStyle="1" w:styleId="144">
    <w:name w:val="段落"/>
    <w:basedOn w:val="1"/>
    <w:link w:val="143"/>
    <w:qFormat/>
    <w:uiPriority w:val="0"/>
    <w:pPr>
      <w:widowControl/>
      <w:tabs>
        <w:tab w:val="left" w:pos="900"/>
      </w:tabs>
      <w:spacing w:line="312" w:lineRule="auto"/>
      <w:ind w:right="-67" w:rightChars="-28" w:firstLine="600" w:firstLineChars="250"/>
      <w:jc w:val="left"/>
    </w:pPr>
    <w:rPr>
      <w:rFonts w:ascii="宋体" w:hAnsi="宋体" w:eastAsia="宋体" w:cs="Times New Roman"/>
      <w:color w:val="000000"/>
      <w:kern w:val="24"/>
      <w:sz w:val="24"/>
      <w:szCs w:val="20"/>
    </w:rPr>
  </w:style>
  <w:style w:type="character" w:customStyle="1" w:styleId="145">
    <w:name w:val="apple-converted-space"/>
    <w:basedOn w:val="43"/>
    <w:qFormat/>
    <w:uiPriority w:val="0"/>
  </w:style>
  <w:style w:type="character" w:customStyle="1" w:styleId="146">
    <w:name w:val="表文字 Char"/>
    <w:link w:val="147"/>
    <w:qFormat/>
    <w:uiPriority w:val="0"/>
    <w:rPr>
      <w:sz w:val="24"/>
    </w:rPr>
  </w:style>
  <w:style w:type="paragraph" w:customStyle="1" w:styleId="147">
    <w:name w:val="表文字"/>
    <w:basedOn w:val="15"/>
    <w:next w:val="148"/>
    <w:link w:val="146"/>
    <w:qFormat/>
    <w:uiPriority w:val="0"/>
    <w:pPr>
      <w:widowControl/>
      <w:overflowPunct w:val="0"/>
      <w:autoSpaceDE w:val="0"/>
      <w:autoSpaceDN w:val="0"/>
      <w:adjustRightInd w:val="0"/>
      <w:spacing w:line="240" w:lineRule="atLeast"/>
      <w:jc w:val="center"/>
      <w:textAlignment w:val="baseline"/>
    </w:pPr>
    <w:rPr>
      <w:rFonts w:ascii="Times New Roman" w:hAnsi="Times New Roman" w:eastAsia="宋体" w:cs="Times New Roman"/>
      <w:kern w:val="0"/>
      <w:sz w:val="24"/>
      <w:szCs w:val="20"/>
    </w:rPr>
  </w:style>
  <w:style w:type="paragraph" w:customStyle="1" w:styleId="148">
    <w:name w:val="表字居中"/>
    <w:basedOn w:val="147"/>
    <w:next w:val="15"/>
    <w:qFormat/>
    <w:uiPriority w:val="0"/>
    <w:pPr>
      <w:spacing w:line="240" w:lineRule="auto"/>
      <w:ind w:firstLine="0" w:firstLineChars="0"/>
    </w:pPr>
    <w:rPr>
      <w:szCs w:val="21"/>
    </w:rPr>
  </w:style>
  <w:style w:type="character" w:customStyle="1" w:styleId="149">
    <w:name w:val="正文001 Char Char"/>
    <w:link w:val="150"/>
    <w:qFormat/>
    <w:uiPriority w:val="0"/>
    <w:rPr>
      <w:rFonts w:ascii="Arial" w:hAnsi="Arial" w:cs="Arial"/>
      <w:kern w:val="2"/>
      <w:sz w:val="30"/>
      <w:szCs w:val="30"/>
    </w:rPr>
  </w:style>
  <w:style w:type="paragraph" w:customStyle="1" w:styleId="150">
    <w:name w:val="正文001"/>
    <w:basedOn w:val="1"/>
    <w:link w:val="149"/>
    <w:qFormat/>
    <w:uiPriority w:val="0"/>
    <w:pPr>
      <w:widowControl/>
      <w:spacing w:before="60" w:line="360" w:lineRule="auto"/>
      <w:ind w:firstLine="200" w:firstLineChars="200"/>
      <w:jc w:val="center"/>
    </w:pPr>
    <w:rPr>
      <w:rFonts w:ascii="Arial" w:hAnsi="Arial" w:eastAsia="宋体" w:cs="Arial"/>
      <w:sz w:val="30"/>
      <w:szCs w:val="30"/>
    </w:rPr>
  </w:style>
  <w:style w:type="character" w:customStyle="1" w:styleId="151">
    <w:name w:val="样式 样式 行距: 1.5 倍行距 + 首行缩进:  2 字符 Char"/>
    <w:link w:val="81"/>
    <w:qFormat/>
    <w:locked/>
    <w:uiPriority w:val="0"/>
    <w:rPr>
      <w:rFonts w:ascii="宋体" w:hAnsi="宋体" w:eastAsiaTheme="minorEastAsia" w:cstheme="minorBidi"/>
      <w:kern w:val="2"/>
      <w:sz w:val="24"/>
      <w:szCs w:val="24"/>
    </w:rPr>
  </w:style>
  <w:style w:type="character" w:customStyle="1" w:styleId="152">
    <w:name w:val="表文 Char"/>
    <w:qFormat/>
    <w:uiPriority w:val="0"/>
    <w:rPr>
      <w:position w:val="-24"/>
      <w:sz w:val="21"/>
      <w:szCs w:val="21"/>
      <w:lang w:val="en-US" w:eastAsia="zh-CN"/>
    </w:rPr>
  </w:style>
  <w:style w:type="character" w:customStyle="1" w:styleId="153">
    <w:name w:val="书籍标题1"/>
    <w:qFormat/>
    <w:uiPriority w:val="0"/>
    <w:rPr>
      <w:b/>
      <w:bCs/>
      <w:smallCaps/>
      <w:spacing w:val="5"/>
    </w:rPr>
  </w:style>
  <w:style w:type="character" w:customStyle="1" w:styleId="154">
    <w:name w:val="表头 Char Char"/>
    <w:link w:val="155"/>
    <w:qFormat/>
    <w:locked/>
    <w:uiPriority w:val="0"/>
    <w:rPr>
      <w:rFonts w:ascii="宋体" w:hAnsi="宋体"/>
      <w:b/>
      <w:kern w:val="24"/>
      <w:sz w:val="21"/>
    </w:rPr>
  </w:style>
  <w:style w:type="paragraph" w:customStyle="1" w:styleId="155">
    <w:name w:val="表头"/>
    <w:basedOn w:val="1"/>
    <w:link w:val="154"/>
    <w:qFormat/>
    <w:uiPriority w:val="0"/>
    <w:pPr>
      <w:widowControl/>
      <w:tabs>
        <w:tab w:val="left" w:pos="1021"/>
      </w:tabs>
      <w:spacing w:beforeLines="50"/>
      <w:ind w:left="422" w:hanging="422" w:hangingChars="200"/>
      <w:jc w:val="center"/>
    </w:pPr>
    <w:rPr>
      <w:rFonts w:ascii="宋体" w:hAnsi="宋体" w:eastAsia="宋体" w:cs="Times New Roman"/>
      <w:b/>
      <w:kern w:val="24"/>
      <w:szCs w:val="20"/>
    </w:rPr>
  </w:style>
  <w:style w:type="character" w:customStyle="1" w:styleId="156">
    <w:name w:val="正文文本缩进 字符2"/>
    <w:link w:val="4"/>
    <w:qFormat/>
    <w:uiPriority w:val="0"/>
    <w:rPr>
      <w:rFonts w:asciiTheme="minorHAnsi" w:hAnsiTheme="minorHAnsi" w:eastAsiaTheme="minorEastAsia" w:cstheme="minorBidi"/>
      <w:kern w:val="2"/>
      <w:sz w:val="21"/>
      <w:szCs w:val="24"/>
    </w:rPr>
  </w:style>
  <w:style w:type="character" w:customStyle="1" w:styleId="157">
    <w:name w:val="正文(首行缩进2字) Char"/>
    <w:link w:val="158"/>
    <w:qFormat/>
    <w:uiPriority w:val="0"/>
    <w:rPr>
      <w:color w:val="000000"/>
      <w:sz w:val="24"/>
    </w:rPr>
  </w:style>
  <w:style w:type="paragraph" w:customStyle="1" w:styleId="158">
    <w:name w:val="正文(首行缩进2字)"/>
    <w:basedOn w:val="1"/>
    <w:next w:val="1"/>
    <w:link w:val="157"/>
    <w:qFormat/>
    <w:uiPriority w:val="0"/>
    <w:pPr>
      <w:widowControl/>
      <w:adjustRightInd w:val="0"/>
      <w:spacing w:after="156" w:afterLines="50" w:line="300" w:lineRule="auto"/>
      <w:ind w:firstLine="200" w:firstLineChars="200"/>
      <w:jc w:val="left"/>
      <w:textAlignment w:val="baseline"/>
    </w:pPr>
    <w:rPr>
      <w:rFonts w:ascii="Times New Roman" w:hAnsi="Times New Roman" w:eastAsia="宋体" w:cs="Times New Roman"/>
      <w:color w:val="000000"/>
      <w:kern w:val="0"/>
      <w:sz w:val="24"/>
      <w:szCs w:val="20"/>
    </w:rPr>
  </w:style>
  <w:style w:type="character" w:customStyle="1" w:styleId="159">
    <w:name w:val="页脚 字符1"/>
    <w:link w:val="25"/>
    <w:qFormat/>
    <w:uiPriority w:val="99"/>
    <w:rPr>
      <w:rFonts w:asciiTheme="minorHAnsi" w:hAnsiTheme="minorHAnsi" w:eastAsiaTheme="minorEastAsia" w:cstheme="minorBidi"/>
      <w:kern w:val="2"/>
      <w:sz w:val="18"/>
      <w:szCs w:val="18"/>
    </w:rPr>
  </w:style>
  <w:style w:type="character" w:customStyle="1" w:styleId="160">
    <w:name w:val="批注文字 Char"/>
    <w:qFormat/>
    <w:uiPriority w:val="0"/>
    <w:rPr>
      <w:kern w:val="2"/>
      <w:sz w:val="21"/>
      <w:szCs w:val="24"/>
    </w:rPr>
  </w:style>
  <w:style w:type="character" w:customStyle="1" w:styleId="161">
    <w:name w:val="乙撑胺正文 Char"/>
    <w:link w:val="162"/>
    <w:qFormat/>
    <w:uiPriority w:val="0"/>
    <w:rPr>
      <w:kern w:val="2"/>
      <w:sz w:val="24"/>
      <w:szCs w:val="24"/>
    </w:rPr>
  </w:style>
  <w:style w:type="paragraph" w:customStyle="1" w:styleId="162">
    <w:name w:val="乙撑胺正文"/>
    <w:basedOn w:val="1"/>
    <w:link w:val="161"/>
    <w:qFormat/>
    <w:uiPriority w:val="0"/>
    <w:pPr>
      <w:widowControl/>
      <w:spacing w:line="400" w:lineRule="exact"/>
      <w:ind w:firstLine="480" w:firstLineChars="200"/>
      <w:jc w:val="left"/>
    </w:pPr>
    <w:rPr>
      <w:rFonts w:ascii="Times New Roman" w:hAnsi="Times New Roman" w:eastAsia="宋体" w:cs="Times New Roman"/>
      <w:sz w:val="24"/>
    </w:rPr>
  </w:style>
  <w:style w:type="character" w:customStyle="1" w:styleId="163">
    <w:name w:val="普 Char Char"/>
    <w:qFormat/>
    <w:uiPriority w:val="0"/>
    <w:rPr>
      <w:rFonts w:ascii="宋体" w:hAnsi="宋体" w:eastAsia="宋体"/>
      <w:kern w:val="2"/>
      <w:sz w:val="28"/>
      <w:lang w:val="en-US" w:eastAsia="zh-CN" w:bidi="ar-SA"/>
    </w:rPr>
  </w:style>
  <w:style w:type="character" w:customStyle="1" w:styleId="164">
    <w:name w:val="表格 Char"/>
    <w:link w:val="165"/>
    <w:qFormat/>
    <w:uiPriority w:val="0"/>
    <w:rPr>
      <w:rFonts w:ascii="宋体" w:hAnsi="宋体"/>
      <w:kern w:val="2"/>
      <w:sz w:val="24"/>
    </w:rPr>
  </w:style>
  <w:style w:type="paragraph" w:customStyle="1" w:styleId="165">
    <w:name w:val="表格"/>
    <w:basedOn w:val="29"/>
    <w:next w:val="1"/>
    <w:link w:val="164"/>
    <w:qFormat/>
    <w:uiPriority w:val="0"/>
    <w:pPr>
      <w:widowControl/>
      <w:adjustRightInd w:val="0"/>
      <w:spacing w:after="120"/>
      <w:jc w:val="left"/>
      <w:textAlignment w:val="center"/>
    </w:pPr>
    <w:rPr>
      <w:rFonts w:ascii="宋体" w:hAnsi="宋体" w:eastAsia="宋体" w:cs="Times New Roman"/>
      <w:sz w:val="24"/>
      <w:szCs w:val="20"/>
    </w:rPr>
  </w:style>
  <w:style w:type="character" w:customStyle="1" w:styleId="166">
    <w:name w:val="日期 字符2"/>
    <w:link w:val="22"/>
    <w:qFormat/>
    <w:uiPriority w:val="0"/>
    <w:rPr>
      <w:kern w:val="2"/>
      <w:sz w:val="21"/>
      <w:szCs w:val="24"/>
    </w:rPr>
  </w:style>
  <w:style w:type="character" w:customStyle="1" w:styleId="167">
    <w:name w:val="HTML 预设格式 Char1"/>
    <w:semiHidden/>
    <w:qFormat/>
    <w:uiPriority w:val="99"/>
    <w:rPr>
      <w:rFonts w:ascii="Courier New" w:hAnsi="Courier New" w:cs="Courier New"/>
      <w:kern w:val="2"/>
    </w:rPr>
  </w:style>
  <w:style w:type="character" w:customStyle="1" w:styleId="168">
    <w:name w:val="页眉 字符1"/>
    <w:link w:val="26"/>
    <w:qFormat/>
    <w:uiPriority w:val="99"/>
    <w:rPr>
      <w:rFonts w:asciiTheme="minorHAnsi" w:hAnsiTheme="minorHAnsi" w:eastAsiaTheme="minorEastAsia" w:cstheme="minorBidi"/>
      <w:kern w:val="2"/>
      <w:sz w:val="18"/>
      <w:szCs w:val="18"/>
    </w:rPr>
  </w:style>
  <w:style w:type="character" w:customStyle="1" w:styleId="169">
    <w:name w:val="标题三 Char"/>
    <w:link w:val="170"/>
    <w:qFormat/>
    <w:uiPriority w:val="0"/>
    <w:rPr>
      <w:kern w:val="2"/>
      <w:sz w:val="21"/>
      <w:szCs w:val="24"/>
    </w:rPr>
  </w:style>
  <w:style w:type="paragraph" w:customStyle="1" w:styleId="170">
    <w:name w:val="标题三"/>
    <w:basedOn w:val="1"/>
    <w:link w:val="169"/>
    <w:qFormat/>
    <w:uiPriority w:val="0"/>
    <w:pPr>
      <w:widowControl/>
      <w:jc w:val="left"/>
    </w:pPr>
    <w:rPr>
      <w:rFonts w:ascii="Times New Roman" w:hAnsi="Times New Roman" w:eastAsia="宋体" w:cs="Times New Roman"/>
    </w:rPr>
  </w:style>
  <w:style w:type="character" w:customStyle="1" w:styleId="171">
    <w:name w:val="报告正文 Char"/>
    <w:link w:val="90"/>
    <w:qFormat/>
    <w:uiPriority w:val="0"/>
    <w:rPr>
      <w:rFonts w:ascii="宋体" w:hAnsiTheme="minorHAnsi" w:eastAsiaTheme="minorEastAsia" w:cstheme="minorBidi"/>
      <w:kern w:val="2"/>
      <w:sz w:val="24"/>
    </w:rPr>
  </w:style>
  <w:style w:type="character" w:customStyle="1" w:styleId="172">
    <w:name w:val="题注 字符1"/>
    <w:link w:val="12"/>
    <w:qFormat/>
    <w:uiPriority w:val="35"/>
    <w:rPr>
      <w:rFonts w:asciiTheme="minorHAnsi" w:hAnsiTheme="minorHAnsi" w:eastAsiaTheme="minorEastAsia" w:cstheme="minorBidi"/>
      <w:b/>
      <w:kern w:val="2"/>
      <w:sz w:val="24"/>
    </w:rPr>
  </w:style>
  <w:style w:type="character" w:customStyle="1" w:styleId="173">
    <w:name w:val="Body text + Arial Unicode MS"/>
    <w:qFormat/>
    <w:uiPriority w:val="0"/>
    <w:rPr>
      <w:rFonts w:ascii="Arial Unicode MS" w:hAnsi="Arial Unicode MS" w:eastAsia="Arial Unicode MS" w:cs="Arial Unicode MS"/>
      <w:color w:val="000000"/>
      <w:spacing w:val="0"/>
      <w:w w:val="100"/>
      <w:position w:val="0"/>
      <w:sz w:val="19"/>
      <w:szCs w:val="19"/>
      <w:u w:val="none"/>
      <w:lang w:val="en-US"/>
    </w:rPr>
  </w:style>
  <w:style w:type="paragraph" w:customStyle="1" w:styleId="174">
    <w:name w:val="本文格式"/>
    <w:qFormat/>
    <w:uiPriority w:val="0"/>
    <w:pPr>
      <w:widowControl w:val="0"/>
      <w:spacing w:line="360" w:lineRule="exact"/>
      <w:ind w:firstLine="476"/>
      <w:jc w:val="both"/>
    </w:pPr>
    <w:rPr>
      <w:rFonts w:ascii="Arial Unicode MS" w:hAnsi="Arial Unicode MS" w:eastAsia="Arial Unicode MS" w:cs="Arial Unicode MS"/>
      <w:color w:val="000000"/>
      <w:sz w:val="24"/>
      <w:szCs w:val="24"/>
      <w:u w:color="000000"/>
      <w:lang w:val="en-US" w:eastAsia="zh-CN" w:bidi="ar-SA"/>
    </w:rPr>
  </w:style>
  <w:style w:type="character" w:customStyle="1" w:styleId="175">
    <w:name w:val="日期 字符"/>
    <w:basedOn w:val="43"/>
    <w:qFormat/>
    <w:uiPriority w:val="0"/>
    <w:rPr>
      <w:rFonts w:asciiTheme="minorHAnsi" w:hAnsiTheme="minorHAnsi" w:eastAsiaTheme="minorEastAsia" w:cstheme="minorBidi"/>
      <w:kern w:val="2"/>
      <w:sz w:val="21"/>
      <w:szCs w:val="24"/>
    </w:rPr>
  </w:style>
  <w:style w:type="paragraph" w:customStyle="1" w:styleId="176">
    <w:name w:val="表格中的文字"/>
    <w:basedOn w:val="1"/>
    <w:qFormat/>
    <w:uiPriority w:val="0"/>
    <w:pPr>
      <w:widowControl/>
      <w:jc w:val="center"/>
    </w:pPr>
    <w:rPr>
      <w:rFonts w:ascii="宋体" w:hAnsi="宋体" w:eastAsia="宋体" w:cs="宋体"/>
      <w:kern w:val="0"/>
      <w:sz w:val="24"/>
      <w:szCs w:val="20"/>
    </w:rPr>
  </w:style>
  <w:style w:type="character" w:customStyle="1" w:styleId="177">
    <w:name w:val="文档结构图 字符"/>
    <w:basedOn w:val="43"/>
    <w:qFormat/>
    <w:uiPriority w:val="0"/>
    <w:rPr>
      <w:rFonts w:ascii="Microsoft YaHei UI" w:eastAsia="Microsoft YaHei UI" w:hAnsiTheme="minorHAnsi" w:cstheme="minorBidi"/>
      <w:kern w:val="2"/>
      <w:sz w:val="18"/>
      <w:szCs w:val="18"/>
    </w:rPr>
  </w:style>
  <w:style w:type="paragraph" w:customStyle="1" w:styleId="178">
    <w:name w:val="附录 2"/>
    <w:basedOn w:val="6"/>
    <w:qFormat/>
    <w:uiPriority w:val="0"/>
    <w:pPr>
      <w:numPr>
        <w:ilvl w:val="1"/>
        <w:numId w:val="2"/>
      </w:numPr>
      <w:adjustRightInd w:val="0"/>
      <w:spacing w:before="100" w:beforeLines="30" w:after="100" w:afterLines="30" w:line="240" w:lineRule="auto"/>
    </w:pPr>
    <w:rPr>
      <w:rFonts w:ascii="Arial" w:hAnsi="Arial" w:eastAsia="黑体" w:cs="Times New Roman"/>
      <w:b w:val="0"/>
      <w:color w:val="000000"/>
      <w:kern w:val="44"/>
      <w:sz w:val="21"/>
      <w:szCs w:val="20"/>
    </w:rPr>
  </w:style>
  <w:style w:type="paragraph" w:customStyle="1" w:styleId="179">
    <w:name w:val="_Style 141"/>
    <w:basedOn w:val="1"/>
    <w:next w:val="1"/>
    <w:unhideWhenUsed/>
    <w:qFormat/>
    <w:uiPriority w:val="39"/>
    <w:pPr>
      <w:widowControl/>
      <w:ind w:left="1050"/>
      <w:jc w:val="left"/>
    </w:pPr>
    <w:rPr>
      <w:rFonts w:ascii="Calibri" w:hAnsi="Calibri" w:eastAsia="宋体" w:cs="Calibri"/>
      <w:kern w:val="0"/>
      <w:sz w:val="18"/>
      <w:szCs w:val="18"/>
    </w:rPr>
  </w:style>
  <w:style w:type="paragraph" w:customStyle="1" w:styleId="180">
    <w:name w:val="报告正文文字"/>
    <w:basedOn w:val="1"/>
    <w:qFormat/>
    <w:uiPriority w:val="0"/>
    <w:pPr>
      <w:widowControl/>
      <w:autoSpaceDE w:val="0"/>
      <w:autoSpaceDN w:val="0"/>
      <w:spacing w:line="360" w:lineRule="auto"/>
      <w:ind w:firstLine="480" w:firstLineChars="200"/>
      <w:jc w:val="left"/>
    </w:pPr>
    <w:rPr>
      <w:rFonts w:ascii="宋体" w:hAnsi="宋体" w:eastAsia="宋体" w:cs="宋体"/>
      <w:color w:val="000000"/>
      <w:spacing w:val="4"/>
      <w:kern w:val="0"/>
      <w:sz w:val="24"/>
      <w:szCs w:val="20"/>
    </w:rPr>
  </w:style>
  <w:style w:type="paragraph" w:customStyle="1" w:styleId="181">
    <w:name w:val="reader-word-layer reader-word-s1-9"/>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82">
    <w:name w:val="reader-word-layer reader-word-s1-6"/>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83">
    <w:name w:val="批注文字 字符"/>
    <w:basedOn w:val="43"/>
    <w:link w:val="14"/>
    <w:qFormat/>
    <w:uiPriority w:val="0"/>
    <w:rPr>
      <w:rFonts w:asciiTheme="minorHAnsi" w:hAnsiTheme="minorHAnsi" w:eastAsiaTheme="minorEastAsia" w:cstheme="minorBidi"/>
      <w:kern w:val="2"/>
      <w:sz w:val="21"/>
      <w:szCs w:val="24"/>
    </w:rPr>
  </w:style>
  <w:style w:type="character" w:customStyle="1" w:styleId="184">
    <w:name w:val="批注主题 字符"/>
    <w:basedOn w:val="183"/>
    <w:qFormat/>
    <w:uiPriority w:val="0"/>
    <w:rPr>
      <w:rFonts w:asciiTheme="minorHAnsi" w:hAnsiTheme="minorHAnsi" w:eastAsiaTheme="minorEastAsia" w:cstheme="minorBidi"/>
      <w:b/>
      <w:bCs/>
      <w:kern w:val="2"/>
      <w:sz w:val="21"/>
      <w:szCs w:val="24"/>
    </w:rPr>
  </w:style>
  <w:style w:type="paragraph" w:customStyle="1" w:styleId="185">
    <w:name w:val="中文报告书样式"/>
    <w:basedOn w:val="1"/>
    <w:qFormat/>
    <w:uiPriority w:val="0"/>
    <w:pPr>
      <w:widowControl/>
      <w:adjustRightInd w:val="0"/>
      <w:spacing w:line="480" w:lineRule="atLeast"/>
      <w:ind w:firstLine="482"/>
      <w:jc w:val="left"/>
      <w:textAlignment w:val="baseline"/>
    </w:pPr>
    <w:rPr>
      <w:rFonts w:ascii="宋体" w:hAnsi="宋体" w:eastAsia="宋体" w:cs="宋体"/>
      <w:kern w:val="24"/>
      <w:sz w:val="24"/>
      <w:szCs w:val="20"/>
    </w:rPr>
  </w:style>
  <w:style w:type="character" w:customStyle="1" w:styleId="186">
    <w:name w:val="正文文本缩进 2 字符"/>
    <w:basedOn w:val="43"/>
    <w:qFormat/>
    <w:uiPriority w:val="0"/>
    <w:rPr>
      <w:rFonts w:asciiTheme="minorHAnsi" w:hAnsiTheme="minorHAnsi" w:eastAsiaTheme="minorEastAsia" w:cstheme="minorBidi"/>
      <w:kern w:val="2"/>
      <w:sz w:val="21"/>
      <w:szCs w:val="24"/>
    </w:rPr>
  </w:style>
  <w:style w:type="paragraph" w:customStyle="1" w:styleId="187">
    <w:name w:val="表报"/>
    <w:basedOn w:val="1"/>
    <w:qFormat/>
    <w:uiPriority w:val="0"/>
    <w:pPr>
      <w:widowControl/>
      <w:autoSpaceDE w:val="0"/>
      <w:autoSpaceDN w:val="0"/>
      <w:spacing w:before="156" w:beforeLines="50" w:line="360" w:lineRule="auto"/>
      <w:ind w:firstLine="480" w:firstLineChars="200"/>
      <w:jc w:val="center"/>
    </w:pPr>
    <w:rPr>
      <w:rFonts w:ascii="黑体" w:hAnsi="宋体" w:eastAsia="黑体" w:cs="宋体"/>
      <w:kern w:val="0"/>
      <w:sz w:val="24"/>
      <w:lang w:val="zh-CN"/>
    </w:rPr>
  </w:style>
  <w:style w:type="paragraph" w:customStyle="1" w:styleId="188">
    <w:name w:val="附录 1"/>
    <w:basedOn w:val="5"/>
    <w:qFormat/>
    <w:uiPriority w:val="0"/>
    <w:pPr>
      <w:pageBreakBefore/>
      <w:adjustRightInd w:val="0"/>
      <w:snapToGrid w:val="0"/>
      <w:spacing w:before="335" w:beforeLines="100" w:after="335" w:afterLines="100" w:line="285" w:lineRule="exact"/>
    </w:pPr>
    <w:rPr>
      <w:rFonts w:ascii="Arial" w:hAnsi="Arial" w:eastAsia="黑体" w:cs="Times New Roman"/>
      <w:b w:val="0"/>
      <w:sz w:val="21"/>
      <w:szCs w:val="20"/>
    </w:rPr>
  </w:style>
  <w:style w:type="paragraph" w:customStyle="1" w:styleId="18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9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91">
    <w:name w:val="标题四"/>
    <w:basedOn w:val="1"/>
    <w:qFormat/>
    <w:uiPriority w:val="0"/>
    <w:pPr>
      <w:widowControl/>
      <w:jc w:val="left"/>
    </w:pPr>
    <w:rPr>
      <w:rFonts w:ascii="宋体" w:hAnsi="宋体" w:eastAsia="宋体" w:cs="宋体"/>
      <w:kern w:val="0"/>
      <w:sz w:val="24"/>
    </w:rPr>
  </w:style>
  <w:style w:type="paragraph" w:customStyle="1" w:styleId="192">
    <w:name w:val="reader-word-layer reader-word-s1-7"/>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93">
    <w:name w:val="默认 A"/>
    <w:qFormat/>
    <w:uiPriority w:val="0"/>
    <w:rPr>
      <w:rFonts w:ascii="Helvetica" w:hAnsi="Helvetica" w:eastAsia="Arial Unicode MS" w:cs="Arial Unicode MS"/>
      <w:color w:val="000000"/>
      <w:sz w:val="22"/>
      <w:szCs w:val="22"/>
      <w:u w:color="000000"/>
      <w:lang w:val="en-US" w:eastAsia="zh-CN" w:bidi="ar-SA"/>
    </w:rPr>
  </w:style>
  <w:style w:type="paragraph" w:customStyle="1" w:styleId="194">
    <w:name w:val="reader-word-layer reader-word-s5-2"/>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95">
    <w:name w:val="HTML 预设格式 字符"/>
    <w:basedOn w:val="43"/>
    <w:qFormat/>
    <w:uiPriority w:val="0"/>
    <w:rPr>
      <w:rFonts w:ascii="Courier New" w:hAnsi="Courier New" w:cs="Courier New" w:eastAsiaTheme="minorEastAsia"/>
      <w:kern w:val="2"/>
    </w:rPr>
  </w:style>
  <w:style w:type="paragraph" w:customStyle="1" w:styleId="196">
    <w:name w:val="样式 首行缩进:  1.04 厘米"/>
    <w:qFormat/>
    <w:uiPriority w:val="0"/>
    <w:pPr>
      <w:widowControl w:val="0"/>
      <w:spacing w:line="360" w:lineRule="auto"/>
    </w:pPr>
    <w:rPr>
      <w:rFonts w:ascii="Times New Roman" w:hAnsi="Times New Roman" w:eastAsia="Arial Unicode MS" w:cs="Arial Unicode MS"/>
      <w:color w:val="000000"/>
      <w:sz w:val="24"/>
      <w:szCs w:val="24"/>
      <w:u w:color="000000"/>
      <w:lang w:val="en-US" w:eastAsia="zh-CN" w:bidi="ar-SA"/>
    </w:rPr>
  </w:style>
  <w:style w:type="paragraph" w:customStyle="1" w:styleId="197">
    <w:name w:val="reader-word-layer reader-word-s1-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98">
    <w:name w:val="reader-word-layer reader-word-s1-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99">
    <w:name w:val="表格内容"/>
    <w:basedOn w:val="1"/>
    <w:qFormat/>
    <w:uiPriority w:val="0"/>
    <w:pPr>
      <w:widowControl/>
      <w:adjustRightInd w:val="0"/>
      <w:spacing w:before="40" w:after="60" w:line="200" w:lineRule="atLeast"/>
      <w:jc w:val="left"/>
      <w:textAlignment w:val="baseline"/>
    </w:pPr>
    <w:rPr>
      <w:rFonts w:ascii="宋体" w:hAnsi="宋体" w:eastAsia="宋体" w:cs="宋体"/>
      <w:kern w:val="0"/>
      <w:sz w:val="24"/>
      <w:szCs w:val="20"/>
    </w:rPr>
  </w:style>
  <w:style w:type="paragraph" w:customStyle="1" w:styleId="200">
    <w:name w:val="样式 四号 黑色 行距: 1.5 倍行距 首行缩进:  2 字符"/>
    <w:basedOn w:val="1"/>
    <w:qFormat/>
    <w:uiPriority w:val="0"/>
    <w:pPr>
      <w:widowControl/>
      <w:spacing w:line="360" w:lineRule="auto"/>
      <w:ind w:firstLine="560" w:firstLineChars="200"/>
      <w:jc w:val="left"/>
    </w:pPr>
    <w:rPr>
      <w:rFonts w:ascii="宋体" w:hAnsi="宋体" w:eastAsia="仿宋_GB2312" w:cs="宋体"/>
      <w:color w:val="000000"/>
      <w:kern w:val="0"/>
      <w:sz w:val="24"/>
      <w:szCs w:val="20"/>
    </w:rPr>
  </w:style>
  <w:style w:type="paragraph" w:customStyle="1" w:styleId="201">
    <w:name w:val="附录 4"/>
    <w:basedOn w:val="8"/>
    <w:qFormat/>
    <w:uiPriority w:val="0"/>
    <w:pPr>
      <w:keepNext w:val="0"/>
      <w:numPr>
        <w:ilvl w:val="3"/>
        <w:numId w:val="2"/>
      </w:numPr>
      <w:adjustRightInd w:val="0"/>
      <w:spacing w:before="156" w:after="156" w:line="240" w:lineRule="auto"/>
      <w:ind w:left="1680" w:hanging="420"/>
    </w:pPr>
    <w:rPr>
      <w:rFonts w:cs="Times New Roman"/>
      <w:b w:val="0"/>
      <w:color w:val="000000"/>
      <w:kern w:val="21"/>
      <w:sz w:val="21"/>
      <w:szCs w:val="20"/>
    </w:rPr>
  </w:style>
  <w:style w:type="paragraph" w:customStyle="1" w:styleId="202">
    <w:name w:val="表内格式"/>
    <w:basedOn w:val="1"/>
    <w:qFormat/>
    <w:uiPriority w:val="0"/>
    <w:pPr>
      <w:widowControl/>
      <w:spacing w:line="280" w:lineRule="exact"/>
      <w:jc w:val="center"/>
    </w:pPr>
    <w:rPr>
      <w:rFonts w:ascii="宋体" w:hAnsi="宋体" w:eastAsia="宋体" w:cs="宋体"/>
      <w:kern w:val="0"/>
      <w:sz w:val="18"/>
      <w:szCs w:val="20"/>
    </w:rPr>
  </w:style>
  <w:style w:type="paragraph" w:customStyle="1" w:styleId="203">
    <w:name w:val="附录 3"/>
    <w:basedOn w:val="178"/>
    <w:qFormat/>
    <w:uiPriority w:val="0"/>
    <w:pPr>
      <w:keepNext w:val="0"/>
      <w:numPr>
        <w:ilvl w:val="2"/>
      </w:numPr>
      <w:spacing w:before="0" w:beforeLines="0" w:after="0" w:afterLines="0"/>
      <w:outlineLvl w:val="2"/>
    </w:pPr>
    <w:rPr>
      <w:rFonts w:eastAsia="宋体"/>
      <w:bCs/>
      <w:color w:val="auto"/>
      <w:kern w:val="2"/>
      <w:szCs w:val="24"/>
    </w:rPr>
  </w:style>
  <w:style w:type="table" w:customStyle="1" w:styleId="204">
    <w:name w:val="Table Normal"/>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205">
    <w:name w:val="标准表格"/>
    <w:basedOn w:val="4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Courier"/>
        <w:sz w:val="18"/>
      </w:rPr>
      <w:tblPr/>
      <w:trPr>
        <w:tblHeader/>
      </w:trPr>
    </w:tblStylePr>
    <w:tblStylePr w:type="firstCol">
      <w:pPr>
        <w:jc w:val="center"/>
      </w:pPr>
    </w:tblStylePr>
  </w:style>
  <w:style w:type="character" w:customStyle="1" w:styleId="206">
    <w:name w:val="批注文字 Char1"/>
    <w:qFormat/>
    <w:uiPriority w:val="0"/>
  </w:style>
  <w:style w:type="character" w:customStyle="1" w:styleId="207">
    <w:name w:val="fontstyle01"/>
    <w:qFormat/>
    <w:uiPriority w:val="0"/>
    <w:rPr>
      <w:rFonts w:hint="eastAsia" w:ascii="宋体" w:hAnsi="宋体" w:eastAsia="宋体"/>
      <w:color w:val="000000"/>
      <w:sz w:val="22"/>
      <w:szCs w:val="22"/>
    </w:rPr>
  </w:style>
  <w:style w:type="table" w:customStyle="1" w:styleId="208">
    <w:name w:val="网格型1"/>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
    <w:name w:val="网格型2"/>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Table Normal1"/>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character" w:customStyle="1" w:styleId="211">
    <w:name w:val="正文文本 字符"/>
    <w:qFormat/>
    <w:uiPriority w:val="0"/>
    <w:rPr>
      <w:kern w:val="2"/>
      <w:sz w:val="21"/>
      <w:szCs w:val="24"/>
    </w:rPr>
  </w:style>
  <w:style w:type="paragraph" w:customStyle="1" w:styleId="212">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1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4">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15">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16">
    <w:name w:val="font8"/>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1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19">
    <w:name w:val="xl6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character" w:customStyle="1" w:styleId="221">
    <w:name w:val="页眉 字符"/>
    <w:qFormat/>
    <w:uiPriority w:val="99"/>
    <w:rPr>
      <w:sz w:val="18"/>
      <w:szCs w:val="18"/>
    </w:rPr>
  </w:style>
  <w:style w:type="character" w:customStyle="1" w:styleId="222">
    <w:name w:val="页脚 字符"/>
    <w:qFormat/>
    <w:uiPriority w:val="99"/>
    <w:rPr>
      <w:sz w:val="18"/>
      <w:szCs w:val="18"/>
    </w:rPr>
  </w:style>
  <w:style w:type="character" w:customStyle="1" w:styleId="223">
    <w:name w:val="标题 1 字符"/>
    <w:qFormat/>
    <w:uiPriority w:val="0"/>
    <w:rPr>
      <w:rFonts w:ascii="Noto Sans CJK JP Medium" w:hAnsi="Noto Sans CJK JP Medium" w:eastAsia="Noto Sans CJK JP Medium" w:cs="Noto Sans CJK JP Medium"/>
      <w:kern w:val="0"/>
      <w:sz w:val="44"/>
      <w:szCs w:val="44"/>
      <w:lang w:eastAsia="en-US"/>
    </w:rPr>
  </w:style>
  <w:style w:type="character" w:customStyle="1" w:styleId="224">
    <w:name w:val="标题 4 字符"/>
    <w:qFormat/>
    <w:uiPriority w:val="0"/>
    <w:rPr>
      <w:rFonts w:ascii="Noto Sans CJK JP Medium" w:hAnsi="Noto Sans CJK JP Medium" w:eastAsia="Noto Sans CJK JP Medium" w:cs="Noto Sans CJK JP Medium"/>
      <w:kern w:val="0"/>
      <w:sz w:val="28"/>
      <w:szCs w:val="28"/>
      <w:lang w:eastAsia="en-US"/>
    </w:rPr>
  </w:style>
  <w:style w:type="table" w:customStyle="1" w:styleId="225">
    <w:name w:val="Table Normal2"/>
    <w:semiHidden/>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226">
    <w:name w:val="标题 字符"/>
    <w:basedOn w:val="43"/>
    <w:link w:val="37"/>
    <w:qFormat/>
    <w:uiPriority w:val="1"/>
    <w:rPr>
      <w:rFonts w:eastAsia="Times New Roman"/>
      <w:sz w:val="89"/>
      <w:szCs w:val="89"/>
      <w:lang w:eastAsia="en-US"/>
    </w:rPr>
  </w:style>
  <w:style w:type="table" w:customStyle="1" w:styleId="227">
    <w:name w:val="网格型3"/>
    <w:basedOn w:val="4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8">
    <w:name w:val="表格 Char Char"/>
    <w:qFormat/>
    <w:uiPriority w:val="0"/>
    <w:rPr>
      <w:rFonts w:ascii="Times New Roman" w:hAnsi="Times New Roman" w:eastAsia="宋体"/>
      <w:szCs w:val="24"/>
    </w:rPr>
  </w:style>
  <w:style w:type="character" w:customStyle="1" w:styleId="229">
    <w:name w:val="fontstyle21"/>
    <w:qFormat/>
    <w:uiPriority w:val="0"/>
    <w:rPr>
      <w:rFonts w:hint="eastAsia" w:ascii="TimesNewRomanPSMT" w:eastAsia="TimesNewRomanPSMT"/>
      <w:color w:val="000000"/>
      <w:sz w:val="24"/>
      <w:szCs w:val="24"/>
    </w:rPr>
  </w:style>
  <w:style w:type="paragraph" w:customStyle="1" w:styleId="230">
    <w:name w:val="_Style 8"/>
    <w:basedOn w:val="1"/>
    <w:next w:val="1"/>
    <w:qFormat/>
    <w:uiPriority w:val="0"/>
    <w:pPr>
      <w:pBdr>
        <w:bottom w:val="single" w:color="auto" w:sz="6" w:space="1"/>
      </w:pBdr>
      <w:jc w:val="center"/>
    </w:pPr>
    <w:rPr>
      <w:rFonts w:ascii="Arial" w:hAnsi="等线" w:eastAsia="宋体" w:cs="Times New Roman"/>
      <w:vanish/>
      <w:sz w:val="16"/>
    </w:rPr>
  </w:style>
  <w:style w:type="paragraph" w:customStyle="1" w:styleId="231">
    <w:name w:val="_Style 9"/>
    <w:basedOn w:val="1"/>
    <w:next w:val="1"/>
    <w:qFormat/>
    <w:uiPriority w:val="0"/>
    <w:pPr>
      <w:pBdr>
        <w:top w:val="single" w:color="auto" w:sz="6" w:space="1"/>
      </w:pBdr>
      <w:jc w:val="center"/>
    </w:pPr>
    <w:rPr>
      <w:rFonts w:ascii="Arial" w:hAnsi="等线" w:eastAsia="宋体" w:cs="Times New Roman"/>
      <w:vanish/>
      <w:sz w:val="16"/>
    </w:rPr>
  </w:style>
  <w:style w:type="character" w:customStyle="1" w:styleId="232">
    <w:name w:val="正文文本首行缩进 字符1"/>
    <w:qFormat/>
    <w:uiPriority w:val="99"/>
    <w:rPr>
      <w:rFonts w:eastAsia="宋体"/>
      <w:kern w:val="2"/>
      <w:sz w:val="21"/>
      <w:szCs w:val="24"/>
      <w:lang w:val="en-US" w:eastAsia="zh-CN" w:bidi="ar-SA"/>
    </w:rPr>
  </w:style>
  <w:style w:type="character" w:customStyle="1" w:styleId="233">
    <w:name w:val="正文文本首行缩进 字符"/>
    <w:qFormat/>
    <w:uiPriority w:val="0"/>
    <w:rPr>
      <w:rFonts w:ascii="宋体" w:hAnsi="宋体" w:eastAsia="宋体" w:cs="宋体"/>
      <w:kern w:val="0"/>
      <w:sz w:val="24"/>
      <w:szCs w:val="24"/>
      <w:lang w:eastAsia="en-US"/>
    </w:rPr>
  </w:style>
  <w:style w:type="paragraph" w:customStyle="1" w:styleId="234">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5">
    <w:name w:val="font10"/>
    <w:basedOn w:val="1"/>
    <w:qFormat/>
    <w:uiPriority w:val="0"/>
    <w:pPr>
      <w:widowControl/>
      <w:spacing w:before="100" w:beforeAutospacing="1" w:after="100" w:afterAutospacing="1"/>
      <w:jc w:val="left"/>
    </w:pPr>
    <w:rPr>
      <w:rFonts w:ascii="宋体" w:hAnsi="宋体" w:eastAsia="宋体" w:cs="宋体"/>
      <w:b/>
      <w:bCs/>
      <w:color w:val="000000"/>
      <w:kern w:val="0"/>
      <w:sz w:val="22"/>
      <w:szCs w:val="22"/>
    </w:rPr>
  </w:style>
  <w:style w:type="paragraph" w:customStyle="1" w:styleId="23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23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eastAsia="宋体" w:cs="宋体"/>
      <w:kern w:val="0"/>
      <w:sz w:val="18"/>
      <w:szCs w:val="18"/>
    </w:rPr>
  </w:style>
  <w:style w:type="paragraph" w:customStyle="1" w:styleId="23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eastAsia="宋体" w:cs="宋体"/>
      <w:kern w:val="0"/>
      <w:sz w:val="24"/>
    </w:rPr>
  </w:style>
  <w:style w:type="paragraph" w:customStyle="1" w:styleId="23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eastAsia="宋体" w:cs="宋体"/>
      <w:b/>
      <w:bCs/>
      <w:kern w:val="0"/>
      <w:sz w:val="20"/>
      <w:szCs w:val="20"/>
    </w:rPr>
  </w:style>
  <w:style w:type="paragraph" w:customStyle="1" w:styleId="24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24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4"/>
    </w:rPr>
  </w:style>
  <w:style w:type="paragraph" w:customStyle="1" w:styleId="24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24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rPr>
  </w:style>
  <w:style w:type="paragraph" w:customStyle="1" w:styleId="24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rPr>
  </w:style>
  <w:style w:type="paragraph" w:customStyle="1" w:styleId="24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eastAsia="宋体" w:cs="宋体"/>
      <w:b/>
      <w:bCs/>
      <w:kern w:val="0"/>
      <w:sz w:val="24"/>
    </w:rPr>
  </w:style>
  <w:style w:type="paragraph" w:customStyle="1" w:styleId="24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Black" w:hAnsi="Arial Black" w:eastAsia="宋体" w:cs="宋体"/>
      <w:b/>
      <w:bCs/>
      <w:kern w:val="0"/>
      <w:sz w:val="24"/>
    </w:rPr>
  </w:style>
  <w:style w:type="paragraph" w:customStyle="1" w:styleId="24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24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4"/>
    </w:rPr>
  </w:style>
  <w:style w:type="table" w:customStyle="1" w:styleId="249">
    <w:name w:val="Table Normal3"/>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table" w:customStyle="1" w:styleId="250">
    <w:name w:val="网格型4"/>
    <w:basedOn w:val="40"/>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1">
    <w:name w:val="纯文本 字符"/>
    <w:qFormat/>
    <w:uiPriority w:val="0"/>
    <w:rPr>
      <w:rFonts w:ascii="宋体" w:hAnsi="Courier New" w:eastAsia="宋体"/>
    </w:rPr>
  </w:style>
  <w:style w:type="character" w:customStyle="1" w:styleId="252">
    <w:name w:val="正文文本首行缩进 2 字符"/>
    <w:qFormat/>
    <w:uiPriority w:val="0"/>
    <w:rPr>
      <w:szCs w:val="24"/>
    </w:rPr>
  </w:style>
  <w:style w:type="character" w:customStyle="1" w:styleId="253">
    <w:name w:val="正文缩进 字符"/>
    <w:qFormat/>
    <w:uiPriority w:val="0"/>
    <w:rPr>
      <w:rFonts w:eastAsia="宋体"/>
    </w:rPr>
  </w:style>
  <w:style w:type="character" w:customStyle="1" w:styleId="254">
    <w:name w:val="正文文本缩进 字符"/>
    <w:qFormat/>
    <w:uiPriority w:val="0"/>
    <w:rPr>
      <w:szCs w:val="24"/>
    </w:rPr>
  </w:style>
  <w:style w:type="character" w:customStyle="1" w:styleId="255">
    <w:name w:val="题注 字符"/>
    <w:qFormat/>
    <w:uiPriority w:val="35"/>
    <w:rPr>
      <w:rFonts w:ascii="等线 Light" w:hAnsi="等线 Light" w:eastAsia="黑体" w:cs="Times New Roman"/>
      <w:kern w:val="0"/>
      <w:sz w:val="20"/>
      <w:szCs w:val="20"/>
      <w:lang w:eastAsia="en-US"/>
    </w:rPr>
  </w:style>
  <w:style w:type="character" w:customStyle="1" w:styleId="256">
    <w:name w:val="日期 字符1"/>
    <w:semiHidden/>
    <w:qFormat/>
    <w:uiPriority w:val="99"/>
    <w:rPr>
      <w:rFonts w:ascii="Noto Sans CJK JP Black" w:hAnsi="Noto Sans CJK JP Black" w:eastAsia="Noto Sans CJK JP Black" w:cs="Noto Sans CJK JP Black"/>
      <w:kern w:val="0"/>
      <w:sz w:val="22"/>
      <w:lang w:eastAsia="en-US"/>
    </w:rPr>
  </w:style>
  <w:style w:type="character" w:customStyle="1" w:styleId="257">
    <w:name w:val="日期 Char1"/>
    <w:basedOn w:val="43"/>
    <w:semiHidden/>
    <w:qFormat/>
    <w:uiPriority w:val="99"/>
  </w:style>
  <w:style w:type="character" w:customStyle="1" w:styleId="258">
    <w:name w:val="文档结构图 字符1"/>
    <w:semiHidden/>
    <w:qFormat/>
    <w:uiPriority w:val="99"/>
    <w:rPr>
      <w:rFonts w:ascii="Microsoft YaHei UI" w:hAnsi="Noto Sans CJK JP Black" w:eastAsia="Microsoft YaHei UI" w:cs="Noto Sans CJK JP Black"/>
      <w:kern w:val="0"/>
      <w:sz w:val="18"/>
      <w:szCs w:val="18"/>
      <w:lang w:eastAsia="en-US"/>
    </w:rPr>
  </w:style>
  <w:style w:type="character" w:customStyle="1" w:styleId="259">
    <w:name w:val="文档结构图 Char1"/>
    <w:semiHidden/>
    <w:qFormat/>
    <w:uiPriority w:val="99"/>
    <w:rPr>
      <w:rFonts w:ascii="宋体" w:eastAsia="宋体"/>
      <w:sz w:val="18"/>
      <w:szCs w:val="18"/>
    </w:rPr>
  </w:style>
  <w:style w:type="character" w:customStyle="1" w:styleId="260">
    <w:name w:val="批注主题 Char1"/>
    <w:semiHidden/>
    <w:qFormat/>
    <w:uiPriority w:val="99"/>
    <w:rPr>
      <w:b/>
      <w:bCs/>
    </w:rPr>
  </w:style>
  <w:style w:type="character" w:customStyle="1" w:styleId="261">
    <w:name w:val="正文文本缩进 2 字符1"/>
    <w:semiHidden/>
    <w:qFormat/>
    <w:uiPriority w:val="99"/>
    <w:rPr>
      <w:rFonts w:ascii="Noto Sans CJK JP Black" w:hAnsi="Noto Sans CJK JP Black" w:eastAsia="Noto Sans CJK JP Black" w:cs="Noto Sans CJK JP Black"/>
      <w:kern w:val="0"/>
      <w:sz w:val="22"/>
      <w:lang w:eastAsia="en-US"/>
    </w:rPr>
  </w:style>
  <w:style w:type="character" w:customStyle="1" w:styleId="262">
    <w:name w:val="正文文本缩进 2 Char1"/>
    <w:basedOn w:val="43"/>
    <w:semiHidden/>
    <w:qFormat/>
    <w:uiPriority w:val="99"/>
  </w:style>
  <w:style w:type="character" w:customStyle="1" w:styleId="263">
    <w:name w:val="批注框文本 Char1"/>
    <w:semiHidden/>
    <w:qFormat/>
    <w:uiPriority w:val="99"/>
    <w:rPr>
      <w:sz w:val="18"/>
      <w:szCs w:val="18"/>
    </w:rPr>
  </w:style>
  <w:style w:type="character" w:customStyle="1" w:styleId="264">
    <w:name w:val="正文文本缩进 字符1"/>
    <w:semiHidden/>
    <w:qFormat/>
    <w:uiPriority w:val="99"/>
    <w:rPr>
      <w:rFonts w:ascii="Noto Sans CJK JP Black" w:hAnsi="Noto Sans CJK JP Black" w:eastAsia="Noto Sans CJK JP Black" w:cs="Noto Sans CJK JP Black"/>
      <w:kern w:val="0"/>
      <w:sz w:val="22"/>
      <w:lang w:eastAsia="en-US"/>
    </w:rPr>
  </w:style>
  <w:style w:type="character" w:customStyle="1" w:styleId="265">
    <w:name w:val="正文文本缩进 Char1"/>
    <w:basedOn w:val="43"/>
    <w:semiHidden/>
    <w:qFormat/>
    <w:uiPriority w:val="99"/>
  </w:style>
  <w:style w:type="character" w:customStyle="1" w:styleId="266">
    <w:name w:val="正文首行缩进 Char1"/>
    <w:semiHidden/>
    <w:qFormat/>
    <w:uiPriority w:val="99"/>
    <w:rPr>
      <w:rFonts w:ascii="Noto Sans CJK JP Black" w:hAnsi="Noto Sans CJK JP Black" w:eastAsia="Noto Sans CJK JP Black" w:cs="Noto Sans CJK JP Black"/>
      <w:kern w:val="0"/>
      <w:sz w:val="24"/>
      <w:szCs w:val="24"/>
      <w:lang w:eastAsia="en-US"/>
    </w:rPr>
  </w:style>
  <w:style w:type="character" w:customStyle="1" w:styleId="267">
    <w:name w:val="纯文本 字符1"/>
    <w:semiHidden/>
    <w:qFormat/>
    <w:uiPriority w:val="99"/>
    <w:rPr>
      <w:rFonts w:ascii="等线" w:hAnsi="Courier New" w:cs="Courier New"/>
      <w:kern w:val="0"/>
      <w:sz w:val="22"/>
      <w:lang w:eastAsia="en-US"/>
    </w:rPr>
  </w:style>
  <w:style w:type="character" w:customStyle="1" w:styleId="268">
    <w:name w:val="纯文本 Char1"/>
    <w:semiHidden/>
    <w:qFormat/>
    <w:uiPriority w:val="99"/>
    <w:rPr>
      <w:rFonts w:ascii="宋体" w:hAnsi="Courier New" w:eastAsia="宋体" w:cs="Courier New"/>
      <w:szCs w:val="21"/>
    </w:rPr>
  </w:style>
  <w:style w:type="character" w:customStyle="1" w:styleId="269">
    <w:name w:val="正文文本首行缩进 2 字符1"/>
    <w:semiHidden/>
    <w:qFormat/>
    <w:uiPriority w:val="99"/>
  </w:style>
  <w:style w:type="character" w:customStyle="1" w:styleId="270">
    <w:name w:val="正文首行缩进 2 Char1"/>
    <w:basedOn w:val="265"/>
    <w:semiHidden/>
    <w:qFormat/>
    <w:uiPriority w:val="99"/>
  </w:style>
  <w:style w:type="character" w:customStyle="1" w:styleId="271">
    <w:name w:val="页眉 Char1"/>
    <w:semiHidden/>
    <w:qFormat/>
    <w:uiPriority w:val="99"/>
    <w:rPr>
      <w:sz w:val="18"/>
      <w:szCs w:val="18"/>
    </w:rPr>
  </w:style>
  <w:style w:type="character" w:customStyle="1" w:styleId="272">
    <w:name w:val="HTML 预设格式 字符1"/>
    <w:semiHidden/>
    <w:qFormat/>
    <w:uiPriority w:val="99"/>
    <w:rPr>
      <w:rFonts w:ascii="Courier New" w:hAnsi="Courier New" w:eastAsia="Noto Sans CJK JP Black" w:cs="Courier New"/>
      <w:kern w:val="0"/>
      <w:sz w:val="20"/>
      <w:szCs w:val="20"/>
      <w:lang w:eastAsia="en-US"/>
    </w:rPr>
  </w:style>
  <w:style w:type="character" w:customStyle="1" w:styleId="273">
    <w:name w:val="HTML 预设格式 Char2"/>
    <w:semiHidden/>
    <w:qFormat/>
    <w:uiPriority w:val="99"/>
    <w:rPr>
      <w:rFonts w:ascii="Courier New" w:hAnsi="Courier New" w:cs="Courier New"/>
      <w:sz w:val="20"/>
      <w:szCs w:val="20"/>
    </w:rPr>
  </w:style>
  <w:style w:type="character" w:customStyle="1" w:styleId="274">
    <w:name w:val="页脚 Char1"/>
    <w:semiHidden/>
    <w:qFormat/>
    <w:uiPriority w:val="99"/>
    <w:rPr>
      <w:sz w:val="18"/>
      <w:szCs w:val="18"/>
    </w:rPr>
  </w:style>
  <w:style w:type="table" w:customStyle="1" w:styleId="275">
    <w:name w:val="样式11"/>
    <w:basedOn w:val="40"/>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276">
    <w:name w:val="标准表格1"/>
    <w:basedOn w:val="4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Courier"/>
        <w:sz w:val="18"/>
      </w:rPr>
      <w:tblPr/>
      <w:trPr>
        <w:tblHeader/>
      </w:trPr>
    </w:tblStylePr>
    <w:tblStylePr w:type="firstCol">
      <w:pPr>
        <w:jc w:val="center"/>
      </w:pPr>
    </w:tblStylePr>
  </w:style>
  <w:style w:type="paragraph" w:customStyle="1" w:styleId="277">
    <w:name w:val="_Style 10"/>
    <w:basedOn w:val="1"/>
    <w:next w:val="1"/>
    <w:qFormat/>
    <w:uiPriority w:val="0"/>
    <w:pPr>
      <w:spacing w:line="360" w:lineRule="auto"/>
      <w:ind w:firstLine="200" w:firstLineChars="200"/>
    </w:pPr>
    <w:rPr>
      <w:rFonts w:ascii="宋体" w:hAnsi="Times New Roman" w:eastAsia="宋体" w:cs="Times New Roman"/>
      <w:szCs w:val="21"/>
    </w:rPr>
  </w:style>
  <w:style w:type="paragraph" w:customStyle="1" w:styleId="278">
    <w:name w:val="表题"/>
    <w:qFormat/>
    <w:uiPriority w:val="0"/>
    <w:pPr>
      <w:widowControl w:val="0"/>
      <w:autoSpaceDE w:val="0"/>
      <w:autoSpaceDN w:val="0"/>
      <w:adjustRightInd w:val="0"/>
      <w:jc w:val="center"/>
    </w:pPr>
    <w:rPr>
      <w:rFonts w:ascii="Times New Roman" w:hAnsi="Times New Roman" w:eastAsia="等线" w:cs="Times New Roman"/>
      <w:b/>
      <w:color w:val="000000"/>
      <w:sz w:val="21"/>
      <w:szCs w:val="24"/>
      <w:lang w:val="en-US" w:eastAsia="zh-CN" w:bidi="ar-SA"/>
    </w:rPr>
  </w:style>
  <w:style w:type="character" w:customStyle="1" w:styleId="279">
    <w:name w:val="cucd-0 Char1"/>
    <w:link w:val="280"/>
    <w:qFormat/>
    <w:locked/>
    <w:uiPriority w:val="0"/>
    <w:rPr>
      <w:sz w:val="24"/>
      <w:szCs w:val="24"/>
    </w:rPr>
  </w:style>
  <w:style w:type="paragraph" w:customStyle="1" w:styleId="280">
    <w:name w:val="cucd-0"/>
    <w:link w:val="279"/>
    <w:qFormat/>
    <w:uiPriority w:val="0"/>
    <w:pPr>
      <w:spacing w:line="360" w:lineRule="auto"/>
      <w:ind w:firstLine="480" w:firstLineChars="200"/>
    </w:pPr>
    <w:rPr>
      <w:rFonts w:ascii="Times New Roman" w:hAnsi="Times New Roman" w:eastAsia="宋体" w:cs="Times New Roman"/>
      <w:sz w:val="24"/>
      <w:szCs w:val="24"/>
      <w:lang w:val="en-US" w:eastAsia="zh-CN" w:bidi="ar-SA"/>
    </w:rPr>
  </w:style>
  <w:style w:type="table" w:customStyle="1" w:styleId="281">
    <w:name w:val="cauc-table"/>
    <w:basedOn w:val="40"/>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table" w:customStyle="1" w:styleId="282">
    <w:name w:val="网格型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
    <w:name w:val="网格型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网格型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网格型4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6">
    <w:name w:val="fontstyle31"/>
    <w:qFormat/>
    <w:uiPriority w:val="0"/>
    <w:rPr>
      <w:rFonts w:hint="eastAsia" w:ascii="MS Mincho" w:eastAsia="MS Mincho"/>
      <w:color w:val="000000"/>
      <w:sz w:val="22"/>
      <w:szCs w:val="22"/>
    </w:rPr>
  </w:style>
  <w:style w:type="table" w:customStyle="1" w:styleId="287">
    <w:name w:val="灰度表格122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8">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9">
    <w:name w:val="font12"/>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9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Calibri"/>
      <w:kern w:val="0"/>
      <w:sz w:val="24"/>
    </w:rPr>
  </w:style>
  <w:style w:type="paragraph" w:customStyle="1" w:styleId="29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Calibri"/>
      <w:kern w:val="0"/>
      <w:sz w:val="24"/>
    </w:rPr>
  </w:style>
  <w:style w:type="paragraph" w:customStyle="1" w:styleId="29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Calibri"/>
      <w:color w:val="000000"/>
      <w:kern w:val="0"/>
      <w:sz w:val="24"/>
    </w:rPr>
  </w:style>
  <w:style w:type="paragraph" w:customStyle="1" w:styleId="29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Calibri"/>
      <w:color w:val="000000"/>
      <w:kern w:val="0"/>
      <w:sz w:val="24"/>
    </w:rPr>
  </w:style>
  <w:style w:type="paragraph" w:customStyle="1" w:styleId="29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9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29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9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9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9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0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table" w:customStyle="1" w:styleId="301">
    <w:name w:val="网格型5"/>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2">
    <w:name w:val="样式 正文缩进表正文正文非缩进 + 首行缩进:  2 字符"/>
    <w:basedOn w:val="2"/>
    <w:qFormat/>
    <w:uiPriority w:val="0"/>
    <w:pPr>
      <w:topLinePunct w:val="0"/>
      <w:adjustRightInd/>
      <w:snapToGrid/>
      <w:spacing w:line="420" w:lineRule="exact"/>
      <w:ind w:firstLine="480"/>
      <w:contextualSpacing/>
    </w:pPr>
    <w:rPr>
      <w:rFonts w:ascii="等线" w:hAnsi="Calibri" w:eastAsia="宋体" w:cs="Times New Roman"/>
      <w:snapToGrid/>
      <w:kern w:val="2"/>
      <w:sz w:val="21"/>
    </w:rPr>
  </w:style>
  <w:style w:type="paragraph" w:customStyle="1" w:styleId="303">
    <w:name w:val="A-z正文"/>
    <w:basedOn w:val="1"/>
    <w:qFormat/>
    <w:uiPriority w:val="0"/>
    <w:pPr>
      <w:spacing w:line="360" w:lineRule="auto"/>
      <w:ind w:firstLine="200" w:firstLineChars="200"/>
      <w:contextualSpacing/>
    </w:pPr>
    <w:rPr>
      <w:rFonts w:ascii="Times New Roman" w:hAnsi="Times New Roman" w:eastAsia="宋体" w:cs="宋体"/>
      <w:sz w:val="24"/>
      <w:szCs w:val="20"/>
    </w:rPr>
  </w:style>
  <w:style w:type="table" w:customStyle="1" w:styleId="304">
    <w:name w:val="三所表格要求格式"/>
    <w:basedOn w:val="42"/>
    <w:qFormat/>
    <w:uiPriority w:val="0"/>
    <w:pPr>
      <w:jc w:val="center"/>
    </w:pPr>
    <w:tblPr>
      <w:tblBorders>
        <w:top w:val="single" w:color="auto" w:sz="12" w:space="0"/>
        <w:bottom w:val="single" w:color="auto" w:sz="12" w:space="0"/>
        <w:insideH w:val="dotted" w:color="auto" w:sz="8" w:space="0"/>
        <w:insideV w:val="dotted" w:color="auto" w:sz="8" w:space="0"/>
      </w:tblBorders>
    </w:tblPr>
    <w:tcPr>
      <w:vAlign w:val="center"/>
    </w:tc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05">
    <w:name w:val="网格型6"/>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6">
    <w:name w:val="fontstyle11"/>
    <w:qFormat/>
    <w:uiPriority w:val="0"/>
    <w:rPr>
      <w:rFonts w:hint="default" w:ascii="仿宋" w:hAnsi="仿宋"/>
      <w:color w:val="000000"/>
      <w:sz w:val="30"/>
      <w:szCs w:val="30"/>
    </w:rPr>
  </w:style>
  <w:style w:type="character" w:customStyle="1" w:styleId="307">
    <w:name w:val="表标题 Char"/>
    <w:link w:val="308"/>
    <w:qFormat/>
    <w:uiPriority w:val="0"/>
    <w:rPr>
      <w:b/>
    </w:rPr>
  </w:style>
  <w:style w:type="paragraph" w:customStyle="1" w:styleId="308">
    <w:name w:val="表标题"/>
    <w:basedOn w:val="1"/>
    <w:next w:val="165"/>
    <w:link w:val="307"/>
    <w:qFormat/>
    <w:uiPriority w:val="0"/>
    <w:pPr>
      <w:jc w:val="center"/>
    </w:pPr>
    <w:rPr>
      <w:rFonts w:ascii="Times New Roman" w:hAnsi="Times New Roman" w:eastAsia="宋体" w:cs="Times New Roman"/>
      <w:b/>
      <w:kern w:val="0"/>
      <w:sz w:val="20"/>
      <w:szCs w:val="20"/>
    </w:rPr>
  </w:style>
  <w:style w:type="paragraph" w:customStyle="1" w:styleId="309">
    <w:name w:val="5正文SH"/>
    <w:basedOn w:val="1"/>
    <w:qFormat/>
    <w:uiPriority w:val="0"/>
    <w:pPr>
      <w:adjustRightInd w:val="0"/>
      <w:snapToGrid w:val="0"/>
      <w:spacing w:line="360" w:lineRule="auto"/>
      <w:ind w:firstLine="200" w:firstLineChars="200"/>
    </w:pPr>
    <w:rPr>
      <w:rFonts w:ascii="Times New Roman" w:hAnsi="Times New Roman" w:eastAsia="仿宋_GB2312" w:cs="Times New Roman"/>
      <w:sz w:val="24"/>
      <w:szCs w:val="28"/>
    </w:rPr>
  </w:style>
  <w:style w:type="character" w:customStyle="1" w:styleId="310">
    <w:name w:val="AA Char Char"/>
    <w:link w:val="311"/>
    <w:qFormat/>
    <w:uiPriority w:val="0"/>
    <w:rPr>
      <w:rFonts w:ascii="大黑体" w:hAnsi="大黑体"/>
      <w:sz w:val="24"/>
      <w:szCs w:val="24"/>
    </w:rPr>
  </w:style>
  <w:style w:type="paragraph" w:customStyle="1" w:styleId="311">
    <w:name w:val="AA"/>
    <w:basedOn w:val="1"/>
    <w:link w:val="310"/>
    <w:qFormat/>
    <w:uiPriority w:val="0"/>
    <w:pPr>
      <w:spacing w:line="360" w:lineRule="auto"/>
      <w:ind w:firstLine="200" w:firstLineChars="200"/>
    </w:pPr>
    <w:rPr>
      <w:rFonts w:ascii="大黑体" w:hAnsi="大黑体" w:eastAsia="宋体" w:cs="Times New Roman"/>
      <w:kern w:val="0"/>
      <w:sz w:val="24"/>
    </w:rPr>
  </w:style>
  <w:style w:type="character" w:customStyle="1" w:styleId="312">
    <w:name w:val="font31"/>
    <w:qFormat/>
    <w:uiPriority w:val="0"/>
    <w:rPr>
      <w:rFonts w:hint="default" w:ascii="Times New Roman" w:hAnsi="Times New Roman" w:cs="Times New Roman"/>
      <w:color w:val="000000"/>
      <w:sz w:val="24"/>
      <w:szCs w:val="24"/>
      <w:u w:val="none"/>
    </w:rPr>
  </w:style>
  <w:style w:type="character" w:customStyle="1" w:styleId="313">
    <w:name w:val="font81"/>
    <w:qFormat/>
    <w:uiPriority w:val="0"/>
    <w:rPr>
      <w:rFonts w:hint="eastAsia" w:ascii="宋体" w:hAnsi="宋体" w:eastAsia="宋体"/>
      <w:color w:val="000000"/>
      <w:sz w:val="24"/>
      <w:szCs w:val="24"/>
      <w:u w:val="none"/>
    </w:rPr>
  </w:style>
  <w:style w:type="character" w:customStyle="1" w:styleId="314">
    <w:name w:val="font91"/>
    <w:qFormat/>
    <w:uiPriority w:val="0"/>
    <w:rPr>
      <w:rFonts w:hint="eastAsia" w:ascii="仿宋_GB2312" w:eastAsia="仿宋_GB2312"/>
      <w:color w:val="000000"/>
      <w:sz w:val="24"/>
      <w:szCs w:val="24"/>
      <w:u w:val="none"/>
    </w:rPr>
  </w:style>
  <w:style w:type="character" w:customStyle="1" w:styleId="315">
    <w:name w:val="font51"/>
    <w:qFormat/>
    <w:uiPriority w:val="0"/>
    <w:rPr>
      <w:rFonts w:hint="eastAsia" w:ascii="仿宋" w:hAnsi="仿宋" w:eastAsia="仿宋"/>
      <w:color w:val="000000"/>
      <w:sz w:val="24"/>
      <w:szCs w:val="24"/>
      <w:u w:val="none"/>
    </w:rPr>
  </w:style>
  <w:style w:type="character" w:customStyle="1" w:styleId="316">
    <w:name w:val="font01"/>
    <w:qFormat/>
    <w:uiPriority w:val="0"/>
    <w:rPr>
      <w:rFonts w:hint="eastAsia" w:ascii="仿宋_GB2312" w:eastAsia="仿宋_GB2312"/>
      <w:color w:val="000000"/>
      <w:sz w:val="24"/>
      <w:szCs w:val="24"/>
      <w:u w:val="none"/>
    </w:rPr>
  </w:style>
  <w:style w:type="character" w:customStyle="1" w:styleId="317">
    <w:name w:val="font71"/>
    <w:qFormat/>
    <w:uiPriority w:val="0"/>
    <w:rPr>
      <w:rFonts w:hint="eastAsia" w:ascii="仿宋_GB2312" w:eastAsia="仿宋_GB2312"/>
      <w:b/>
      <w:bCs/>
      <w:color w:val="000099"/>
      <w:sz w:val="24"/>
      <w:szCs w:val="24"/>
      <w:u w:val="none"/>
    </w:rPr>
  </w:style>
  <w:style w:type="paragraph" w:customStyle="1" w:styleId="318">
    <w:name w:val="font0"/>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18"/>
      <w:szCs w:val="18"/>
    </w:rPr>
  </w:style>
  <w:style w:type="paragraph" w:customStyle="1" w:styleId="319">
    <w:name w:val="font1"/>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szCs w:val="22"/>
    </w:rPr>
  </w:style>
  <w:style w:type="paragraph" w:customStyle="1" w:styleId="320">
    <w:name w:val="font2"/>
    <w:basedOn w:val="1"/>
    <w:qFormat/>
    <w:uiPriority w:val="0"/>
    <w:pPr>
      <w:widowControl/>
      <w:spacing w:before="100" w:beforeAutospacing="1" w:after="100" w:afterAutospacing="1"/>
      <w:jc w:val="left"/>
    </w:pPr>
    <w:rPr>
      <w:rFonts w:ascii="宋体" w:hAnsi="宋体" w:eastAsia="宋体" w:cs="宋体"/>
      <w:color w:val="FF0000"/>
      <w:kern w:val="0"/>
      <w:sz w:val="18"/>
      <w:szCs w:val="18"/>
    </w:rPr>
  </w:style>
  <w:style w:type="paragraph" w:customStyle="1" w:styleId="321">
    <w:name w:val="font3"/>
    <w:basedOn w:val="1"/>
    <w:qFormat/>
    <w:uiPriority w:val="0"/>
    <w:pPr>
      <w:widowControl/>
      <w:spacing w:before="100" w:beforeAutospacing="1" w:after="100" w:afterAutospacing="1"/>
      <w:jc w:val="left"/>
    </w:pPr>
    <w:rPr>
      <w:rFonts w:ascii="Times New Roman" w:hAnsi="Times New Roman" w:eastAsia="宋体" w:cs="Times New Roman"/>
      <w:color w:val="FF0000"/>
      <w:kern w:val="0"/>
      <w:sz w:val="18"/>
      <w:szCs w:val="18"/>
    </w:rPr>
  </w:style>
  <w:style w:type="paragraph" w:customStyle="1" w:styleId="322">
    <w:name w:val="font4"/>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323">
    <w:name w:val="et2"/>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eastAsia="宋体" w:cs="宋体"/>
      <w:b/>
      <w:bCs/>
      <w:kern w:val="0"/>
      <w:sz w:val="18"/>
      <w:szCs w:val="18"/>
    </w:rPr>
  </w:style>
  <w:style w:type="paragraph" w:customStyle="1" w:styleId="324">
    <w:name w:val="et3"/>
    <w:basedOn w:val="1"/>
    <w:qFormat/>
    <w:uiPriority w:val="0"/>
    <w:pPr>
      <w:widowControl/>
      <w:pBdr>
        <w:top w:val="single" w:color="000000" w:sz="8" w:space="0"/>
        <w:right w:val="single" w:color="000000" w:sz="8" w:space="0"/>
      </w:pBdr>
      <w:spacing w:before="100" w:beforeAutospacing="1" w:after="100" w:afterAutospacing="1"/>
      <w:jc w:val="center"/>
    </w:pPr>
    <w:rPr>
      <w:rFonts w:ascii="宋体" w:hAnsi="宋体" w:eastAsia="宋体" w:cs="宋体"/>
      <w:b/>
      <w:bCs/>
      <w:kern w:val="0"/>
      <w:sz w:val="18"/>
      <w:szCs w:val="18"/>
    </w:rPr>
  </w:style>
  <w:style w:type="paragraph" w:customStyle="1" w:styleId="325">
    <w:name w:val="et4"/>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eastAsia="宋体" w:cs="宋体"/>
      <w:b/>
      <w:bCs/>
      <w:kern w:val="0"/>
      <w:sz w:val="18"/>
      <w:szCs w:val="18"/>
    </w:rPr>
  </w:style>
  <w:style w:type="paragraph" w:customStyle="1" w:styleId="326">
    <w:name w:val="et5"/>
    <w:basedOn w:val="1"/>
    <w:qFormat/>
    <w:uiPriority w:val="0"/>
    <w:pPr>
      <w:widowControl/>
      <w:pBdr>
        <w:left w:val="single" w:color="000000" w:sz="8" w:space="0"/>
        <w:right w:val="single" w:color="000000" w:sz="8" w:space="0"/>
      </w:pBdr>
      <w:spacing w:before="100" w:beforeAutospacing="1" w:after="100" w:afterAutospacing="1"/>
      <w:jc w:val="center"/>
    </w:pPr>
    <w:rPr>
      <w:rFonts w:ascii="宋体" w:hAnsi="宋体" w:eastAsia="宋体" w:cs="宋体"/>
      <w:b/>
      <w:bCs/>
      <w:kern w:val="0"/>
      <w:sz w:val="18"/>
      <w:szCs w:val="18"/>
    </w:rPr>
  </w:style>
  <w:style w:type="paragraph" w:customStyle="1" w:styleId="327">
    <w:name w:val="et6"/>
    <w:basedOn w:val="1"/>
    <w:qFormat/>
    <w:uiPriority w:val="0"/>
    <w:pPr>
      <w:widowControl/>
      <w:pBdr>
        <w:right w:val="single" w:color="000000" w:sz="8" w:space="0"/>
      </w:pBdr>
      <w:spacing w:before="100" w:beforeAutospacing="1" w:after="100" w:afterAutospacing="1"/>
      <w:jc w:val="center"/>
    </w:pPr>
    <w:rPr>
      <w:rFonts w:ascii="宋体" w:hAnsi="宋体" w:eastAsia="宋体" w:cs="宋体"/>
      <w:b/>
      <w:bCs/>
      <w:kern w:val="0"/>
      <w:sz w:val="18"/>
      <w:szCs w:val="18"/>
    </w:rPr>
  </w:style>
  <w:style w:type="paragraph" w:customStyle="1" w:styleId="328">
    <w:name w:val="et7"/>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329">
    <w:name w:val="et8"/>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330">
    <w:name w:val="et9"/>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left"/>
    </w:pPr>
    <w:rPr>
      <w:rFonts w:ascii="宋体" w:hAnsi="宋体" w:eastAsia="宋体" w:cs="宋体"/>
      <w:kern w:val="0"/>
      <w:sz w:val="24"/>
    </w:rPr>
  </w:style>
  <w:style w:type="paragraph" w:customStyle="1" w:styleId="331">
    <w:name w:val="et10"/>
    <w:basedOn w:val="1"/>
    <w:qFormat/>
    <w:uiPriority w:val="0"/>
    <w:pPr>
      <w:widowControl/>
      <w:pBdr>
        <w:bottom w:val="single" w:color="000000" w:sz="8" w:space="0"/>
        <w:right w:val="single" w:color="000000" w:sz="8" w:space="0"/>
      </w:pBdr>
      <w:spacing w:before="100" w:beforeAutospacing="1" w:after="100" w:afterAutospacing="1"/>
      <w:jc w:val="left"/>
    </w:pPr>
    <w:rPr>
      <w:rFonts w:ascii="宋体" w:hAnsi="宋体" w:eastAsia="宋体" w:cs="宋体"/>
      <w:kern w:val="0"/>
      <w:sz w:val="24"/>
    </w:rPr>
  </w:style>
  <w:style w:type="paragraph" w:customStyle="1" w:styleId="332">
    <w:name w:val="et11"/>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eastAsia="宋体" w:cs="宋体"/>
      <w:kern w:val="0"/>
      <w:sz w:val="18"/>
      <w:szCs w:val="18"/>
    </w:rPr>
  </w:style>
  <w:style w:type="paragraph" w:customStyle="1" w:styleId="333">
    <w:name w:val="et12"/>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eastAsia="宋体" w:cs="宋体"/>
      <w:kern w:val="0"/>
      <w:sz w:val="18"/>
      <w:szCs w:val="18"/>
    </w:rPr>
  </w:style>
  <w:style w:type="paragraph" w:customStyle="1" w:styleId="334">
    <w:name w:val="et1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335">
    <w:name w:val="et14"/>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eastAsia="宋体" w:cs="宋体"/>
      <w:color w:val="FF0000"/>
      <w:kern w:val="0"/>
      <w:sz w:val="18"/>
      <w:szCs w:val="18"/>
    </w:rPr>
  </w:style>
  <w:style w:type="paragraph" w:customStyle="1" w:styleId="336">
    <w:name w:val="et15"/>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FF0000"/>
      <w:kern w:val="0"/>
      <w:sz w:val="18"/>
      <w:szCs w:val="18"/>
    </w:rPr>
  </w:style>
  <w:style w:type="paragraph" w:customStyle="1" w:styleId="337">
    <w:name w:val="et16"/>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eastAsia="宋体" w:cs="宋体"/>
      <w:b/>
      <w:bCs/>
      <w:kern w:val="0"/>
      <w:sz w:val="18"/>
      <w:szCs w:val="18"/>
    </w:rPr>
  </w:style>
  <w:style w:type="paragraph" w:customStyle="1" w:styleId="338">
    <w:name w:val="et17"/>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b/>
      <w:bCs/>
      <w:kern w:val="0"/>
      <w:sz w:val="18"/>
      <w:szCs w:val="18"/>
    </w:rPr>
  </w:style>
  <w:style w:type="paragraph" w:customStyle="1" w:styleId="339">
    <w:name w:val="et18"/>
    <w:basedOn w:val="1"/>
    <w:qFormat/>
    <w:uiPriority w:val="0"/>
    <w:pPr>
      <w:widowControl/>
      <w:pBdr>
        <w:right w:val="single" w:color="000000" w:sz="8"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340">
    <w:name w:val="et19"/>
    <w:basedOn w:val="1"/>
    <w:qFormat/>
    <w:uiPriority w:val="0"/>
    <w:pPr>
      <w:widowControl/>
      <w:pBdr>
        <w:right w:val="single" w:color="000000" w:sz="8" w:space="0"/>
      </w:pBdr>
      <w:spacing w:before="100" w:beforeAutospacing="1" w:after="100" w:afterAutospacing="1"/>
      <w:jc w:val="center"/>
    </w:pPr>
    <w:rPr>
      <w:rFonts w:ascii="宋体" w:hAnsi="宋体" w:eastAsia="宋体" w:cs="宋体"/>
      <w:kern w:val="0"/>
      <w:sz w:val="18"/>
      <w:szCs w:val="18"/>
    </w:rPr>
  </w:style>
  <w:style w:type="paragraph" w:customStyle="1" w:styleId="341">
    <w:name w:val="et20"/>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FF0000"/>
      <w:kern w:val="0"/>
      <w:sz w:val="18"/>
      <w:szCs w:val="18"/>
    </w:rPr>
  </w:style>
  <w:style w:type="paragraph" w:customStyle="1" w:styleId="342">
    <w:name w:val="et21"/>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eastAsia="宋体" w:cs="宋体"/>
      <w:color w:val="FF0000"/>
      <w:kern w:val="0"/>
      <w:sz w:val="18"/>
      <w:szCs w:val="18"/>
    </w:rPr>
  </w:style>
  <w:style w:type="paragraph" w:customStyle="1" w:styleId="343">
    <w:name w:val="et22"/>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Cs w:val="21"/>
    </w:rPr>
  </w:style>
  <w:style w:type="paragraph" w:customStyle="1" w:styleId="344">
    <w:name w:val="et23"/>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 w:val="24"/>
    </w:rPr>
  </w:style>
  <w:style w:type="paragraph" w:customStyle="1" w:styleId="345">
    <w:name w:val="et24"/>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000099"/>
      <w:kern w:val="0"/>
      <w:sz w:val="18"/>
      <w:szCs w:val="18"/>
    </w:rPr>
  </w:style>
  <w:style w:type="paragraph" w:customStyle="1" w:styleId="346">
    <w:name w:val="et25"/>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347">
    <w:name w:val="et26"/>
    <w:basedOn w:val="1"/>
    <w:qFormat/>
    <w:uiPriority w:val="0"/>
    <w:pPr>
      <w:widowControl/>
      <w:pBdr>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348">
    <w:name w:val="et27"/>
    <w:basedOn w:val="1"/>
    <w:qFormat/>
    <w:uiPriority w:val="0"/>
    <w:pPr>
      <w:widowControl/>
      <w:pBdr>
        <w:right w:val="single" w:color="000000" w:sz="8" w:space="0"/>
      </w:pBdr>
      <w:spacing w:before="100" w:beforeAutospacing="1" w:after="100" w:afterAutospacing="1"/>
      <w:jc w:val="center"/>
    </w:pPr>
    <w:rPr>
      <w:rFonts w:ascii="Times New Roman" w:hAnsi="Times New Roman" w:eastAsia="宋体" w:cs="Times New Roman"/>
      <w:color w:val="000099"/>
      <w:kern w:val="0"/>
      <w:sz w:val="18"/>
      <w:szCs w:val="18"/>
    </w:rPr>
  </w:style>
  <w:style w:type="paragraph" w:customStyle="1" w:styleId="349">
    <w:name w:val="et28"/>
    <w:basedOn w:val="1"/>
    <w:qFormat/>
    <w:uiPriority w:val="0"/>
    <w:pPr>
      <w:widowControl/>
      <w:pBdr>
        <w:right w:val="single" w:color="000000" w:sz="8" w:space="0"/>
      </w:pBdr>
      <w:spacing w:before="100" w:beforeAutospacing="1" w:after="100" w:afterAutospacing="1"/>
      <w:jc w:val="center"/>
    </w:pPr>
    <w:rPr>
      <w:rFonts w:ascii="宋体" w:hAnsi="宋体" w:eastAsia="宋体" w:cs="宋体"/>
      <w:color w:val="FF0000"/>
      <w:kern w:val="0"/>
      <w:sz w:val="18"/>
      <w:szCs w:val="18"/>
    </w:rPr>
  </w:style>
  <w:style w:type="paragraph" w:customStyle="1" w:styleId="350">
    <w:name w:val="et29"/>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351">
    <w:name w:val="et30"/>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000099"/>
      <w:kern w:val="0"/>
      <w:sz w:val="18"/>
      <w:szCs w:val="18"/>
    </w:rPr>
  </w:style>
  <w:style w:type="character" w:customStyle="1" w:styleId="352">
    <w:name w:val="font61"/>
    <w:qFormat/>
    <w:uiPriority w:val="0"/>
    <w:rPr>
      <w:rFonts w:hint="default" w:ascii="Arial" w:hAnsi="Arial" w:cs="Arial"/>
      <w:color w:val="000000"/>
      <w:sz w:val="22"/>
      <w:szCs w:val="22"/>
      <w:u w:val="none"/>
    </w:rPr>
  </w:style>
  <w:style w:type="character" w:customStyle="1" w:styleId="353">
    <w:name w:val="font101"/>
    <w:qFormat/>
    <w:uiPriority w:val="0"/>
    <w:rPr>
      <w:rFonts w:hint="default" w:ascii="Times New Roman" w:hAnsi="Times New Roman" w:cs="Times New Roman"/>
      <w:b/>
      <w:bCs/>
      <w:color w:val="000000"/>
      <w:sz w:val="20"/>
      <w:szCs w:val="20"/>
      <w:u w:val="none"/>
    </w:rPr>
  </w:style>
  <w:style w:type="table" w:customStyle="1" w:styleId="354">
    <w:name w:val="Table Normal4"/>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table" w:customStyle="1" w:styleId="355">
    <w:name w:val="网格型7"/>
    <w:basedOn w:val="40"/>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
    <w:name w:val="样式12"/>
    <w:basedOn w:val="40"/>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57">
    <w:name w:val="标准表格2"/>
    <w:basedOn w:val="4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Courier"/>
        <w:sz w:val="18"/>
      </w:rPr>
      <w:tblPr/>
      <w:trPr>
        <w:tblHeader/>
      </w:trPr>
    </w:tblStylePr>
    <w:tblStylePr w:type="firstCol">
      <w:pPr>
        <w:jc w:val="center"/>
      </w:pPr>
    </w:tblStylePr>
  </w:style>
  <w:style w:type="table" w:customStyle="1" w:styleId="358">
    <w:name w:val="cauc-table1"/>
    <w:basedOn w:val="40"/>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table" w:customStyle="1" w:styleId="359">
    <w:name w:val="网格型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
    <w:name w:val="网格型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
    <w:name w:val="网格型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
    <w:name w:val="网格型42"/>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
    <w:name w:val="灰度表格1221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
    <w:name w:val="网格型5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
    <w:name w:val="三所表格要求格式1"/>
    <w:basedOn w:val="42"/>
    <w:qFormat/>
    <w:uiPriority w:val="0"/>
    <w:pPr>
      <w:jc w:val="center"/>
    </w:pPr>
    <w:rPr>
      <w:rFonts w:ascii="Times New Roman" w:hAnsi="Times New Roman" w:eastAsia="宋体"/>
      <w:kern w:val="0"/>
      <w:sz w:val="20"/>
      <w:szCs w:val="20"/>
    </w:rPr>
    <w:tblPr>
      <w:tblBorders>
        <w:top w:val="single" w:color="auto" w:sz="12" w:space="0"/>
        <w:bottom w:val="single" w:color="auto" w:sz="12" w:space="0"/>
        <w:insideH w:val="dotted" w:color="auto" w:sz="8" w:space="0"/>
        <w:insideV w:val="dotted" w:color="auto" w:sz="8" w:space="0"/>
      </w:tblBorders>
    </w:tblPr>
    <w:tcPr>
      <w:vAlign w:val="center"/>
    </w:tcPr>
    <w:tblStylePr w:type="firstRow">
      <w:tcPr>
        <w:tcBorders>
          <w:top w:val="single" w:color="auto" w:sz="12" w:space="0"/>
          <w:left w:val="single" w:color="auto" w:sz="12" w:space="0"/>
          <w:bottom w:val="nil"/>
          <w:right w:val="nil"/>
          <w:insideH w:val="nil"/>
          <w:insideV w:val="dotted" w:sz="8" w:space="0"/>
          <w:tl2br w:val="nil"/>
          <w:tr2bl w:val="nil"/>
        </w:tcBorders>
      </w:tcPr>
    </w:tblStylePr>
  </w:style>
  <w:style w:type="table" w:customStyle="1" w:styleId="366">
    <w:name w:val="表格主题1"/>
    <w:basedOn w:val="40"/>
    <w:semiHidden/>
    <w:unhideWhenUsed/>
    <w:qFormat/>
    <w:uiPriority w:val="99"/>
    <w:pPr>
      <w:widowControl w:val="0"/>
      <w:jc w:val="both"/>
    </w:pPr>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
    <w:name w:val="网格型6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
    <w:name w:val="网格型7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
    <w:name w:val="样式111"/>
    <w:basedOn w:val="40"/>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70">
    <w:name w:val="Table Normal11"/>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71">
    <w:name w:val="标准表格11"/>
    <w:basedOn w:val="4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Courier"/>
        <w:sz w:val="18"/>
      </w:rPr>
      <w:tblPr/>
      <w:trPr>
        <w:tblHeader/>
      </w:trPr>
    </w:tblStylePr>
    <w:tblStylePr w:type="firstCol">
      <w:pPr>
        <w:jc w:val="center"/>
      </w:pPr>
    </w:tblStylePr>
  </w:style>
  <w:style w:type="table" w:customStyle="1" w:styleId="372">
    <w:name w:val="网格型（pxg）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3">
    <w:name w:val="Head 1wsa Char"/>
    <w:qFormat/>
    <w:locked/>
    <w:uiPriority w:val="0"/>
    <w:rPr>
      <w:rFonts w:eastAsia="黑体"/>
      <w:bCs/>
      <w:kern w:val="44"/>
      <w:sz w:val="24"/>
      <w:szCs w:val="44"/>
    </w:rPr>
  </w:style>
  <w:style w:type="table" w:customStyle="1" w:styleId="374">
    <w:name w:val="Table Normal21"/>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75">
    <w:name w:val="网格型8"/>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
    <w:name w:val="样式13"/>
    <w:basedOn w:val="40"/>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77">
    <w:name w:val="Table Normal31"/>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78">
    <w:name w:val="网格型9"/>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
    <w:name w:val="样式14"/>
    <w:basedOn w:val="40"/>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80">
    <w:name w:val="Table Normal41"/>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81">
    <w:name w:val="标准表格3"/>
    <w:basedOn w:val="4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Courier"/>
        <w:sz w:val="18"/>
      </w:rPr>
      <w:tblPr/>
      <w:trPr>
        <w:tblHeader/>
      </w:trPr>
    </w:tblStylePr>
    <w:tblStylePr w:type="firstCol">
      <w:pPr>
        <w:jc w:val="center"/>
      </w:pPr>
    </w:tblStylePr>
  </w:style>
  <w:style w:type="paragraph" w:customStyle="1" w:styleId="382">
    <w:name w:val="List Paragraph1"/>
    <w:basedOn w:val="1"/>
    <w:qFormat/>
    <w:uiPriority w:val="0"/>
    <w:pPr>
      <w:widowControl/>
      <w:ind w:firstLine="420" w:firstLineChars="200"/>
      <w:jc w:val="left"/>
    </w:pPr>
    <w:rPr>
      <w:rFonts w:ascii="Calibri" w:hAnsi="Calibri" w:eastAsia="宋体" w:cs="Times New Roman"/>
      <w:kern w:val="0"/>
      <w:sz w:val="24"/>
    </w:rPr>
  </w:style>
  <w:style w:type="paragraph" w:customStyle="1" w:styleId="383">
    <w:name w:val="D1磅"/>
    <w:basedOn w:val="1"/>
    <w:qFormat/>
    <w:uiPriority w:val="0"/>
    <w:pPr>
      <w:widowControl/>
      <w:spacing w:before="20" w:after="20"/>
      <w:jc w:val="center"/>
    </w:pPr>
    <w:rPr>
      <w:rFonts w:ascii="宋体" w:hAnsi="Times New Roman" w:eastAsia="宋体" w:cs="Times New Roman"/>
      <w:kern w:val="0"/>
      <w:sz w:val="24"/>
      <w:szCs w:val="21"/>
    </w:rPr>
  </w:style>
  <w:style w:type="table" w:customStyle="1" w:styleId="384">
    <w:name w:val="网格型10"/>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
    <w:name w:val="Table Normal5"/>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86">
    <w:name w:val="Table Normal6"/>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87">
    <w:name w:val="Table Normal7"/>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88">
    <w:name w:val="Table Normal8"/>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89">
    <w:name w:val="Table Normal9"/>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table" w:customStyle="1" w:styleId="390">
    <w:name w:val="Table Normal10"/>
    <w:semiHidden/>
    <w:unhideWhenUsed/>
    <w:qFormat/>
    <w:uiPriority w:val="2"/>
    <w:pPr>
      <w:widowControl w:val="0"/>
      <w:autoSpaceDE w:val="0"/>
      <w:autoSpaceDN w:val="0"/>
    </w:pPr>
    <w:rPr>
      <w:rFonts w:hAnsi="Calibri"/>
      <w:sz w:val="22"/>
      <w:szCs w:val="22"/>
      <w:lang w:eastAsia="en-US"/>
    </w:rPr>
    <w:tblPr>
      <w:tblCellMar>
        <w:top w:w="0" w:type="dxa"/>
        <w:left w:w="0" w:type="dxa"/>
        <w:bottom w:w="0" w:type="dxa"/>
        <w:right w:w="0" w:type="dxa"/>
      </w:tblCellMar>
    </w:tblPr>
  </w:style>
  <w:style w:type="character" w:customStyle="1" w:styleId="391">
    <w:name w:val="未处理的提及1"/>
    <w:semiHidden/>
    <w:unhideWhenUsed/>
    <w:qFormat/>
    <w:uiPriority w:val="99"/>
    <w:rPr>
      <w:color w:val="605E5C"/>
      <w:shd w:val="clear" w:color="auto" w:fill="E1DFDD"/>
    </w:rPr>
  </w:style>
  <w:style w:type="character" w:customStyle="1" w:styleId="392">
    <w:name w:val="Body text + Bookman Old Style"/>
    <w:qFormat/>
    <w:uiPriority w:val="0"/>
    <w:rPr>
      <w:rFonts w:ascii="Bookman Old Style" w:hAnsi="Bookman Old Style" w:eastAsia="Bookman Old Style" w:cs="Bookman Old Style"/>
      <w:b/>
      <w:bCs/>
      <w:color w:val="000000"/>
      <w:spacing w:val="0"/>
      <w:w w:val="100"/>
      <w:position w:val="0"/>
      <w:sz w:val="8"/>
      <w:szCs w:val="8"/>
      <w:u w:val="none"/>
      <w:shd w:val="clear" w:color="auto" w:fill="FFFFFF"/>
    </w:rPr>
  </w:style>
  <w:style w:type="character" w:customStyle="1" w:styleId="393">
    <w:name w:val="Body text + 5.5 pt"/>
    <w:qFormat/>
    <w:uiPriority w:val="0"/>
    <w:rPr>
      <w:rFonts w:ascii="MingLiU" w:hAnsi="MingLiU" w:eastAsia="MingLiU" w:cs="MingLiU"/>
      <w:color w:val="000000"/>
      <w:spacing w:val="0"/>
      <w:w w:val="100"/>
      <w:position w:val="0"/>
      <w:sz w:val="11"/>
      <w:szCs w:val="11"/>
      <w:u w:val="none"/>
      <w:shd w:val="clear" w:color="auto" w:fill="FFFFFF"/>
    </w:rPr>
  </w:style>
  <w:style w:type="character" w:customStyle="1" w:styleId="394">
    <w:name w:val="标题 6 Char"/>
    <w:qFormat/>
    <w:uiPriority w:val="0"/>
    <w:rPr>
      <w:rFonts w:ascii="Cambria" w:hAnsi="Cambria" w:eastAsia="宋体" w:cs="Times New Roman"/>
      <w:b/>
      <w:bCs/>
      <w:kern w:val="0"/>
      <w:sz w:val="24"/>
      <w:szCs w:val="24"/>
    </w:rPr>
  </w:style>
  <w:style w:type="character" w:customStyle="1" w:styleId="395">
    <w:name w:val="纯文本 Char"/>
    <w:qFormat/>
    <w:uiPriority w:val="0"/>
    <w:rPr>
      <w:rFonts w:ascii="宋体" w:hAnsi="Courier New" w:eastAsia="宋体"/>
    </w:rPr>
  </w:style>
  <w:style w:type="character" w:customStyle="1" w:styleId="396">
    <w:name w:val="正文文本缩进 2 Char"/>
    <w:qFormat/>
    <w:uiPriority w:val="0"/>
    <w:rPr>
      <w:szCs w:val="24"/>
    </w:rPr>
  </w:style>
  <w:style w:type="character" w:customStyle="1" w:styleId="397">
    <w:name w:val="批注主题 Char"/>
    <w:qFormat/>
    <w:uiPriority w:val="0"/>
    <w:rPr>
      <w:b/>
      <w:bCs/>
      <w:szCs w:val="24"/>
    </w:rPr>
  </w:style>
  <w:style w:type="character" w:customStyle="1" w:styleId="398">
    <w:name w:val="正文首行缩进 Char"/>
    <w:qFormat/>
    <w:uiPriority w:val="0"/>
    <w:rPr>
      <w:rFonts w:eastAsia="宋体"/>
      <w:kern w:val="2"/>
      <w:sz w:val="21"/>
      <w:szCs w:val="24"/>
      <w:lang w:val="en-US" w:eastAsia="zh-CN" w:bidi="ar-SA"/>
    </w:rPr>
  </w:style>
  <w:style w:type="character" w:customStyle="1" w:styleId="399">
    <w:name w:val="文档结构图 Char"/>
    <w:semiHidden/>
    <w:qFormat/>
    <w:uiPriority w:val="0"/>
    <w:rPr>
      <w:szCs w:val="24"/>
      <w:shd w:val="clear" w:color="auto" w:fill="000080"/>
    </w:rPr>
  </w:style>
  <w:style w:type="character" w:customStyle="1" w:styleId="400">
    <w:name w:val="正文首行缩进 2 Char"/>
    <w:qFormat/>
    <w:uiPriority w:val="0"/>
    <w:rPr>
      <w:kern w:val="2"/>
      <w:sz w:val="21"/>
      <w:szCs w:val="24"/>
    </w:rPr>
  </w:style>
  <w:style w:type="character" w:customStyle="1" w:styleId="401">
    <w:name w:val="HTML 预设格式 Char"/>
    <w:qFormat/>
    <w:uiPriority w:val="0"/>
    <w:rPr>
      <w:rFonts w:ascii="Courier New" w:hAnsi="Courier New"/>
    </w:rPr>
  </w:style>
  <w:style w:type="character" w:customStyle="1" w:styleId="402">
    <w:name w:val="正文缩进 Char"/>
    <w:qFormat/>
    <w:uiPriority w:val="0"/>
    <w:rPr>
      <w:rFonts w:eastAsia="宋体"/>
    </w:rPr>
  </w:style>
  <w:style w:type="character" w:customStyle="1" w:styleId="403">
    <w:name w:val="标题 4 Char"/>
    <w:qFormat/>
    <w:uiPriority w:val="0"/>
    <w:rPr>
      <w:rFonts w:ascii="宋体" w:hAnsi="宋体" w:eastAsia="宋体" w:cs="宋体"/>
      <w:bCs/>
      <w:kern w:val="0"/>
      <w:sz w:val="24"/>
      <w:szCs w:val="28"/>
    </w:rPr>
  </w:style>
  <w:style w:type="character" w:customStyle="1" w:styleId="404">
    <w:name w:val="正文文本缩进 Char"/>
    <w:qFormat/>
    <w:uiPriority w:val="0"/>
    <w:rPr>
      <w:szCs w:val="24"/>
    </w:rPr>
  </w:style>
  <w:style w:type="character" w:customStyle="1" w:styleId="405">
    <w:name w:val="页脚 Char"/>
    <w:qFormat/>
    <w:uiPriority w:val="99"/>
    <w:rPr>
      <w:kern w:val="2"/>
      <w:sz w:val="18"/>
      <w:szCs w:val="18"/>
    </w:rPr>
  </w:style>
  <w:style w:type="character" w:customStyle="1" w:styleId="406">
    <w:name w:val="日期 Char"/>
    <w:qFormat/>
    <w:uiPriority w:val="0"/>
    <w:rPr>
      <w:szCs w:val="24"/>
    </w:rPr>
  </w:style>
  <w:style w:type="character" w:customStyle="1" w:styleId="407">
    <w:name w:val="页眉 Char"/>
    <w:qFormat/>
    <w:uiPriority w:val="99"/>
    <w:rPr>
      <w:kern w:val="2"/>
      <w:sz w:val="18"/>
      <w:szCs w:val="18"/>
    </w:rPr>
  </w:style>
  <w:style w:type="character" w:customStyle="1" w:styleId="408">
    <w:name w:val="题注 Char"/>
    <w:qFormat/>
    <w:uiPriority w:val="35"/>
    <w:rPr>
      <w:rFonts w:eastAsia="黑体"/>
      <w:kern w:val="21"/>
    </w:rPr>
  </w:style>
  <w:style w:type="paragraph" w:customStyle="1" w:styleId="409">
    <w:name w:val="_Style 398"/>
    <w:basedOn w:val="1"/>
    <w:next w:val="1"/>
    <w:unhideWhenUsed/>
    <w:qFormat/>
    <w:uiPriority w:val="39"/>
    <w:pPr>
      <w:widowControl/>
      <w:ind w:left="1050"/>
      <w:jc w:val="left"/>
    </w:pPr>
    <w:rPr>
      <w:rFonts w:ascii="Calibri" w:hAnsi="Calibri" w:eastAsia="宋体" w:cs="Calibri"/>
      <w:kern w:val="0"/>
      <w:sz w:val="18"/>
      <w:szCs w:val="18"/>
    </w:rPr>
  </w:style>
  <w:style w:type="paragraph" w:customStyle="1" w:styleId="410">
    <w:name w:val="标题 21"/>
    <w:basedOn w:val="59"/>
    <w:qFormat/>
    <w:uiPriority w:val="0"/>
    <w:pPr>
      <w:ind w:left="573" w:hanging="573"/>
    </w:pPr>
    <w:rPr>
      <w:b/>
      <w:szCs w:val="28"/>
    </w:rPr>
  </w:style>
  <w:style w:type="paragraph" w:customStyle="1" w:styleId="411">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412">
    <w:name w:val="Revision"/>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413">
    <w:name w:val="表格第一行"/>
    <w:next w:val="1"/>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paragraph" w:customStyle="1" w:styleId="414">
    <w:name w:val="7表格文字"/>
    <w:basedOn w:val="1"/>
    <w:qFormat/>
    <w:uiPriority w:val="0"/>
    <w:pPr>
      <w:spacing w:line="240" w:lineRule="auto"/>
      <w:ind w:firstLine="0" w:firstLineChars="0"/>
      <w:jc w:val="center"/>
    </w:pPr>
    <w:rPr>
      <w:sz w:val="21"/>
      <w:szCs w:val="24"/>
    </w:rPr>
  </w:style>
  <w:style w:type="character" w:customStyle="1" w:styleId="415">
    <w:name w:val="bsharetext"/>
    <w:basedOn w:val="43"/>
    <w:qFormat/>
    <w:uiPriority w:val="0"/>
  </w:style>
  <w:style w:type="character" w:customStyle="1" w:styleId="416">
    <w:name w:val="jxz"/>
    <w:basedOn w:val="43"/>
    <w:qFormat/>
    <w:uiPriority w:val="0"/>
    <w:rPr>
      <w:shd w:val="clear" w:fill="71A0D3"/>
    </w:rPr>
  </w:style>
  <w:style w:type="character" w:customStyle="1" w:styleId="417">
    <w:name w:val="badge-pill"/>
    <w:basedOn w:val="43"/>
    <w:qFormat/>
    <w:uiPriority w:val="0"/>
  </w:style>
  <w:style w:type="character" w:customStyle="1" w:styleId="418">
    <w:name w:val="wx-space"/>
    <w:basedOn w:val="43"/>
    <w:qFormat/>
    <w:uiPriority w:val="0"/>
    <w:rPr>
      <w:vanish/>
    </w:rPr>
  </w:style>
  <w:style w:type="character" w:customStyle="1" w:styleId="419">
    <w:name w:val="share"/>
    <w:basedOn w:val="43"/>
    <w:qFormat/>
    <w:uiPriority w:val="0"/>
  </w:style>
  <w:style w:type="paragraph" w:customStyle="1" w:styleId="420">
    <w:name w:val="正  文"/>
    <w:basedOn w:val="37"/>
    <w:next w:val="1"/>
    <w:qFormat/>
    <w:uiPriority w:val="0"/>
    <w:pPr>
      <w:spacing w:line="360" w:lineRule="auto"/>
      <w:ind w:firstLine="560" w:firstLineChars="200"/>
    </w:pPr>
    <w:rPr>
      <w:rFonts w:ascii="宋体" w:hAnsi="宋体" w:cs="仿宋_GB2312"/>
      <w:sz w:val="24"/>
      <w:szCs w:val="28"/>
    </w:rPr>
  </w:style>
  <w:style w:type="paragraph" w:customStyle="1" w:styleId="421">
    <w:name w:val="表图 内容 五号"/>
    <w:basedOn w:val="1"/>
    <w:qFormat/>
    <w:uiPriority w:val="0"/>
    <w:pPr>
      <w:jc w:val="center"/>
    </w:pPr>
    <w:rPr>
      <w:color w:val="000000"/>
      <w:szCs w:val="18"/>
    </w:rPr>
  </w:style>
  <w:style w:type="paragraph" w:customStyle="1" w:styleId="422">
    <w:name w:val="表 图 内容"/>
    <w:basedOn w:val="1"/>
    <w:qFormat/>
    <w:uiPriority w:val="0"/>
    <w:pPr>
      <w:jc w:val="center"/>
    </w:pPr>
    <w:rPr>
      <w:color w:val="000000"/>
    </w:rPr>
  </w:style>
  <w:style w:type="character" w:customStyle="1" w:styleId="423">
    <w:name w:val="wenhao"/>
    <w:basedOn w:val="43"/>
    <w:qFormat/>
    <w:uiPriority w:val="0"/>
  </w:style>
  <w:style w:type="character" w:customStyle="1" w:styleId="424">
    <w:name w:val="textr"/>
    <w:basedOn w:val="43"/>
    <w:qFormat/>
    <w:uiPriority w:val="0"/>
  </w:style>
  <w:style w:type="character" w:customStyle="1" w:styleId="425">
    <w:name w:val="number"/>
    <w:basedOn w:val="43"/>
    <w:qFormat/>
    <w:uiPriority w:val="0"/>
  </w:style>
  <w:style w:type="character" w:customStyle="1" w:styleId="426">
    <w:name w:val="first-child"/>
    <w:basedOn w:val="43"/>
    <w:qFormat/>
    <w:uiPriority w:val="0"/>
  </w:style>
  <w:style w:type="character" w:customStyle="1" w:styleId="427">
    <w:name w:val="name"/>
    <w:basedOn w:val="43"/>
    <w:qFormat/>
    <w:uiPriority w:val="0"/>
  </w:style>
  <w:style w:type="character" w:customStyle="1" w:styleId="428">
    <w:name w:val="dot"/>
    <w:basedOn w:val="43"/>
    <w:qFormat/>
    <w:uiPriority w:val="0"/>
  </w:style>
  <w:style w:type="character" w:customStyle="1" w:styleId="429">
    <w:name w:val="time"/>
    <w:basedOn w:val="43"/>
    <w:qFormat/>
    <w:uiPriority w:val="0"/>
    <w:rPr>
      <w:color w:val="999999"/>
    </w:rPr>
  </w:style>
  <w:style w:type="character" w:customStyle="1" w:styleId="430">
    <w:name w:val="layui-layer-tabnow"/>
    <w:basedOn w:val="43"/>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35.png"/><Relationship Id="rId85" Type="http://schemas.openxmlformats.org/officeDocument/2006/relationships/image" Target="media/image34.png"/><Relationship Id="rId84" Type="http://schemas.openxmlformats.org/officeDocument/2006/relationships/image" Target="media/image33.wmf"/><Relationship Id="rId83" Type="http://schemas.openxmlformats.org/officeDocument/2006/relationships/oleObject" Target="embeddings/oleObject23.bin"/><Relationship Id="rId82" Type="http://schemas.openxmlformats.org/officeDocument/2006/relationships/oleObject" Target="embeddings/oleObject22.bin"/><Relationship Id="rId81" Type="http://schemas.openxmlformats.org/officeDocument/2006/relationships/image" Target="media/image32.wmf"/><Relationship Id="rId80" Type="http://schemas.openxmlformats.org/officeDocument/2006/relationships/oleObject" Target="embeddings/oleObject21.bin"/><Relationship Id="rId8" Type="http://schemas.openxmlformats.org/officeDocument/2006/relationships/header" Target="header4.xml"/><Relationship Id="rId79" Type="http://schemas.openxmlformats.org/officeDocument/2006/relationships/oleObject" Target="embeddings/oleObject20.bin"/><Relationship Id="rId78" Type="http://schemas.openxmlformats.org/officeDocument/2006/relationships/oleObject" Target="embeddings/oleObject19.bin"/><Relationship Id="rId77" Type="http://schemas.openxmlformats.org/officeDocument/2006/relationships/image" Target="media/image31.wmf"/><Relationship Id="rId76" Type="http://schemas.openxmlformats.org/officeDocument/2006/relationships/oleObject" Target="embeddings/oleObject18.bin"/><Relationship Id="rId75" Type="http://schemas.openxmlformats.org/officeDocument/2006/relationships/image" Target="media/image30.wmf"/><Relationship Id="rId74" Type="http://schemas.openxmlformats.org/officeDocument/2006/relationships/oleObject" Target="embeddings/oleObject17.bin"/><Relationship Id="rId73" Type="http://schemas.openxmlformats.org/officeDocument/2006/relationships/image" Target="media/image29.wmf"/><Relationship Id="rId72" Type="http://schemas.openxmlformats.org/officeDocument/2006/relationships/oleObject" Target="embeddings/oleObject16.bin"/><Relationship Id="rId71" Type="http://schemas.openxmlformats.org/officeDocument/2006/relationships/image" Target="media/image28.wmf"/><Relationship Id="rId70" Type="http://schemas.openxmlformats.org/officeDocument/2006/relationships/oleObject" Target="embeddings/oleObject15.bin"/><Relationship Id="rId7" Type="http://schemas.openxmlformats.org/officeDocument/2006/relationships/footer" Target="footer2.xml"/><Relationship Id="rId69" Type="http://schemas.openxmlformats.org/officeDocument/2006/relationships/image" Target="media/image27.wmf"/><Relationship Id="rId68" Type="http://schemas.openxmlformats.org/officeDocument/2006/relationships/oleObject" Target="embeddings/oleObject14.bin"/><Relationship Id="rId67" Type="http://schemas.openxmlformats.org/officeDocument/2006/relationships/image" Target="media/image26.wmf"/><Relationship Id="rId66" Type="http://schemas.openxmlformats.org/officeDocument/2006/relationships/oleObject" Target="embeddings/oleObject13.bin"/><Relationship Id="rId65" Type="http://schemas.openxmlformats.org/officeDocument/2006/relationships/image" Target="media/image25.jpeg"/><Relationship Id="rId64" Type="http://schemas.openxmlformats.org/officeDocument/2006/relationships/image" Target="media/image24.wmf"/><Relationship Id="rId63" Type="http://schemas.openxmlformats.org/officeDocument/2006/relationships/oleObject" Target="embeddings/oleObject12.bin"/><Relationship Id="rId62" Type="http://schemas.openxmlformats.org/officeDocument/2006/relationships/image" Target="media/image23.wmf"/><Relationship Id="rId61" Type="http://schemas.openxmlformats.org/officeDocument/2006/relationships/oleObject" Target="embeddings/oleObject11.bin"/><Relationship Id="rId60" Type="http://schemas.openxmlformats.org/officeDocument/2006/relationships/image" Target="media/image22.wmf"/><Relationship Id="rId6" Type="http://schemas.openxmlformats.org/officeDocument/2006/relationships/header" Target="header3.xml"/><Relationship Id="rId59" Type="http://schemas.openxmlformats.org/officeDocument/2006/relationships/oleObject" Target="embeddings/oleObject10.bin"/><Relationship Id="rId58" Type="http://schemas.openxmlformats.org/officeDocument/2006/relationships/image" Target="media/image21.wmf"/><Relationship Id="rId57" Type="http://schemas.openxmlformats.org/officeDocument/2006/relationships/oleObject" Target="embeddings/oleObject9.bin"/><Relationship Id="rId56" Type="http://schemas.openxmlformats.org/officeDocument/2006/relationships/image" Target="media/image20.wmf"/><Relationship Id="rId55" Type="http://schemas.openxmlformats.org/officeDocument/2006/relationships/oleObject" Target="embeddings/oleObject8.bin"/><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emf"/><Relationship Id="rId51" Type="http://schemas.openxmlformats.org/officeDocument/2006/relationships/oleObject" Target="embeddings/oleObject7.bin"/><Relationship Id="rId50" Type="http://schemas.openxmlformats.org/officeDocument/2006/relationships/image" Target="media/image16.emf"/><Relationship Id="rId5" Type="http://schemas.openxmlformats.org/officeDocument/2006/relationships/footer" Target="footer1.xml"/><Relationship Id="rId49" Type="http://schemas.openxmlformats.org/officeDocument/2006/relationships/oleObject" Target="embeddings/oleObject6.bin"/><Relationship Id="rId48" Type="http://schemas.openxmlformats.org/officeDocument/2006/relationships/image" Target="media/image15.emf"/><Relationship Id="rId47" Type="http://schemas.openxmlformats.org/officeDocument/2006/relationships/oleObject" Target="embeddings/oleObject5.bin"/><Relationship Id="rId46" Type="http://schemas.openxmlformats.org/officeDocument/2006/relationships/image" Target="media/image14.emf"/><Relationship Id="rId45" Type="http://schemas.openxmlformats.org/officeDocument/2006/relationships/oleObject" Target="embeddings/oleObject4.bin"/><Relationship Id="rId44" Type="http://schemas.openxmlformats.org/officeDocument/2006/relationships/image" Target="media/image13.emf"/><Relationship Id="rId43" Type="http://schemas.openxmlformats.org/officeDocument/2006/relationships/oleObject" Target="embeddings/oleObject3.bin"/><Relationship Id="rId42" Type="http://schemas.openxmlformats.org/officeDocument/2006/relationships/image" Target="media/image12.emf"/><Relationship Id="rId41" Type="http://schemas.openxmlformats.org/officeDocument/2006/relationships/oleObject" Target="embeddings/oleObject2.bin"/><Relationship Id="rId40" Type="http://schemas.openxmlformats.org/officeDocument/2006/relationships/image" Target="media/image11.emf"/><Relationship Id="rId4" Type="http://schemas.openxmlformats.org/officeDocument/2006/relationships/header" Target="header2.xml"/><Relationship Id="rId39" Type="http://schemas.openxmlformats.org/officeDocument/2006/relationships/oleObject" Target="embeddings/oleObject1.bin"/><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jpeg"/><Relationship Id="rId35" Type="http://schemas.openxmlformats.org/officeDocument/2006/relationships/image" Target="media/image7.png"/><Relationship Id="rId34" Type="http://schemas.openxmlformats.org/officeDocument/2006/relationships/image" Target="media/image6.jpe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191</Pages>
  <Words>100748</Words>
  <Characters>122638</Characters>
  <Lines>1495</Lines>
  <Paragraphs>420</Paragraphs>
  <TotalTime>0</TotalTime>
  <ScaleCrop>false</ScaleCrop>
  <LinksUpToDate>false</LinksUpToDate>
  <CharactersWithSpaces>123125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2020-09-11T00:34:00Z</dcterms:created>
  <dc:creator>QR</dc:creator>
  <cp:lastModifiedBy>Administrator</cp:lastModifiedBy>
  <cp:lastPrinted>2023-06-29T01:47:00Z</cp:lastPrinted>
  <dcterms:modified xsi:type="dcterms:W3CDTF">2023-07-06T02:59:05Z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F6B3D052BE1E4088AEE30AFE3D8754CF_13</vt:lpwstr>
  </property>
</Properties>
</file>