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topLinePunct/>
        <w:spacing w:before="273" w:beforeLines="100" w:beforeAutospacing="0" w:after="136" w:afterLines="50" w:afterAutospacing="0" w:line="480" w:lineRule="exact"/>
        <w:ind w:left="0" w:right="420" w:rightChars="200"/>
        <w:jc w:val="right"/>
        <w:rPr>
          <w:rFonts w:hint="eastAsia" w:ascii="仿宋" w:hAnsi="仿宋" w:eastAsia="仿宋" w:cs="仿宋"/>
          <w:kern w:val="2"/>
          <w:sz w:val="32"/>
          <w:szCs w:val="32"/>
          <w:lang w:val="en-US" w:eastAsia="zh-CN" w:bidi="ar"/>
        </w:rPr>
      </w:pPr>
    </w:p>
    <w:p>
      <w:pPr>
        <w:keepNext w:val="0"/>
        <w:keepLines w:val="0"/>
        <w:widowControl w:val="0"/>
        <w:suppressLineNumbers w:val="0"/>
        <w:topLinePunct/>
        <w:spacing w:before="273" w:beforeLines="100" w:beforeAutospacing="0" w:after="136" w:afterLines="50" w:afterAutospacing="0" w:line="480" w:lineRule="exact"/>
        <w:ind w:left="0" w:right="420" w:rightChars="200"/>
        <w:jc w:val="right"/>
        <w:rPr>
          <w:rFonts w:hint="eastAsia" w:ascii="仿宋" w:hAnsi="仿宋" w:eastAsia="仿宋" w:cs="仿宋"/>
          <w:kern w:val="2"/>
          <w:sz w:val="32"/>
          <w:szCs w:val="32"/>
          <w:lang w:val="en-US" w:eastAsia="zh-CN" w:bidi="ar"/>
        </w:rPr>
      </w:pPr>
    </w:p>
    <w:p>
      <w:pPr>
        <w:keepNext w:val="0"/>
        <w:keepLines w:val="0"/>
        <w:widowControl w:val="0"/>
        <w:suppressLineNumbers w:val="0"/>
        <w:topLinePunct/>
        <w:spacing w:before="273" w:beforeLines="100" w:beforeAutospacing="0" w:after="136" w:afterLines="50" w:afterAutospacing="0" w:line="480" w:lineRule="exact"/>
        <w:ind w:left="0" w:right="420" w:rightChars="200"/>
        <w:jc w:val="right"/>
        <w:rPr>
          <w:rFonts w:hint="eastAsia" w:ascii="仿宋" w:hAnsi="仿宋" w:eastAsia="仿宋" w:cs="仿宋"/>
          <w:kern w:val="2"/>
          <w:sz w:val="32"/>
          <w:szCs w:val="32"/>
          <w:lang w:val="en-US" w:eastAsia="zh-CN" w:bidi="ar"/>
        </w:rPr>
      </w:pPr>
    </w:p>
    <w:p>
      <w:pPr>
        <w:keepNext w:val="0"/>
        <w:keepLines w:val="0"/>
        <w:widowControl w:val="0"/>
        <w:suppressLineNumbers w:val="0"/>
        <w:topLinePunct/>
        <w:spacing w:before="273" w:beforeLines="100" w:beforeAutospacing="0" w:after="136" w:afterLines="50" w:afterAutospacing="0" w:line="480" w:lineRule="exact"/>
        <w:ind w:left="0" w:right="420" w:rightChars="200"/>
        <w:jc w:val="right"/>
        <w:rPr>
          <w:rFonts w:hint="eastAsia" w:ascii="仿宋" w:hAnsi="仿宋" w:eastAsia="仿宋" w:cs="仿宋"/>
          <w:sz w:val="32"/>
          <w:szCs w:val="32"/>
          <w:lang w:val="en-US"/>
        </w:rPr>
      </w:pPr>
      <w:bookmarkStart w:id="5" w:name="_GoBack"/>
      <w:bookmarkEnd w:id="5"/>
      <w:r>
        <w:rPr>
          <w:rFonts w:hint="eastAsia" w:ascii="仿宋" w:hAnsi="仿宋" w:eastAsia="仿宋" w:cs="仿宋"/>
          <w:kern w:val="2"/>
          <w:sz w:val="32"/>
          <w:szCs w:val="32"/>
          <w:lang w:val="en-US" w:eastAsia="zh-CN" w:bidi="ar"/>
        </w:rPr>
        <w:t>岳环评〔2023〕45号</w:t>
      </w:r>
    </w:p>
    <w:p>
      <w:pPr>
        <w:keepNext w:val="0"/>
        <w:keepLines w:val="0"/>
        <w:widowControl w:val="0"/>
        <w:suppressLineNumbers w:val="0"/>
        <w:topLinePunct/>
        <w:spacing w:before="0" w:beforeAutospacing="0" w:after="0" w:afterAutospacing="0" w:line="480" w:lineRule="exact"/>
        <w:ind w:left="0" w:right="0"/>
        <w:jc w:val="center"/>
        <w:rPr>
          <w:rFonts w:hint="eastAsia" w:ascii="仿宋" w:hAnsi="仿宋" w:eastAsia="仿宋" w:cs="仿宋"/>
          <w:b/>
          <w:bCs w:val="0"/>
          <w:sz w:val="44"/>
          <w:szCs w:val="44"/>
          <w:lang w:val="en-US"/>
        </w:rPr>
      </w:pPr>
      <w:r>
        <w:rPr>
          <w:rFonts w:hint="eastAsia" w:ascii="仿宋" w:hAnsi="仿宋" w:eastAsia="仿宋" w:cs="仿宋"/>
          <w:b/>
          <w:bCs w:val="0"/>
          <w:kern w:val="2"/>
          <w:sz w:val="44"/>
          <w:szCs w:val="44"/>
          <w:lang w:val="en-US" w:eastAsia="zh-CN" w:bidi="ar"/>
        </w:rPr>
        <w:t>关于湖南黄金洞矿业有限责任公司古皮寺尾矿库建设项目</w:t>
      </w:r>
      <w:r>
        <w:rPr>
          <w:rFonts w:hint="eastAsia" w:ascii="仿宋" w:hAnsi="仿宋" w:eastAsia="仿宋" w:cs="仿宋"/>
          <w:b/>
          <w:bCs w:val="0"/>
          <w:spacing w:val="2"/>
          <w:w w:val="130"/>
          <w:kern w:val="2"/>
          <w:sz w:val="44"/>
          <w:szCs w:val="44"/>
          <w:lang w:val="en-US" w:eastAsia="zh-CN" w:bidi="ar"/>
        </w:rPr>
        <w:t>环境影响报告书</w:t>
      </w:r>
      <w:r>
        <w:rPr>
          <w:rFonts w:hint="eastAsia" w:ascii="仿宋" w:hAnsi="仿宋" w:eastAsia="仿宋" w:cs="仿宋"/>
          <w:b/>
          <w:bCs w:val="0"/>
          <w:kern w:val="2"/>
          <w:sz w:val="44"/>
          <w:szCs w:val="44"/>
          <w:lang w:val="en-US" w:eastAsia="zh-CN" w:bidi="ar"/>
        </w:rPr>
        <w:t>的批复</w:t>
      </w:r>
    </w:p>
    <w:p>
      <w:pPr>
        <w:keepNext w:val="0"/>
        <w:keepLines w:val="0"/>
        <w:widowControl/>
        <w:suppressLineNumbers w:val="0"/>
        <w:topLinePunct/>
        <w:snapToGrid w:val="0"/>
        <w:spacing w:before="0" w:beforeAutospacing="0" w:after="0" w:afterAutospacing="0" w:line="480" w:lineRule="exact"/>
        <w:ind w:left="0" w:right="0" w:firstLine="641"/>
        <w:jc w:val="both"/>
        <w:rPr>
          <w:rFonts w:hint="eastAsia" w:ascii="仿宋" w:hAnsi="仿宋" w:eastAsia="仿宋" w:cs="仿宋"/>
          <w:sz w:val="44"/>
          <w:szCs w:val="44"/>
          <w:lang w:val="en-US" w:bidi="ar"/>
        </w:rPr>
      </w:pPr>
    </w:p>
    <w:p>
      <w:pPr>
        <w:keepNext w:val="0"/>
        <w:keepLines w:val="0"/>
        <w:pageBreakBefore w:val="0"/>
        <w:widowControl w:val="0"/>
        <w:suppressLineNumbers w:val="0"/>
        <w:kinsoku/>
        <w:wordWrap/>
        <w:overflowPunct/>
        <w:topLinePunct/>
        <w:bidi w:val="0"/>
        <w:adjustRightInd w:val="0"/>
        <w:spacing w:before="0" w:beforeAutospacing="0" w:after="0" w:afterAutospacing="0" w:line="460" w:lineRule="exact"/>
        <w:ind w:left="0" w:right="0"/>
        <w:jc w:val="left"/>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湖南黄金洞矿业有限责任公司：</w:t>
      </w:r>
    </w:p>
    <w:p>
      <w:pPr>
        <w:keepNext w:val="0"/>
        <w:keepLines w:val="0"/>
        <w:pageBreakBefore w:val="0"/>
        <w:widowControl w:val="0"/>
        <w:suppressLineNumbers w:val="0"/>
        <w:kinsoku/>
        <w:wordWrap/>
        <w:overflowPunct/>
        <w:topLinePunct/>
        <w:bidi w:val="0"/>
        <w:spacing w:before="0" w:beforeAutospacing="0" w:after="0" w:afterAutospacing="0" w:line="460" w:lineRule="exact"/>
        <w:ind w:left="0" w:right="0"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你单位《关于申请批复&lt;湖南黄金洞矿业有限责任公司古皮寺尾矿库建设项目</w:t>
      </w:r>
      <w:r>
        <w:rPr>
          <w:rFonts w:hint="eastAsia" w:ascii="仿宋" w:hAnsi="仿宋" w:eastAsia="仿宋" w:cs="仿宋"/>
          <w:spacing w:val="2"/>
          <w:w w:val="130"/>
          <w:kern w:val="0"/>
          <w:sz w:val="32"/>
          <w:szCs w:val="32"/>
          <w:lang w:val="en-US" w:eastAsia="zh-CN" w:bidi="ar"/>
        </w:rPr>
        <w:t>环境影响报告书</w:t>
      </w:r>
      <w:r>
        <w:rPr>
          <w:rFonts w:hint="eastAsia" w:ascii="仿宋" w:hAnsi="仿宋" w:eastAsia="仿宋" w:cs="仿宋"/>
          <w:kern w:val="2"/>
          <w:sz w:val="32"/>
          <w:szCs w:val="32"/>
          <w:lang w:val="en-US" w:eastAsia="zh-CN" w:bidi="ar"/>
        </w:rPr>
        <w:t>&gt;的请示》、岳阳市生态环境事务中心《湖南黄金洞矿业有限责任公司古皮寺尾矿库建设项目</w:t>
      </w:r>
      <w:r>
        <w:rPr>
          <w:rFonts w:hint="eastAsia" w:ascii="仿宋" w:hAnsi="仿宋" w:eastAsia="仿宋" w:cs="仿宋"/>
          <w:spacing w:val="2"/>
          <w:w w:val="130"/>
          <w:kern w:val="0"/>
          <w:sz w:val="32"/>
          <w:szCs w:val="32"/>
          <w:lang w:val="en-US" w:eastAsia="zh-CN" w:bidi="ar"/>
        </w:rPr>
        <w:t>环境影响报告书</w:t>
      </w:r>
      <w:r>
        <w:rPr>
          <w:rFonts w:hint="eastAsia" w:ascii="仿宋" w:hAnsi="仿宋" w:eastAsia="仿宋" w:cs="仿宋"/>
          <w:spacing w:val="-6"/>
          <w:kern w:val="2"/>
          <w:sz w:val="32"/>
          <w:szCs w:val="32"/>
          <w:lang w:val="en-US" w:eastAsia="zh-CN" w:bidi="ar"/>
        </w:rPr>
        <w:t>技术评估报告</w:t>
      </w:r>
      <w:r>
        <w:rPr>
          <w:rFonts w:hint="eastAsia" w:ascii="仿宋" w:hAnsi="仿宋" w:eastAsia="仿宋" w:cs="仿宋"/>
          <w:kern w:val="2"/>
          <w:sz w:val="32"/>
          <w:szCs w:val="32"/>
          <w:lang w:val="en-US" w:eastAsia="zh-CN" w:bidi="ar"/>
        </w:rPr>
        <w:t>》（岳环事评估〔2023〕36号）、岳阳市生态环境局平江分局预审意见及有关附件收悉。经研究，批复如下：</w:t>
      </w:r>
    </w:p>
    <w:p>
      <w:pPr>
        <w:keepNext w:val="0"/>
        <w:keepLines w:val="0"/>
        <w:pageBreakBefore w:val="0"/>
        <w:widowControl/>
        <w:suppressLineNumbers w:val="0"/>
        <w:kinsoku/>
        <w:wordWrap/>
        <w:overflowPunct/>
        <w:bidi w:val="0"/>
        <w:adjustRightInd w:val="0"/>
        <w:snapToGrid w:val="0"/>
        <w:spacing w:before="0" w:beforeAutospacing="0" w:after="0" w:afterAutospacing="0" w:line="460" w:lineRule="exact"/>
        <w:ind w:left="0" w:right="0" w:firstLine="640" w:firstLineChars="200"/>
        <w:jc w:val="both"/>
        <w:textAlignment w:val="auto"/>
        <w:rPr>
          <w:rFonts w:hint="eastAsia" w:ascii="仿宋" w:hAnsi="仿宋" w:eastAsia="仿宋" w:cs="仿宋"/>
          <w:sz w:val="32"/>
          <w:szCs w:val="32"/>
          <w:lang w:val="en-US"/>
        </w:rPr>
      </w:pPr>
      <w:bookmarkStart w:id="0" w:name="_Hlk79991584"/>
      <w:r>
        <w:rPr>
          <w:rFonts w:hint="eastAsia" w:ascii="仿宋" w:hAnsi="仿宋" w:eastAsia="仿宋" w:cs="仿宋"/>
          <w:color w:val="000000"/>
          <w:kern w:val="0"/>
          <w:sz w:val="32"/>
          <w:szCs w:val="32"/>
          <w:lang w:val="en-US" w:eastAsia="zh-CN" w:bidi="ar"/>
        </w:rPr>
        <w:t>一、湖南黄金洞矿业有限责任公司</w:t>
      </w:r>
      <w:bookmarkEnd w:id="0"/>
      <w:r>
        <w:rPr>
          <w:rFonts w:hint="eastAsia" w:ascii="仿宋" w:hAnsi="仿宋" w:eastAsia="仿宋" w:cs="仿宋"/>
          <w:color w:val="000000"/>
          <w:kern w:val="0"/>
          <w:sz w:val="32"/>
          <w:szCs w:val="32"/>
          <w:lang w:val="en-US" w:eastAsia="zh-CN" w:bidi="ar"/>
        </w:rPr>
        <w:t>目前拥有 1600t/d 的采、选综合生产及配套选金尾矿综合回收能力，主要产品包括金精矿及</w:t>
      </w:r>
      <w:r>
        <w:rPr>
          <w:rFonts w:hint="eastAsia" w:ascii="仿宋" w:hAnsi="仿宋" w:eastAsia="仿宋" w:cs="仿宋"/>
          <w:kern w:val="0"/>
          <w:sz w:val="32"/>
          <w:szCs w:val="32"/>
          <w:lang w:val="en-US" w:eastAsia="zh-CN" w:bidi="ar"/>
        </w:rPr>
        <w:t>白钨精矿</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2"/>
          <w:sz w:val="32"/>
          <w:szCs w:val="32"/>
          <w:lang w:val="en-US" w:eastAsia="zh-CN" w:bidi="ar"/>
        </w:rPr>
        <w:t>黄金洞矿业在黄金洞乡境内拥有金塘、杨山庄、</w:t>
      </w:r>
      <w:bookmarkStart w:id="1" w:name="_Hlk81254453"/>
      <w:r>
        <w:rPr>
          <w:rFonts w:hint="eastAsia" w:ascii="仿宋" w:hAnsi="仿宋" w:eastAsia="仿宋" w:cs="仿宋"/>
          <w:color w:val="000000"/>
          <w:kern w:val="2"/>
          <w:sz w:val="32"/>
          <w:szCs w:val="32"/>
          <w:lang w:val="en-US" w:eastAsia="zh-CN" w:bidi="ar"/>
        </w:rPr>
        <w:t>金福</w:t>
      </w:r>
      <w:bookmarkEnd w:id="1"/>
      <w:r>
        <w:rPr>
          <w:rFonts w:hint="eastAsia" w:ascii="仿宋" w:hAnsi="仿宋" w:eastAsia="仿宋" w:cs="仿宋"/>
          <w:color w:val="000000"/>
          <w:kern w:val="2"/>
          <w:sz w:val="32"/>
          <w:szCs w:val="32"/>
          <w:lang w:val="en-US" w:eastAsia="zh-CN" w:bidi="ar"/>
        </w:rPr>
        <w:t>、金枚 4 个矿段，和含华家湾、杨山庄和金福在内的 3 个采矿工区，采矿能力共计 1600t/d（其中华家湾1000/d、杨山庄 300t/d、金福 300t/d），1个庵山探矿权</w:t>
      </w:r>
      <w:r>
        <w:rPr>
          <w:rFonts w:hint="eastAsia" w:ascii="仿宋" w:hAnsi="仿宋" w:eastAsia="仿宋" w:cs="仿宋"/>
          <w:color w:val="000000"/>
          <w:kern w:val="0"/>
          <w:sz w:val="32"/>
          <w:szCs w:val="32"/>
          <w:lang w:val="en-US" w:eastAsia="zh-CN" w:bidi="ar"/>
        </w:rPr>
        <w:t>。1 条 1000t/d 选矿及尾矿综合回收生产线（即金塘选厂，简称“选一厂”），1 条 600t/d选矿生产线（简称“选二厂”，</w:t>
      </w:r>
      <w:r>
        <w:rPr>
          <w:rFonts w:hint="eastAsia" w:ascii="仿宋" w:hAnsi="仿宋" w:eastAsia="仿宋" w:cs="仿宋"/>
          <w:kern w:val="0"/>
          <w:sz w:val="32"/>
          <w:szCs w:val="32"/>
          <w:lang w:val="en-US" w:eastAsia="zh-CN" w:bidi="ar"/>
        </w:rPr>
        <w:t>目前处于待建状态）</w:t>
      </w:r>
      <w:r>
        <w:rPr>
          <w:rFonts w:hint="eastAsia" w:ascii="仿宋" w:hAnsi="仿宋" w:eastAsia="仿宋" w:cs="仿宋"/>
          <w:color w:val="000000"/>
          <w:kern w:val="0"/>
          <w:sz w:val="32"/>
          <w:szCs w:val="32"/>
          <w:lang w:val="en-US" w:eastAsia="zh-CN" w:bidi="ar"/>
        </w:rPr>
        <w:t>。1 个正在使用的高流坑尾矿库，有效库容 422 万 m</w:t>
      </w:r>
      <w:r>
        <w:rPr>
          <w:rFonts w:hint="eastAsia" w:ascii="仿宋" w:hAnsi="仿宋" w:eastAsia="仿宋" w:cs="仿宋"/>
          <w:color w:val="000000"/>
          <w:kern w:val="0"/>
          <w:sz w:val="32"/>
          <w:szCs w:val="32"/>
          <w:vertAlign w:val="superscript"/>
          <w:lang w:val="en-US" w:eastAsia="zh-CN" w:bidi="ar"/>
        </w:rPr>
        <w:t>3</w:t>
      </w:r>
      <w:r>
        <w:rPr>
          <w:rFonts w:hint="eastAsia" w:ascii="仿宋" w:hAnsi="仿宋" w:eastAsia="仿宋" w:cs="仿宋"/>
          <w:color w:val="000000"/>
          <w:kern w:val="0"/>
          <w:sz w:val="32"/>
          <w:szCs w:val="32"/>
          <w:lang w:val="en-US" w:eastAsia="zh-CN" w:bidi="ar"/>
        </w:rPr>
        <w:t xml:space="preserve">和配套污水处理站（污水处理能力 </w:t>
      </w:r>
      <w:r>
        <w:rPr>
          <w:rFonts w:hint="eastAsia" w:ascii="仿宋" w:hAnsi="仿宋" w:eastAsia="仿宋" w:cs="仿宋"/>
          <w:kern w:val="0"/>
          <w:sz w:val="32"/>
          <w:szCs w:val="32"/>
          <w:lang w:val="en-US" w:eastAsia="zh-CN" w:bidi="ar"/>
        </w:rPr>
        <w:t>4800m</w:t>
      </w:r>
      <w:r>
        <w:rPr>
          <w:rFonts w:hint="eastAsia" w:ascii="仿宋" w:hAnsi="仿宋" w:eastAsia="仿宋" w:cs="仿宋"/>
          <w:kern w:val="0"/>
          <w:sz w:val="32"/>
          <w:szCs w:val="32"/>
          <w:vertAlign w:val="superscript"/>
          <w:lang w:val="en-US" w:eastAsia="zh-CN" w:bidi="ar"/>
        </w:rPr>
        <w:t>3</w:t>
      </w:r>
      <w:r>
        <w:rPr>
          <w:rFonts w:hint="eastAsia" w:ascii="仿宋" w:hAnsi="仿宋" w:eastAsia="仿宋" w:cs="仿宋"/>
          <w:kern w:val="0"/>
          <w:sz w:val="32"/>
          <w:szCs w:val="32"/>
          <w:lang w:val="en-US" w:eastAsia="zh-CN" w:bidi="ar"/>
        </w:rPr>
        <w:t>/d）</w:t>
      </w:r>
      <w:r>
        <w:rPr>
          <w:rFonts w:hint="eastAsia" w:ascii="仿宋" w:hAnsi="仿宋" w:eastAsia="仿宋" w:cs="仿宋"/>
          <w:color w:val="000000"/>
          <w:kern w:val="0"/>
          <w:sz w:val="32"/>
          <w:szCs w:val="32"/>
          <w:lang w:val="en-US" w:eastAsia="zh-CN" w:bidi="ar"/>
        </w:rPr>
        <w:t>，1个正在闭库的泥湾尾矿库。2 个正在使用的废石堆场（锯木洞、佑兴窿），1个已停用的庵山废石场。由于历史原因，黄金洞矿业现用的高流坑尾矿库，建设在黄金河边，尾砂输送管道沿黄金河边架设有3.4公里，存在一定的安全环保隐患，且使用年限只剩 4 年，为落实绿色矿山建设整改要求，履行企业安全生产主体责任，有效防范和化解尾矿库安全环保风险，计划新建古皮寺尾矿库并对黄金洞矿业高流坑尾矿库提前启动闭库规划工作，从源头消除安全环保隐患，确保企业持续稳定健康发展。</w:t>
      </w:r>
      <w:r>
        <w:rPr>
          <w:rFonts w:hint="eastAsia" w:ascii="仿宋" w:hAnsi="仿宋" w:eastAsia="仿宋" w:cs="仿宋"/>
          <w:color w:val="000000"/>
          <w:kern w:val="2"/>
          <w:sz w:val="32"/>
          <w:szCs w:val="32"/>
          <w:lang w:val="en-US" w:eastAsia="zh-CN" w:bidi="ar"/>
        </w:rPr>
        <w:t>黄金洞矿业拟投资14500万元，其中环保投资1500万元建设古皮寺尾矿库建设项目</w:t>
      </w:r>
      <w:bookmarkStart w:id="2" w:name="_Hlk81313155"/>
      <w:r>
        <w:rPr>
          <w:rFonts w:hint="eastAsia" w:ascii="仿宋" w:hAnsi="仿宋" w:eastAsia="仿宋" w:cs="仿宋"/>
          <w:color w:val="000000"/>
          <w:kern w:val="2"/>
          <w:sz w:val="32"/>
          <w:szCs w:val="32"/>
          <w:lang w:val="en-US" w:eastAsia="zh-CN" w:bidi="ar"/>
        </w:rPr>
        <w:t>，尾矿库总占地面积</w:t>
      </w:r>
      <w:bookmarkStart w:id="3" w:name="_Hlk81306102"/>
      <w:r>
        <w:rPr>
          <w:rFonts w:hint="eastAsia" w:ascii="仿宋" w:hAnsi="仿宋" w:eastAsia="仿宋" w:cs="仿宋"/>
          <w:color w:val="000000"/>
          <w:kern w:val="2"/>
          <w:sz w:val="32"/>
          <w:szCs w:val="32"/>
          <w:lang w:val="en-US" w:eastAsia="zh-CN" w:bidi="ar"/>
        </w:rPr>
        <w:t>242829</w:t>
      </w:r>
      <w:bookmarkEnd w:id="3"/>
      <w:r>
        <w:rPr>
          <w:rFonts w:hint="eastAsia" w:ascii="仿宋" w:hAnsi="仿宋" w:eastAsia="仿宋" w:cs="仿宋"/>
          <w:color w:val="000000"/>
          <w:kern w:val="2"/>
          <w:sz w:val="32"/>
          <w:szCs w:val="32"/>
          <w:lang w:val="en-US" w:eastAsia="zh-CN" w:bidi="ar"/>
        </w:rPr>
        <w:t>平方米（其中初期坝和子坝、排水井、排洪隧道工程和库内占地面积237277平方米；值班室及联坝公路占地面积220平方米，附属配套污水处理站、二级泵站和排水明渠工程占地面积2052平方米；截洪沟长2734m，占地面积3280平方米）。库区总汇水面积0.857平方公里，总坝高99m（其中一期工程初级坝高39m，后期子坝高60m），总库容860万立方，属三等库</w:t>
      </w:r>
      <w:bookmarkEnd w:id="2"/>
      <w:r>
        <w:rPr>
          <w:rFonts w:hint="eastAsia" w:ascii="仿宋" w:hAnsi="仿宋" w:eastAsia="仿宋" w:cs="仿宋"/>
          <w:color w:val="000000"/>
          <w:kern w:val="2"/>
          <w:sz w:val="32"/>
          <w:szCs w:val="32"/>
          <w:lang w:val="en-US" w:eastAsia="zh-CN" w:bidi="ar"/>
        </w:rPr>
        <w:t>，可满足21年的服务年限。现有进库村级公路提质改造，总长2600m，含部分道路桥梁拓宽、硬化、亮化、绿化、表土堆置等工程，占地面积16600平方米。本项目的建设不包括高流坑尾矿库闭库治理工程。</w:t>
      </w:r>
      <w:r>
        <w:rPr>
          <w:rFonts w:hint="eastAsia" w:ascii="仿宋" w:hAnsi="仿宋" w:eastAsia="仿宋" w:cs="仿宋"/>
          <w:kern w:val="2"/>
          <w:sz w:val="32"/>
          <w:szCs w:val="32"/>
          <w:lang w:val="en-US" w:eastAsia="zh-CN" w:bidi="ar"/>
        </w:rPr>
        <w:t>古皮寺尾矿库建成运行后，高流坑尾矿库将停止使用，现有排污口立即关闭，不再启用，高流坑尾矿库内少量渗滤液经收集后，回用于选厂，与选厂废水一起进入古皮寺尾矿库污水处理站进行处理。根据湖南有色金属研究院有限责任公司编制的《湖南黄金洞矿业有限责任公司古皮寺尾矿库建设项目</w:t>
      </w:r>
      <w:r>
        <w:rPr>
          <w:rFonts w:hint="eastAsia" w:ascii="仿宋" w:hAnsi="仿宋" w:eastAsia="仿宋" w:cs="仿宋"/>
          <w:bCs/>
          <w:spacing w:val="2"/>
          <w:w w:val="130"/>
          <w:kern w:val="0"/>
          <w:sz w:val="32"/>
          <w:szCs w:val="32"/>
          <w:lang w:val="en-US" w:eastAsia="zh-CN" w:bidi="ar"/>
        </w:rPr>
        <w:t>环境影响报告书</w:t>
      </w:r>
      <w:r>
        <w:rPr>
          <w:rFonts w:hint="eastAsia" w:ascii="仿宋" w:hAnsi="仿宋" w:eastAsia="仿宋" w:cs="仿宋"/>
          <w:kern w:val="2"/>
          <w:sz w:val="32"/>
          <w:szCs w:val="32"/>
          <w:lang w:val="en-US" w:eastAsia="zh-CN" w:bidi="ar"/>
        </w:rPr>
        <w:t xml:space="preserve">（报批稿）》的基本内容、结论、专家审查意见和岳阳市生态环境局平江分局预审意见，我局原则同意你公司环境影响报告书中所列建设内容的环境影响评价结论和环境保护对策措施。    </w:t>
      </w:r>
    </w:p>
    <w:p>
      <w:pPr>
        <w:keepNext w:val="0"/>
        <w:keepLines w:val="0"/>
        <w:pageBreakBefore w:val="0"/>
        <w:widowControl w:val="0"/>
        <w:suppressLineNumbers w:val="0"/>
        <w:kinsoku/>
        <w:wordWrap/>
        <w:overflowPunct/>
        <w:bidi w:val="0"/>
        <w:adjustRightInd w:val="0"/>
        <w:snapToGrid w:val="0"/>
        <w:spacing w:before="0" w:beforeAutospacing="0" w:after="0" w:afterAutospacing="0" w:line="460" w:lineRule="exact"/>
        <w:ind w:left="0" w:right="0" w:firstLine="640" w:firstLineChars="200"/>
        <w:jc w:val="both"/>
        <w:textAlignment w:val="auto"/>
        <w:rPr>
          <w:rFonts w:hint="eastAsia" w:ascii="仿宋" w:hAnsi="仿宋" w:eastAsia="仿宋" w:cs="仿宋"/>
          <w:bCs/>
          <w:sz w:val="32"/>
          <w:szCs w:val="32"/>
          <w:lang w:val="en-US"/>
        </w:rPr>
      </w:pPr>
      <w:r>
        <w:rPr>
          <w:rFonts w:hint="eastAsia" w:ascii="仿宋" w:hAnsi="仿宋" w:eastAsia="仿宋" w:cs="仿宋"/>
          <w:bCs/>
          <w:kern w:val="2"/>
          <w:sz w:val="32"/>
          <w:szCs w:val="32"/>
          <w:lang w:val="en-US" w:eastAsia="zh-CN" w:bidi="ar"/>
        </w:rPr>
        <w:t>二、建设单位在建设、运行过程中严格落实报告书提出的污染防治和生态保护要求，并着重做好以下工作：</w:t>
      </w:r>
    </w:p>
    <w:p>
      <w:pPr>
        <w:keepNext w:val="0"/>
        <w:keepLines w:val="0"/>
        <w:pageBreakBefore w:val="0"/>
        <w:widowControl w:val="0"/>
        <w:suppressLineNumbers w:val="0"/>
        <w:kinsoku/>
        <w:wordWrap/>
        <w:overflowPunct/>
        <w:bidi w:val="0"/>
        <w:spacing w:before="0" w:beforeAutospacing="0" w:after="0" w:afterAutospacing="0" w:line="460" w:lineRule="exact"/>
        <w:ind w:left="0" w:right="0" w:firstLine="640" w:firstLineChars="200"/>
        <w:jc w:val="both"/>
        <w:textAlignment w:val="auto"/>
        <w:rPr>
          <w:rFonts w:hint="eastAsia" w:ascii="仿宋" w:hAnsi="仿宋" w:eastAsia="仿宋" w:cs="仿宋"/>
          <w:sz w:val="32"/>
          <w:szCs w:val="32"/>
          <w:lang w:val="en-US"/>
        </w:rPr>
      </w:pPr>
      <w:bookmarkStart w:id="4" w:name="OLE_LINK12"/>
      <w:r>
        <w:rPr>
          <w:rFonts w:hint="eastAsia" w:ascii="仿宋" w:hAnsi="仿宋" w:eastAsia="仿宋" w:cs="仿宋"/>
          <w:bCs/>
          <w:kern w:val="2"/>
          <w:sz w:val="32"/>
          <w:szCs w:val="32"/>
          <w:lang w:val="en-US" w:eastAsia="zh-CN" w:bidi="ar"/>
        </w:rPr>
        <w:t>（一）</w:t>
      </w:r>
      <w:r>
        <w:rPr>
          <w:rFonts w:hint="eastAsia" w:ascii="仿宋" w:hAnsi="仿宋" w:eastAsia="仿宋" w:cs="仿宋"/>
          <w:kern w:val="2"/>
          <w:sz w:val="32"/>
          <w:szCs w:val="32"/>
          <w:lang w:val="en-US" w:eastAsia="zh-CN" w:bidi="ar"/>
        </w:rPr>
        <w:t>落实“以新带老”要求，解决现有项目存在的环境问题。</w:t>
      </w:r>
    </w:p>
    <w:p>
      <w:pPr>
        <w:keepNext w:val="0"/>
        <w:keepLines w:val="0"/>
        <w:pageBreakBefore w:val="0"/>
        <w:widowControl w:val="0"/>
        <w:suppressLineNumbers w:val="0"/>
        <w:kinsoku/>
        <w:wordWrap/>
        <w:overflowPunct/>
        <w:bidi w:val="0"/>
        <w:spacing w:before="0" w:beforeAutospacing="0" w:after="0" w:afterAutospacing="0" w:line="46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bCs/>
          <w:kern w:val="2"/>
          <w:sz w:val="32"/>
          <w:szCs w:val="32"/>
          <w:lang w:val="en-US" w:eastAsia="zh-CN" w:bidi="ar"/>
        </w:rPr>
        <w:t>（二）废水污染防治。施工期的生活污水经</w:t>
      </w:r>
      <w:r>
        <w:rPr>
          <w:rFonts w:hint="eastAsia" w:ascii="仿宋" w:hAnsi="仿宋" w:eastAsia="仿宋" w:cs="仿宋"/>
          <w:color w:val="000000"/>
          <w:kern w:val="2"/>
          <w:sz w:val="32"/>
          <w:szCs w:val="32"/>
          <w:lang w:val="en-US" w:eastAsia="zh-CN" w:bidi="ar"/>
        </w:rPr>
        <w:t>化粪池处理后用于</w:t>
      </w:r>
      <w:r>
        <w:rPr>
          <w:rFonts w:hint="eastAsia" w:ascii="仿宋" w:hAnsi="仿宋" w:eastAsia="仿宋" w:cs="仿宋"/>
          <w:kern w:val="2"/>
          <w:sz w:val="32"/>
          <w:szCs w:val="32"/>
          <w:lang w:val="en-US" w:eastAsia="zh-CN" w:bidi="ar"/>
        </w:rPr>
        <w:t>周边山林绿化；施</w:t>
      </w:r>
      <w:r>
        <w:rPr>
          <w:rFonts w:hint="eastAsia" w:ascii="仿宋" w:hAnsi="仿宋" w:eastAsia="仿宋" w:cs="仿宋"/>
          <w:color w:val="000000"/>
          <w:kern w:val="2"/>
          <w:sz w:val="32"/>
          <w:szCs w:val="32"/>
          <w:lang w:val="en-US" w:eastAsia="zh-CN" w:bidi="ar"/>
        </w:rPr>
        <w:t>工废水经沉淀处理后循环使用；运输、施工机械临时检查产生的油污集中处理，加强设备维修和保养，避免漏油事件发生。</w:t>
      </w:r>
      <w:r>
        <w:rPr>
          <w:rFonts w:hint="eastAsia" w:ascii="仿宋" w:hAnsi="仿宋" w:eastAsia="仿宋" w:cs="仿宋"/>
          <w:bCs/>
          <w:kern w:val="2"/>
          <w:sz w:val="32"/>
          <w:szCs w:val="32"/>
          <w:lang w:val="en-US" w:eastAsia="zh-CN" w:bidi="ar"/>
        </w:rPr>
        <w:t>按照“雨污分流、清污分流、污污分流”原则，规范建设矿区排水和废水回用处理系统，提高废水回用率。正常情况下，</w:t>
      </w:r>
      <w:r>
        <w:rPr>
          <w:rFonts w:hint="eastAsia" w:ascii="仿宋" w:hAnsi="仿宋" w:eastAsia="仿宋" w:cs="仿宋"/>
          <w:color w:val="000000"/>
          <w:kern w:val="2"/>
          <w:sz w:val="32"/>
          <w:szCs w:val="32"/>
          <w:lang w:val="en-US" w:eastAsia="zh-CN" w:bidi="ar"/>
        </w:rPr>
        <w:t>尾矿库溢流水和堆积坝渗滤水经尾矿库坝下的废水收集处理系统进行收集和澄清，最后全部打入选厂高位水池回用于生产作业，无外排</w:t>
      </w:r>
      <w:r>
        <w:rPr>
          <w:rFonts w:hint="eastAsia" w:ascii="仿宋" w:hAnsi="仿宋" w:eastAsia="仿宋" w:cs="仿宋"/>
          <w:bCs/>
          <w:kern w:val="2"/>
          <w:sz w:val="32"/>
          <w:szCs w:val="32"/>
          <w:lang w:val="en-US" w:eastAsia="zh-CN" w:bidi="ar"/>
        </w:rPr>
        <w:t>；雨季时，</w:t>
      </w:r>
      <w:r>
        <w:rPr>
          <w:rFonts w:hint="eastAsia" w:ascii="仿宋" w:hAnsi="仿宋" w:eastAsia="仿宋" w:cs="仿宋"/>
          <w:color w:val="000000"/>
          <w:kern w:val="0"/>
          <w:sz w:val="32"/>
          <w:szCs w:val="32"/>
          <w:lang w:val="en-US" w:eastAsia="zh-CN" w:bidi="ar"/>
        </w:rPr>
        <w:t>尾矿库溢流</w:t>
      </w:r>
      <w:r>
        <w:rPr>
          <w:rFonts w:hint="eastAsia" w:ascii="仿宋" w:hAnsi="仿宋" w:eastAsia="仿宋" w:cs="仿宋"/>
          <w:color w:val="000000"/>
          <w:kern w:val="2"/>
          <w:sz w:val="32"/>
          <w:szCs w:val="32"/>
          <w:lang w:val="en-US" w:eastAsia="zh-CN" w:bidi="ar"/>
        </w:rPr>
        <w:t>和堆积坝渗滤水</w:t>
      </w:r>
      <w:r>
        <w:rPr>
          <w:rFonts w:hint="eastAsia" w:ascii="仿宋" w:hAnsi="仿宋" w:eastAsia="仿宋" w:cs="仿宋"/>
          <w:color w:val="000000"/>
          <w:kern w:val="0"/>
          <w:sz w:val="32"/>
          <w:szCs w:val="32"/>
          <w:lang w:val="en-US" w:eastAsia="zh-CN" w:bidi="ar"/>
        </w:rPr>
        <w:t>经</w:t>
      </w:r>
      <w:r>
        <w:rPr>
          <w:rFonts w:hint="eastAsia" w:ascii="仿宋" w:hAnsi="仿宋" w:eastAsia="仿宋" w:cs="仿宋"/>
          <w:color w:val="000000"/>
          <w:kern w:val="2"/>
          <w:sz w:val="32"/>
          <w:szCs w:val="32"/>
          <w:lang w:val="en-US" w:eastAsia="zh-CN" w:bidi="ar"/>
        </w:rPr>
        <w:t>废水收集处理系统和</w:t>
      </w:r>
      <w:r>
        <w:rPr>
          <w:rFonts w:hint="eastAsia" w:ascii="仿宋" w:hAnsi="仿宋" w:eastAsia="仿宋" w:cs="仿宋"/>
          <w:color w:val="000000"/>
          <w:kern w:val="0"/>
          <w:sz w:val="32"/>
          <w:szCs w:val="32"/>
          <w:lang w:val="en-US" w:eastAsia="zh-CN" w:bidi="ar"/>
        </w:rPr>
        <w:t>污水处理站处理后，</w:t>
      </w:r>
      <w:r>
        <w:rPr>
          <w:rFonts w:hint="eastAsia" w:ascii="仿宋" w:hAnsi="仿宋" w:eastAsia="仿宋" w:cs="仿宋"/>
          <w:color w:val="000000"/>
          <w:kern w:val="2"/>
          <w:sz w:val="32"/>
          <w:szCs w:val="32"/>
          <w:lang w:val="en-US" w:eastAsia="zh-CN" w:bidi="ar"/>
        </w:rPr>
        <w:t>一部分泵回选厂高位水池继续回用于选厂生产中，多余部分</w:t>
      </w:r>
      <w:r>
        <w:rPr>
          <w:rFonts w:hint="eastAsia" w:ascii="仿宋" w:hAnsi="仿宋" w:eastAsia="仿宋" w:cs="仿宋"/>
          <w:color w:val="000000"/>
          <w:kern w:val="0"/>
          <w:sz w:val="32"/>
          <w:szCs w:val="32"/>
          <w:lang w:val="en-US" w:eastAsia="zh-CN" w:bidi="ar"/>
        </w:rPr>
        <w:t>经古皮寺小溪约2700m进入黄金河</w:t>
      </w:r>
      <w:r>
        <w:rPr>
          <w:rFonts w:hint="eastAsia" w:ascii="仿宋" w:hAnsi="仿宋" w:eastAsia="仿宋" w:cs="仿宋"/>
          <w:color w:val="000000"/>
          <w:kern w:val="2"/>
          <w:sz w:val="32"/>
          <w:szCs w:val="32"/>
          <w:lang w:val="en-US" w:eastAsia="zh-CN" w:bidi="ar"/>
        </w:rPr>
        <w:t>达标外排</w:t>
      </w:r>
      <w:r>
        <w:rPr>
          <w:rFonts w:hint="eastAsia" w:ascii="仿宋" w:hAnsi="仿宋" w:eastAsia="仿宋" w:cs="仿宋"/>
          <w:bCs/>
          <w:kern w:val="2"/>
          <w:sz w:val="32"/>
          <w:szCs w:val="32"/>
          <w:lang w:val="en-US" w:eastAsia="zh-CN" w:bidi="ar"/>
        </w:rPr>
        <w:t>，废水执行《污水综合排放标准》（GB8978-1996）第一类污染物表1限值，第二类污染物表4一级标准。设置地下水质监测井，定期对库区周围水质进行取样分析，确保地下水环境安全。</w:t>
      </w:r>
    </w:p>
    <w:p>
      <w:pPr>
        <w:keepNext w:val="0"/>
        <w:keepLines w:val="0"/>
        <w:pageBreakBefore w:val="0"/>
        <w:widowControl w:val="0"/>
        <w:suppressLineNumbers w:val="0"/>
        <w:kinsoku/>
        <w:wordWrap/>
        <w:overflowPunct/>
        <w:bidi w:val="0"/>
        <w:adjustRightInd w:val="0"/>
        <w:snapToGrid w:val="0"/>
        <w:spacing w:before="0" w:beforeAutospacing="0" w:after="0" w:afterAutospacing="0" w:line="460" w:lineRule="exact"/>
        <w:ind w:left="0" w:right="0" w:firstLine="640" w:firstLineChars="200"/>
        <w:jc w:val="both"/>
        <w:textAlignment w:val="auto"/>
        <w:rPr>
          <w:rFonts w:hint="eastAsia" w:ascii="仿宋" w:hAnsi="仿宋" w:eastAsia="仿宋" w:cs="仿宋"/>
          <w:bCs/>
          <w:sz w:val="32"/>
          <w:szCs w:val="32"/>
          <w:lang w:val="en-US"/>
        </w:rPr>
      </w:pPr>
      <w:r>
        <w:rPr>
          <w:rFonts w:hint="eastAsia" w:ascii="仿宋" w:hAnsi="仿宋" w:eastAsia="仿宋" w:cs="仿宋"/>
          <w:bCs/>
          <w:kern w:val="2"/>
          <w:sz w:val="32"/>
          <w:szCs w:val="32"/>
          <w:lang w:val="en-US" w:eastAsia="zh-CN" w:bidi="ar"/>
        </w:rPr>
        <w:t>（三）废气污染防治。施工期</w:t>
      </w:r>
      <w:r>
        <w:rPr>
          <w:rFonts w:hint="eastAsia" w:ascii="仿宋" w:hAnsi="仿宋" w:eastAsia="仿宋" w:cs="仿宋"/>
          <w:color w:val="000000"/>
          <w:kern w:val="2"/>
          <w:sz w:val="32"/>
          <w:szCs w:val="32"/>
          <w:lang w:val="en-US" w:eastAsia="zh-CN" w:bidi="ar"/>
        </w:rPr>
        <w:t>实行封闭式施工、对施工现场扬尘区及道路定期洒水、工地车辆出口设置水池、使用预拌混凝土等措施防治扬尘。营运期通过加强尾矿库管理，合理调节渣（尾矿）管的排矿口，经常保持尾矿砂（渣）的湿润；同时对尾矿库堆积坝外坡面采取覆土、植被恢复（采用草本植物），干旱有风季节洒水抑尘等措施，以减少尾矿库扬尘的产生，确保颗粒物满足</w:t>
      </w:r>
      <w:r>
        <w:rPr>
          <w:rFonts w:hint="eastAsia" w:ascii="仿宋" w:hAnsi="仿宋" w:eastAsia="仿宋" w:cs="仿宋"/>
          <w:bCs/>
          <w:kern w:val="2"/>
          <w:sz w:val="32"/>
          <w:szCs w:val="32"/>
          <w:lang w:val="en-US" w:eastAsia="zh-CN" w:bidi="ar"/>
        </w:rPr>
        <w:t>《大气污染物综合排放标准》（GB16297-1996）中二级标准要求。</w:t>
      </w:r>
    </w:p>
    <w:p>
      <w:pPr>
        <w:keepNext w:val="0"/>
        <w:keepLines w:val="0"/>
        <w:pageBreakBefore w:val="0"/>
        <w:widowControl w:val="0"/>
        <w:suppressLineNumbers w:val="0"/>
        <w:kinsoku/>
        <w:wordWrap/>
        <w:overflowPunct/>
        <w:autoSpaceDE w:val="0"/>
        <w:autoSpaceDN w:val="0"/>
        <w:bidi w:val="0"/>
        <w:adjustRightInd w:val="0"/>
        <w:spacing w:before="0" w:beforeAutospacing="0" w:after="0" w:afterAutospacing="0" w:line="460" w:lineRule="exact"/>
        <w:ind w:left="0" w:right="0" w:firstLine="640" w:firstLineChars="200"/>
        <w:jc w:val="both"/>
        <w:textAlignment w:val="auto"/>
        <w:rPr>
          <w:rFonts w:hint="eastAsia" w:ascii="仿宋" w:hAnsi="仿宋" w:eastAsia="仿宋" w:cs="仿宋"/>
          <w:color w:val="000000"/>
          <w:sz w:val="32"/>
          <w:szCs w:val="32"/>
          <w:lang w:val="en-US"/>
        </w:rPr>
      </w:pPr>
      <w:r>
        <w:rPr>
          <w:rFonts w:hint="eastAsia" w:ascii="仿宋" w:hAnsi="仿宋" w:eastAsia="仿宋" w:cs="仿宋"/>
          <w:bCs/>
          <w:kern w:val="2"/>
          <w:sz w:val="32"/>
          <w:szCs w:val="32"/>
          <w:lang w:val="en-US" w:eastAsia="zh-CN" w:bidi="ar"/>
        </w:rPr>
        <w:t>（四）噪声污染防治。施工期，采用</w:t>
      </w:r>
      <w:r>
        <w:rPr>
          <w:rFonts w:hint="eastAsia" w:ascii="仿宋" w:hAnsi="仿宋" w:eastAsia="仿宋" w:cs="仿宋"/>
          <w:color w:val="000000"/>
          <w:kern w:val="2"/>
          <w:sz w:val="32"/>
          <w:szCs w:val="32"/>
          <w:lang w:val="en-US" w:eastAsia="zh-CN" w:bidi="ar"/>
        </w:rPr>
        <w:t>低噪声设备、合理布局、采取先进的施工工艺、合理安排施工作业时间、加强施工管理及机械设备的维修保养等措施，确保厂界噪声满足《建筑施工场界环境噪声排放限值》（GB12523-2011）的规范要求。营运期，</w:t>
      </w:r>
      <w:r>
        <w:rPr>
          <w:rFonts w:hint="eastAsia" w:ascii="仿宋" w:hAnsi="仿宋" w:eastAsia="仿宋" w:cs="仿宋"/>
          <w:color w:val="000000"/>
          <w:kern w:val="2"/>
          <w:sz w:val="32"/>
          <w:szCs w:val="32"/>
          <w:lang w:val="zh-CN" w:eastAsia="zh-CN" w:bidi="ar"/>
        </w:rPr>
        <w:t>将</w:t>
      </w:r>
      <w:r>
        <w:rPr>
          <w:rFonts w:hint="eastAsia" w:ascii="仿宋" w:hAnsi="仿宋" w:eastAsia="仿宋" w:cs="仿宋"/>
          <w:color w:val="000000"/>
          <w:kern w:val="2"/>
          <w:sz w:val="32"/>
          <w:szCs w:val="32"/>
          <w:lang w:val="en-US" w:eastAsia="zh-CN" w:bidi="ar"/>
        </w:rPr>
        <w:t>回水泵设置在泵房内隔声、夜间停止推土机堆筑子坝等措施</w:t>
      </w:r>
      <w:r>
        <w:rPr>
          <w:rFonts w:hint="eastAsia" w:ascii="仿宋" w:hAnsi="仿宋" w:eastAsia="仿宋" w:cs="仿宋"/>
          <w:color w:val="000000"/>
          <w:kern w:val="2"/>
          <w:sz w:val="32"/>
          <w:szCs w:val="32"/>
          <w:lang w:val="zh-CN" w:eastAsia="zh-CN" w:bidi="ar"/>
        </w:rPr>
        <w:t>减轻噪声对环境的影响，</w:t>
      </w:r>
      <w:r>
        <w:rPr>
          <w:rFonts w:hint="eastAsia" w:ascii="仿宋" w:hAnsi="仿宋" w:eastAsia="仿宋" w:cs="仿宋"/>
          <w:bCs/>
          <w:kern w:val="2"/>
          <w:sz w:val="32"/>
          <w:szCs w:val="32"/>
          <w:lang w:val="en-US" w:eastAsia="zh-CN" w:bidi="ar"/>
        </w:rPr>
        <w:t>确保厂界噪声满足《工业企业厂界环境噪声排放标准》（</w:t>
      </w:r>
      <w:r>
        <w:rPr>
          <w:rFonts w:hint="eastAsia" w:ascii="仿宋" w:hAnsi="仿宋" w:eastAsia="仿宋" w:cs="仿宋"/>
          <w:color w:val="000000"/>
          <w:kern w:val="2"/>
          <w:sz w:val="32"/>
          <w:szCs w:val="32"/>
          <w:lang w:val="en-US" w:eastAsia="zh-CN" w:bidi="ar"/>
        </w:rPr>
        <w:t>GB12348-2008）2类标准要求。</w:t>
      </w:r>
    </w:p>
    <w:p>
      <w:pPr>
        <w:keepNext w:val="0"/>
        <w:keepLines w:val="0"/>
        <w:pageBreakBefore w:val="0"/>
        <w:widowControl w:val="0"/>
        <w:suppressLineNumbers w:val="0"/>
        <w:kinsoku/>
        <w:wordWrap/>
        <w:overflowPunct/>
        <w:bidi w:val="0"/>
        <w:adjustRightInd w:val="0"/>
        <w:snapToGrid w:val="0"/>
        <w:spacing w:before="0" w:beforeAutospacing="0" w:after="0" w:afterAutospacing="0" w:line="46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bCs/>
          <w:kern w:val="2"/>
          <w:sz w:val="32"/>
          <w:szCs w:val="32"/>
          <w:lang w:val="en-US" w:eastAsia="zh-CN" w:bidi="ar"/>
        </w:rPr>
        <w:t>（五）</w:t>
      </w:r>
      <w:r>
        <w:rPr>
          <w:rFonts w:hint="eastAsia" w:ascii="仿宋" w:hAnsi="仿宋" w:eastAsia="仿宋" w:cs="仿宋"/>
          <w:color w:val="000000"/>
          <w:kern w:val="2"/>
          <w:sz w:val="32"/>
          <w:szCs w:val="32"/>
          <w:lang w:val="en-US" w:eastAsia="zh-CN" w:bidi="ar"/>
        </w:rPr>
        <w:t>固体废物防治。</w:t>
      </w:r>
      <w:r>
        <w:rPr>
          <w:rFonts w:hint="eastAsia" w:ascii="仿宋" w:hAnsi="仿宋" w:eastAsia="仿宋" w:cs="仿宋"/>
          <w:kern w:val="2"/>
          <w:sz w:val="32"/>
          <w:szCs w:val="32"/>
          <w:lang w:val="en-US" w:eastAsia="zh-CN" w:bidi="ar"/>
        </w:rPr>
        <w:t>按照“减量化、资源化、无害化”的原则，做好固废的分类收集和综合利用，完善固废产生、贮存、处置的管理台账。施工期的</w:t>
      </w:r>
      <w:r>
        <w:rPr>
          <w:rFonts w:hint="eastAsia" w:ascii="仿宋" w:hAnsi="仿宋" w:eastAsia="仿宋" w:cs="仿宋"/>
          <w:color w:val="000000"/>
          <w:kern w:val="2"/>
          <w:sz w:val="32"/>
          <w:szCs w:val="32"/>
          <w:lang w:val="en-US" w:eastAsia="zh-CN" w:bidi="ar"/>
        </w:rPr>
        <w:t>建筑垃圾、一定数量废弃的建筑材料应收尽收、合理利用、妥善处理，施工期生活垃圾收集后由环卫部门统一处置。营运期选厂的尾砂和废水处理站的污泥堆存于古皮寺尾矿库，执行</w:t>
      </w:r>
      <w:r>
        <w:rPr>
          <w:rFonts w:hint="eastAsia" w:ascii="仿宋" w:hAnsi="仿宋" w:eastAsia="仿宋" w:cs="仿宋"/>
          <w:kern w:val="2"/>
          <w:sz w:val="32"/>
          <w:szCs w:val="32"/>
          <w:lang w:val="en-US" w:eastAsia="zh-CN" w:bidi="ar"/>
        </w:rPr>
        <w:t>《一般工业固体废物贮存和填埋污染控制标准》（GB18599-2020）的相关要求。</w:t>
      </w:r>
    </w:p>
    <w:p>
      <w:pPr>
        <w:keepNext w:val="0"/>
        <w:keepLines w:val="0"/>
        <w:pageBreakBefore w:val="0"/>
        <w:widowControl w:val="0"/>
        <w:suppressLineNumbers w:val="0"/>
        <w:kinsoku/>
        <w:wordWrap/>
        <w:overflowPunct/>
        <w:bidi w:val="0"/>
        <w:adjustRightInd w:val="0"/>
        <w:snapToGrid w:val="0"/>
        <w:spacing w:before="0" w:beforeAutospacing="0" w:after="0" w:afterAutospacing="0" w:line="460" w:lineRule="exact"/>
        <w:ind w:left="0" w:right="0" w:firstLine="640" w:firstLineChars="200"/>
        <w:jc w:val="both"/>
        <w:textAlignment w:val="auto"/>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（六）</w:t>
      </w:r>
      <w:r>
        <w:rPr>
          <w:rFonts w:hint="eastAsia" w:ascii="仿宋" w:hAnsi="仿宋" w:eastAsia="仿宋" w:cs="仿宋"/>
          <w:kern w:val="2"/>
          <w:sz w:val="32"/>
          <w:szCs w:val="32"/>
          <w:lang w:val="en-US" w:eastAsia="zh-CN" w:bidi="ar"/>
        </w:rPr>
        <w:t>环境风险防范。</w:t>
      </w:r>
      <w:r>
        <w:rPr>
          <w:rFonts w:hint="eastAsia" w:ascii="仿宋" w:hAnsi="仿宋" w:eastAsia="仿宋" w:cs="仿宋"/>
          <w:color w:val="000000"/>
          <w:kern w:val="2"/>
          <w:sz w:val="32"/>
          <w:szCs w:val="32"/>
          <w:lang w:val="en-US" w:eastAsia="zh-CN" w:bidi="ar"/>
        </w:rPr>
        <w:t>严格按照尾矿库设计方案施工，落实防洪、防渗漏和抗滑措施。成立管理班组，</w:t>
      </w:r>
      <w:r>
        <w:rPr>
          <w:rFonts w:hint="eastAsia" w:ascii="仿宋" w:hAnsi="仿宋" w:eastAsia="仿宋" w:cs="仿宋"/>
          <w:kern w:val="2"/>
          <w:sz w:val="32"/>
          <w:szCs w:val="32"/>
          <w:lang w:val="en-US" w:eastAsia="zh-CN" w:bidi="ar"/>
        </w:rPr>
        <w:t>加强安全生产和环保</w:t>
      </w:r>
      <w:r>
        <w:rPr>
          <w:rFonts w:hint="eastAsia" w:ascii="仿宋" w:hAnsi="仿宋" w:eastAsia="仿宋" w:cs="仿宋"/>
          <w:color w:val="000000"/>
          <w:kern w:val="2"/>
          <w:sz w:val="32"/>
          <w:szCs w:val="32"/>
          <w:lang w:val="en-US" w:eastAsia="zh-CN" w:bidi="ar"/>
        </w:rPr>
        <w:t>设施运营管理，落实各项风险防范措施，明确责任人。制订环境事故应急预案，确保污染物处理长期稳定达标，杜绝环境风险事故发生。</w:t>
      </w:r>
    </w:p>
    <w:p>
      <w:pPr>
        <w:keepNext w:val="0"/>
        <w:keepLines w:val="0"/>
        <w:pageBreakBefore w:val="0"/>
        <w:widowControl w:val="0"/>
        <w:suppressLineNumbers w:val="0"/>
        <w:kinsoku/>
        <w:wordWrap/>
        <w:overflowPunct/>
        <w:autoSpaceDE w:val="0"/>
        <w:autoSpaceDN w:val="0"/>
        <w:bidi w:val="0"/>
        <w:adjustRightInd w:val="0"/>
        <w:spacing w:before="0" w:beforeAutospacing="0" w:after="0" w:afterAutospacing="0" w:line="460" w:lineRule="exact"/>
        <w:ind w:left="0" w:right="0" w:firstLine="640" w:firstLineChars="200"/>
        <w:jc w:val="both"/>
        <w:textAlignment w:val="auto"/>
        <w:rPr>
          <w:rFonts w:hint="eastAsia" w:ascii="仿宋" w:hAnsi="仿宋" w:eastAsia="仿宋" w:cs="仿宋"/>
          <w:color w:val="000000"/>
          <w:sz w:val="32"/>
          <w:szCs w:val="32"/>
          <w:lang w:val="en-US"/>
        </w:rPr>
      </w:pPr>
      <w:r>
        <w:rPr>
          <w:rFonts w:hint="eastAsia" w:ascii="仿宋" w:hAnsi="仿宋" w:eastAsia="仿宋" w:cs="仿宋"/>
          <w:kern w:val="2"/>
          <w:sz w:val="32"/>
          <w:szCs w:val="32"/>
          <w:lang w:val="en-US" w:eastAsia="zh-CN" w:bidi="ar"/>
        </w:rPr>
        <w:t>（七）生态环境保护。施工期，合理安排施工期及优化施工作业方法，</w:t>
      </w:r>
      <w:r>
        <w:rPr>
          <w:rFonts w:hint="eastAsia" w:ascii="仿宋" w:hAnsi="仿宋" w:eastAsia="仿宋" w:cs="仿宋"/>
          <w:color w:val="000000"/>
          <w:kern w:val="2"/>
          <w:sz w:val="32"/>
          <w:szCs w:val="32"/>
          <w:lang w:val="zh-CN" w:eastAsia="zh-CN" w:bidi="ar"/>
        </w:rPr>
        <w:t>合理利用土地</w:t>
      </w:r>
      <w:r>
        <w:rPr>
          <w:rFonts w:hint="eastAsia" w:ascii="仿宋" w:hAnsi="仿宋" w:eastAsia="仿宋" w:cs="仿宋"/>
          <w:kern w:val="2"/>
          <w:sz w:val="32"/>
          <w:szCs w:val="32"/>
          <w:lang w:val="en-US" w:eastAsia="zh-CN" w:bidi="ar"/>
        </w:rPr>
        <w:t>减少水土流失，及时进行植补恢复，</w:t>
      </w:r>
      <w:r>
        <w:rPr>
          <w:rFonts w:hint="eastAsia" w:ascii="仿宋" w:hAnsi="仿宋" w:eastAsia="仿宋" w:cs="仿宋"/>
          <w:color w:val="000000"/>
          <w:kern w:val="2"/>
          <w:sz w:val="32"/>
          <w:szCs w:val="32"/>
          <w:lang w:val="zh-CN" w:eastAsia="zh-CN" w:bidi="ar"/>
        </w:rPr>
        <w:t>加强环保教育保护自然资源。</w:t>
      </w:r>
      <w:r>
        <w:rPr>
          <w:rFonts w:hint="eastAsia" w:ascii="仿宋" w:hAnsi="仿宋" w:eastAsia="仿宋" w:cs="仿宋"/>
          <w:color w:val="000000"/>
          <w:kern w:val="2"/>
          <w:sz w:val="32"/>
          <w:szCs w:val="32"/>
          <w:lang w:val="en-US" w:eastAsia="zh-CN" w:bidi="ar"/>
        </w:rPr>
        <w:t>营运期，加强尾矿库坝体和库区的绿化工作；</w:t>
      </w:r>
      <w:r>
        <w:rPr>
          <w:rFonts w:hint="eastAsia" w:ascii="仿宋" w:hAnsi="仿宋" w:eastAsia="仿宋" w:cs="仿宋"/>
          <w:color w:val="000000"/>
          <w:kern w:val="2"/>
          <w:sz w:val="32"/>
          <w:szCs w:val="32"/>
          <w:lang w:val="zh-CN" w:eastAsia="zh-CN" w:bidi="ar"/>
        </w:rPr>
        <w:t>加强渣输送管线的沿途管理，避免渣泄漏流失，造成管道沿途生态环境的破坏</w:t>
      </w:r>
      <w:r>
        <w:rPr>
          <w:rFonts w:hint="eastAsia" w:ascii="仿宋" w:hAnsi="仿宋" w:eastAsia="仿宋" w:cs="仿宋"/>
          <w:color w:val="000000"/>
          <w:kern w:val="2"/>
          <w:sz w:val="32"/>
          <w:szCs w:val="32"/>
          <w:lang w:val="en-US" w:eastAsia="zh-CN" w:bidi="ar"/>
        </w:rPr>
        <w:t>。尾矿库服务年限期满后立马启动闭库治理工作，采取生态补偿、植被恢复等措施，对尾砂库进行生态治理，确保生态环境得到恢复。</w:t>
      </w:r>
    </w:p>
    <w:p>
      <w:pPr>
        <w:keepNext w:val="0"/>
        <w:keepLines w:val="0"/>
        <w:pageBreakBefore w:val="0"/>
        <w:widowControl w:val="0"/>
        <w:suppressLineNumbers w:val="0"/>
        <w:kinsoku/>
        <w:wordWrap/>
        <w:overflowPunct/>
        <w:bidi w:val="0"/>
        <w:adjustRightInd w:val="0"/>
        <w:snapToGrid w:val="0"/>
        <w:spacing w:before="0" w:beforeAutospacing="0" w:after="0" w:afterAutospacing="0" w:line="460" w:lineRule="exact"/>
        <w:ind w:right="0" w:firstLine="640" w:firstLineChars="200"/>
        <w:jc w:val="both"/>
        <w:textAlignment w:val="auto"/>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（八）开展污染物排放日常监测和环境跟踪监测，并根据监测结果及时采取增补措施，妥善解决可能出现的环境问题。</w:t>
      </w:r>
    </w:p>
    <w:p>
      <w:pPr>
        <w:keepNext w:val="0"/>
        <w:keepLines w:val="0"/>
        <w:pageBreakBefore w:val="0"/>
        <w:widowControl w:val="0"/>
        <w:suppressLineNumbers w:val="0"/>
        <w:kinsoku/>
        <w:wordWrap/>
        <w:overflowPunct/>
        <w:bidi w:val="0"/>
        <w:adjustRightInd w:val="0"/>
        <w:snapToGrid w:val="0"/>
        <w:spacing w:before="0" w:beforeAutospacing="0" w:after="0" w:afterAutospacing="0" w:line="46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color w:val="000000"/>
          <w:kern w:val="2"/>
          <w:sz w:val="32"/>
          <w:szCs w:val="32"/>
          <w:lang w:val="en-US" w:eastAsia="zh-CN" w:bidi="ar"/>
        </w:rPr>
        <w:t>（九）本项目核定总量指标为：COD≤3.9吨/年、氨氮≤0.3吨/年</w:t>
      </w:r>
      <w:r>
        <w:rPr>
          <w:rFonts w:hint="eastAsia" w:ascii="仿宋" w:hAnsi="仿宋" w:eastAsia="仿宋" w:cs="仿宋"/>
          <w:kern w:val="2"/>
          <w:sz w:val="32"/>
          <w:szCs w:val="32"/>
          <w:lang w:val="en-US" w:eastAsia="zh-CN" w:bidi="ar"/>
        </w:rPr>
        <w:t>、</w:t>
      </w:r>
      <w:r>
        <w:rPr>
          <w:rFonts w:hint="eastAsia" w:ascii="仿宋" w:hAnsi="仿宋" w:eastAsia="仿宋" w:cs="仿宋"/>
          <w:color w:val="000000"/>
          <w:kern w:val="2"/>
          <w:sz w:val="32"/>
          <w:szCs w:val="32"/>
          <w:lang w:val="en-US" w:eastAsia="zh-CN" w:bidi="ar"/>
        </w:rPr>
        <w:t>砷≤</w:t>
      </w:r>
      <w:r>
        <w:rPr>
          <w:rFonts w:hint="eastAsia" w:ascii="仿宋" w:hAnsi="仿宋" w:eastAsia="仿宋" w:cs="仿宋"/>
          <w:kern w:val="2"/>
          <w:sz w:val="32"/>
          <w:szCs w:val="32"/>
          <w:lang w:val="en-US" w:eastAsia="zh-CN" w:bidi="ar"/>
        </w:rPr>
        <w:t>11.12千克/年、铅≤0.57千克/年、镉≤0.09千克/年、汞</w:t>
      </w:r>
      <w:r>
        <w:rPr>
          <w:rFonts w:hint="eastAsia" w:ascii="仿宋" w:hAnsi="仿宋" w:eastAsia="仿宋" w:cs="仿宋"/>
          <w:color w:val="000000"/>
          <w:kern w:val="2"/>
          <w:sz w:val="32"/>
          <w:szCs w:val="32"/>
          <w:lang w:val="en-US" w:eastAsia="zh-CN" w:bidi="ar"/>
        </w:rPr>
        <w:t>≤</w:t>
      </w:r>
      <w:r>
        <w:rPr>
          <w:rFonts w:hint="eastAsia" w:ascii="仿宋" w:hAnsi="仿宋" w:eastAsia="仿宋" w:cs="仿宋"/>
          <w:kern w:val="2"/>
          <w:sz w:val="32"/>
          <w:szCs w:val="32"/>
          <w:lang w:val="en-US" w:eastAsia="zh-CN" w:bidi="ar"/>
        </w:rPr>
        <w:t>0.028千克/年。</w:t>
      </w:r>
      <w:r>
        <w:rPr>
          <w:rFonts w:hint="eastAsia" w:ascii="仿宋" w:hAnsi="仿宋" w:eastAsia="仿宋" w:cs="仿宋"/>
          <w:color w:val="000000"/>
          <w:kern w:val="2"/>
          <w:sz w:val="32"/>
          <w:szCs w:val="32"/>
          <w:lang w:val="en-US" w:eastAsia="zh-CN" w:bidi="ar"/>
        </w:rPr>
        <w:t>本项目建成运行后，高流坑尾矿库将停止运行使用，满足重金属污染物减排目标7%的原则，COD、氮氮、重金属总量满足公司已有排污总量要求，</w:t>
      </w:r>
      <w:r>
        <w:rPr>
          <w:rFonts w:hint="eastAsia" w:ascii="仿宋" w:hAnsi="仿宋" w:eastAsia="仿宋" w:cs="仿宋"/>
          <w:kern w:val="2"/>
          <w:sz w:val="32"/>
          <w:szCs w:val="32"/>
          <w:lang w:val="en-US" w:eastAsia="zh-CN" w:bidi="ar"/>
        </w:rPr>
        <w:t>无需另外购买。</w:t>
      </w:r>
      <w:bookmarkEnd w:id="4"/>
    </w:p>
    <w:p>
      <w:pPr>
        <w:keepNext w:val="0"/>
        <w:keepLines w:val="0"/>
        <w:pageBreakBefore w:val="0"/>
        <w:widowControl w:val="0"/>
        <w:suppressLineNumbers w:val="0"/>
        <w:kinsoku/>
        <w:wordWrap/>
        <w:overflowPunct/>
        <w:bidi w:val="0"/>
        <w:spacing w:before="0" w:beforeAutospacing="0" w:after="0" w:afterAutospacing="0" w:line="46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三、你公司应收到本批复后15个工作日内，将批复及批准的环评文件送岳阳市生态环境局平江分局、湖南有色金属研究院有限责任公司。</w:t>
      </w:r>
    </w:p>
    <w:p>
      <w:pPr>
        <w:keepNext w:val="0"/>
        <w:keepLines w:val="0"/>
        <w:pageBreakBefore w:val="0"/>
        <w:widowControl w:val="0"/>
        <w:suppressLineNumbers w:val="0"/>
        <w:kinsoku/>
        <w:wordWrap/>
        <w:overflowPunct/>
        <w:bidi w:val="0"/>
        <w:spacing w:before="0" w:beforeAutospacing="0" w:after="0" w:afterAutospacing="0" w:line="46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四、请岳阳市生态环境局平江分局负责项目建设和营运期的日常环境监管。</w:t>
      </w:r>
    </w:p>
    <w:p>
      <w:pPr>
        <w:keepNext w:val="0"/>
        <w:keepLines w:val="0"/>
        <w:pageBreakBefore w:val="0"/>
        <w:widowControl w:val="0"/>
        <w:suppressLineNumbers w:val="0"/>
        <w:kinsoku/>
        <w:wordWrap/>
        <w:overflowPunct/>
        <w:topLinePunct/>
        <w:bidi w:val="0"/>
        <w:spacing w:before="0" w:beforeAutospacing="0" w:after="0" w:afterAutospacing="0" w:line="460" w:lineRule="exact"/>
        <w:ind w:left="0" w:right="0" w:firstLine="5612" w:firstLineChars="1754"/>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岳阳市生态环境局</w:t>
      </w:r>
    </w:p>
    <w:p>
      <w:pPr>
        <w:keepNext w:val="0"/>
        <w:keepLines w:val="0"/>
        <w:pageBreakBefore w:val="0"/>
        <w:widowControl w:val="0"/>
        <w:suppressLineNumbers w:val="0"/>
        <w:kinsoku/>
        <w:wordWrap/>
        <w:overflowPunct/>
        <w:topLinePunct/>
        <w:bidi w:val="0"/>
        <w:spacing w:before="0" w:beforeAutospacing="0" w:after="0" w:afterAutospacing="0" w:line="460" w:lineRule="exact"/>
        <w:ind w:left="0" w:right="0" w:firstLine="576" w:firstLineChars="18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2023年7月18日</w:t>
      </w:r>
    </w:p>
    <w:p>
      <w:pPr>
        <w:keepNext w:val="0"/>
        <w:keepLines w:val="0"/>
        <w:pageBreakBefore w:val="0"/>
        <w:widowControl w:val="0"/>
        <w:suppressLineNumbers w:val="0"/>
        <w:kinsoku/>
        <w:wordWrap/>
        <w:overflowPunct/>
        <w:bidi w:val="0"/>
        <w:spacing w:before="0" w:beforeAutospacing="0" w:after="0" w:afterAutospacing="0" w:line="460" w:lineRule="exact"/>
        <w:ind w:left="0" w:right="0"/>
        <w:jc w:val="both"/>
        <w:textAlignment w:val="auto"/>
        <w:rPr>
          <w:color w:val="000000"/>
          <w:szCs w:val="22"/>
          <w:lang w:val="en-US"/>
        </w:rPr>
      </w:pPr>
    </w:p>
    <w:p>
      <w:pPr>
        <w:keepNext w:val="0"/>
        <w:keepLines w:val="0"/>
        <w:pageBreakBefore w:val="0"/>
        <w:kinsoku/>
        <w:wordWrap/>
        <w:overflowPunct/>
        <w:bidi w:val="0"/>
        <w:spacing w:line="460" w:lineRule="exact"/>
        <w:textAlignment w:val="auto"/>
      </w:pPr>
    </w:p>
    <w:sectPr>
      <w:pgSz w:w="11906" w:h="16838"/>
      <w:pgMar w:top="1304" w:right="1417" w:bottom="1247" w:left="1474" w:header="851" w:footer="992" w:gutter="0"/>
      <w:paperSrc/>
      <w:pgNumType w:start="2"/>
      <w:cols w:space="425" w:num="1"/>
      <w:docGrid w:type="lines" w:linePitch="2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fixed"/>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775EC0"/>
    <w:rsid w:val="6DA57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2023-07-18T08:28:03Z</dcterms:created>
  <dc:creator>LENOVO</dc:creator>
  <cp:lastModifiedBy>憧憬</cp:lastModifiedBy>
  <dcterms:modified xsi:type="dcterms:W3CDTF">2023-07-18T08:30:17Z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85A51F76DC3E4647ADC542FF70A13AC5</vt:lpwstr>
  </property>
</Properties>
</file>