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line="500" w:lineRule="exact"/>
        <w:textAlignment w:val="top"/>
        <w:rPr>
          <w:rFonts w:ascii="宋体" w:hAnsi="宋体" w:cs="宋体"/>
          <w:bCs/>
          <w:kern w:val="2"/>
          <w:sz w:val="36"/>
        </w:rPr>
      </w:pPr>
      <w:r>
        <w:rPr>
          <w:rFonts w:hint="eastAsia" w:eastAsia="黑体"/>
          <w:b/>
          <w:kern w:val="2"/>
          <w:sz w:val="36"/>
        </w:rPr>
        <w:t xml:space="preserve">              </w:t>
      </w:r>
    </w:p>
    <w:p>
      <w:pPr>
        <w:pStyle w:val="35"/>
        <w:spacing w:line="460" w:lineRule="exact"/>
        <w:textAlignment w:val="top"/>
        <w:rPr>
          <w:rFonts w:ascii="宋体" w:hAnsi="宋体" w:cs="宋体"/>
          <w:bCs/>
          <w:kern w:val="2"/>
          <w:sz w:val="36"/>
        </w:rPr>
      </w:pPr>
    </w:p>
    <w:p>
      <w:pPr>
        <w:pStyle w:val="35"/>
        <w:spacing w:line="480" w:lineRule="exact"/>
        <w:textAlignment w:val="top"/>
        <w:rPr>
          <w:rFonts w:ascii="宋体" w:hAnsi="宋体" w:cs="宋体"/>
          <w:bCs/>
          <w:kern w:val="2"/>
          <w:sz w:val="36"/>
        </w:rPr>
      </w:pPr>
    </w:p>
    <w:p>
      <w:pPr>
        <w:pStyle w:val="35"/>
        <w:spacing w:line="520" w:lineRule="exact"/>
        <w:textAlignment w:val="top"/>
        <w:rPr>
          <w:rFonts w:eastAsia="黑体"/>
          <w:b/>
          <w:kern w:val="2"/>
          <w:sz w:val="21"/>
          <w:szCs w:val="21"/>
        </w:rPr>
      </w:pPr>
      <w:r>
        <w:rPr>
          <w:rFonts w:hint="eastAsia" w:eastAsia="黑体"/>
          <w:b/>
          <w:kern w:val="2"/>
          <w:sz w:val="36"/>
        </w:rPr>
        <w:t xml:space="preserve">     </w:t>
      </w:r>
    </w:p>
    <w:p>
      <w:pPr>
        <w:spacing w:line="520" w:lineRule="exact"/>
        <w:ind w:left="300" w:hanging="300" w:hangingChars="100"/>
        <w:jc w:val="right"/>
        <w:rPr>
          <w:rFonts w:ascii="仿宋_GB2312" w:hAnsi="仿宋_GB2312" w:eastAsia="仿宋_GB2312" w:cs="仿宋_GB2312"/>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r>
        <w:rPr>
          <w:rFonts w:hint="eastAsia" w:ascii="仿宋_GB2312" w:hAnsi="仿宋_GB2312" w:eastAsia="仿宋_GB2312" w:cs="仿宋_GB2312"/>
          <w:sz w:val="32"/>
          <w:szCs w:val="32"/>
        </w:rPr>
        <w:t>号</w:t>
      </w:r>
    </w:p>
    <w:p>
      <w:pPr>
        <w:spacing w:line="520" w:lineRule="exact"/>
        <w:ind w:firstLine="0" w:firstLineChars="0"/>
        <w:jc w:val="center"/>
        <w:rPr>
          <w:rFonts w:ascii="黑体" w:hAnsi="黑体" w:eastAsia="黑体" w:cs="黑体"/>
          <w:b/>
          <w:color w:val="000000"/>
          <w:sz w:val="36"/>
          <w:szCs w:val="36"/>
        </w:rPr>
      </w:pPr>
      <w:bookmarkStart w:id="0" w:name="OLE_LINK4"/>
    </w:p>
    <w:p>
      <w:pPr>
        <w:spacing w:line="520" w:lineRule="exact"/>
        <w:ind w:firstLine="0" w:firstLineChars="0"/>
        <w:jc w:val="center"/>
        <w:rPr>
          <w:rFonts w:ascii="方正小标宋简体" w:hAnsi="黑体" w:eastAsia="方正小标宋简体" w:cs="黑体"/>
          <w:bCs/>
          <w:color w:val="000000"/>
          <w:sz w:val="36"/>
          <w:szCs w:val="36"/>
        </w:rPr>
      </w:pPr>
      <w:r>
        <w:rPr>
          <w:rFonts w:hint="eastAsia" w:ascii="方正小标宋简体" w:hAnsi="黑体" w:eastAsia="方正小标宋简体" w:cs="黑体"/>
          <w:bCs/>
          <w:color w:val="000000"/>
          <w:sz w:val="36"/>
          <w:szCs w:val="36"/>
        </w:rPr>
        <w:t>关于湖南鲲鹏祥远材料科技有限公司1000吨银催化剂载体生产和5000吨氧化铝小球再生利用项目</w:t>
      </w:r>
    </w:p>
    <w:p>
      <w:pPr>
        <w:spacing w:line="520" w:lineRule="exact"/>
        <w:ind w:firstLine="0" w:firstLineChars="0"/>
        <w:jc w:val="center"/>
        <w:rPr>
          <w:rFonts w:ascii="方正小标宋简体" w:hAnsi="黑体" w:eastAsia="方正小标宋简体" w:cs="黑体"/>
          <w:bCs/>
          <w:color w:val="000000"/>
          <w:sz w:val="36"/>
          <w:szCs w:val="36"/>
        </w:rPr>
      </w:pPr>
      <w:r>
        <w:rPr>
          <w:rFonts w:hint="eastAsia" w:ascii="方正小标宋简体" w:hAnsi="黑体" w:eastAsia="方正小标宋简体" w:cs="黑体"/>
          <w:bCs/>
          <w:color w:val="000000"/>
          <w:sz w:val="36"/>
          <w:szCs w:val="36"/>
        </w:rPr>
        <w:t>环境影响报告书批复</w:t>
      </w:r>
      <w:bookmarkStart w:id="4" w:name="_GoBack"/>
      <w:bookmarkEnd w:id="4"/>
    </w:p>
    <w:bookmarkEnd w:id="0"/>
    <w:p>
      <w:pPr>
        <w:adjustRightInd w:val="0"/>
        <w:snapToGrid w:val="0"/>
        <w:spacing w:line="520" w:lineRule="exact"/>
        <w:ind w:firstLine="721"/>
        <w:jc w:val="both"/>
        <w:rPr>
          <w:rFonts w:ascii="华文中宋" w:hAnsi="华文中宋" w:eastAsia="华文中宋" w:cs="黑体"/>
          <w:b/>
          <w:color w:val="000000"/>
          <w:sz w:val="36"/>
          <w:szCs w:val="36"/>
          <w:u w:val="single"/>
        </w:rPr>
      </w:pPr>
    </w:p>
    <w:p>
      <w:pPr>
        <w:spacing w:line="520" w:lineRule="exact"/>
        <w:ind w:firstLine="19" w:firstLineChars="6"/>
        <w:jc w:val="both"/>
        <w:rPr>
          <w:rFonts w:ascii="仿宋" w:hAnsi="仿宋" w:eastAsia="仿宋"/>
          <w:kern w:val="2"/>
          <w:sz w:val="32"/>
          <w:szCs w:val="32"/>
        </w:rPr>
      </w:pPr>
      <w:r>
        <w:rPr>
          <w:rFonts w:hint="eastAsia" w:ascii="仿宋" w:hAnsi="仿宋" w:eastAsia="仿宋" w:cs="仿宋"/>
          <w:sz w:val="32"/>
          <w:szCs w:val="32"/>
        </w:rPr>
        <w:t>湖南鲲鹏祥远材料科技有限公司</w:t>
      </w:r>
      <w:r>
        <w:rPr>
          <w:rFonts w:hint="eastAsia" w:ascii="仿宋" w:hAnsi="仿宋" w:eastAsia="仿宋"/>
          <w:kern w:val="2"/>
          <w:sz w:val="32"/>
          <w:szCs w:val="32"/>
        </w:rPr>
        <w:t>：</w:t>
      </w:r>
    </w:p>
    <w:p>
      <w:pPr>
        <w:spacing w:line="520" w:lineRule="exact"/>
        <w:ind w:firstLine="640"/>
        <w:jc w:val="both"/>
        <w:rPr>
          <w:rFonts w:ascii="仿宋" w:hAnsi="仿宋" w:eastAsia="仿宋" w:cs="仿宋"/>
          <w:sz w:val="32"/>
          <w:szCs w:val="32"/>
        </w:rPr>
      </w:pPr>
      <w:r>
        <w:rPr>
          <w:rFonts w:hint="eastAsia" w:ascii="仿宋" w:hAnsi="仿宋" w:eastAsia="仿宋"/>
          <w:kern w:val="2"/>
          <w:sz w:val="32"/>
          <w:szCs w:val="32"/>
        </w:rPr>
        <w:t>你公司《</w:t>
      </w:r>
      <w:bookmarkStart w:id="1" w:name="_Hlk140503005"/>
      <w:r>
        <w:rPr>
          <w:rFonts w:hint="eastAsia" w:ascii="仿宋" w:hAnsi="仿宋" w:eastAsia="仿宋"/>
          <w:kern w:val="2"/>
          <w:sz w:val="32"/>
          <w:szCs w:val="32"/>
        </w:rPr>
        <w:t>湖南鲲鹏祥远材料科技有限公司1000吨银催化剂载体生产和5000吨氧化铝小球再生利用项目环境影响报告书</w:t>
      </w:r>
      <w:bookmarkEnd w:id="1"/>
      <w:r>
        <w:rPr>
          <w:rFonts w:hint="eastAsia" w:ascii="仿宋" w:hAnsi="仿宋" w:eastAsia="仿宋"/>
          <w:kern w:val="2"/>
          <w:sz w:val="32"/>
          <w:szCs w:val="32"/>
        </w:rPr>
        <w:t>报批申请书》、岳阳市生态环境事务中心《</w:t>
      </w:r>
      <w:r>
        <w:rPr>
          <w:rFonts w:hint="eastAsia" w:ascii="仿宋" w:hAnsi="仿宋" w:eastAsia="仿宋" w:cs="仿宋"/>
          <w:sz w:val="32"/>
          <w:szCs w:val="32"/>
        </w:rPr>
        <w:t>湖南鲲鹏祥远材料科技有限公司1000吨银催化剂载体生产和5000吨氧化铝小球再生利用项目环境影响报告书</w:t>
      </w:r>
      <w:r>
        <w:rPr>
          <w:rFonts w:hint="eastAsia" w:ascii="仿宋" w:hAnsi="仿宋" w:eastAsia="仿宋"/>
          <w:kern w:val="2"/>
          <w:sz w:val="32"/>
          <w:szCs w:val="32"/>
        </w:rPr>
        <w:t>技术评估报告》（岳环事评估〔2023〕</w:t>
      </w:r>
      <w:r>
        <w:rPr>
          <w:rFonts w:ascii="仿宋" w:hAnsi="仿宋" w:eastAsia="仿宋"/>
          <w:kern w:val="2"/>
          <w:sz w:val="32"/>
          <w:szCs w:val="32"/>
        </w:rPr>
        <w:t>41</w:t>
      </w:r>
      <w:r>
        <w:rPr>
          <w:rFonts w:hint="eastAsia" w:ascii="仿宋" w:hAnsi="仿宋" w:eastAsia="仿宋"/>
          <w:kern w:val="2"/>
          <w:sz w:val="32"/>
          <w:szCs w:val="32"/>
        </w:rPr>
        <w:t>号）、岳阳市生态环境局云溪分局的预审意见及有关附件收悉。经研究，批复如下：</w:t>
      </w:r>
    </w:p>
    <w:p>
      <w:pPr>
        <w:spacing w:line="520" w:lineRule="exact"/>
        <w:ind w:firstLine="640"/>
        <w:jc w:val="both"/>
        <w:rPr>
          <w:rFonts w:ascii="仿宋" w:hAnsi="仿宋" w:eastAsia="仿宋" w:cs="宋体"/>
          <w:sz w:val="32"/>
          <w:szCs w:val="32"/>
        </w:rPr>
      </w:pPr>
      <w:r>
        <w:rPr>
          <w:rFonts w:hint="eastAsia" w:ascii="仿宋" w:hAnsi="仿宋" w:eastAsia="仿宋" w:cs="宋体"/>
          <w:sz w:val="32"/>
          <w:szCs w:val="32"/>
        </w:rPr>
        <w:t>一、本项目租赁岳阳全盛塑胶有限公司（以下简称“全盛公司”）空置厂房进行生产。全盛塑胶有限公司已于2019年停产，停产后所有设备均已拆除，无遗留环境问题。全盛公司设有4栋厂房，其余3栋已租赁给湖南泽丰农化有限公司作为仓库使用，储存物料为生物农药，最大储存量约为200t，产品包装为塑料瓶密封、纸箱包装，储存过程中不产生废气和危险废物。本项目租赁生产厂房1栋、办公楼1栋，在湖南岳阳绿色化工高新技术产业开发区云溪片区内新建一条5000吨/年废氧化铝小球再生利用生产线，原料来源主要以中国石油化工股份有限公司巴陵分公司煤化工部产生的废氧化铝球为主，并辐射其他采用蒽醌法生产双氧水的企业产生的废氧化铝球。建设一套1000t/a银催化剂载体生产装置，生产工序主要为投料捏合、挤条、干燥、焙烧。本项目工艺不含浸渍、浸渍后干燥、焙烧，不使用乙二胺等浸渍溶液。项目总投资2500万元，其中环保措施或设施约160万元，约占工程总投资的6.4%。</w:t>
      </w:r>
    </w:p>
    <w:p>
      <w:pPr>
        <w:spacing w:line="520" w:lineRule="exact"/>
        <w:ind w:firstLine="640"/>
        <w:jc w:val="both"/>
        <w:rPr>
          <w:rFonts w:ascii="仿宋" w:hAnsi="仿宋" w:eastAsia="仿宋" w:cs="宋体"/>
          <w:sz w:val="32"/>
          <w:szCs w:val="32"/>
        </w:rPr>
      </w:pPr>
      <w:r>
        <w:rPr>
          <w:rFonts w:hint="eastAsia" w:ascii="仿宋" w:hAnsi="仿宋" w:eastAsia="仿宋" w:cs="宋体"/>
          <w:sz w:val="32"/>
          <w:szCs w:val="32"/>
        </w:rPr>
        <w:t>根据湖南义格环保科技有限公司编制的《湖南鲲鹏祥远材料科技有限公司1000吨银催化剂载体生产和5000吨氧化铝小球再生利用项目环境影响报告书》基本内容、结论、专家评审意见和岳阳市生态环境事务中心《湖南鲲鹏祥远材料科技有限公司1000吨银催化剂载体生产和5000吨氧化铝小球再生利用项目环境影响报告书技术评估报告》以及岳阳市生态环境局云溪分局预审意见，从环境保护角度考虑，我局原则同意你公司环境影响报告书中所列建设项目的环境影响评价结论和环境保护对策措施。</w:t>
      </w:r>
    </w:p>
    <w:p>
      <w:pPr>
        <w:spacing w:line="520" w:lineRule="exact"/>
        <w:ind w:firstLine="640"/>
        <w:jc w:val="both"/>
        <w:rPr>
          <w:rFonts w:ascii="仿宋" w:hAnsi="仿宋" w:eastAsia="仿宋"/>
          <w:kern w:val="2"/>
          <w:sz w:val="32"/>
          <w:szCs w:val="32"/>
          <w:u w:val="single"/>
        </w:rPr>
      </w:pPr>
      <w:r>
        <w:rPr>
          <w:rFonts w:hint="eastAsia" w:ascii="仿宋" w:hAnsi="仿宋" w:eastAsia="仿宋"/>
          <w:kern w:val="2"/>
          <w:sz w:val="32"/>
          <w:szCs w:val="32"/>
        </w:rPr>
        <w:t>二、</w:t>
      </w:r>
      <w:bookmarkStart w:id="2" w:name="OLE_LINK3"/>
      <w:r>
        <w:rPr>
          <w:rFonts w:hint="eastAsia" w:ascii="仿宋" w:hAnsi="仿宋" w:eastAsia="仿宋"/>
          <w:kern w:val="2"/>
          <w:sz w:val="32"/>
          <w:szCs w:val="32"/>
        </w:rPr>
        <w:t>项目建设和运营必须全面落实环境影响报告书提出的各项环保措施，并着重做好以下工作：</w:t>
      </w:r>
    </w:p>
    <w:p>
      <w:pPr>
        <w:spacing w:line="520" w:lineRule="exact"/>
        <w:ind w:firstLine="640"/>
        <w:jc w:val="both"/>
        <w:rPr>
          <w:rFonts w:ascii="仿宋" w:hAnsi="仿宋" w:eastAsia="仿宋" w:cs="宋体"/>
          <w:sz w:val="32"/>
          <w:szCs w:val="32"/>
        </w:rPr>
      </w:pPr>
      <w:bookmarkStart w:id="3" w:name="OLE_LINK2"/>
      <w:bookmarkEnd w:id="3"/>
      <w:r>
        <w:rPr>
          <w:rFonts w:hint="eastAsia" w:ascii="仿宋" w:hAnsi="仿宋" w:eastAsia="仿宋"/>
          <w:kern w:val="2"/>
          <w:sz w:val="32"/>
          <w:szCs w:val="32"/>
        </w:rPr>
        <w:t>（一）做好施工期污染防治工作。</w:t>
      </w:r>
      <w:r>
        <w:rPr>
          <w:rFonts w:hint="eastAsia" w:ascii="仿宋" w:hAnsi="仿宋" w:eastAsia="仿宋" w:cs="宋体"/>
          <w:sz w:val="32"/>
          <w:szCs w:val="32"/>
        </w:rPr>
        <w:t>项目施工对作业面适当喷水，减少扬尘量。运输车辆采取遮盖、密闭措施，减少其沿途抛洒，并及时清扫散落在路面的泥土和灰尘，冲洗轮胎，定时洒水压尘，减少运输过程中的扬尘。施工现场采取全封闭式施工，采用密闭安全网等维护结构，防止扬尘污染周围环境。风速过大时应停止施工作业，并对堆放的砂石等建筑材料进行遮盖处理。合理安排施工现场，砂石料应统一堆放、保存，应尽可能减少堆场数量，并加棚布等覆盖；水泥等粉状材料运输应袋装或罐装，禁止散装，应设专门的库房堆放，并具备可靠的防扬尘措施，减少搬运环节。废水应尽可能的回用，不能回用的送园区污水处理厂。施工期间固体废物主要为建筑垃圾、施工人员的生活垃圾等。生活垃圾及时收集到指定的垃圾箱（桶）内，由当地环卫部门统一及时清运处理；车辆运输零散物体和废弃物时，必须密封、覆盖，不得沿途撒漏；施工结束后，及时清理施工现场，废弃的建筑材料送到指定地点处置。施工设备采用低噪声的设备；提高设备安装质量，振动发声设备均应采取减振防振措施；对动力机械设备进行定期的维修、养护，避免设备因松动部件的振动或消声器的损坏而增加其工作时的声压级；设备用完后或不用时应立即关闭。高噪声设备尽可能集中布置于远离厂界的位置，避免同时作业。在高噪声设备周围适当设置声屏障以减轻噪声影响；高噪声设备禁止夜间施工；如因施工需要连续作业，夜间施工必须报请生态环境保护管理部门同意，并于噪声较大的施工机械周围设置一些临时的隔声屏障，确保噪声不扰民。施工期噪声执行《建筑施工场界环境噪声排放标准》（GB12523-2011）。</w:t>
      </w:r>
    </w:p>
    <w:p>
      <w:pPr>
        <w:spacing w:line="520" w:lineRule="exact"/>
        <w:ind w:firstLine="640"/>
        <w:jc w:val="both"/>
        <w:rPr>
          <w:rFonts w:ascii="仿宋" w:hAnsi="仿宋" w:eastAsia="仿宋"/>
          <w:kern w:val="2"/>
          <w:sz w:val="32"/>
          <w:szCs w:val="32"/>
        </w:rPr>
      </w:pPr>
      <w:r>
        <w:rPr>
          <w:rFonts w:hint="eastAsia" w:ascii="仿宋" w:hAnsi="仿宋" w:eastAsia="仿宋"/>
          <w:kern w:val="2"/>
          <w:sz w:val="32"/>
          <w:szCs w:val="32"/>
        </w:rPr>
        <w:t>（二）废气污染防治工作。废氧化铝球焙烧废气经管道收集+1#水喷淋吸收，通过1</w:t>
      </w:r>
      <w:r>
        <w:rPr>
          <w:rFonts w:ascii="仿宋" w:hAnsi="仿宋" w:eastAsia="仿宋"/>
          <w:kern w:val="2"/>
          <w:sz w:val="32"/>
          <w:szCs w:val="32"/>
        </w:rPr>
        <w:t>5</w:t>
      </w:r>
      <w:r>
        <w:rPr>
          <w:rFonts w:hint="eastAsia" w:ascii="仿宋" w:hAnsi="仿宋" w:eastAsia="仿宋"/>
          <w:kern w:val="2"/>
          <w:sz w:val="32"/>
          <w:szCs w:val="32"/>
        </w:rPr>
        <w:t>米排气筒DA001排放。粉碎粉尘经管道收集+旋风除尘+2#布袋除尘器处理后，通过1</w:t>
      </w:r>
      <w:r>
        <w:rPr>
          <w:rFonts w:ascii="仿宋" w:hAnsi="仿宋" w:eastAsia="仿宋"/>
          <w:kern w:val="2"/>
          <w:sz w:val="32"/>
          <w:szCs w:val="32"/>
        </w:rPr>
        <w:t>5</w:t>
      </w:r>
      <w:r>
        <w:rPr>
          <w:rFonts w:hint="eastAsia" w:ascii="仿宋" w:hAnsi="仿宋" w:eastAsia="仿宋"/>
          <w:kern w:val="2"/>
          <w:sz w:val="32"/>
          <w:szCs w:val="32"/>
        </w:rPr>
        <w:t>米排气筒DA002排放。投料粉尘及出料口粉尘经玻璃房密闭+负压管道收集+2#布袋除尘器处理后，经1</w:t>
      </w:r>
      <w:r>
        <w:rPr>
          <w:rFonts w:ascii="仿宋" w:hAnsi="仿宋" w:eastAsia="仿宋"/>
          <w:kern w:val="2"/>
          <w:sz w:val="32"/>
          <w:szCs w:val="32"/>
        </w:rPr>
        <w:t>5</w:t>
      </w:r>
      <w:r>
        <w:rPr>
          <w:rFonts w:hint="eastAsia" w:ascii="仿宋" w:hAnsi="仿宋" w:eastAsia="仿宋"/>
          <w:kern w:val="2"/>
          <w:sz w:val="32"/>
          <w:szCs w:val="32"/>
        </w:rPr>
        <w:t>米排气筒DA002排放。载体干燥废气、载体焙烧废气、天然气燃烧废气经管道收集+3#两级尿素喷淋吸收后通过1</w:t>
      </w:r>
      <w:r>
        <w:rPr>
          <w:rFonts w:ascii="仿宋" w:hAnsi="仿宋" w:eastAsia="仿宋"/>
          <w:kern w:val="2"/>
          <w:sz w:val="32"/>
          <w:szCs w:val="32"/>
        </w:rPr>
        <w:t>5</w:t>
      </w:r>
      <w:r>
        <w:rPr>
          <w:rFonts w:hint="eastAsia" w:ascii="仿宋" w:hAnsi="仿宋" w:eastAsia="仿宋"/>
          <w:kern w:val="2"/>
          <w:sz w:val="32"/>
          <w:szCs w:val="32"/>
        </w:rPr>
        <w:t>米排气筒DA003排放。</w:t>
      </w:r>
    </w:p>
    <w:p>
      <w:pPr>
        <w:pStyle w:val="2"/>
        <w:spacing w:line="520" w:lineRule="exact"/>
        <w:ind w:firstLine="640"/>
        <w:jc w:val="both"/>
        <w:rPr>
          <w:rFonts w:ascii="仿宋" w:hAnsi="仿宋" w:eastAsia="仿宋"/>
          <w:sz w:val="32"/>
          <w:szCs w:val="32"/>
        </w:rPr>
      </w:pPr>
      <w:r>
        <w:rPr>
          <w:rFonts w:hint="eastAsia" w:ascii="仿宋" w:hAnsi="仿宋" w:eastAsia="仿宋"/>
          <w:sz w:val="32"/>
          <w:szCs w:val="32"/>
        </w:rPr>
        <w:t>本项目废氧化铝球综合利用生产线竖窑焙烧废气排放口（DA001排气筒）、催化剂载体生产线干燥、焙烧废气排放口（DA003排气筒）排放的大气污染物SO2、NOx、颗粒物执行《湖南省工业炉窑大气污染综合治理实施方案》中排放限值要求；布袋除尘器排放口（DA002排气筒）排放的颗粒物及DA001排气筒排放的挥发性有机物（以非甲烷总烃表示）排放浓度执行《大气污染物综合排放标准》（GB16297-1996）表2标准；氨、臭气浓度执行《恶臭污染物排放标准》（GB14554-93）表2限值。项目运营期产生的厂界无组织排放废气主要执行《大气污染物综合排放标准》（GB16297-1996）表2中的无组织排放监控浓度限值，臭气浓度执行《恶臭污染物排放标准》（GB14554-93）表1二级新改扩建标准；厂区内无组织挥发性有机物排放执行《挥发性有机物无组织排放控制标准》（GB37822-2019）表A.1中标准限值。</w:t>
      </w:r>
    </w:p>
    <w:p>
      <w:pPr>
        <w:spacing w:line="520" w:lineRule="exact"/>
        <w:ind w:firstLine="640"/>
        <w:jc w:val="both"/>
        <w:rPr>
          <w:rFonts w:ascii="仿宋" w:hAnsi="仿宋" w:eastAsia="仿宋" w:cs="宋体"/>
          <w:sz w:val="32"/>
          <w:szCs w:val="32"/>
        </w:rPr>
      </w:pPr>
      <w:r>
        <w:rPr>
          <w:rFonts w:hint="eastAsia" w:ascii="仿宋" w:hAnsi="仿宋" w:eastAsia="仿宋" w:cs="宋体"/>
          <w:sz w:val="32"/>
          <w:szCs w:val="32"/>
        </w:rPr>
        <w:t>（三）废水污染防治工作。本项目废水主要有废气喷淋定期更换废水、车间地面清洗废水、纯水制备浓水和生活污水。本项目废水按照雨污分流、污污分流原则进行处理，生产废水均为间歇排放，水质简单、水量小，统一收集至污水收集池，排至园区污水管网，进入岳阳广华污水处理有限公司进行处理。生活污水经化粪池预处理后经园区污水管网送至岳阳广华污水处理有限公司处理，处理达标后排至长江。项目废水经预处理后排入岳阳广华污水处理有限公司进一步处理，废水排放执行岳阳广华污水处理有限公司进水水质标准。</w:t>
      </w:r>
    </w:p>
    <w:p>
      <w:pPr>
        <w:spacing w:line="520" w:lineRule="exact"/>
        <w:ind w:firstLine="640"/>
        <w:jc w:val="both"/>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（四）地下水和</w:t>
      </w:r>
      <w:r>
        <w:rPr>
          <w:rFonts w:hint="eastAsia" w:ascii="仿宋" w:hAnsi="仿宋" w:eastAsia="仿宋"/>
          <w:sz w:val="32"/>
          <w:szCs w:val="32"/>
        </w:rPr>
        <w:t>土壤</w:t>
      </w:r>
      <w:r>
        <w:rPr>
          <w:rFonts w:hint="eastAsia" w:ascii="仿宋" w:hAnsi="仿宋" w:eastAsia="仿宋" w:cs="_4eff_5b8b_GB2312"/>
          <w:bCs/>
          <w:color w:val="000000"/>
          <w:sz w:val="32"/>
          <w:szCs w:val="32"/>
        </w:rPr>
        <w:t>污染防治工作。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pPr>
        <w:autoSpaceDE w:val="0"/>
        <w:spacing w:line="520" w:lineRule="exact"/>
        <w:ind w:firstLine="640"/>
        <w:jc w:val="both"/>
        <w:rPr>
          <w:rFonts w:ascii="仿宋" w:hAnsi="仿宋" w:eastAsia="仿宋"/>
          <w:sz w:val="32"/>
          <w:szCs w:val="32"/>
        </w:rPr>
      </w:pPr>
      <w:r>
        <w:rPr>
          <w:rFonts w:hint="eastAsia" w:ascii="仿宋" w:hAnsi="仿宋" w:eastAsia="仿宋"/>
          <w:sz w:val="32"/>
          <w:szCs w:val="32"/>
        </w:rPr>
        <w:t>（五）</w:t>
      </w:r>
      <w:r>
        <w:rPr>
          <w:rFonts w:hint="eastAsia" w:ascii="仿宋" w:hAnsi="仿宋" w:eastAsia="仿宋" w:cs="_4eff_5b8b_GB2312"/>
          <w:bCs/>
          <w:color w:val="000000"/>
          <w:sz w:val="32"/>
          <w:szCs w:val="32"/>
        </w:rPr>
        <w:t>噪声污染防治工作。</w:t>
      </w:r>
      <w:r>
        <w:rPr>
          <w:rFonts w:hint="eastAsia" w:ascii="仿宋_GB2312" w:hAnsi="Calibri" w:eastAsia="仿宋_GB2312"/>
          <w:sz w:val="32"/>
          <w:szCs w:val="32"/>
        </w:rPr>
        <w:t>采用低噪声设备，对产生噪声的设备和工序进行合理布局，对主要的声源设备采取隔声、消声、减振等措施，加强设备维护，确保厂界噪声达到《工业企业厂界环境噪声排放标准》(GB12348-2008)中的3类标准要求</w:t>
      </w:r>
      <w:r>
        <w:rPr>
          <w:rFonts w:hint="eastAsia" w:ascii="仿宋" w:hAnsi="仿宋" w:eastAsia="仿宋" w:cs="_4eff_5b8b_GB2312"/>
          <w:bCs/>
          <w:color w:val="000000"/>
          <w:sz w:val="32"/>
          <w:szCs w:val="32"/>
        </w:rPr>
        <w:t>。</w:t>
      </w:r>
    </w:p>
    <w:p>
      <w:pPr>
        <w:spacing w:line="520" w:lineRule="exact"/>
        <w:ind w:firstLine="640"/>
        <w:jc w:val="both"/>
        <w:rPr>
          <w:rFonts w:ascii="仿宋" w:hAnsi="仿宋" w:eastAsia="仿宋"/>
          <w:sz w:val="32"/>
          <w:szCs w:val="32"/>
        </w:rPr>
      </w:pPr>
      <w:r>
        <w:rPr>
          <w:rFonts w:hint="eastAsia" w:ascii="仿宋" w:hAnsi="仿宋" w:eastAsia="仿宋" w:cs="_4eff_5b8b_GB2312"/>
          <w:bCs/>
          <w:color w:val="000000"/>
          <w:sz w:val="32"/>
          <w:szCs w:val="32"/>
        </w:rPr>
        <w:t>（六）</w:t>
      </w:r>
      <w:r>
        <w:rPr>
          <w:rFonts w:hint="eastAsia" w:ascii="仿宋" w:hAnsi="仿宋" w:eastAsia="仿宋"/>
          <w:sz w:val="32"/>
          <w:szCs w:val="32"/>
        </w:rPr>
        <w:t>固体废物管理工作。按“无害化、减量化、资源化”原则，做好固体废物的分类收集、贮存、处置、管理工作，并建立固体废物产生、储存、处置管理台账。项目产生的一般工业固废主要为废氧化铝球再生利用生产线产生的不合格产品、除尘灰、废包装材料。不合格产品和除尘灰主要成分是氧化铝，经收集后回用于银催化剂载体捏合工序，废包装材料外售综合利用。项目产生的危险废物主要为原料硝酸产生的废包装材料、废机油及含油抹布，危废分类暂存于危废暂存间后委托有资质的单位处理。危险废物转移过程中应当采取防扬散、防流失、防渗漏或者其他防止污染环境的措施，不得擅自倾倒、堆放、丢弃、遗撒危险废物。项目产生的生活垃圾交由当地环卫部门处理。项目建设1个面积为10m</w:t>
      </w:r>
      <w:r>
        <w:rPr>
          <w:rFonts w:hint="eastAsia" w:ascii="仿宋" w:hAnsi="仿宋" w:eastAsia="仿宋"/>
          <w:sz w:val="32"/>
          <w:szCs w:val="32"/>
          <w:vertAlign w:val="superscript"/>
        </w:rPr>
        <w:t>2</w:t>
      </w:r>
      <w:r>
        <w:rPr>
          <w:rFonts w:hint="eastAsia" w:ascii="仿宋" w:hAnsi="仿宋" w:eastAsia="仿宋"/>
          <w:sz w:val="32"/>
          <w:szCs w:val="32"/>
        </w:rPr>
        <w:t>的一般固废暂存间，固废暂存间严格按照《一般工业固体废物贮存和填埋污染控制标准》（GB18599-2020）的要求规范建设和维护使用。本项目建设1个面积为5m</w:t>
      </w:r>
      <w:r>
        <w:rPr>
          <w:rFonts w:hint="eastAsia" w:ascii="仿宋" w:hAnsi="仿宋" w:eastAsia="仿宋"/>
          <w:sz w:val="32"/>
          <w:szCs w:val="32"/>
          <w:vertAlign w:val="superscript"/>
        </w:rPr>
        <w:t>2</w:t>
      </w:r>
      <w:r>
        <w:rPr>
          <w:rFonts w:hint="eastAsia" w:ascii="仿宋" w:hAnsi="仿宋" w:eastAsia="仿宋"/>
          <w:sz w:val="32"/>
          <w:szCs w:val="32"/>
        </w:rPr>
        <w:t>危废暂存间，用于分类存放生产过程中产生的危险废物。危废暂存间建设和管理应按照《危险废物污染防治技术政策》、《危险废物贮存污染控制标准》（GB18597-2023）要求进行设计建造，危险废物的收集、存放应满足《危险废物收集贮存运输技术规范》（HJ 2025-2012）的相关要求，转运应严格遵守《危险废物转移管理办法》。</w:t>
      </w:r>
    </w:p>
    <w:p>
      <w:pPr>
        <w:autoSpaceDE w:val="0"/>
        <w:spacing w:line="520" w:lineRule="exact"/>
        <w:ind w:firstLine="640"/>
        <w:jc w:val="both"/>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（七）</w:t>
      </w:r>
      <w:r>
        <w:rPr>
          <w:rFonts w:hint="eastAsia" w:ascii="仿宋" w:hAnsi="仿宋" w:eastAsia="仿宋"/>
          <w:sz w:val="32"/>
          <w:szCs w:val="32"/>
        </w:rPr>
        <w:t>加强营运期风险防范。</w:t>
      </w:r>
      <w:r>
        <w:rPr>
          <w:rFonts w:hint="eastAsia" w:ascii="仿宋" w:hAnsi="仿宋" w:eastAsia="仿宋" w:cs="_4eff_5b8b_GB2312"/>
          <w:bCs/>
          <w:color w:val="000000"/>
          <w:sz w:val="32"/>
          <w:szCs w:val="32"/>
        </w:rPr>
        <w:t>落实各项风险防范措施，按“以新带老”要求落实各项措施，完善厂区雨污分流及事故池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八）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autoSpaceDE w:val="0"/>
        <w:spacing w:line="520" w:lineRule="exact"/>
        <w:ind w:firstLine="640"/>
        <w:jc w:val="both"/>
        <w:rPr>
          <w:rFonts w:ascii="仿宋" w:hAnsi="仿宋" w:eastAsia="仿宋"/>
          <w:sz w:val="32"/>
          <w:szCs w:val="32"/>
          <w:highlight w:val="none"/>
        </w:rPr>
      </w:pPr>
      <w:r>
        <w:rPr>
          <w:rFonts w:hint="eastAsia" w:ascii="仿宋" w:hAnsi="仿宋" w:eastAsia="仿宋" w:cs="_4eff_5b8b_GB2312"/>
          <w:bCs/>
          <w:color w:val="000000"/>
          <w:sz w:val="32"/>
          <w:szCs w:val="32"/>
          <w:highlight w:val="none"/>
        </w:rPr>
        <w:t>（九）</w:t>
      </w:r>
      <w:r>
        <w:rPr>
          <w:rFonts w:hint="eastAsia" w:ascii="仿宋" w:hAnsi="仿宋" w:eastAsia="仿宋"/>
          <w:sz w:val="32"/>
          <w:szCs w:val="32"/>
          <w:highlight w:val="none"/>
        </w:rPr>
        <w:t>项目新增主要污染物总量</w:t>
      </w:r>
      <w:bookmarkEnd w:id="2"/>
      <w:r>
        <w:rPr>
          <w:rFonts w:hint="eastAsia" w:ascii="仿宋" w:hAnsi="仿宋" w:eastAsia="仿宋"/>
          <w:sz w:val="32"/>
          <w:szCs w:val="32"/>
          <w:highlight w:val="none"/>
        </w:rPr>
        <w:t>：S</w:t>
      </w:r>
      <w:r>
        <w:rPr>
          <w:rFonts w:ascii="仿宋" w:hAnsi="仿宋" w:eastAsia="仿宋"/>
          <w:sz w:val="32"/>
          <w:szCs w:val="32"/>
          <w:highlight w:val="none"/>
        </w:rPr>
        <w:t>O</w:t>
      </w:r>
      <w:r>
        <w:rPr>
          <w:rFonts w:ascii="仿宋" w:hAnsi="仿宋" w:eastAsia="仿宋"/>
          <w:sz w:val="32"/>
          <w:szCs w:val="32"/>
          <w:highlight w:val="none"/>
          <w:vertAlign w:val="subscript"/>
        </w:rPr>
        <w:t>2</w:t>
      </w:r>
      <w:r>
        <w:rPr>
          <w:rFonts w:ascii="仿宋" w:hAnsi="仿宋" w:eastAsia="仿宋"/>
          <w:sz w:val="32"/>
          <w:szCs w:val="32"/>
          <w:highlight w:val="none"/>
        </w:rPr>
        <w:t xml:space="preserve"> 0.1t/a</w:t>
      </w:r>
      <w:r>
        <w:rPr>
          <w:rFonts w:hint="eastAsia" w:ascii="仿宋" w:hAnsi="仿宋" w:eastAsia="仿宋"/>
          <w:sz w:val="32"/>
          <w:szCs w:val="32"/>
          <w:highlight w:val="none"/>
        </w:rPr>
        <w:t>、氮氧化物</w:t>
      </w:r>
      <w:r>
        <w:rPr>
          <w:rFonts w:ascii="仿宋" w:hAnsi="仿宋" w:eastAsia="仿宋"/>
          <w:sz w:val="32"/>
          <w:szCs w:val="32"/>
          <w:highlight w:val="none"/>
        </w:rPr>
        <w:t>7.2t/a</w:t>
      </w:r>
      <w:r>
        <w:rPr>
          <w:rFonts w:hint="eastAsia" w:ascii="仿宋" w:hAnsi="仿宋" w:eastAsia="仿宋"/>
          <w:sz w:val="32"/>
          <w:szCs w:val="32"/>
          <w:highlight w:val="none"/>
        </w:rPr>
        <w:t>、COD</w:t>
      </w:r>
      <w:r>
        <w:rPr>
          <w:rFonts w:ascii="仿宋" w:hAnsi="仿宋" w:eastAsia="仿宋"/>
          <w:sz w:val="32"/>
          <w:szCs w:val="32"/>
          <w:highlight w:val="none"/>
        </w:rPr>
        <w:t xml:space="preserve"> 0.1t/a</w:t>
      </w:r>
      <w:r>
        <w:rPr>
          <w:rFonts w:hint="eastAsia" w:ascii="仿宋" w:hAnsi="仿宋" w:eastAsia="仿宋"/>
          <w:sz w:val="32"/>
          <w:szCs w:val="32"/>
          <w:highlight w:val="none"/>
        </w:rPr>
        <w:t>、氨氮</w:t>
      </w:r>
      <w:r>
        <w:rPr>
          <w:rFonts w:ascii="仿宋" w:hAnsi="仿宋" w:eastAsia="仿宋"/>
          <w:sz w:val="32"/>
          <w:szCs w:val="32"/>
          <w:highlight w:val="none"/>
        </w:rPr>
        <w:t xml:space="preserve"> 0.1t/a</w:t>
      </w:r>
      <w:r>
        <w:rPr>
          <w:rFonts w:hint="eastAsia" w:ascii="仿宋" w:hAnsi="仿宋" w:eastAsia="仿宋"/>
          <w:sz w:val="32"/>
          <w:szCs w:val="32"/>
          <w:highlight w:val="none"/>
        </w:rPr>
        <w:t>、V</w:t>
      </w:r>
      <w:r>
        <w:rPr>
          <w:rFonts w:ascii="仿宋" w:hAnsi="仿宋" w:eastAsia="仿宋"/>
          <w:sz w:val="32"/>
          <w:szCs w:val="32"/>
          <w:highlight w:val="none"/>
        </w:rPr>
        <w:t>OCS 4.8t/a</w:t>
      </w:r>
      <w:r>
        <w:rPr>
          <w:rFonts w:hint="eastAsia" w:ascii="仿宋" w:hAnsi="仿宋" w:eastAsia="仿宋"/>
          <w:sz w:val="32"/>
          <w:szCs w:val="32"/>
          <w:highlight w:val="none"/>
        </w:rPr>
        <w:t>。</w:t>
      </w:r>
    </w:p>
    <w:p>
      <w:pPr>
        <w:autoSpaceDE w:val="0"/>
        <w:spacing w:line="520" w:lineRule="exact"/>
        <w:ind w:firstLine="640"/>
        <w:jc w:val="both"/>
        <w:rPr>
          <w:rFonts w:ascii="仿宋" w:hAnsi="仿宋" w:eastAsia="仿宋"/>
          <w:sz w:val="32"/>
          <w:szCs w:val="32"/>
          <w:u w:val="single"/>
        </w:rPr>
      </w:pPr>
      <w:r>
        <w:rPr>
          <w:rFonts w:hint="eastAsia" w:ascii="仿宋" w:hAnsi="仿宋" w:eastAsia="仿宋"/>
          <w:sz w:val="32"/>
          <w:szCs w:val="32"/>
        </w:rPr>
        <w:t>三、你公司应收到本批复后15个工作日内，将批复及批准的环评报告文件送岳阳市生态环境局云溪分局、湖南义格环保科技有限公司。</w:t>
      </w:r>
    </w:p>
    <w:p>
      <w:pPr>
        <w:pStyle w:val="22"/>
        <w:spacing w:after="0" w:line="520" w:lineRule="exact"/>
        <w:ind w:firstLine="640"/>
        <w:jc w:val="both"/>
        <w:rPr>
          <w:rFonts w:ascii="仿宋" w:hAnsi="仿宋" w:eastAsia="仿宋" w:cs="_4eff_5b8b_GB2312"/>
          <w:bCs/>
          <w:color w:val="000000"/>
          <w:sz w:val="32"/>
          <w:szCs w:val="32"/>
        </w:rPr>
      </w:pPr>
      <w:r>
        <w:rPr>
          <w:rFonts w:hint="eastAsia" w:ascii="仿宋" w:hAnsi="仿宋" w:eastAsia="仿宋"/>
          <w:sz w:val="32"/>
          <w:szCs w:val="32"/>
        </w:rPr>
        <w:t>四、请岳阳市生态环境局云溪分局负责项目建设和运营期的日常环境监管。</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 xml:space="preserve">                        </w:t>
      </w:r>
    </w:p>
    <w:p>
      <w:pPr>
        <w:pStyle w:val="22"/>
        <w:spacing w:after="0" w:line="520" w:lineRule="exact"/>
        <w:ind w:firstLine="640"/>
        <w:jc w:val="both"/>
        <w:rPr>
          <w:rFonts w:ascii="仿宋" w:hAnsi="仿宋" w:eastAsia="仿宋"/>
          <w:sz w:val="32"/>
          <w:szCs w:val="32"/>
        </w:rPr>
      </w:pPr>
    </w:p>
    <w:p>
      <w:pPr>
        <w:pStyle w:val="22"/>
        <w:spacing w:after="0" w:line="520" w:lineRule="exact"/>
        <w:ind w:firstLine="4160" w:firstLineChars="1300"/>
        <w:jc w:val="both"/>
        <w:rPr>
          <w:rFonts w:ascii="仿宋" w:hAnsi="仿宋" w:eastAsia="仿宋"/>
          <w:sz w:val="32"/>
          <w:szCs w:val="32"/>
        </w:rPr>
      </w:pPr>
      <w:r>
        <w:rPr>
          <w:rFonts w:hint="eastAsia" w:ascii="仿宋" w:hAnsi="仿宋" w:eastAsia="仿宋"/>
          <w:sz w:val="32"/>
          <w:szCs w:val="32"/>
        </w:rPr>
        <w:t>岳阳市生态环境局</w:t>
      </w:r>
    </w:p>
    <w:p>
      <w:pPr>
        <w:pStyle w:val="22"/>
        <w:spacing w:after="0" w:line="520" w:lineRule="exact"/>
        <w:ind w:firstLine="640"/>
        <w:jc w:val="both"/>
        <w:rPr>
          <w:rFonts w:ascii="仿宋" w:hAnsi="仿宋" w:eastAsia="仿宋"/>
          <w:sz w:val="32"/>
          <w:szCs w:val="32"/>
        </w:rPr>
      </w:pPr>
      <w:r>
        <w:rPr>
          <w:rFonts w:hint="eastAsia" w:ascii="仿宋" w:hAnsi="仿宋" w:eastAsia="仿宋"/>
          <w:sz w:val="32"/>
          <w:szCs w:val="32"/>
        </w:rPr>
        <w:t xml:space="preserve">                       2023年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33" w:bottom="1440" w:left="1633"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5</w:t>
    </w:r>
    <w:r>
      <w:fldChar w:fldCharType="end"/>
    </w:r>
  </w:p>
  <w:p>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CE84B"/>
    <w:multiLevelType w:val="singleLevel"/>
    <w:tmpl w:val="85CCE84B"/>
    <w:lvl w:ilvl="0" w:tentative="0">
      <w:start w:val="1"/>
      <w:numFmt w:val="bullet"/>
      <w:pStyle w:val="1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1AB2"/>
    <w:rsid w:val="00066E1C"/>
    <w:rsid w:val="00073AED"/>
    <w:rsid w:val="00077585"/>
    <w:rsid w:val="00085C03"/>
    <w:rsid w:val="00094457"/>
    <w:rsid w:val="000964F1"/>
    <w:rsid w:val="000A04F9"/>
    <w:rsid w:val="000A39C3"/>
    <w:rsid w:val="000B4443"/>
    <w:rsid w:val="000D784D"/>
    <w:rsid w:val="000E3B8C"/>
    <w:rsid w:val="00105A1B"/>
    <w:rsid w:val="00115C7C"/>
    <w:rsid w:val="001500F8"/>
    <w:rsid w:val="00165C86"/>
    <w:rsid w:val="00172476"/>
    <w:rsid w:val="00172A27"/>
    <w:rsid w:val="00183E13"/>
    <w:rsid w:val="001878F1"/>
    <w:rsid w:val="001A4A99"/>
    <w:rsid w:val="001A5A8E"/>
    <w:rsid w:val="001A6F42"/>
    <w:rsid w:val="001C00A2"/>
    <w:rsid w:val="001E54A6"/>
    <w:rsid w:val="001F760E"/>
    <w:rsid w:val="0020228F"/>
    <w:rsid w:val="0020532A"/>
    <w:rsid w:val="00222BB5"/>
    <w:rsid w:val="00225C2B"/>
    <w:rsid w:val="00226218"/>
    <w:rsid w:val="0023785C"/>
    <w:rsid w:val="002429CC"/>
    <w:rsid w:val="00245091"/>
    <w:rsid w:val="002463B9"/>
    <w:rsid w:val="00276B6B"/>
    <w:rsid w:val="00276FCD"/>
    <w:rsid w:val="00284D31"/>
    <w:rsid w:val="002A4F51"/>
    <w:rsid w:val="002A7DDC"/>
    <w:rsid w:val="002B1B1B"/>
    <w:rsid w:val="002B7E16"/>
    <w:rsid w:val="002F3152"/>
    <w:rsid w:val="002F6BAF"/>
    <w:rsid w:val="003136CC"/>
    <w:rsid w:val="00317179"/>
    <w:rsid w:val="00365993"/>
    <w:rsid w:val="003665F4"/>
    <w:rsid w:val="00392A9A"/>
    <w:rsid w:val="0039473A"/>
    <w:rsid w:val="00396FBD"/>
    <w:rsid w:val="003E5646"/>
    <w:rsid w:val="00431062"/>
    <w:rsid w:val="00431BC9"/>
    <w:rsid w:val="0043263E"/>
    <w:rsid w:val="0043436A"/>
    <w:rsid w:val="00434EF9"/>
    <w:rsid w:val="00437A71"/>
    <w:rsid w:val="00440226"/>
    <w:rsid w:val="00444E3E"/>
    <w:rsid w:val="00447772"/>
    <w:rsid w:val="00453C17"/>
    <w:rsid w:val="004611B1"/>
    <w:rsid w:val="00462D1C"/>
    <w:rsid w:val="00485295"/>
    <w:rsid w:val="004919C5"/>
    <w:rsid w:val="0049490C"/>
    <w:rsid w:val="004D0051"/>
    <w:rsid w:val="004D2830"/>
    <w:rsid w:val="004E7F5C"/>
    <w:rsid w:val="005079DF"/>
    <w:rsid w:val="005232D9"/>
    <w:rsid w:val="0059388A"/>
    <w:rsid w:val="005945D7"/>
    <w:rsid w:val="005A7208"/>
    <w:rsid w:val="005B7E8B"/>
    <w:rsid w:val="005C332F"/>
    <w:rsid w:val="005F1DE2"/>
    <w:rsid w:val="005F6684"/>
    <w:rsid w:val="0060368B"/>
    <w:rsid w:val="00603B50"/>
    <w:rsid w:val="00603F58"/>
    <w:rsid w:val="00640B98"/>
    <w:rsid w:val="006425CC"/>
    <w:rsid w:val="006B052B"/>
    <w:rsid w:val="006B1552"/>
    <w:rsid w:val="006B6D05"/>
    <w:rsid w:val="006F708E"/>
    <w:rsid w:val="00716F13"/>
    <w:rsid w:val="0075052B"/>
    <w:rsid w:val="00774D26"/>
    <w:rsid w:val="007A61EC"/>
    <w:rsid w:val="007B3BF2"/>
    <w:rsid w:val="007D2682"/>
    <w:rsid w:val="007D44BE"/>
    <w:rsid w:val="007D7125"/>
    <w:rsid w:val="0083236A"/>
    <w:rsid w:val="0083754C"/>
    <w:rsid w:val="00851C5F"/>
    <w:rsid w:val="00863408"/>
    <w:rsid w:val="008816DA"/>
    <w:rsid w:val="00881D8D"/>
    <w:rsid w:val="00887E19"/>
    <w:rsid w:val="00890EA8"/>
    <w:rsid w:val="008A192D"/>
    <w:rsid w:val="008A19AA"/>
    <w:rsid w:val="008A3180"/>
    <w:rsid w:val="008A3CB4"/>
    <w:rsid w:val="008A7440"/>
    <w:rsid w:val="008B5855"/>
    <w:rsid w:val="008B5A37"/>
    <w:rsid w:val="008D43BD"/>
    <w:rsid w:val="008F1AEE"/>
    <w:rsid w:val="00907C6B"/>
    <w:rsid w:val="00915D06"/>
    <w:rsid w:val="00925FA4"/>
    <w:rsid w:val="0093216E"/>
    <w:rsid w:val="0093251D"/>
    <w:rsid w:val="00950AA3"/>
    <w:rsid w:val="00967931"/>
    <w:rsid w:val="009A1374"/>
    <w:rsid w:val="009C2523"/>
    <w:rsid w:val="009C4050"/>
    <w:rsid w:val="009D57AB"/>
    <w:rsid w:val="009F2B21"/>
    <w:rsid w:val="009F5010"/>
    <w:rsid w:val="00A05EE8"/>
    <w:rsid w:val="00A17B82"/>
    <w:rsid w:val="00A45986"/>
    <w:rsid w:val="00A50EC1"/>
    <w:rsid w:val="00A53844"/>
    <w:rsid w:val="00A55344"/>
    <w:rsid w:val="00A701F9"/>
    <w:rsid w:val="00A73D6E"/>
    <w:rsid w:val="00AA4C68"/>
    <w:rsid w:val="00AA77F6"/>
    <w:rsid w:val="00AF77C6"/>
    <w:rsid w:val="00B06CB4"/>
    <w:rsid w:val="00B0777C"/>
    <w:rsid w:val="00B45788"/>
    <w:rsid w:val="00B4600B"/>
    <w:rsid w:val="00B65670"/>
    <w:rsid w:val="00B7016F"/>
    <w:rsid w:val="00B75EA8"/>
    <w:rsid w:val="00B810A1"/>
    <w:rsid w:val="00B81A79"/>
    <w:rsid w:val="00B90094"/>
    <w:rsid w:val="00BB4E97"/>
    <w:rsid w:val="00BC6376"/>
    <w:rsid w:val="00BE2E62"/>
    <w:rsid w:val="00BF5FCB"/>
    <w:rsid w:val="00BF7679"/>
    <w:rsid w:val="00C05FC3"/>
    <w:rsid w:val="00C10A64"/>
    <w:rsid w:val="00C118ED"/>
    <w:rsid w:val="00C14271"/>
    <w:rsid w:val="00C31DD0"/>
    <w:rsid w:val="00C44DB2"/>
    <w:rsid w:val="00C44F0A"/>
    <w:rsid w:val="00C53D87"/>
    <w:rsid w:val="00C76252"/>
    <w:rsid w:val="00C76DD4"/>
    <w:rsid w:val="00C97720"/>
    <w:rsid w:val="00D11D65"/>
    <w:rsid w:val="00D30E2B"/>
    <w:rsid w:val="00D357E7"/>
    <w:rsid w:val="00D45FCD"/>
    <w:rsid w:val="00D522EF"/>
    <w:rsid w:val="00D55E80"/>
    <w:rsid w:val="00D7510C"/>
    <w:rsid w:val="00D77F5F"/>
    <w:rsid w:val="00D829CB"/>
    <w:rsid w:val="00D85A30"/>
    <w:rsid w:val="00DA1D11"/>
    <w:rsid w:val="00DA4723"/>
    <w:rsid w:val="00DA60C5"/>
    <w:rsid w:val="00DB5138"/>
    <w:rsid w:val="00DD1E1A"/>
    <w:rsid w:val="00DE35ED"/>
    <w:rsid w:val="00E017F8"/>
    <w:rsid w:val="00E021F4"/>
    <w:rsid w:val="00E243D9"/>
    <w:rsid w:val="00E25E38"/>
    <w:rsid w:val="00E923FF"/>
    <w:rsid w:val="00E96C6E"/>
    <w:rsid w:val="00EA577D"/>
    <w:rsid w:val="00EB2A1F"/>
    <w:rsid w:val="00EB56F1"/>
    <w:rsid w:val="00ED0F3B"/>
    <w:rsid w:val="00EE1896"/>
    <w:rsid w:val="00F35974"/>
    <w:rsid w:val="00F370A0"/>
    <w:rsid w:val="00F4292D"/>
    <w:rsid w:val="00F54409"/>
    <w:rsid w:val="00F60E2A"/>
    <w:rsid w:val="00F65ABE"/>
    <w:rsid w:val="00F83EE1"/>
    <w:rsid w:val="00FA1F92"/>
    <w:rsid w:val="00FA639B"/>
    <w:rsid w:val="00FC0FDF"/>
    <w:rsid w:val="00FD65E7"/>
    <w:rsid w:val="00FE122F"/>
    <w:rsid w:val="00FE69DD"/>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046DE"/>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qFormat="1" w:unhideWhenUsed="0" w:uiPriority="0" w:semiHidden="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17">
    <w:name w:val="heading 1"/>
    <w:basedOn w:val="1"/>
    <w:next w:val="18"/>
    <w:qFormat/>
    <w:uiPriority w:val="0"/>
    <w:pPr>
      <w:keepNext/>
      <w:keepLines/>
      <w:spacing w:before="300" w:after="300" w:line="360" w:lineRule="auto"/>
      <w:jc w:val="center"/>
      <w:outlineLvl w:val="0"/>
    </w:pPr>
    <w:rPr>
      <w:b/>
      <w:kern w:val="44"/>
      <w:sz w:val="36"/>
    </w:rPr>
  </w:style>
  <w:style w:type="paragraph" w:styleId="19">
    <w:name w:val="heading 2"/>
    <w:basedOn w:val="1"/>
    <w:next w:val="1"/>
    <w:qFormat/>
    <w:uiPriority w:val="0"/>
    <w:pPr>
      <w:keepNext/>
      <w:keepLines/>
      <w:spacing w:before="260" w:after="260" w:line="360" w:lineRule="auto"/>
      <w:outlineLvl w:val="1"/>
    </w:pPr>
    <w:rPr>
      <w:rFonts w:ascii="Cambria" w:hAnsi="Cambria"/>
      <w:b/>
      <w:bCs/>
      <w:sz w:val="28"/>
      <w:szCs w:val="28"/>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color w:val="000000"/>
      <w:szCs w:val="24"/>
    </w:rPr>
  </w:style>
  <w:style w:type="paragraph" w:customStyle="1" w:styleId="3">
    <w:name w:val="纯文本1"/>
    <w:basedOn w:val="1"/>
    <w:next w:val="1"/>
    <w:qFormat/>
    <w:uiPriority w:val="0"/>
    <w:pPr>
      <w:widowControl/>
      <w:adjustRightInd w:val="0"/>
      <w:snapToGrid w:val="0"/>
      <w:spacing w:line="360" w:lineRule="auto"/>
      <w:ind w:firstLine="480"/>
    </w:pPr>
    <w:rPr>
      <w:rFonts w:ascii="宋体" w:hAnsi="Courier New" w:cs="宋体"/>
      <w:sz w:val="24"/>
    </w:rPr>
  </w:style>
  <w:style w:type="paragraph" w:customStyle="1" w:styleId="4">
    <w:name w:val="样式35"/>
    <w:basedOn w:val="5"/>
    <w:next w:val="7"/>
    <w:qFormat/>
    <w:uiPriority w:val="0"/>
    <w:pPr>
      <w:tabs>
        <w:tab w:val="left" w:pos="180"/>
      </w:tabs>
      <w:spacing w:line="312" w:lineRule="auto"/>
      <w:ind w:firstLine="567"/>
    </w:pPr>
  </w:style>
  <w:style w:type="paragraph" w:customStyle="1" w:styleId="5">
    <w:name w:val="样式8"/>
    <w:basedOn w:val="6"/>
    <w:qFormat/>
    <w:uiPriority w:val="0"/>
    <w:pPr>
      <w:tabs>
        <w:tab w:val="left" w:pos="180"/>
      </w:tabs>
      <w:spacing w:line="600" w:lineRule="exact"/>
      <w:ind w:firstLine="0" w:firstLineChars="0"/>
      <w:jc w:val="center"/>
    </w:pPr>
    <w:rPr>
      <w:rFonts w:ascii="宋体" w:eastAsia="宋体"/>
      <w:b/>
      <w:color w:val="auto"/>
      <w:szCs w:val="20"/>
    </w:rPr>
  </w:style>
  <w:style w:type="paragraph" w:styleId="6">
    <w:name w:val="Body Text Indent 3"/>
    <w:basedOn w:val="1"/>
    <w:qFormat/>
    <w:uiPriority w:val="0"/>
    <w:pPr>
      <w:spacing w:line="480" w:lineRule="auto"/>
      <w:ind w:firstLine="560"/>
    </w:pPr>
    <w:rPr>
      <w:rFonts w:ascii="仿宋_GB2312" w:hAnsi="宋体" w:eastAsia="仿宋_GB2312"/>
      <w:color w:val="000000"/>
      <w:sz w:val="28"/>
      <w:szCs w:val="24"/>
    </w:rPr>
  </w:style>
  <w:style w:type="paragraph" w:customStyle="1" w:styleId="7">
    <w:name w:val="font6"/>
    <w:basedOn w:val="1"/>
    <w:next w:val="8"/>
    <w:qFormat/>
    <w:uiPriority w:val="0"/>
    <w:pPr>
      <w:widowControl/>
      <w:spacing w:before="100" w:beforeAutospacing="1" w:after="100" w:afterAutospacing="1"/>
      <w:ind w:firstLine="0" w:firstLineChars="0"/>
    </w:pPr>
    <w:rPr>
      <w:rFonts w:hint="eastAsia" w:ascii="宋体" w:hAnsi="宋体"/>
      <w:sz w:val="28"/>
      <w:szCs w:val="28"/>
    </w:rPr>
  </w:style>
  <w:style w:type="paragraph" w:styleId="8">
    <w:name w:val="toc 2"/>
    <w:basedOn w:val="1"/>
    <w:next w:val="9"/>
    <w:unhideWhenUsed/>
    <w:qFormat/>
    <w:uiPriority w:val="39"/>
    <w:pPr>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ind w:firstLine="480"/>
      <w:jc w:val="center"/>
    </w:pPr>
    <w:rPr>
      <w:sz w:val="26"/>
    </w:rPr>
  </w:style>
  <w:style w:type="paragraph" w:styleId="11">
    <w:name w:val="Body Text Indent"/>
    <w:basedOn w:val="1"/>
    <w:next w:val="1"/>
    <w:link w:val="38"/>
    <w:qFormat/>
    <w:uiPriority w:val="0"/>
    <w:pPr>
      <w:spacing w:after="120"/>
      <w:ind w:left="283"/>
    </w:pPr>
  </w:style>
  <w:style w:type="paragraph" w:styleId="12">
    <w:name w:val="List"/>
    <w:basedOn w:val="1"/>
    <w:next w:val="13"/>
    <w:qFormat/>
    <w:uiPriority w:val="0"/>
    <w:pPr>
      <w:ind w:left="200" w:hanging="200" w:hangingChars="200"/>
      <w:jc w:val="center"/>
    </w:pPr>
  </w:style>
  <w:style w:type="paragraph" w:styleId="13">
    <w:name w:val="List Bullet 2"/>
    <w:basedOn w:val="1"/>
    <w:next w:val="14"/>
    <w:qFormat/>
    <w:uiPriority w:val="0"/>
    <w:pPr>
      <w:numPr>
        <w:ilvl w:val="0"/>
        <w:numId w:val="1"/>
      </w:numPr>
    </w:pPr>
  </w:style>
  <w:style w:type="paragraph" w:customStyle="1" w:styleId="14">
    <w:name w:val="xl70"/>
    <w:basedOn w:val="1"/>
    <w:next w:val="15"/>
    <w:qFormat/>
    <w:uiPriority w:val="0"/>
    <w:pPr>
      <w:widowControl/>
      <w:spacing w:before="280" w:after="280"/>
    </w:pPr>
    <w:rPr>
      <w:rFonts w:ascii="宋体"/>
    </w:rPr>
  </w:style>
  <w:style w:type="paragraph" w:customStyle="1" w:styleId="15">
    <w:name w:val="正文缩进1"/>
    <w:basedOn w:val="1"/>
    <w:next w:val="16"/>
    <w:qFormat/>
    <w:uiPriority w:val="0"/>
    <w:pPr>
      <w:ind w:firstLine="420"/>
    </w:pPr>
    <w:rPr>
      <w:rFonts w:ascii="宋体"/>
      <w:sz w:val="28"/>
    </w:rPr>
  </w:style>
  <w:style w:type="paragraph" w:customStyle="1" w:styleId="16">
    <w:name w:val="td1"/>
    <w:basedOn w:val="1"/>
    <w:next w:val="1"/>
    <w:qFormat/>
    <w:uiPriority w:val="0"/>
    <w:pPr>
      <w:widowControl/>
      <w:spacing w:before="280" w:after="280" w:line="300" w:lineRule="atLeast"/>
      <w:ind w:firstLine="200"/>
    </w:pPr>
    <w:rPr>
      <w:color w:val="000000"/>
      <w:sz w:val="18"/>
    </w:rPr>
  </w:style>
  <w:style w:type="paragraph" w:customStyle="1" w:styleId="18">
    <w:name w:val="正文2"/>
    <w:qFormat/>
    <w:uiPriority w:val="99"/>
    <w:pPr>
      <w:jc w:val="both"/>
    </w:pPr>
    <w:rPr>
      <w:rFonts w:ascii="Times New Roman" w:hAnsi="Times New Roman" w:eastAsia="宋体" w:cs="Times New Roman"/>
      <w:kern w:val="2"/>
      <w:sz w:val="21"/>
      <w:szCs w:val="21"/>
      <w:lang w:val="en-US" w:eastAsia="zh-CN" w:bidi="ar-SA"/>
    </w:rPr>
  </w:style>
  <w:style w:type="paragraph" w:styleId="20">
    <w:name w:val="Normal Indent"/>
    <w:basedOn w:val="1"/>
    <w:next w:val="1"/>
    <w:qFormat/>
    <w:uiPriority w:val="0"/>
    <w:pPr>
      <w:ind w:firstLine="420"/>
    </w:pPr>
  </w:style>
  <w:style w:type="paragraph" w:styleId="21">
    <w:name w:val="annotation text"/>
    <w:basedOn w:val="1"/>
    <w:semiHidden/>
    <w:qFormat/>
    <w:uiPriority w:val="0"/>
  </w:style>
  <w:style w:type="paragraph" w:styleId="22">
    <w:name w:val="Body Text"/>
    <w:basedOn w:val="1"/>
    <w:next w:val="23"/>
    <w:qFormat/>
    <w:uiPriority w:val="0"/>
    <w:pPr>
      <w:spacing w:after="120"/>
    </w:pPr>
  </w:style>
  <w:style w:type="paragraph" w:customStyle="1" w:styleId="2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24">
    <w:name w:val="Body Text Indent 2"/>
    <w:basedOn w:val="1"/>
    <w:next w:val="1"/>
    <w:qFormat/>
    <w:uiPriority w:val="0"/>
    <w:pPr>
      <w:spacing w:after="120" w:line="480" w:lineRule="auto"/>
      <w:ind w:left="420" w:leftChars="200"/>
    </w:pPr>
    <w:rPr>
      <w:szCs w:val="24"/>
    </w:rPr>
  </w:style>
  <w:style w:type="paragraph" w:styleId="25">
    <w:name w:val="footer"/>
    <w:basedOn w:val="1"/>
    <w:qFormat/>
    <w:uiPriority w:val="0"/>
    <w:pPr>
      <w:tabs>
        <w:tab w:val="center" w:pos="4153"/>
        <w:tab w:val="right" w:pos="8306"/>
      </w:tabs>
      <w:snapToGrid w:val="0"/>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Body Text 2"/>
    <w:basedOn w:val="1"/>
    <w:next w:val="22"/>
    <w:qFormat/>
    <w:uiPriority w:val="0"/>
    <w:pPr>
      <w:spacing w:line="480" w:lineRule="auto"/>
    </w:pPr>
    <w:rPr>
      <w:rFonts w:ascii="New York" w:hAnsi="New York"/>
      <w:sz w:val="21"/>
    </w:rPr>
  </w:style>
  <w:style w:type="paragraph" w:styleId="28">
    <w:name w:val="Body Text First Indent"/>
    <w:basedOn w:val="22"/>
    <w:unhideWhenUsed/>
    <w:qFormat/>
    <w:uiPriority w:val="99"/>
    <w:pPr>
      <w:widowControl/>
      <w:ind w:firstLine="420" w:firstLineChars="100"/>
    </w:pPr>
    <w:rPr>
      <w:rFonts w:hint="eastAsia" w:ascii="宋体" w:hAnsi="宋体"/>
      <w:sz w:val="24"/>
      <w:szCs w:val="24"/>
    </w:rPr>
  </w:style>
  <w:style w:type="paragraph" w:styleId="29">
    <w:name w:val="Body Text First Indent 2"/>
    <w:basedOn w:val="11"/>
    <w:next w:val="1"/>
    <w:link w:val="39"/>
    <w:qFormat/>
    <w:uiPriority w:val="0"/>
    <w:pPr>
      <w:spacing w:after="200"/>
      <w:ind w:left="360" w:firstLine="36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unhideWhenUsed/>
    <w:qFormat/>
    <w:uiPriority w:val="99"/>
    <w:rPr>
      <w:color w:val="0000FF"/>
      <w:u w:val="single"/>
    </w:rPr>
  </w:style>
  <w:style w:type="paragraph" w:customStyle="1" w:styleId="34">
    <w:name w:val="Date1"/>
    <w:basedOn w:val="1"/>
    <w:next w:val="1"/>
    <w:qFormat/>
    <w:uiPriority w:val="0"/>
    <w:pPr>
      <w:adjustRightInd w:val="0"/>
      <w:jc w:val="both"/>
      <w:textAlignment w:val="baseline"/>
    </w:pPr>
    <w:rPr>
      <w:kern w:val="2"/>
      <w:sz w:val="21"/>
      <w:u w:color="FFFFFF"/>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0"/>
    <w:basedOn w:val="1"/>
    <w:qFormat/>
    <w:uiPriority w:val="0"/>
    <w:pPr>
      <w:widowControl/>
      <w:snapToGrid w:val="0"/>
      <w:spacing w:line="365" w:lineRule="atLeast"/>
      <w:ind w:left="1"/>
      <w:textAlignment w:val="bottom"/>
    </w:pPr>
  </w:style>
  <w:style w:type="paragraph" w:customStyle="1" w:styleId="37">
    <w:name w:val="标题二"/>
    <w:basedOn w:val="1"/>
    <w:qFormat/>
    <w:uiPriority w:val="99"/>
  </w:style>
  <w:style w:type="character" w:customStyle="1" w:styleId="38">
    <w:name w:val="正文文本缩进 字符"/>
    <w:basedOn w:val="32"/>
    <w:link w:val="11"/>
    <w:qFormat/>
    <w:uiPriority w:val="0"/>
    <w:rPr>
      <w:rFonts w:hint="default" w:ascii="Times New Roman" w:hAnsi="Times New Roman" w:cs="Times New Roman"/>
    </w:rPr>
  </w:style>
  <w:style w:type="character" w:customStyle="1" w:styleId="39">
    <w:name w:val="正文文本首行缩进 2 字符"/>
    <w:basedOn w:val="38"/>
    <w:link w:val="29"/>
    <w:qFormat/>
    <w:uiPriority w:val="0"/>
    <w:rPr>
      <w:rFonts w:hint="default" w:ascii="Times New Roman" w:hAnsi="Times New Roman" w:cs="Times New Roman"/>
    </w:rPr>
  </w:style>
  <w:style w:type="character" w:customStyle="1" w:styleId="40">
    <w:name w:val="表格文字 Char"/>
    <w:basedOn w:val="32"/>
    <w:qFormat/>
    <w:uiPriority w:val="0"/>
    <w:rPr>
      <w:kern w:val="2"/>
      <w:sz w:val="21"/>
    </w:rPr>
  </w:style>
  <w:style w:type="character" w:customStyle="1" w:styleId="41">
    <w:name w:val="fontstyle01"/>
    <w:qFormat/>
    <w:uiPriority w:val="0"/>
    <w:rPr>
      <w:rFonts w:ascii="宋体" w:hAnsi="宋体" w:eastAsia="宋体" w:cs="宋体"/>
      <w:color w:val="000000"/>
      <w:sz w:val="24"/>
      <w:szCs w:val="24"/>
    </w:rPr>
  </w:style>
  <w:style w:type="paragraph" w:customStyle="1" w:styleId="42">
    <w:name w:val="表格内容"/>
    <w:basedOn w:val="43"/>
    <w:qFormat/>
    <w:uiPriority w:val="0"/>
    <w:pPr>
      <w:outlineLvl w:val="9"/>
    </w:pPr>
    <w:rPr>
      <w:rFonts w:cs="宋体"/>
      <w:b w:val="0"/>
      <w:szCs w:val="21"/>
    </w:rPr>
  </w:style>
  <w:style w:type="paragraph" w:customStyle="1" w:styleId="43">
    <w:name w:val="表格标题"/>
    <w:next w:val="44"/>
    <w:qFormat/>
    <w:uiPriority w:val="0"/>
    <w:pPr>
      <w:jc w:val="center"/>
      <w:outlineLvl w:val="5"/>
    </w:pPr>
    <w:rPr>
      <w:rFonts w:ascii="Times New Roman" w:hAnsi="Times New Roman" w:eastAsia="宋体" w:cs="Times New Roman"/>
      <w:b/>
      <w:sz w:val="21"/>
      <w:lang w:val="en-US" w:eastAsia="zh-CN" w:bidi="ar-SA"/>
    </w:rPr>
  </w:style>
  <w:style w:type="paragraph" w:customStyle="1" w:styleId="44">
    <w:name w:val="表格报告书"/>
    <w:basedOn w:val="45"/>
    <w:next w:val="45"/>
    <w:qFormat/>
    <w:uiPriority w:val="0"/>
    <w:pPr>
      <w:spacing w:line="240" w:lineRule="auto"/>
      <w:ind w:firstLine="0" w:firstLineChars="0"/>
      <w:jc w:val="center"/>
    </w:pPr>
    <w:rPr>
      <w:sz w:val="21"/>
    </w:rPr>
  </w:style>
  <w:style w:type="paragraph" w:customStyle="1" w:styleId="45">
    <w:name w:val="正文报告书"/>
    <w:basedOn w:val="46"/>
    <w:next w:val="1"/>
    <w:qFormat/>
    <w:uiPriority w:val="0"/>
    <w:pPr>
      <w:spacing w:before="20" w:line="360" w:lineRule="auto"/>
      <w:ind w:firstLine="643" w:firstLineChars="200"/>
    </w:pPr>
    <w:rPr>
      <w:rFonts w:ascii="Times New Roman"/>
    </w:rPr>
  </w:style>
  <w:style w:type="paragraph" w:customStyle="1" w:styleId="46">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7">
    <w:name w:val="环评正文"/>
    <w:basedOn w:val="1"/>
    <w:qFormat/>
    <w:uiPriority w:val="0"/>
    <w:pPr>
      <w:spacing w:line="360" w:lineRule="auto"/>
      <w:ind w:firstLine="720"/>
    </w:pPr>
    <w:rPr>
      <w:rFonts w:cs="宋体"/>
    </w:rPr>
  </w:style>
  <w:style w:type="paragraph" w:customStyle="1" w:styleId="48">
    <w:name w:val="表格文字"/>
    <w:next w:val="1"/>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49">
    <w:name w:val="表文字"/>
    <w:basedOn w:val="1"/>
    <w:qFormat/>
    <w:uiPriority w:val="0"/>
    <w:pPr>
      <w:adjustRightInd w:val="0"/>
      <w:snapToGrid w:val="0"/>
      <w:jc w:val="center"/>
    </w:pPr>
    <w:rPr>
      <w:rFonts w:ascii="宋体" w:hAnsi="宋体" w:cs="宋体"/>
      <w:bCs/>
      <w:szCs w:val="21"/>
    </w:rPr>
  </w:style>
  <w:style w:type="paragraph" w:customStyle="1" w:styleId="5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Table Paragraph"/>
    <w:basedOn w:val="1"/>
    <w:qFormat/>
    <w:uiPriority w:val="1"/>
    <w:rPr>
      <w:rFonts w:ascii="Calibri" w:hAnsi="Calibri"/>
      <w:sz w:val="22"/>
      <w:szCs w:val="22"/>
      <w:lang w:eastAsia="en-US"/>
    </w:rPr>
  </w:style>
  <w:style w:type="paragraph" w:styleId="52">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8793-B385-4FC2-9B42-84BB81FF25C1}">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577</Words>
  <Characters>3289</Characters>
  <Lines>27</Lines>
  <Paragraphs>7</Paragraphs>
  <TotalTime>1042</TotalTime>
  <ScaleCrop>false</ScaleCrop>
  <LinksUpToDate>false</LinksUpToDate>
  <CharactersWithSpaces>3859</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2022-12-06T02:13:00Z</dcterms:created>
  <dc:creator>hegx</dc:creator>
  <cp:lastModifiedBy>Administrator</cp:lastModifiedBy>
  <cp:lastPrinted>2022-06-06T09:20:00Z</cp:lastPrinted>
  <dcterms:modified xsi:type="dcterms:W3CDTF">2023-07-31T06:31:30Z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