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spacing w:beforeLines="50" w:afterLines="50"/>
        <w:ind w:right="317"/>
        <w:jc w:val="right"/>
        <w:rPr>
          <w:rFonts w:ascii="仿宋" w:hAnsi="仿宋" w:eastAsia="仿宋" w:cs="仿宋"/>
          <w:color w:val="auto"/>
          <w:sz w:val="32"/>
          <w:szCs w:val="32"/>
          <w:highlight w:val="none"/>
        </w:rPr>
      </w:pPr>
    </w:p>
    <w:p>
      <w:pPr>
        <w:pStyle w:val="16"/>
        <w:spacing w:beforeLines="50" w:afterLines="50"/>
        <w:ind w:right="317"/>
        <w:jc w:val="right"/>
        <w:rPr>
          <w:rFonts w:ascii="仿宋" w:hAnsi="仿宋" w:eastAsia="仿宋" w:cs="仿宋"/>
          <w:color w:val="auto"/>
          <w:sz w:val="32"/>
          <w:szCs w:val="32"/>
          <w:highlight w:val="none"/>
        </w:rPr>
      </w:pPr>
    </w:p>
    <w:p>
      <w:pPr>
        <w:pStyle w:val="16"/>
        <w:spacing w:beforeLines="50" w:afterLines="50"/>
        <w:ind w:right="317"/>
        <w:jc w:val="right"/>
        <w:rPr>
          <w:rFonts w:ascii="仿宋" w:hAnsi="仿宋" w:eastAsia="仿宋" w:cs="仿宋"/>
          <w:color w:val="auto"/>
          <w:sz w:val="32"/>
          <w:szCs w:val="32"/>
          <w:highlight w:val="none"/>
        </w:rPr>
      </w:pPr>
    </w:p>
    <w:p>
      <w:pPr>
        <w:pStyle w:val="16"/>
        <w:spacing w:beforeLines="50"/>
        <w:ind w:right="317"/>
        <w:jc w:val="right"/>
        <w:rPr>
          <w:rFonts w:ascii="仿宋" w:hAnsi="仿宋" w:eastAsia="仿宋" w:cs="仿宋"/>
          <w:b/>
          <w:color w:val="auto"/>
          <w:kern w:val="2"/>
          <w:sz w:val="30"/>
          <w:szCs w:val="30"/>
          <w:highlight w:val="none"/>
        </w:rPr>
      </w:pPr>
      <w:r>
        <w:rPr>
          <w:rFonts w:hint="eastAsia" w:ascii="仿宋" w:hAnsi="仿宋" w:eastAsia="仿宋" w:cs="仿宋"/>
          <w:color w:val="auto"/>
          <w:sz w:val="32"/>
          <w:szCs w:val="32"/>
          <w:highlight w:val="none"/>
        </w:rPr>
        <w:t xml:space="preserve">     </w:t>
      </w:r>
      <w:r>
        <w:rPr>
          <w:rFonts w:hint="eastAsia" w:ascii="仿宋" w:hAnsi="仿宋" w:eastAsia="仿宋" w:cs="仿宋"/>
          <w:color w:val="auto"/>
          <w:sz w:val="30"/>
          <w:szCs w:val="30"/>
          <w:highlight w:val="none"/>
        </w:rPr>
        <w:t>岳环评〔2023〕</w:t>
      </w:r>
      <w:r>
        <w:rPr>
          <w:rFonts w:hint="eastAsia" w:ascii="仿宋" w:hAnsi="仿宋" w:eastAsia="仿宋" w:cs="仿宋"/>
          <w:color w:val="auto"/>
          <w:sz w:val="30"/>
          <w:szCs w:val="30"/>
          <w:highlight w:val="none"/>
          <w:lang w:val="en-US" w:eastAsia="zh-CN"/>
        </w:rPr>
        <w:t>55</w:t>
      </w:r>
      <w:r>
        <w:rPr>
          <w:rFonts w:hint="eastAsia" w:ascii="仿宋" w:hAnsi="仿宋" w:eastAsia="仿宋" w:cs="仿宋"/>
          <w:color w:val="auto"/>
          <w:sz w:val="30"/>
          <w:szCs w:val="30"/>
          <w:highlight w:val="none"/>
        </w:rPr>
        <w:t xml:space="preserve"> 号</w:t>
      </w:r>
    </w:p>
    <w:p>
      <w:pPr>
        <w:pStyle w:val="17"/>
        <w:spacing w:line="240" w:lineRule="auto"/>
        <w:ind w:firstLine="0" w:firstLineChars="0"/>
        <w:jc w:val="center"/>
        <w:rPr>
          <w:rFonts w:ascii="仿宋" w:hAnsi="仿宋" w:eastAsia="仿宋" w:cs="仿宋"/>
          <w:b/>
          <w:bCs/>
          <w:color w:val="auto"/>
          <w:kern w:val="2"/>
          <w:sz w:val="36"/>
          <w:szCs w:val="36"/>
          <w:highlight w:val="none"/>
        </w:rPr>
      </w:pPr>
      <w:r>
        <w:rPr>
          <w:rFonts w:hint="eastAsia" w:ascii="仿宋" w:hAnsi="仿宋" w:eastAsia="仿宋" w:cs="仿宋"/>
          <w:b/>
          <w:color w:val="auto"/>
          <w:w w:val="98"/>
          <w:sz w:val="36"/>
          <w:szCs w:val="36"/>
          <w:highlight w:val="none"/>
        </w:rPr>
        <w:t>关于</w:t>
      </w:r>
      <w:r>
        <w:rPr>
          <w:rFonts w:hint="eastAsia" w:ascii="仿宋" w:hAnsi="仿宋" w:eastAsia="仿宋" w:cs="仿宋"/>
          <w:b/>
          <w:bCs/>
          <w:color w:val="auto"/>
          <w:kern w:val="2"/>
          <w:sz w:val="36"/>
          <w:szCs w:val="36"/>
          <w:highlight w:val="none"/>
        </w:rPr>
        <w:t>年处理2万吨废电池及1万吨极片破碎分选综合利用</w:t>
      </w:r>
    </w:p>
    <w:p>
      <w:pPr>
        <w:spacing w:afterLines="50"/>
        <w:jc w:val="center"/>
        <w:rPr>
          <w:rFonts w:ascii="仿宋" w:hAnsi="仿宋" w:eastAsia="仿宋" w:cs="仿宋"/>
          <w:b/>
          <w:color w:val="auto"/>
          <w:sz w:val="36"/>
          <w:szCs w:val="36"/>
          <w:highlight w:val="none"/>
        </w:rPr>
      </w:pPr>
      <w:r>
        <w:rPr>
          <w:rFonts w:hint="eastAsia" w:ascii="仿宋" w:hAnsi="仿宋" w:eastAsia="仿宋" w:cs="仿宋"/>
          <w:b/>
          <w:bCs/>
          <w:color w:val="auto"/>
          <w:sz w:val="36"/>
          <w:szCs w:val="36"/>
          <w:highlight w:val="none"/>
        </w:rPr>
        <w:t>建设项目</w:t>
      </w:r>
      <w:r>
        <w:rPr>
          <w:rFonts w:hint="eastAsia" w:ascii="仿宋" w:hAnsi="仿宋" w:eastAsia="仿宋" w:cs="仿宋"/>
          <w:b/>
          <w:color w:val="auto"/>
          <w:w w:val="98"/>
          <w:kern w:val="0"/>
          <w:sz w:val="36"/>
          <w:szCs w:val="36"/>
          <w:highlight w:val="none"/>
        </w:rPr>
        <w:t>环境影响报告书的批复</w:t>
      </w:r>
    </w:p>
    <w:p>
      <w:pPr>
        <w:keepNext w:val="0"/>
        <w:keepLines w:val="0"/>
        <w:pageBreakBefore w:val="0"/>
        <w:widowControl w:val="0"/>
        <w:kinsoku/>
        <w:wordWrap/>
        <w:overflowPunct/>
        <w:topLinePunct w:val="0"/>
        <w:autoSpaceDE/>
        <w:autoSpaceDN/>
        <w:bidi w:val="0"/>
        <w:adjustRightInd w:val="0"/>
        <w:snapToGrid w:val="0"/>
        <w:spacing w:line="420" w:lineRule="exact"/>
        <w:jc w:val="left"/>
        <w:textAlignment w:val="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湖南顺锂科技有限公司：</w:t>
      </w:r>
    </w:p>
    <w:p>
      <w:pPr>
        <w:pStyle w:val="17"/>
        <w:keepNext w:val="0"/>
        <w:keepLines w:val="0"/>
        <w:pageBreakBefore w:val="0"/>
        <w:widowControl w:val="0"/>
        <w:kinsoku/>
        <w:wordWrap/>
        <w:overflowPunct/>
        <w:topLinePunct w:val="0"/>
        <w:autoSpaceDE/>
        <w:autoSpaceDN/>
        <w:bidi w:val="0"/>
        <w:spacing w:line="420" w:lineRule="exact"/>
        <w:ind w:firstLine="640"/>
        <w:jc w:val="left"/>
        <w:textAlignment w:val="auto"/>
        <w:rPr>
          <w:rFonts w:ascii="仿宋" w:hAnsi="仿宋" w:eastAsia="仿宋" w:cs="仿宋"/>
          <w:color w:val="auto"/>
          <w:sz w:val="32"/>
          <w:szCs w:val="32"/>
          <w:highlight w:val="none"/>
        </w:rPr>
      </w:pPr>
      <w:r>
        <w:rPr>
          <w:rFonts w:hint="eastAsia" w:ascii="仿宋" w:hAnsi="仿宋" w:eastAsia="仿宋" w:cs="仿宋"/>
          <w:color w:val="auto"/>
          <w:kern w:val="2"/>
          <w:sz w:val="32"/>
          <w:szCs w:val="32"/>
          <w:highlight w:val="none"/>
        </w:rPr>
        <w:t>你公司《年处理2万吨废电池及1万吨极片破碎分选综合利建设项目</w:t>
      </w:r>
      <w:r>
        <w:rPr>
          <w:rFonts w:hint="eastAsia" w:ascii="仿宋" w:hAnsi="仿宋" w:eastAsia="仿宋" w:cs="仿宋"/>
          <w:color w:val="auto"/>
          <w:w w:val="98"/>
          <w:sz w:val="32"/>
          <w:szCs w:val="32"/>
          <w:highlight w:val="none"/>
        </w:rPr>
        <w:t>环境影响报告书报批申请书</w:t>
      </w:r>
      <w:r>
        <w:rPr>
          <w:rFonts w:hint="eastAsia" w:ascii="仿宋" w:hAnsi="仿宋" w:eastAsia="仿宋" w:cs="仿宋"/>
          <w:color w:val="auto"/>
          <w:kern w:val="2"/>
          <w:sz w:val="32"/>
          <w:szCs w:val="32"/>
          <w:highlight w:val="none"/>
        </w:rPr>
        <w:t>》、岳阳市生态环境事务中心《年处理2万吨废电池及1万吨极片破碎分选综合利用建设项目</w:t>
      </w:r>
      <w:r>
        <w:rPr>
          <w:rFonts w:hint="eastAsia" w:ascii="仿宋" w:hAnsi="仿宋" w:eastAsia="仿宋" w:cs="仿宋"/>
          <w:color w:val="auto"/>
          <w:spacing w:val="-20"/>
          <w:sz w:val="32"/>
          <w:szCs w:val="32"/>
          <w:highlight w:val="none"/>
        </w:rPr>
        <w:t>环境影响报告书技术评估报告</w:t>
      </w:r>
      <w:r>
        <w:rPr>
          <w:rFonts w:hint="eastAsia" w:ascii="仿宋" w:hAnsi="仿宋" w:eastAsia="仿宋" w:cs="仿宋"/>
          <w:color w:val="auto"/>
          <w:kern w:val="2"/>
          <w:sz w:val="32"/>
          <w:szCs w:val="32"/>
          <w:highlight w:val="none"/>
        </w:rPr>
        <w:t>》（岳环事评估〔2023〕52号）、岳阳市生态环境局汩罗分局预审意见及有关附件收悉。经研究，批复如下：</w:t>
      </w:r>
    </w:p>
    <w:p>
      <w:pPr>
        <w:pStyle w:val="17"/>
        <w:keepNext w:val="0"/>
        <w:keepLines w:val="0"/>
        <w:pageBreakBefore w:val="0"/>
        <w:widowControl w:val="0"/>
        <w:kinsoku/>
        <w:wordWrap/>
        <w:overflowPunct/>
        <w:topLinePunct w:val="0"/>
        <w:autoSpaceDE/>
        <w:autoSpaceDN/>
        <w:bidi w:val="0"/>
        <w:spacing w:line="420" w:lineRule="exact"/>
        <w:ind w:firstLine="640"/>
        <w:jc w:val="left"/>
        <w:textAlignment w:val="auto"/>
        <w:rPr>
          <w:rFonts w:hint="eastAsia" w:ascii="仿宋" w:hAnsi="仿宋" w:eastAsia="仿宋" w:cs="仿宋"/>
          <w:color w:val="auto"/>
          <w:sz w:val="32"/>
          <w:szCs w:val="32"/>
          <w:highlight w:val="none"/>
        </w:rPr>
        <w:sectPr>
          <w:pgSz w:w="11906" w:h="16838"/>
          <w:pgMar w:top="1304" w:right="1417" w:bottom="1247" w:left="1474" w:header="851" w:footer="992" w:gutter="0"/>
          <w:pgNumType w:fmt="decimal" w:start="2"/>
          <w:cols w:space="425" w:num="1"/>
          <w:docGrid w:type="lines" w:linePitch="312" w:charSpace="0"/>
        </w:sectPr>
      </w:pPr>
      <w:r>
        <w:rPr>
          <w:rFonts w:hint="eastAsia" w:ascii="仿宋" w:hAnsi="仿宋" w:eastAsia="仿宋" w:cs="仿宋"/>
          <w:color w:val="auto"/>
          <w:sz w:val="32"/>
          <w:szCs w:val="32"/>
          <w:highlight w:val="none"/>
        </w:rPr>
        <w:t>一、湖南顺锂科技有限公司拟投资3000万元（其中环保投资425万元）在湖南汨罗高新技术产业开发区新市片区租赁湖南中塑新材料科技有限公司的闲置厂房（即5#标准车间，项目占地面积为9000m</w:t>
      </w:r>
      <w:r>
        <w:rPr>
          <w:rFonts w:hint="eastAsia" w:ascii="仿宋" w:hAnsi="仿宋" w:eastAsia="仿宋" w:cs="仿宋"/>
          <w:color w:val="auto"/>
          <w:sz w:val="32"/>
          <w:szCs w:val="32"/>
          <w:highlight w:val="none"/>
          <w:vertAlign w:val="superscript"/>
        </w:rPr>
        <w:t>2</w:t>
      </w:r>
      <w:r>
        <w:rPr>
          <w:rFonts w:hint="eastAsia" w:ascii="仿宋" w:hAnsi="仿宋" w:eastAsia="仿宋" w:cs="仿宋"/>
          <w:color w:val="auto"/>
          <w:sz w:val="32"/>
          <w:szCs w:val="32"/>
          <w:highlight w:val="none"/>
        </w:rPr>
        <w:t>，建筑面积9000m</w:t>
      </w:r>
      <w:r>
        <w:rPr>
          <w:rFonts w:hint="eastAsia" w:ascii="仿宋" w:hAnsi="仿宋" w:eastAsia="仿宋" w:cs="仿宋"/>
          <w:color w:val="auto"/>
          <w:sz w:val="32"/>
          <w:szCs w:val="32"/>
          <w:highlight w:val="none"/>
          <w:vertAlign w:val="superscript"/>
        </w:rPr>
        <w:t>2</w:t>
      </w:r>
      <w:r>
        <w:rPr>
          <w:rFonts w:hint="eastAsia" w:ascii="仿宋" w:hAnsi="仿宋" w:eastAsia="仿宋" w:cs="仿宋"/>
          <w:color w:val="auto"/>
          <w:sz w:val="32"/>
          <w:szCs w:val="32"/>
          <w:highlight w:val="none"/>
        </w:rPr>
        <w:t>），建设年处理2万吨废电池及1万吨极片破碎分选综合利用建设项目</w:t>
      </w:r>
      <w:r>
        <w:rPr>
          <w:rStyle w:val="15"/>
          <w:rFonts w:hint="eastAsia" w:ascii="仿宋" w:hAnsi="仿宋" w:eastAsia="仿宋" w:cs="仿宋"/>
          <w:b w:val="0"/>
          <w:bCs w:val="0"/>
          <w:color w:val="auto"/>
          <w:highlight w:val="none"/>
        </w:rPr>
        <w:t>。</w:t>
      </w:r>
      <w:r>
        <w:rPr>
          <w:rFonts w:hint="eastAsia" w:ascii="仿宋" w:hAnsi="仿宋" w:eastAsia="仿宋" w:cs="仿宋"/>
          <w:color w:val="auto"/>
          <w:sz w:val="32"/>
          <w:szCs w:val="32"/>
          <w:highlight w:val="none"/>
        </w:rPr>
        <w:t>主要建设内容为：依托现有厂房新建主体工程（包括放电区、碳化热解区、破碎分选区、拆解区）、储运工程、辅助工程（员工食宿均依托项目东侧湖南中塑新材料科技有限公司已建办公宿舍综合楼）、初期雨水池、环保工程，公用工程及生活污水依托现有。项目以磷酸铁锂电池（退役磷酸铁锂电池包、磷酸铁锂电池单体电芯、（未注液）磷酸铁锂电池单体电芯）、三元锂电池（退役磷酸铁锂电池包、铝壳三元锂电池单体电芯、（未注液）铝壳三元锂电池单体电芯、钢壳三元锂电池单体电芯、（未注液）钢壳三元锂电池单体电芯、塑料软包三元锂电池单体电芯、3C 数码锂电池单体电芯）、锂电池正负极片及边角料（磷酸铁锂电池正极片及边角料、三元锂电池正极片及边角料、锂电池负极片及边角料））、氮气为主要原</w:t>
      </w:r>
    </w:p>
    <w:p>
      <w:pPr>
        <w:pStyle w:val="17"/>
        <w:keepNext w:val="0"/>
        <w:keepLines w:val="0"/>
        <w:pageBreakBefore w:val="0"/>
        <w:widowControl w:val="0"/>
        <w:kinsoku/>
        <w:wordWrap/>
        <w:overflowPunct/>
        <w:topLinePunct w:val="0"/>
        <w:autoSpaceDE/>
        <w:autoSpaceDN/>
        <w:bidi w:val="0"/>
        <w:spacing w:line="420" w:lineRule="exact"/>
        <w:ind w:left="0" w:leftChars="0" w:firstLine="0" w:firstLineChars="0"/>
        <w:jc w:val="left"/>
        <w:textAlignment w:val="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辅料，经梯级利用（三元锂电池包直接进行拆解，不进行梯次利用）、拆解，含电解液和电池经清水放电、粗破、烘干、碳化热解，不含电解液的电池经解切割、粗破后细破碎（二级破碎）、一次筛分、磁选、三次破碎、二次筛分、风选、布袋收尘等工序后得梯次利用磷酸铁锂电池包200</w:t>
      </w:r>
      <w:r>
        <w:rPr>
          <w:rFonts w:hint="eastAsia" w:ascii="仿宋" w:hAnsi="仿宋" w:eastAsia="仿宋" w:cs="仿宋"/>
          <w:bCs/>
          <w:color w:val="auto"/>
          <w:sz w:val="32"/>
          <w:szCs w:val="32"/>
          <w:highlight w:val="none"/>
        </w:rPr>
        <w:t>t/a、</w:t>
      </w:r>
      <w:r>
        <w:rPr>
          <w:rFonts w:hint="eastAsia" w:ascii="仿宋" w:hAnsi="仿宋" w:eastAsia="仿宋" w:cs="仿宋"/>
          <w:color w:val="auto"/>
          <w:sz w:val="32"/>
          <w:szCs w:val="32"/>
          <w:highlight w:val="none"/>
        </w:rPr>
        <w:t>梯次利用磷酸铁锂电池模组350</w:t>
      </w:r>
      <w:r>
        <w:rPr>
          <w:rFonts w:hint="eastAsia" w:ascii="仿宋" w:hAnsi="仿宋" w:eastAsia="仿宋" w:cs="仿宋"/>
          <w:bCs/>
          <w:color w:val="auto"/>
          <w:sz w:val="32"/>
          <w:szCs w:val="32"/>
          <w:highlight w:val="none"/>
        </w:rPr>
        <w:t>t/a、</w:t>
      </w:r>
      <w:r>
        <w:rPr>
          <w:rFonts w:hint="eastAsia" w:ascii="仿宋" w:hAnsi="仿宋" w:eastAsia="仿宋" w:cs="仿宋"/>
          <w:color w:val="auto"/>
          <w:sz w:val="32"/>
          <w:szCs w:val="32"/>
          <w:highlight w:val="none"/>
        </w:rPr>
        <w:t>磷酸铁锂电池黑粉（磷酸铁锂电池正、负极混合物,Li≥2.0%）4299.3</w:t>
      </w:r>
      <w:r>
        <w:rPr>
          <w:rFonts w:hint="eastAsia" w:ascii="仿宋" w:hAnsi="仿宋" w:eastAsia="仿宋" w:cs="仿宋"/>
          <w:bCs/>
          <w:color w:val="auto"/>
          <w:sz w:val="32"/>
          <w:szCs w:val="32"/>
          <w:highlight w:val="none"/>
        </w:rPr>
        <w:t>t/a、</w:t>
      </w:r>
      <w:r>
        <w:rPr>
          <w:rFonts w:hint="eastAsia" w:ascii="仿宋" w:hAnsi="仿宋" w:eastAsia="仿宋" w:cs="仿宋"/>
          <w:color w:val="auto"/>
          <w:sz w:val="32"/>
          <w:szCs w:val="32"/>
          <w:highlight w:val="none"/>
        </w:rPr>
        <w:t>磷酸铁锂黑粉（磷酸铁锂正极混合物，Li≥3.0%）2400</w:t>
      </w:r>
      <w:r>
        <w:rPr>
          <w:rFonts w:hint="eastAsia" w:ascii="仿宋" w:hAnsi="仿宋" w:eastAsia="仿宋" w:cs="仿宋"/>
          <w:bCs/>
          <w:color w:val="auto"/>
          <w:sz w:val="32"/>
          <w:szCs w:val="32"/>
          <w:highlight w:val="none"/>
        </w:rPr>
        <w:t>t/a、</w:t>
      </w:r>
      <w:r>
        <w:rPr>
          <w:rFonts w:hint="eastAsia" w:ascii="仿宋" w:hAnsi="仿宋" w:eastAsia="仿宋" w:cs="仿宋"/>
          <w:color w:val="auto"/>
          <w:sz w:val="32"/>
          <w:szCs w:val="32"/>
          <w:highlight w:val="none"/>
        </w:rPr>
        <w:t>三元锂黑粉（三元锂电池正、负极混合物，Ni≥15%、Co≥4%、Li≥2%）4401.8</w:t>
      </w:r>
      <w:r>
        <w:rPr>
          <w:rFonts w:hint="eastAsia" w:ascii="仿宋" w:hAnsi="仿宋" w:eastAsia="仿宋" w:cs="仿宋"/>
          <w:bCs/>
          <w:color w:val="auto"/>
          <w:sz w:val="32"/>
          <w:szCs w:val="32"/>
          <w:highlight w:val="none"/>
        </w:rPr>
        <w:t>t/a、</w:t>
      </w:r>
      <w:r>
        <w:rPr>
          <w:rFonts w:hint="eastAsia" w:ascii="仿宋" w:hAnsi="仿宋" w:eastAsia="仿宋" w:cs="仿宋"/>
          <w:color w:val="auto"/>
          <w:sz w:val="32"/>
          <w:szCs w:val="32"/>
          <w:highlight w:val="none"/>
        </w:rPr>
        <w:t>三元锂电池黑粉</w:t>
      </w:r>
      <w:r>
        <w:rPr>
          <w:rFonts w:hint="eastAsia" w:ascii="仿宋" w:hAnsi="仿宋" w:eastAsia="仿宋" w:cs="仿宋"/>
          <w:color w:val="auto"/>
          <w:kern w:val="2"/>
          <w:sz w:val="32"/>
          <w:szCs w:val="32"/>
          <w:highlight w:val="none"/>
        </w:rPr>
        <w:t>（三元锂正极混合物，</w:t>
      </w:r>
      <w:r>
        <w:rPr>
          <w:rFonts w:hint="eastAsia" w:ascii="仿宋" w:hAnsi="仿宋" w:eastAsia="仿宋" w:cs="仿宋"/>
          <w:color w:val="auto"/>
          <w:sz w:val="32"/>
          <w:szCs w:val="32"/>
          <w:highlight w:val="none"/>
        </w:rPr>
        <w:t>Ni≥20%、Co≥5%、Li≥3%</w:t>
      </w:r>
      <w:r>
        <w:rPr>
          <w:rFonts w:hint="eastAsia" w:ascii="仿宋" w:hAnsi="仿宋" w:eastAsia="仿宋" w:cs="仿宋"/>
          <w:color w:val="auto"/>
          <w:kern w:val="2"/>
          <w:sz w:val="32"/>
          <w:szCs w:val="32"/>
          <w:highlight w:val="none"/>
        </w:rPr>
        <w:t>）</w:t>
      </w:r>
      <w:r>
        <w:rPr>
          <w:rFonts w:hint="eastAsia" w:ascii="仿宋" w:hAnsi="仿宋" w:eastAsia="仿宋" w:cs="仿宋"/>
          <w:color w:val="auto"/>
          <w:sz w:val="32"/>
          <w:szCs w:val="32"/>
          <w:highlight w:val="none"/>
        </w:rPr>
        <w:t>2476.5</w:t>
      </w:r>
      <w:r>
        <w:rPr>
          <w:rFonts w:hint="eastAsia" w:ascii="仿宋" w:hAnsi="仿宋" w:eastAsia="仿宋" w:cs="仿宋"/>
          <w:bCs/>
          <w:color w:val="auto"/>
          <w:sz w:val="32"/>
          <w:szCs w:val="32"/>
          <w:highlight w:val="none"/>
        </w:rPr>
        <w:t>t/a、</w:t>
      </w:r>
      <w:r>
        <w:rPr>
          <w:rFonts w:hint="eastAsia" w:ascii="仿宋" w:hAnsi="仿宋" w:eastAsia="仿宋" w:cs="仿宋"/>
          <w:color w:val="auto"/>
          <w:sz w:val="32"/>
          <w:szCs w:val="32"/>
          <w:highlight w:val="none"/>
        </w:rPr>
        <w:t>锂电池负极黑粉（C≥85%)2671.6</w:t>
      </w:r>
      <w:r>
        <w:rPr>
          <w:rFonts w:hint="eastAsia" w:ascii="仿宋" w:hAnsi="仿宋" w:eastAsia="仿宋" w:cs="仿宋"/>
          <w:bCs/>
          <w:color w:val="auto"/>
          <w:sz w:val="32"/>
          <w:szCs w:val="32"/>
          <w:highlight w:val="none"/>
        </w:rPr>
        <w:t>t/a、</w:t>
      </w:r>
      <w:r>
        <w:rPr>
          <w:rFonts w:hint="eastAsia" w:ascii="仿宋" w:hAnsi="仿宋" w:eastAsia="仿宋" w:cs="仿宋"/>
          <w:color w:val="auto"/>
          <w:sz w:val="32"/>
          <w:szCs w:val="32"/>
          <w:highlight w:val="none"/>
        </w:rPr>
        <w:t>铜粉2835.8</w:t>
      </w:r>
      <w:r>
        <w:rPr>
          <w:rFonts w:hint="eastAsia" w:ascii="仿宋" w:hAnsi="仿宋" w:eastAsia="仿宋" w:cs="仿宋"/>
          <w:bCs/>
          <w:color w:val="auto"/>
          <w:sz w:val="32"/>
          <w:szCs w:val="32"/>
          <w:highlight w:val="none"/>
        </w:rPr>
        <w:t>t/a</w:t>
      </w:r>
      <w:r>
        <w:rPr>
          <w:rFonts w:hint="eastAsia" w:ascii="仿宋" w:hAnsi="仿宋" w:eastAsia="仿宋" w:cs="仿宋"/>
          <w:color w:val="auto"/>
          <w:sz w:val="32"/>
          <w:szCs w:val="32"/>
          <w:highlight w:val="none"/>
        </w:rPr>
        <w:t>、铝粉3638.5</w:t>
      </w:r>
      <w:r>
        <w:rPr>
          <w:rFonts w:hint="eastAsia" w:ascii="仿宋" w:hAnsi="仿宋" w:eastAsia="仿宋" w:cs="仿宋"/>
          <w:bCs/>
          <w:color w:val="auto"/>
          <w:sz w:val="32"/>
          <w:szCs w:val="32"/>
          <w:highlight w:val="none"/>
        </w:rPr>
        <w:t>t/a</w:t>
      </w:r>
      <w:r>
        <w:rPr>
          <w:rFonts w:hint="eastAsia" w:ascii="仿宋" w:hAnsi="仿宋" w:eastAsia="仿宋" w:cs="仿宋"/>
          <w:color w:val="auto"/>
          <w:sz w:val="32"/>
          <w:szCs w:val="32"/>
          <w:highlight w:val="none"/>
        </w:rPr>
        <w:t>。根据湖南隆宇环保科技有限公司编制的《</w:t>
      </w:r>
      <w:r>
        <w:rPr>
          <w:rFonts w:hint="eastAsia" w:ascii="仿宋" w:hAnsi="仿宋" w:eastAsia="仿宋" w:cs="仿宋"/>
          <w:color w:val="auto"/>
          <w:kern w:val="2"/>
          <w:sz w:val="32"/>
          <w:szCs w:val="32"/>
          <w:highlight w:val="none"/>
        </w:rPr>
        <w:t>年处理2万吨废电池及1万吨极片破碎分选综合利用建设项目</w:t>
      </w:r>
      <w:r>
        <w:rPr>
          <w:rFonts w:hint="eastAsia" w:ascii="仿宋" w:hAnsi="仿宋" w:eastAsia="仿宋" w:cs="仿宋"/>
          <w:color w:val="auto"/>
          <w:sz w:val="32"/>
          <w:szCs w:val="32"/>
          <w:highlight w:val="none"/>
        </w:rPr>
        <w:t>》（报批稿）基本内容、结论和专家评审意见及岳阳市生态环境局汩罗分局预审意见，从环境保护角度考虑，我局原则同意你公司环境影响报告书中所列建设项目的环境影响评价结论和环境保护对策措施。</w:t>
      </w:r>
    </w:p>
    <w:p>
      <w:pPr>
        <w:keepNext w:val="0"/>
        <w:keepLines w:val="0"/>
        <w:pageBreakBefore w:val="0"/>
        <w:widowControl w:val="0"/>
        <w:kinsoku/>
        <w:wordWrap/>
        <w:overflowPunct/>
        <w:topLinePunct w:val="0"/>
        <w:autoSpaceDE/>
        <w:autoSpaceDN/>
        <w:bidi w:val="0"/>
        <w:adjustRightInd w:val="0"/>
        <w:snapToGrid w:val="0"/>
        <w:spacing w:line="420" w:lineRule="exact"/>
        <w:ind w:firstLine="640" w:firstLineChars="200"/>
        <w:textAlignment w:val="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二、认真落实专家及环境影响报告书中提出的各项污染防治措施，并应着重注意以下问题：</w:t>
      </w:r>
    </w:p>
    <w:p>
      <w:pPr>
        <w:keepNext w:val="0"/>
        <w:keepLines w:val="0"/>
        <w:pageBreakBefore w:val="0"/>
        <w:widowControl w:val="0"/>
        <w:numPr>
          <w:ilvl w:val="0"/>
          <w:numId w:val="1"/>
        </w:numPr>
        <w:kinsoku/>
        <w:wordWrap/>
        <w:overflowPunct/>
        <w:topLinePunct w:val="0"/>
        <w:autoSpaceDE/>
        <w:autoSpaceDN/>
        <w:bidi w:val="0"/>
        <w:adjustRightInd w:val="0"/>
        <w:snapToGrid w:val="0"/>
        <w:spacing w:line="42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落实施工期污染防治措施。选用低噪声施工设备，合理安排施工时间，优化布局施工现场等措施控制声环境影响，建筑施工噪声执行《建筑施工场界环境噪声排放标准》（GB 12523-2011）。</w:t>
      </w:r>
    </w:p>
    <w:p>
      <w:pPr>
        <w:keepNext w:val="0"/>
        <w:keepLines w:val="0"/>
        <w:pageBreakBefore w:val="0"/>
        <w:widowControl w:val="0"/>
        <w:numPr>
          <w:ilvl w:val="0"/>
          <w:numId w:val="1"/>
        </w:numPr>
        <w:kinsoku/>
        <w:wordWrap/>
        <w:overflowPunct/>
        <w:topLinePunct w:val="0"/>
        <w:autoSpaceDE/>
        <w:autoSpaceDN/>
        <w:bidi w:val="0"/>
        <w:adjustRightInd w:val="0"/>
        <w:snapToGrid w:val="0"/>
        <w:spacing w:line="420" w:lineRule="exact"/>
        <w:ind w:firstLine="640" w:firstLineChars="200"/>
        <w:textAlignment w:val="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废气污染防治工作。通过尽可能采用密闭设备，减少敞开式操作；对设备、管道、阀门经常检查、检修，保持装置气密性良好；加强管理和设备维护</w:t>
      </w:r>
      <w:r>
        <w:rPr>
          <w:rFonts w:hint="eastAsia" w:ascii="仿宋" w:hAnsi="仿宋" w:eastAsia="仿宋" w:cs="仿宋"/>
          <w:bCs/>
          <w:color w:val="auto"/>
          <w:sz w:val="32"/>
          <w:szCs w:val="32"/>
          <w:highlight w:val="none"/>
        </w:rPr>
        <w:t>等措施，确保厂界</w:t>
      </w:r>
      <w:r>
        <w:rPr>
          <w:rFonts w:hint="eastAsia" w:ascii="仿宋" w:hAnsi="仿宋" w:eastAsia="仿宋" w:cs="仿宋"/>
          <w:color w:val="auto"/>
          <w:sz w:val="32"/>
          <w:szCs w:val="32"/>
          <w:highlight w:val="none"/>
        </w:rPr>
        <w:t>VOCs（参照非甲烷总烃）执行《大气污染物综合排放标准》（GB16297-1996）表2标准限值；臭气浓度执行《恶臭污染物排放标准》（14554-93）表1标准</w:t>
      </w:r>
      <w:r>
        <w:rPr>
          <w:rFonts w:hint="eastAsia" w:ascii="仿宋" w:hAnsi="仿宋" w:eastAsia="仿宋" w:cs="仿宋"/>
          <w:bCs/>
          <w:color w:val="auto"/>
          <w:sz w:val="32"/>
          <w:szCs w:val="32"/>
          <w:highlight w:val="none"/>
        </w:rPr>
        <w:t>。生产过程中，含电解</w:t>
      </w:r>
      <w:r>
        <w:rPr>
          <w:rFonts w:hint="eastAsia" w:ascii="仿宋" w:hAnsi="仿宋" w:eastAsia="仿宋" w:cs="仿宋"/>
          <w:color w:val="auto"/>
          <w:sz w:val="32"/>
          <w:szCs w:val="32"/>
          <w:highlight w:val="none"/>
        </w:rPr>
        <w:t>液电池粗破废气、烘干废气、热解烟气经碳化热解炉燃烧室与天然气一并燃烧后，经一套“快速冷却塔+碱液喷淋除雾+除水雾装置+布袋除尘”处理达标后经 1 根17m高排气</w:t>
      </w:r>
      <w:r>
        <w:rPr>
          <w:rFonts w:hint="eastAsia" w:ascii="仿宋" w:hAnsi="仿宋" w:eastAsia="仿宋" w:cs="仿宋"/>
          <w:bCs/>
          <w:color w:val="auto"/>
          <w:sz w:val="32"/>
          <w:szCs w:val="32"/>
          <w:highlight w:val="none"/>
        </w:rPr>
        <w:t>筒（P1）排放</w:t>
      </w:r>
      <w:r>
        <w:rPr>
          <w:rFonts w:hint="eastAsia" w:ascii="仿宋" w:hAnsi="仿宋" w:eastAsia="仿宋" w:cs="仿宋"/>
          <w:color w:val="auto"/>
          <w:sz w:val="32"/>
          <w:szCs w:val="32"/>
          <w:highlight w:val="none"/>
        </w:rPr>
        <w:t>；原料贮存废气、放电废气收集后经 1 套“二级活性炭吸附”处理达标后，经 1 根 17m 高排气筒（P2）排放；锂电池破碎分选生产线各粉尘废气，包括（未注液）电池粗破废气以及切割、细破碎、磁选、筛分、风选等工序产生的废气，经各自生产线上的配套的“旋风除尘器+布袋除尘”处理达标后经 1 根17m高排气筒（P3）排放。有组织排放的氟化物执行《工业炉窑大气污染物排放标准》（GB9078-1996）表4标准限值；VOCs（参照非甲烷总烃）和镍及其化合物执行《大气污染物综合排放标准》（GB16297-1996）表2标准限值；颗粒物、二氧化硫和氮氧化物执行《湖南省工业炉窑大气污染综合治理实施方案》（湘环发[2020]6号）附件1限值要求；锰及其化合物、钴及其化合物参照执行《无机化学工业污染物排放标准》（GB 31573-2015）及修改单中表3标准限值</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二噁英执行《危险废物焚烧污染控制标准》（GB18484—2020）表3限值</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臭气浓度执行《恶臭污染物排放标准》（14554-93）表3标准。</w:t>
      </w:r>
    </w:p>
    <w:p>
      <w:pPr>
        <w:pStyle w:val="19"/>
        <w:keepNext w:val="0"/>
        <w:keepLines w:val="0"/>
        <w:pageBreakBefore w:val="0"/>
        <w:widowControl w:val="0"/>
        <w:kinsoku/>
        <w:wordWrap/>
        <w:overflowPunct/>
        <w:topLinePunct w:val="0"/>
        <w:autoSpaceDE/>
        <w:autoSpaceDN/>
        <w:bidi w:val="0"/>
        <w:spacing w:line="420" w:lineRule="exact"/>
        <w:ind w:firstLine="640"/>
        <w:textAlignment w:val="auto"/>
        <w:rPr>
          <w:rFonts w:ascii="仿宋" w:hAnsi="仿宋" w:eastAsia="仿宋" w:cs="仿宋"/>
          <w:color w:val="auto"/>
          <w:sz w:val="32"/>
          <w:szCs w:val="32"/>
          <w:highlight w:val="none"/>
        </w:rPr>
      </w:pPr>
      <w:r>
        <w:rPr>
          <w:rFonts w:hint="eastAsia" w:ascii="仿宋" w:hAnsi="仿宋" w:eastAsia="仿宋" w:cs="仿宋"/>
          <w:color w:val="auto"/>
          <w:kern w:val="2"/>
          <w:sz w:val="32"/>
          <w:szCs w:val="32"/>
          <w:highlight w:val="none"/>
        </w:rPr>
        <w:t>3、废水污染防治工作。严格按照“雨污分流、清污分流、污污分流”的原则规范建设厂区雨水及污水收集设施。</w:t>
      </w:r>
      <w:r>
        <w:rPr>
          <w:rFonts w:hint="eastAsia" w:ascii="仿宋" w:hAnsi="仿宋" w:eastAsia="仿宋" w:cs="仿宋"/>
          <w:color w:val="auto"/>
          <w:sz w:val="32"/>
          <w:szCs w:val="32"/>
          <w:highlight w:val="none"/>
        </w:rPr>
        <w:t>项目生活污水经化粪池处理达到《污水综合排放标准》（GB8978-1996）三级标准后进入汨罗市城市污水处理厂处理，最终排入汨罗江；热解燃烧烟气冷却水经循环水池处理后循环使用；更换的喷淋废液要求建设单位进行危废鉴定，如属于危废则需交由有危险废物处理资质的单位处置，不属于危废则经自建絮凝沉淀池（重金属捕集+化学除磷）进行处理达《污水综合排放标准》（GB8978-1996）表4三级标准及重金属污水处理厂接管标准经重金属污水管网排入汨罗工业园重金属污水处理厂进行深度处理；放电用水饱和后加入氢氧化钠进行中和，循环使用不外排，定期进行更换，更换放电废水进入碳化热解炉进行热解处理，不外排；初期雨水经收集沉淀后回用于碱液喷淋塔循环补充水，不外排。</w:t>
      </w:r>
    </w:p>
    <w:p>
      <w:pPr>
        <w:keepNext w:val="0"/>
        <w:keepLines w:val="0"/>
        <w:pageBreakBefore w:val="0"/>
        <w:widowControl w:val="0"/>
        <w:kinsoku/>
        <w:wordWrap/>
        <w:overflowPunct/>
        <w:topLinePunct w:val="0"/>
        <w:autoSpaceDE/>
        <w:autoSpaceDN/>
        <w:bidi w:val="0"/>
        <w:spacing w:line="420" w:lineRule="exact"/>
        <w:ind w:firstLine="640"/>
        <w:textAlignment w:val="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按照“源头控制、分区防治、污染监控、应急响应”相结合的原则落实报告书提出的地下水污染防治措施。</w:t>
      </w:r>
      <w:r>
        <w:rPr>
          <w:rFonts w:hint="eastAsia" w:ascii="仿宋" w:hAnsi="仿宋" w:eastAsia="仿宋" w:cs="仿宋"/>
          <w:bCs/>
          <w:color w:val="auto"/>
          <w:sz w:val="32"/>
          <w:szCs w:val="32"/>
          <w:highlight w:val="none"/>
        </w:rPr>
        <w:t>做好</w:t>
      </w:r>
      <w:r>
        <w:rPr>
          <w:rFonts w:hint="eastAsia" w:ascii="仿宋" w:hAnsi="仿宋" w:eastAsia="仿宋" w:cs="仿宋"/>
          <w:color w:val="auto"/>
          <w:sz w:val="32"/>
          <w:szCs w:val="32"/>
          <w:highlight w:val="none"/>
        </w:rPr>
        <w:t>危险废物间、车间、废气治理设施区域、车间外初期雨水集雨范围（场地及进场道路）等区域</w:t>
      </w:r>
      <w:r>
        <w:rPr>
          <w:rFonts w:hint="eastAsia" w:ascii="仿宋" w:hAnsi="仿宋" w:eastAsia="仿宋" w:cs="仿宋"/>
          <w:bCs/>
          <w:color w:val="auto"/>
          <w:sz w:val="32"/>
          <w:szCs w:val="32"/>
          <w:highlight w:val="none"/>
        </w:rPr>
        <w:t>的防渗工作，避免由于防渗层破损造成污染物下渗污染地下水；定期跟踪监测地下水质情况，确保地下水环境安全。</w:t>
      </w:r>
    </w:p>
    <w:p>
      <w:pPr>
        <w:pStyle w:val="19"/>
        <w:keepNext w:val="0"/>
        <w:keepLines w:val="0"/>
        <w:pageBreakBefore w:val="0"/>
        <w:widowControl w:val="0"/>
        <w:kinsoku/>
        <w:wordWrap/>
        <w:overflowPunct/>
        <w:topLinePunct w:val="0"/>
        <w:autoSpaceDE/>
        <w:autoSpaceDN/>
        <w:bidi w:val="0"/>
        <w:spacing w:line="420" w:lineRule="exact"/>
        <w:ind w:firstLine="640"/>
        <w:textAlignment w:val="auto"/>
        <w:rPr>
          <w:rFonts w:ascii="仿宋" w:hAnsi="仿宋" w:eastAsia="仿宋" w:cs="仿宋"/>
          <w:color w:val="auto"/>
          <w:sz w:val="32"/>
          <w:szCs w:val="32"/>
          <w:highlight w:val="none"/>
        </w:rPr>
      </w:pPr>
      <w:r>
        <w:rPr>
          <w:rFonts w:hint="eastAsia" w:ascii="仿宋" w:hAnsi="仿宋" w:eastAsia="仿宋" w:cs="仿宋"/>
          <w:color w:val="auto"/>
          <w:kern w:val="2"/>
          <w:sz w:val="32"/>
          <w:szCs w:val="32"/>
          <w:highlight w:val="none"/>
        </w:rPr>
        <w:t>4、噪声防治工作。采用低噪声设备，通过基础</w:t>
      </w:r>
      <w:r>
        <w:rPr>
          <w:rFonts w:hint="eastAsia" w:ascii="仿宋" w:hAnsi="仿宋" w:eastAsia="仿宋" w:cs="仿宋"/>
          <w:color w:val="auto"/>
          <w:sz w:val="32"/>
          <w:szCs w:val="32"/>
          <w:highlight w:val="none"/>
        </w:rPr>
        <w:t>减振、厂房隔声、限速、禁鸣、安装隔声罩等措施</w:t>
      </w:r>
      <w:r>
        <w:rPr>
          <w:rFonts w:hint="eastAsia" w:ascii="仿宋" w:hAnsi="仿宋" w:eastAsia="仿宋" w:cs="仿宋"/>
          <w:color w:val="auto"/>
          <w:kern w:val="2"/>
          <w:sz w:val="32"/>
          <w:szCs w:val="32"/>
          <w:highlight w:val="none"/>
        </w:rPr>
        <w:t>确保</w:t>
      </w:r>
      <w:r>
        <w:rPr>
          <w:rFonts w:hint="eastAsia" w:ascii="仿宋" w:hAnsi="仿宋" w:eastAsia="仿宋" w:cs="仿宋"/>
          <w:color w:val="auto"/>
          <w:sz w:val="32"/>
          <w:szCs w:val="32"/>
          <w:highlight w:val="none"/>
        </w:rPr>
        <w:t>四厂界</w:t>
      </w:r>
      <w:r>
        <w:rPr>
          <w:rFonts w:hint="eastAsia" w:ascii="仿宋" w:hAnsi="仿宋" w:eastAsia="仿宋" w:cs="仿宋"/>
          <w:color w:val="auto"/>
          <w:kern w:val="2"/>
          <w:sz w:val="32"/>
          <w:szCs w:val="32"/>
          <w:highlight w:val="none"/>
        </w:rPr>
        <w:t>噪声满足</w:t>
      </w:r>
      <w:r>
        <w:rPr>
          <w:rFonts w:hint="eastAsia" w:ascii="仿宋" w:hAnsi="仿宋" w:eastAsia="仿宋" w:cs="仿宋"/>
          <w:color w:val="auto"/>
          <w:sz w:val="32"/>
          <w:szCs w:val="32"/>
          <w:highlight w:val="none"/>
        </w:rPr>
        <w:t>《工业企业厂界环境噪声排放标准》（GB12348-2008）中的3类标准。项目西侧G107沿线居民噪声能满足《声环境质量标准》（GB3096-2008）中4a类标准的要求。</w:t>
      </w:r>
    </w:p>
    <w:p>
      <w:pPr>
        <w:pStyle w:val="19"/>
        <w:keepNext w:val="0"/>
        <w:keepLines w:val="0"/>
        <w:pageBreakBefore w:val="0"/>
        <w:widowControl w:val="0"/>
        <w:kinsoku/>
        <w:wordWrap/>
        <w:overflowPunct/>
        <w:topLinePunct w:val="0"/>
        <w:autoSpaceDE/>
        <w:autoSpaceDN/>
        <w:bidi w:val="0"/>
        <w:spacing w:line="420" w:lineRule="exact"/>
        <w:ind w:firstLine="640"/>
        <w:textAlignment w:val="auto"/>
        <w:rPr>
          <w:rFonts w:ascii="仿宋" w:hAnsi="仿宋" w:eastAsia="仿宋" w:cs="仿宋"/>
          <w:color w:val="auto"/>
          <w:sz w:val="32"/>
          <w:szCs w:val="32"/>
          <w:highlight w:val="none"/>
        </w:rPr>
      </w:pPr>
      <w:r>
        <w:rPr>
          <w:rFonts w:hint="eastAsia" w:ascii="仿宋" w:hAnsi="仿宋" w:eastAsia="仿宋" w:cs="仿宋"/>
          <w:color w:val="auto"/>
          <w:kern w:val="2"/>
          <w:sz w:val="32"/>
          <w:szCs w:val="32"/>
          <w:highlight w:val="none"/>
        </w:rPr>
        <w:t>5、固体废物管理工作。按“无害化、减量化、资源化”原则，做好固体分类收集和综合利用，并建立固体废物产生、储存、处置管理台账，落实危险废物转移联单制度。项目生产过程中产生的</w:t>
      </w:r>
      <w:r>
        <w:rPr>
          <w:rFonts w:hint="eastAsia" w:ascii="仿宋" w:hAnsi="仿宋" w:eastAsia="仿宋" w:cs="仿宋"/>
          <w:color w:val="auto"/>
          <w:sz w:val="32"/>
          <w:szCs w:val="32"/>
          <w:highlight w:val="none"/>
        </w:rPr>
        <w:t>废冷却液、废活性炭、废含油劳保用品、废矿物油</w:t>
      </w:r>
      <w:r>
        <w:rPr>
          <w:rFonts w:hint="eastAsia" w:ascii="仿宋" w:hAnsi="仿宋" w:eastAsia="仿宋" w:cs="仿宋"/>
          <w:color w:val="auto"/>
          <w:kern w:val="2"/>
          <w:sz w:val="32"/>
          <w:szCs w:val="32"/>
          <w:highlight w:val="none"/>
        </w:rPr>
        <w:t>等危险</w:t>
      </w:r>
      <w:r>
        <w:rPr>
          <w:rFonts w:hint="eastAsia" w:ascii="仿宋" w:hAnsi="仿宋" w:eastAsia="仿宋" w:cs="仿宋"/>
          <w:color w:val="auto"/>
          <w:sz w:val="32"/>
          <w:szCs w:val="32"/>
          <w:highlight w:val="none"/>
        </w:rPr>
        <w:t>废</w:t>
      </w:r>
      <w:r>
        <w:rPr>
          <w:rFonts w:hint="eastAsia" w:ascii="仿宋" w:hAnsi="仿宋" w:eastAsia="仿宋" w:cs="仿宋"/>
          <w:color w:val="auto"/>
          <w:kern w:val="2"/>
          <w:sz w:val="32"/>
          <w:szCs w:val="32"/>
          <w:highlight w:val="none"/>
        </w:rPr>
        <w:t>物严格按</w:t>
      </w:r>
      <w:r>
        <w:rPr>
          <w:rFonts w:hint="eastAsia" w:ascii="仿宋" w:hAnsi="仿宋" w:eastAsia="仿宋" w:cs="仿宋"/>
          <w:color w:val="auto"/>
          <w:sz w:val="32"/>
          <w:szCs w:val="32"/>
          <w:highlight w:val="none"/>
        </w:rPr>
        <w:t>《危险废物贮存污染控制标准》（GB 18597-2023）</w:t>
      </w:r>
      <w:r>
        <w:rPr>
          <w:rFonts w:hint="eastAsia" w:ascii="仿宋" w:hAnsi="仿宋" w:eastAsia="仿宋" w:cs="仿宋"/>
          <w:color w:val="auto"/>
          <w:kern w:val="2"/>
          <w:sz w:val="32"/>
          <w:szCs w:val="32"/>
          <w:highlight w:val="none"/>
        </w:rPr>
        <w:t>相关要求暂存，定期交有资质的单位处置；</w:t>
      </w:r>
      <w:r>
        <w:rPr>
          <w:rFonts w:hint="eastAsia" w:ascii="仿宋" w:hAnsi="仿宋" w:eastAsia="仿宋" w:cs="仿宋"/>
          <w:color w:val="auto"/>
          <w:sz w:val="32"/>
          <w:szCs w:val="32"/>
          <w:highlight w:val="none"/>
        </w:rPr>
        <w:t>废气处理钙渣由建设单位进行固废属性鉴定，如属于危废则需交由有危险废物处理资质的单位处置，不属于危废则委托有处理能力的企业进行回收利用。废电池包/模组外壳、废铜排、废导线、废铝片、废塑料隔板、废不锈钢卡环、废导流管、散热金属片、废硅胶片、锂电池电芯钢壳、锂电池电芯铝壳、铁粉、锂电池电芯隔膜粉收集后暂存于一般固废仓库，定期交由专业公司回收利用；废布袋和滤布、废包装袋，收集后暂存于一般固废仓库，定期外售综合利用</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生活垃圾交由环卫部门处理。</w:t>
      </w:r>
      <w:r>
        <w:rPr>
          <w:rFonts w:hint="eastAsia" w:ascii="仿宋" w:hAnsi="仿宋" w:eastAsia="仿宋" w:cs="仿宋"/>
          <w:color w:val="auto"/>
          <w:kern w:val="2"/>
          <w:sz w:val="32"/>
          <w:szCs w:val="32"/>
          <w:highlight w:val="none"/>
        </w:rPr>
        <w:t>一般工业固体废物贮存执行</w:t>
      </w:r>
      <w:r>
        <w:rPr>
          <w:rFonts w:hint="eastAsia" w:ascii="仿宋" w:hAnsi="仿宋" w:eastAsia="仿宋" w:cs="仿宋"/>
          <w:color w:val="auto"/>
          <w:sz w:val="32"/>
          <w:szCs w:val="32"/>
          <w:highlight w:val="none"/>
        </w:rPr>
        <w:t>《一般工业固体废物贮存和填埋污染控制标准》（GB18599-2020）</w:t>
      </w:r>
      <w:r>
        <w:rPr>
          <w:rFonts w:hint="eastAsia" w:ascii="仿宋" w:hAnsi="仿宋" w:eastAsia="仿宋" w:cs="仿宋"/>
          <w:color w:val="auto"/>
          <w:kern w:val="2"/>
          <w:sz w:val="32"/>
          <w:szCs w:val="32"/>
          <w:highlight w:val="none"/>
        </w:rPr>
        <w:t>标准要求。</w:t>
      </w:r>
    </w:p>
    <w:p>
      <w:pPr>
        <w:keepNext w:val="0"/>
        <w:keepLines w:val="0"/>
        <w:pageBreakBefore w:val="0"/>
        <w:widowControl w:val="0"/>
        <w:kinsoku/>
        <w:wordWrap/>
        <w:overflowPunct/>
        <w:topLinePunct w:val="0"/>
        <w:autoSpaceDE/>
        <w:autoSpaceDN/>
        <w:bidi w:val="0"/>
        <w:spacing w:line="420" w:lineRule="exact"/>
        <w:ind w:firstLine="640"/>
        <w:textAlignment w:val="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6、加强营运期风险防范。严格落实报告书提出的各项环境风</w:t>
      </w:r>
      <w:bookmarkStart w:id="0" w:name="_GoBack"/>
      <w:bookmarkEnd w:id="0"/>
      <w:r>
        <w:rPr>
          <w:rFonts w:hint="eastAsia" w:ascii="仿宋" w:hAnsi="仿宋" w:eastAsia="仿宋" w:cs="仿宋"/>
          <w:color w:val="auto"/>
          <w:sz w:val="32"/>
          <w:szCs w:val="32"/>
          <w:highlight w:val="none"/>
        </w:rPr>
        <w:t>险防范措施，按照《突发环境事件应急管理办法》制定完善突发环境事件应急预案，储备风险救助物资并组织演练，杜绝环境风险事故发生。</w:t>
      </w:r>
    </w:p>
    <w:p>
      <w:pPr>
        <w:keepNext w:val="0"/>
        <w:keepLines w:val="0"/>
        <w:pageBreakBefore w:val="0"/>
        <w:widowControl w:val="0"/>
        <w:kinsoku/>
        <w:wordWrap/>
        <w:overflowPunct/>
        <w:topLinePunct w:val="0"/>
        <w:autoSpaceDE/>
        <w:autoSpaceDN/>
        <w:bidi w:val="0"/>
        <w:spacing w:line="420" w:lineRule="exact"/>
        <w:ind w:firstLine="640"/>
        <w:textAlignment w:val="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7、加强环境管理。建立健全污染防治设施运行管理台帐，设专门的环保机构及环保人员，确保各项污染防治设施的正常运行，各类污染物稳定达标排放。</w:t>
      </w:r>
    </w:p>
    <w:p>
      <w:pPr>
        <w:keepNext w:val="0"/>
        <w:keepLines w:val="0"/>
        <w:pageBreakBefore w:val="0"/>
        <w:widowControl w:val="0"/>
        <w:kinsoku/>
        <w:wordWrap/>
        <w:overflowPunct/>
        <w:topLinePunct w:val="0"/>
        <w:autoSpaceDE/>
        <w:autoSpaceDN/>
        <w:bidi w:val="0"/>
        <w:spacing w:line="420" w:lineRule="exact"/>
        <w:ind w:firstLine="640" w:firstLineChars="200"/>
        <w:textAlignment w:val="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8、你公司核定的总量指标为：</w:t>
      </w:r>
      <w:r>
        <w:rPr>
          <w:rFonts w:hint="eastAsia" w:ascii="仿宋" w:hAnsi="仿宋" w:eastAsia="仿宋" w:cs="仿宋"/>
          <w:color w:val="auto"/>
          <w:kern w:val="0"/>
          <w:sz w:val="32"/>
          <w:szCs w:val="32"/>
          <w:highlight w:val="none"/>
        </w:rPr>
        <w:t>SO</w:t>
      </w:r>
      <w:r>
        <w:rPr>
          <w:rFonts w:hint="eastAsia" w:ascii="仿宋" w:hAnsi="仿宋" w:eastAsia="仿宋" w:cs="仿宋"/>
          <w:color w:val="auto"/>
          <w:kern w:val="0"/>
          <w:sz w:val="32"/>
          <w:szCs w:val="32"/>
          <w:highlight w:val="none"/>
          <w:vertAlign w:val="subscript"/>
        </w:rPr>
        <w:t>2</w:t>
      </w:r>
      <w:r>
        <w:rPr>
          <w:rFonts w:hint="eastAsia" w:ascii="仿宋" w:hAnsi="仿宋" w:eastAsia="仿宋" w:cs="仿宋"/>
          <w:color w:val="auto"/>
          <w:sz w:val="32"/>
          <w:szCs w:val="32"/>
          <w:highlight w:val="none"/>
        </w:rPr>
        <w:t>≤0.1</w:t>
      </w:r>
      <w:r>
        <w:rPr>
          <w:rFonts w:hint="eastAsia" w:ascii="仿宋" w:hAnsi="仿宋" w:eastAsia="仿宋" w:cs="仿宋"/>
          <w:color w:val="auto"/>
          <w:kern w:val="0"/>
          <w:sz w:val="32"/>
          <w:szCs w:val="32"/>
          <w:highlight w:val="none"/>
        </w:rPr>
        <w:t>t/a、NOx</w:t>
      </w:r>
      <w:r>
        <w:rPr>
          <w:rFonts w:hint="eastAsia" w:ascii="仿宋" w:hAnsi="仿宋" w:eastAsia="仿宋" w:cs="仿宋"/>
          <w:color w:val="auto"/>
          <w:sz w:val="32"/>
          <w:szCs w:val="32"/>
          <w:highlight w:val="none"/>
        </w:rPr>
        <w:t>≤1.6</w:t>
      </w:r>
      <w:r>
        <w:rPr>
          <w:rFonts w:hint="eastAsia" w:ascii="仿宋" w:hAnsi="仿宋" w:eastAsia="仿宋" w:cs="仿宋"/>
          <w:color w:val="auto"/>
          <w:kern w:val="0"/>
          <w:sz w:val="32"/>
          <w:szCs w:val="32"/>
          <w:highlight w:val="none"/>
        </w:rPr>
        <w:t>t/a、VOCS</w:t>
      </w:r>
      <w:r>
        <w:rPr>
          <w:rFonts w:hint="eastAsia" w:ascii="仿宋" w:hAnsi="仿宋" w:eastAsia="仿宋" w:cs="仿宋"/>
          <w:color w:val="auto"/>
          <w:sz w:val="32"/>
          <w:szCs w:val="32"/>
          <w:highlight w:val="none"/>
        </w:rPr>
        <w:t>≤7.1</w:t>
      </w:r>
      <w:r>
        <w:rPr>
          <w:rFonts w:hint="eastAsia" w:ascii="仿宋" w:hAnsi="仿宋" w:eastAsia="仿宋" w:cs="仿宋"/>
          <w:color w:val="auto"/>
          <w:kern w:val="0"/>
          <w:sz w:val="32"/>
          <w:szCs w:val="32"/>
          <w:highlight w:val="none"/>
        </w:rPr>
        <w:t>t/a</w:t>
      </w:r>
      <w:r>
        <w:rPr>
          <w:rFonts w:hint="eastAsia" w:ascii="仿宋" w:hAnsi="仿宋" w:eastAsia="仿宋" w:cs="仿宋"/>
          <w:color w:val="auto"/>
          <w:sz w:val="32"/>
          <w:szCs w:val="32"/>
          <w:highlight w:val="none"/>
        </w:rPr>
        <w:t>、镍≤77kg/a、钴≤20kg/a、锰≤33kg/a。</w:t>
      </w:r>
    </w:p>
    <w:p>
      <w:pPr>
        <w:keepNext w:val="0"/>
        <w:keepLines w:val="0"/>
        <w:pageBreakBefore w:val="0"/>
        <w:widowControl w:val="0"/>
        <w:kinsoku/>
        <w:wordWrap/>
        <w:overflowPunct/>
        <w:topLinePunct w:val="0"/>
        <w:autoSpaceDE/>
        <w:autoSpaceDN/>
        <w:bidi w:val="0"/>
        <w:spacing w:line="420" w:lineRule="exact"/>
        <w:ind w:firstLine="640"/>
        <w:textAlignment w:val="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三、你公司应在收到本批复后15个工作日内，将批复及批准的环评报告文本送至岳阳市生态环境局汩罗分局、湖南隆宇环保科技有限公司。</w:t>
      </w:r>
    </w:p>
    <w:p>
      <w:pPr>
        <w:keepNext w:val="0"/>
        <w:keepLines w:val="0"/>
        <w:pageBreakBefore w:val="0"/>
        <w:widowControl w:val="0"/>
        <w:kinsoku/>
        <w:wordWrap/>
        <w:overflowPunct/>
        <w:topLinePunct w:val="0"/>
        <w:autoSpaceDE/>
        <w:autoSpaceDN/>
        <w:bidi w:val="0"/>
        <w:spacing w:line="420" w:lineRule="exact"/>
        <w:ind w:firstLine="640" w:firstLineChars="200"/>
        <w:textAlignment w:val="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四、请岳阳市生态环境局汩罗分局负责项目建设期和运营期的日常环境监管。</w:t>
      </w:r>
    </w:p>
    <w:p>
      <w:pPr>
        <w:pStyle w:val="14"/>
        <w:spacing w:line="240" w:lineRule="auto"/>
        <w:ind w:firstLine="5760" w:firstLineChars="1800"/>
        <w:rPr>
          <w:rFonts w:ascii="仿宋" w:hAnsi="仿宋" w:eastAsia="仿宋" w:cs="仿宋"/>
          <w:color w:val="auto"/>
          <w:kern w:val="2"/>
          <w:sz w:val="32"/>
          <w:szCs w:val="32"/>
          <w:highlight w:val="none"/>
        </w:rPr>
      </w:pPr>
      <w:r>
        <w:rPr>
          <w:rFonts w:hint="eastAsia" w:ascii="仿宋" w:hAnsi="仿宋" w:eastAsia="仿宋" w:cs="仿宋"/>
          <w:color w:val="auto"/>
          <w:kern w:val="2"/>
          <w:sz w:val="32"/>
          <w:szCs w:val="32"/>
          <w:highlight w:val="none"/>
        </w:rPr>
        <w:t>岳阳市生态环境局</w:t>
      </w:r>
    </w:p>
    <w:p>
      <w:pPr>
        <w:ind w:firstLine="5760" w:firstLineChars="18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2023年</w:t>
      </w:r>
      <w:r>
        <w:rPr>
          <w:rFonts w:hint="eastAsia" w:ascii="仿宋" w:hAnsi="仿宋" w:eastAsia="仿宋" w:cs="仿宋"/>
          <w:color w:val="auto"/>
          <w:sz w:val="32"/>
          <w:szCs w:val="32"/>
          <w:highlight w:val="none"/>
          <w:lang w:val="en-US" w:eastAsia="zh-CN"/>
        </w:rPr>
        <w:t>9</w:t>
      </w:r>
      <w:r>
        <w:rPr>
          <w:rFonts w:hint="eastAsia" w:ascii="仿宋" w:hAnsi="仿宋" w:eastAsia="仿宋" w:cs="仿宋"/>
          <w:color w:val="auto"/>
          <w:sz w:val="32"/>
          <w:szCs w:val="32"/>
          <w:highlight w:val="none"/>
        </w:rPr>
        <w:t xml:space="preserve"> 月</w:t>
      </w:r>
      <w:r>
        <w:rPr>
          <w:rFonts w:hint="eastAsia" w:ascii="仿宋" w:hAnsi="仿宋" w:eastAsia="仿宋" w:cs="仿宋"/>
          <w:color w:val="auto"/>
          <w:sz w:val="32"/>
          <w:szCs w:val="32"/>
          <w:highlight w:val="none"/>
          <w:lang w:val="en-US" w:eastAsia="zh-CN"/>
        </w:rPr>
        <w:t>22</w:t>
      </w:r>
      <w:r>
        <w:rPr>
          <w:rFonts w:hint="eastAsia" w:ascii="仿宋" w:hAnsi="仿宋" w:eastAsia="仿宋" w:cs="仿宋"/>
          <w:color w:val="auto"/>
          <w:sz w:val="32"/>
          <w:szCs w:val="32"/>
          <w:highlight w:val="none"/>
        </w:rPr>
        <w:t>日</w:t>
      </w:r>
    </w:p>
    <w:sectPr>
      <w:footerReference r:id="rId3" w:type="default"/>
      <w:pgSz w:w="11906" w:h="16838"/>
      <w:pgMar w:top="1304" w:right="1417" w:bottom="1247" w:left="1474"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18030">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2</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53FA24"/>
    <w:multiLevelType w:val="multilevel"/>
    <w:tmpl w:val="8153FA24"/>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doNotUseIndentAsNumberingTabStop/>
    <w:compatSetting w:name="compatibilityMode" w:uri="http://schemas.microsoft.com/office/word" w:val="12"/>
  </w:compat>
  <w:docVars>
    <w:docVar w:name="commondata" w:val="eyJoZGlkIjoiOGNkMjg1ODhjOWQ3OWY3OTI4MjNmY2I5ODNhZmUzNWYifQ=="/>
  </w:docVars>
  <w:rsids>
    <w:rsidRoot w:val="009D12B8"/>
    <w:rsid w:val="00256187"/>
    <w:rsid w:val="002A736C"/>
    <w:rsid w:val="005D7827"/>
    <w:rsid w:val="008450AB"/>
    <w:rsid w:val="009D12B8"/>
    <w:rsid w:val="00D872EB"/>
    <w:rsid w:val="07053064"/>
    <w:rsid w:val="0D464D9C"/>
    <w:rsid w:val="0EDF085E"/>
    <w:rsid w:val="111D6B22"/>
    <w:rsid w:val="11E132E5"/>
    <w:rsid w:val="14A8633C"/>
    <w:rsid w:val="19B95627"/>
    <w:rsid w:val="1CA67605"/>
    <w:rsid w:val="1EB81009"/>
    <w:rsid w:val="1EFF02BE"/>
    <w:rsid w:val="221B4339"/>
    <w:rsid w:val="239C5258"/>
    <w:rsid w:val="24077275"/>
    <w:rsid w:val="261052EB"/>
    <w:rsid w:val="2955318E"/>
    <w:rsid w:val="2A283DC1"/>
    <w:rsid w:val="2AEB152E"/>
    <w:rsid w:val="2C1B357C"/>
    <w:rsid w:val="2E1B26D3"/>
    <w:rsid w:val="2F1F78F1"/>
    <w:rsid w:val="31B616AB"/>
    <w:rsid w:val="343048B7"/>
    <w:rsid w:val="354E337F"/>
    <w:rsid w:val="40AE01D2"/>
    <w:rsid w:val="40C81AA1"/>
    <w:rsid w:val="425014D4"/>
    <w:rsid w:val="43624978"/>
    <w:rsid w:val="4A6E400D"/>
    <w:rsid w:val="4AED1AA1"/>
    <w:rsid w:val="4C7B06ED"/>
    <w:rsid w:val="506317AD"/>
    <w:rsid w:val="561740FC"/>
    <w:rsid w:val="5C21032B"/>
    <w:rsid w:val="5C747CC1"/>
    <w:rsid w:val="5DEA21A7"/>
    <w:rsid w:val="5EAB324C"/>
    <w:rsid w:val="5F267129"/>
    <w:rsid w:val="6206450C"/>
    <w:rsid w:val="62F034B0"/>
    <w:rsid w:val="658D68FE"/>
    <w:rsid w:val="69FF27F5"/>
    <w:rsid w:val="6E132DD6"/>
    <w:rsid w:val="6FC63DE4"/>
    <w:rsid w:val="6FF50732"/>
    <w:rsid w:val="71202E86"/>
    <w:rsid w:val="75DF24C1"/>
    <w:rsid w:val="77DC1DDA"/>
    <w:rsid w:val="79E30C80"/>
    <w:rsid w:val="7DA625D1"/>
    <w:rsid w:val="7FA206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link w:val="15"/>
    <w:qFormat/>
    <w:uiPriority w:val="0"/>
    <w:pPr>
      <w:keepNext/>
      <w:keepLines/>
      <w:spacing w:line="576" w:lineRule="auto"/>
      <w:outlineLvl w:val="0"/>
    </w:pPr>
    <w:rPr>
      <w:b/>
      <w:kern w:val="44"/>
      <w:sz w:val="44"/>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jc w:val="center"/>
    </w:pPr>
    <w:rPr>
      <w:rFonts w:ascii="Times New Roman" w:hAnsi="Times New Roman" w:eastAsia="宋体" w:cs="Times New Roman"/>
      <w:b/>
      <w:bCs/>
      <w:sz w:val="32"/>
    </w:rPr>
  </w:style>
  <w:style w:type="paragraph" w:customStyle="1" w:styleId="3">
    <w:name w:val="xl27"/>
    <w:next w:val="4"/>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sz w:val="21"/>
      <w:szCs w:val="24"/>
      <w:lang w:val="en-US" w:eastAsia="zh-CN" w:bidi="ar-SA"/>
    </w:rPr>
  </w:style>
  <w:style w:type="paragraph" w:styleId="4">
    <w:name w:val="Body Text Indent 2"/>
    <w:basedOn w:val="1"/>
    <w:next w:val="1"/>
    <w:qFormat/>
    <w:uiPriority w:val="0"/>
    <w:pPr>
      <w:spacing w:after="120" w:line="480" w:lineRule="auto"/>
      <w:ind w:left="420" w:leftChars="200"/>
    </w:pPr>
    <w:rPr>
      <w:rFonts w:ascii="Times New Roman" w:hAnsi="Times New Roman" w:eastAsia="宋体" w:cs="Times New Roman"/>
    </w:rPr>
  </w:style>
  <w:style w:type="paragraph" w:styleId="6">
    <w:name w:val="annotation text"/>
    <w:basedOn w:val="1"/>
    <w:link w:val="21"/>
    <w:qFormat/>
    <w:uiPriority w:val="0"/>
    <w:pPr>
      <w:jc w:val="left"/>
    </w:pPr>
  </w:style>
  <w:style w:type="paragraph" w:styleId="7">
    <w:name w:val="Balloon Text"/>
    <w:basedOn w:val="1"/>
    <w:link w:val="23"/>
    <w:qFormat/>
    <w:uiPriority w:val="0"/>
    <w:rPr>
      <w:sz w:val="18"/>
      <w:szCs w:val="18"/>
    </w:rPr>
  </w:style>
  <w:style w:type="paragraph" w:styleId="8">
    <w:name w:val="footer"/>
    <w:basedOn w:val="1"/>
    <w:link w:val="18"/>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annotation subject"/>
    <w:basedOn w:val="6"/>
    <w:next w:val="6"/>
    <w:link w:val="22"/>
    <w:qFormat/>
    <w:uiPriority w:val="0"/>
    <w:rPr>
      <w:b/>
      <w:bCs/>
    </w:rPr>
  </w:style>
  <w:style w:type="character" w:styleId="13">
    <w:name w:val="annotation reference"/>
    <w:basedOn w:val="12"/>
    <w:qFormat/>
    <w:uiPriority w:val="0"/>
    <w:rPr>
      <w:sz w:val="21"/>
      <w:szCs w:val="21"/>
    </w:rPr>
  </w:style>
  <w:style w:type="paragraph" w:customStyle="1" w:styleId="14">
    <w:name w:val="0"/>
    <w:basedOn w:val="1"/>
    <w:qFormat/>
    <w:uiPriority w:val="0"/>
    <w:pPr>
      <w:widowControl/>
      <w:snapToGrid w:val="0"/>
      <w:spacing w:line="365" w:lineRule="atLeast"/>
      <w:ind w:left="1"/>
    </w:pPr>
    <w:rPr>
      <w:rFonts w:ascii="Times New Roman" w:hAnsi="Times New Roman" w:eastAsia="宋体" w:cs="Times New Roman"/>
      <w:kern w:val="0"/>
      <w:sz w:val="20"/>
      <w:szCs w:val="20"/>
    </w:rPr>
  </w:style>
  <w:style w:type="character" w:customStyle="1" w:styleId="15">
    <w:name w:val="标题 1 Char"/>
    <w:basedOn w:val="12"/>
    <w:link w:val="5"/>
    <w:qFormat/>
    <w:uiPriority w:val="0"/>
    <w:rPr>
      <w:b/>
      <w:bCs/>
      <w:kern w:val="44"/>
      <w:sz w:val="32"/>
      <w:szCs w:val="32"/>
    </w:rPr>
  </w:style>
  <w:style w:type="paragraph" w:customStyle="1" w:styleId="16">
    <w:name w:val="p0"/>
    <w:basedOn w:val="1"/>
    <w:qFormat/>
    <w:uiPriority w:val="0"/>
    <w:pPr>
      <w:widowControl/>
    </w:pPr>
    <w:rPr>
      <w:rFonts w:ascii="Calibri" w:hAnsi="Calibri" w:eastAsia="宋体" w:cs="Times New Roman"/>
      <w:kern w:val="0"/>
      <w:szCs w:val="21"/>
    </w:rPr>
  </w:style>
  <w:style w:type="paragraph" w:customStyle="1" w:styleId="17">
    <w:name w:val="正文1"/>
    <w:basedOn w:val="1"/>
    <w:next w:val="1"/>
    <w:qFormat/>
    <w:uiPriority w:val="0"/>
    <w:pPr>
      <w:spacing w:line="360" w:lineRule="auto"/>
      <w:ind w:firstLine="723" w:firstLineChars="200"/>
    </w:pPr>
    <w:rPr>
      <w:rFonts w:ascii="Calibri" w:hAnsi="Calibri" w:eastAsia="宋体" w:cs="Times New Roman"/>
      <w:kern w:val="0"/>
      <w:sz w:val="24"/>
      <w:szCs w:val="20"/>
    </w:rPr>
  </w:style>
  <w:style w:type="character" w:customStyle="1" w:styleId="18">
    <w:name w:val="页脚 Char"/>
    <w:basedOn w:val="12"/>
    <w:link w:val="8"/>
    <w:qFormat/>
    <w:uiPriority w:val="0"/>
    <w:rPr>
      <w:kern w:val="2"/>
      <w:sz w:val="18"/>
    </w:rPr>
  </w:style>
  <w:style w:type="paragraph" w:customStyle="1" w:styleId="19">
    <w:name w:val="正文1xw"/>
    <w:next w:val="1"/>
    <w:qFormat/>
    <w:uiPriority w:val="0"/>
    <w:pPr>
      <w:widowControl w:val="0"/>
      <w:spacing w:line="360" w:lineRule="auto"/>
      <w:ind w:firstLine="723" w:firstLineChars="200"/>
      <w:jc w:val="both"/>
    </w:pPr>
    <w:rPr>
      <w:rFonts w:ascii="Times New Roman" w:hAnsi="Times New Roman" w:eastAsia="宋体" w:cs="Times New Roman"/>
      <w:sz w:val="24"/>
      <w:lang w:val="en-US" w:eastAsia="zh-CN" w:bidi="ar-SA"/>
    </w:rPr>
  </w:style>
  <w:style w:type="paragraph" w:customStyle="1" w:styleId="20">
    <w:name w:val="表字体xw"/>
    <w:next w:val="1"/>
    <w:qFormat/>
    <w:uiPriority w:val="0"/>
    <w:pPr>
      <w:widowControl w:val="0"/>
      <w:jc w:val="center"/>
    </w:pPr>
    <w:rPr>
      <w:rFonts w:ascii="Times New Roman" w:hAnsi="Times New Roman" w:eastAsia="宋体" w:cs="Times New Roman"/>
      <w:kern w:val="2"/>
      <w:sz w:val="21"/>
      <w:szCs w:val="21"/>
      <w:lang w:val="en-US" w:eastAsia="zh-CN" w:bidi="ar-SA"/>
    </w:rPr>
  </w:style>
  <w:style w:type="character" w:customStyle="1" w:styleId="21">
    <w:name w:val="批注文字 Char"/>
    <w:basedOn w:val="12"/>
    <w:link w:val="6"/>
    <w:qFormat/>
    <w:uiPriority w:val="0"/>
    <w:rPr>
      <w:rFonts w:asciiTheme="minorHAnsi" w:hAnsiTheme="minorHAnsi" w:eastAsiaTheme="minorEastAsia" w:cstheme="minorBidi"/>
      <w:kern w:val="2"/>
      <w:sz w:val="21"/>
      <w:szCs w:val="24"/>
    </w:rPr>
  </w:style>
  <w:style w:type="character" w:customStyle="1" w:styleId="22">
    <w:name w:val="批注主题 Char"/>
    <w:basedOn w:val="21"/>
    <w:link w:val="10"/>
    <w:qFormat/>
    <w:uiPriority w:val="0"/>
    <w:rPr>
      <w:b/>
      <w:bCs/>
    </w:rPr>
  </w:style>
  <w:style w:type="character" w:customStyle="1" w:styleId="23">
    <w:name w:val="批注框文本 Char"/>
    <w:basedOn w:val="12"/>
    <w:link w:val="7"/>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515</Words>
  <Characters>2939</Characters>
  <Lines>24</Lines>
  <Paragraphs>6</Paragraphs>
  <TotalTime>33</TotalTime>
  <ScaleCrop>false</ScaleCrop>
  <LinksUpToDate>false</LinksUpToDate>
  <CharactersWithSpaces>3448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2023-09-18T08:48:00Z</dcterms:created>
  <dc:creator>LENOVO</dc:creator>
  <cp:lastModifiedBy>尹丰平</cp:lastModifiedBy>
  <cp:lastPrinted>2023-09-20T09:11:50Z</cp:lastPrinted>
  <dcterms:modified xsi:type="dcterms:W3CDTF">2023-09-20T09:21:27Z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CF649DFBCC2548C4B4191F29E8A10B3A</vt:lpwstr>
  </property>
</Properties>
</file>