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Times New Roman" w:hAnsi="Times New Roman" w:eastAsia="宋体" w:cs="Times New Roman"/>
          <w:b/>
          <w:bCs/>
          <w:sz w:val="48"/>
          <w:szCs w:val="48"/>
          <w:highlight w:val="none"/>
        </w:rPr>
      </w:pPr>
      <w:r>
        <w:rPr>
          <w:rFonts w:ascii="Times New Roman" w:hAnsi="Times New Roman" w:eastAsia="宋体" w:cs="Times New Roman"/>
          <w:b/>
          <w:bCs/>
          <w:sz w:val="48"/>
          <w:szCs w:val="48"/>
          <w:highlight w:val="none"/>
        </w:rPr>
        <w:t>湖南博泰管业有限公司</w:t>
      </w:r>
    </w:p>
    <w:p>
      <w:pPr>
        <w:ind w:firstLine="0" w:firstLineChars="0"/>
        <w:jc w:val="center"/>
        <w:rPr>
          <w:rFonts w:ascii="Times New Roman" w:hAnsi="Times New Roman" w:eastAsia="宋体" w:cs="Times New Roman"/>
          <w:b/>
          <w:bCs/>
          <w:sz w:val="48"/>
          <w:szCs w:val="48"/>
          <w:highlight w:val="none"/>
        </w:rPr>
      </w:pPr>
      <w:r>
        <w:rPr>
          <w:rFonts w:hint="eastAsia" w:cs="Times New Roman"/>
          <w:b/>
          <w:bCs/>
          <w:sz w:val="48"/>
          <w:szCs w:val="48"/>
          <w:highlight w:val="none"/>
          <w:lang w:eastAsia="zh-CN"/>
        </w:rPr>
        <w:t>年产3万吨高分子材料精深制品建设项目</w:t>
      </w:r>
      <w:r>
        <w:rPr>
          <w:rFonts w:ascii="Times New Roman" w:hAnsi="Times New Roman" w:eastAsia="宋体" w:cs="Times New Roman"/>
          <w:b/>
          <w:bCs/>
          <w:sz w:val="48"/>
          <w:szCs w:val="48"/>
          <w:highlight w:val="none"/>
        </w:rPr>
        <w:t>环境影响报告书</w:t>
      </w:r>
    </w:p>
    <w:p>
      <w:pPr>
        <w:ind w:firstLine="0" w:firstLineChars="0"/>
        <w:jc w:val="center"/>
        <w:rPr>
          <w:rFonts w:ascii="Times New Roman" w:hAnsi="Times New Roman" w:cs="Times New Roman"/>
          <w:sz w:val="36"/>
          <w:szCs w:val="36"/>
          <w:highlight w:val="none"/>
        </w:rPr>
      </w:pPr>
    </w:p>
    <w:p>
      <w:pPr>
        <w:ind w:firstLine="0" w:firstLineChars="0"/>
        <w:jc w:val="center"/>
        <w:rPr>
          <w:rFonts w:ascii="Times New Roman" w:hAnsi="Times New Roman" w:cs="Times New Roman"/>
          <w:sz w:val="36"/>
          <w:szCs w:val="36"/>
          <w:highlight w:val="none"/>
        </w:rPr>
      </w:pPr>
    </w:p>
    <w:p>
      <w:pPr>
        <w:ind w:firstLine="0" w:firstLineChars="0"/>
        <w:jc w:val="center"/>
        <w:rPr>
          <w:rFonts w:ascii="Times New Roman" w:hAnsi="Times New Roman" w:cs="Times New Roman"/>
          <w:sz w:val="36"/>
          <w:szCs w:val="36"/>
          <w:highlight w:val="none"/>
        </w:rPr>
      </w:pPr>
    </w:p>
    <w:p>
      <w:pPr>
        <w:ind w:firstLine="0" w:firstLineChars="0"/>
        <w:jc w:val="center"/>
        <w:rPr>
          <w:rFonts w:ascii="Times New Roman" w:hAnsi="Times New Roman" w:cs="Times New Roman"/>
          <w:b/>
          <w:bCs/>
          <w:sz w:val="30"/>
          <w:szCs w:val="30"/>
          <w:highlight w:val="none"/>
        </w:rPr>
      </w:pPr>
    </w:p>
    <w:p>
      <w:pPr>
        <w:widowControl w:val="0"/>
        <w:pBdr>
          <w:top w:val="none" w:color="auto" w:sz="0" w:space="1"/>
          <w:left w:val="none" w:color="auto" w:sz="0" w:space="4"/>
          <w:bottom w:val="none" w:color="auto" w:sz="0" w:space="1"/>
          <w:right w:val="none" w:color="auto" w:sz="0" w:space="4"/>
        </w:pBdr>
        <w:adjustRightInd w:val="0"/>
        <w:snapToGrid w:val="0"/>
        <w:spacing w:line="240" w:lineRule="auto"/>
        <w:ind w:firstLine="0" w:firstLineChars="0"/>
        <w:jc w:val="center"/>
        <w:rPr>
          <w:rFonts w:ascii="Times New Roman" w:hAnsi="Times New Roman" w:eastAsia="宋体" w:cs="Times New Roman"/>
          <w:b/>
          <w:bCs/>
          <w:kern w:val="2"/>
          <w:sz w:val="30"/>
          <w:szCs w:val="30"/>
          <w:highlight w:val="none"/>
          <w:lang w:val="en-US" w:eastAsia="zh-CN" w:bidi="ar-SA"/>
        </w:rPr>
      </w:pPr>
    </w:p>
    <w:p>
      <w:pPr>
        <w:ind w:firstLine="0" w:firstLineChars="0"/>
        <w:jc w:val="center"/>
        <w:rPr>
          <w:rFonts w:ascii="Times New Roman" w:hAnsi="Times New Roman" w:cs="Times New Roman"/>
          <w:highlight w:val="none"/>
        </w:rPr>
      </w:pPr>
    </w:p>
    <w:p>
      <w:pPr>
        <w:ind w:firstLine="0" w:firstLineChars="0"/>
        <w:jc w:val="center"/>
        <w:rPr>
          <w:rFonts w:ascii="Times New Roman" w:hAnsi="Times New Roman" w:cs="Times New Roman"/>
          <w:b/>
          <w:bCs/>
          <w:sz w:val="30"/>
          <w:szCs w:val="30"/>
          <w:highlight w:val="none"/>
        </w:rPr>
      </w:pPr>
    </w:p>
    <w:p>
      <w:pPr>
        <w:ind w:firstLine="0" w:firstLineChars="0"/>
        <w:jc w:val="center"/>
        <w:rPr>
          <w:rFonts w:ascii="Times New Roman" w:hAnsi="Times New Roman" w:cs="Times New Roman"/>
          <w:b/>
          <w:bCs/>
          <w:sz w:val="30"/>
          <w:szCs w:val="30"/>
          <w:highlight w:val="none"/>
        </w:rPr>
      </w:pPr>
    </w:p>
    <w:p>
      <w:pPr>
        <w:ind w:firstLine="0" w:firstLineChars="0"/>
        <w:jc w:val="center"/>
        <w:rPr>
          <w:rFonts w:ascii="Times New Roman" w:hAnsi="Times New Roman" w:cs="Times New Roman"/>
          <w:b/>
          <w:bCs/>
          <w:sz w:val="30"/>
          <w:szCs w:val="30"/>
          <w:highlight w:val="none"/>
        </w:rPr>
      </w:pPr>
    </w:p>
    <w:p>
      <w:pPr>
        <w:ind w:firstLine="0" w:firstLineChars="0"/>
        <w:jc w:val="center"/>
        <w:rPr>
          <w:rFonts w:ascii="Times New Roman" w:hAnsi="Times New Roman" w:cs="Times New Roman"/>
          <w:b/>
          <w:bCs/>
          <w:sz w:val="30"/>
          <w:szCs w:val="30"/>
          <w:highlight w:val="none"/>
        </w:rPr>
      </w:pPr>
    </w:p>
    <w:p>
      <w:pPr>
        <w:pStyle w:val="2"/>
        <w:rPr>
          <w:rFonts w:ascii="Times New Roman" w:hAnsi="Times New Roman" w:cs="Times New Roman"/>
          <w:b/>
          <w:bCs/>
          <w:sz w:val="30"/>
          <w:szCs w:val="30"/>
          <w:highlight w:val="none"/>
        </w:rPr>
      </w:pPr>
    </w:p>
    <w:p>
      <w:pPr>
        <w:pStyle w:val="19"/>
        <w:rPr>
          <w:rFonts w:ascii="Times New Roman" w:hAnsi="Times New Roman" w:cs="Times New Roman"/>
          <w:b/>
          <w:bCs/>
          <w:sz w:val="30"/>
          <w:szCs w:val="30"/>
          <w:highlight w:val="none"/>
        </w:rPr>
      </w:pPr>
    </w:p>
    <w:p>
      <w:pPr>
        <w:pStyle w:val="20"/>
        <w:rPr>
          <w:rFonts w:ascii="Times New Roman" w:hAnsi="Times New Roman" w:cs="Times New Roman"/>
          <w:b/>
          <w:bCs/>
          <w:sz w:val="30"/>
          <w:szCs w:val="30"/>
          <w:highlight w:val="none"/>
        </w:rPr>
      </w:pPr>
    </w:p>
    <w:p>
      <w:pPr>
        <w:pStyle w:val="19"/>
      </w:pPr>
    </w:p>
    <w:p>
      <w:pPr>
        <w:ind w:left="0" w:leftChars="0" w:firstLine="0" w:firstLineChars="0"/>
        <w:jc w:val="both"/>
        <w:rPr>
          <w:rFonts w:hint="default" w:ascii="Times New Roman" w:hAnsi="Times New Roman" w:cs="Times New Roman"/>
          <w:b/>
          <w:bCs/>
          <w:sz w:val="36"/>
          <w:szCs w:val="36"/>
          <w:highlight w:val="none"/>
          <w:lang w:val="en-US"/>
        </w:rPr>
      </w:pPr>
      <w:r>
        <w:rPr>
          <w:rFonts w:ascii="Times New Roman" w:hAnsi="Times New Roman" w:cs="Times New Roman"/>
          <w:b/>
          <w:bCs/>
          <w:sz w:val="36"/>
          <w:szCs w:val="36"/>
          <w:highlight w:val="none"/>
        </w:rPr>
        <w:t>建设单位：</w:t>
      </w:r>
      <w:r>
        <w:rPr>
          <w:rFonts w:hint="eastAsia" w:cs="Times New Roman"/>
          <w:b/>
          <w:bCs/>
          <w:sz w:val="36"/>
          <w:szCs w:val="36"/>
          <w:highlight w:val="none"/>
          <w:u w:val="single"/>
          <w:lang w:val="en-US" w:eastAsia="zh-CN"/>
        </w:rPr>
        <w:t xml:space="preserve"> </w:t>
      </w:r>
      <w:r>
        <w:rPr>
          <w:rFonts w:hint="eastAsia" w:ascii="Times New Roman" w:hAnsi="Times New Roman" w:eastAsia="宋体" w:cs="Times New Roman"/>
          <w:b/>
          <w:bCs/>
          <w:sz w:val="36"/>
          <w:szCs w:val="36"/>
          <w:u w:val="single"/>
          <w:lang w:val="en-US" w:eastAsia="zh-CN"/>
        </w:rPr>
        <w:t xml:space="preserve">   </w:t>
      </w:r>
      <w:r>
        <w:rPr>
          <w:rFonts w:hint="eastAsia" w:ascii="Times New Roman" w:hAnsi="Times New Roman" w:eastAsia="宋体" w:cs="Times New Roman"/>
          <w:b/>
          <w:bCs/>
          <w:sz w:val="36"/>
          <w:szCs w:val="36"/>
          <w:u w:val="single"/>
          <w:lang w:eastAsia="zh-CN"/>
        </w:rPr>
        <w:t>湖南博泰管业有限公司</w:t>
      </w:r>
      <w:r>
        <w:rPr>
          <w:rFonts w:hint="eastAsia" w:ascii="Times New Roman" w:hAnsi="Times New Roman" w:eastAsia="宋体" w:cs="Times New Roman"/>
          <w:b/>
          <w:bCs/>
          <w:sz w:val="36"/>
          <w:szCs w:val="36"/>
          <w:u w:val="single"/>
          <w:lang w:val="en-US" w:eastAsia="zh-CN"/>
        </w:rPr>
        <w:t xml:space="preserve">  </w:t>
      </w:r>
      <w:r>
        <w:rPr>
          <w:rFonts w:hint="eastAsia" w:cs="Times New Roman"/>
          <w:b/>
          <w:bCs/>
          <w:sz w:val="36"/>
          <w:szCs w:val="36"/>
          <w:highlight w:val="none"/>
          <w:u w:val="single"/>
          <w:lang w:val="en-US" w:eastAsia="zh-CN"/>
        </w:rPr>
        <w:t xml:space="preserve">               </w:t>
      </w:r>
    </w:p>
    <w:p>
      <w:pPr>
        <w:ind w:left="0" w:leftChars="0" w:firstLine="0" w:firstLineChars="0"/>
        <w:jc w:val="both"/>
        <w:rPr>
          <w:rFonts w:hint="default" w:ascii="Times New Roman" w:hAnsi="Times New Roman" w:eastAsia="宋体" w:cs="Times New Roman"/>
          <w:b/>
          <w:bCs/>
          <w:sz w:val="36"/>
          <w:szCs w:val="36"/>
          <w:lang w:val="en-US" w:eastAsia="zh-CN"/>
        </w:rPr>
      </w:pPr>
      <w:r>
        <w:rPr>
          <w:rFonts w:ascii="Times New Roman" w:hAnsi="Times New Roman" w:cs="Times New Roman"/>
          <w:b/>
          <w:bCs/>
          <w:sz w:val="36"/>
          <w:szCs w:val="36"/>
        </w:rPr>
        <w:t>编制单位：</w:t>
      </w:r>
      <w:r>
        <w:rPr>
          <w:rFonts w:hint="eastAsia" w:cs="Times New Roman"/>
          <w:b/>
          <w:bCs/>
          <w:sz w:val="36"/>
          <w:szCs w:val="36"/>
          <w:u w:val="single"/>
          <w:lang w:val="en-US" w:eastAsia="zh-CN"/>
        </w:rPr>
        <w:t xml:space="preserve">    湖南省徙木环境科技有限公司                   </w:t>
      </w:r>
    </w:p>
    <w:p>
      <w:pPr>
        <w:ind w:firstLine="0" w:firstLineChars="0"/>
        <w:jc w:val="center"/>
        <w:rPr>
          <w:rFonts w:ascii="Times New Roman" w:hAnsi="Times New Roman" w:cs="Times New Roman"/>
          <w:b/>
          <w:bCs/>
          <w:sz w:val="36"/>
          <w:szCs w:val="36"/>
        </w:rPr>
      </w:pPr>
      <w:r>
        <w:rPr>
          <w:rFonts w:ascii="Times New Roman" w:hAnsi="Times New Roman" w:cs="Times New Roman"/>
          <w:b/>
          <w:bCs/>
          <w:sz w:val="36"/>
          <w:szCs w:val="36"/>
        </w:rPr>
        <w:t>二〇二</w:t>
      </w:r>
      <w:r>
        <w:rPr>
          <w:rFonts w:hint="eastAsia" w:cs="Times New Roman"/>
          <w:b/>
          <w:bCs/>
          <w:sz w:val="36"/>
          <w:szCs w:val="36"/>
          <w:lang w:val="en-US" w:eastAsia="zh-CN"/>
        </w:rPr>
        <w:t>三</w:t>
      </w:r>
      <w:r>
        <w:rPr>
          <w:rFonts w:ascii="Times New Roman" w:hAnsi="Times New Roman" w:cs="Times New Roman"/>
          <w:b/>
          <w:bCs/>
          <w:sz w:val="36"/>
          <w:szCs w:val="36"/>
        </w:rPr>
        <w:t>年</w:t>
      </w:r>
      <w:r>
        <w:rPr>
          <w:rFonts w:hint="eastAsia" w:cs="Times New Roman"/>
          <w:b/>
          <w:bCs/>
          <w:sz w:val="36"/>
          <w:szCs w:val="36"/>
          <w:lang w:val="en-US" w:eastAsia="zh-CN"/>
        </w:rPr>
        <w:t>九</w:t>
      </w:r>
      <w:r>
        <w:rPr>
          <w:rFonts w:ascii="Times New Roman" w:hAnsi="Times New Roman" w:cs="Times New Roman"/>
          <w:b/>
          <w:bCs/>
          <w:sz w:val="36"/>
          <w:szCs w:val="36"/>
        </w:rPr>
        <w:t>月</w:t>
      </w:r>
    </w:p>
    <w:p>
      <w:pPr>
        <w:ind w:firstLine="0" w:firstLineChars="0"/>
        <w:rPr>
          <w:rFonts w:hint="eastAsia" w:eastAsiaTheme="minorEastAsia"/>
          <w:lang w:eastAsia="zh-CN"/>
        </w:rPr>
      </w:pPr>
    </w:p>
    <w:p>
      <w:pPr>
        <w:pStyle w:val="15"/>
        <w:rPr>
          <w:rFonts w:hint="eastAsia" w:eastAsiaTheme="minorEastAsia"/>
          <w:lang w:eastAsia="zh-CN"/>
        </w:rPr>
      </w:pPr>
    </w:p>
    <w:p>
      <w:pPr>
        <w:pStyle w:val="15"/>
        <w:rPr>
          <w:rFonts w:hint="eastAsia" w:eastAsiaTheme="minorEastAsia"/>
          <w:lang w:eastAsia="zh-CN"/>
        </w:rPr>
      </w:pPr>
    </w:p>
    <w:p>
      <w:pPr>
        <w:pStyle w:val="15"/>
        <w:rPr>
          <w:rFonts w:hint="eastAsia" w:eastAsiaTheme="minorEastAsia"/>
          <w:lang w:eastAsia="zh-CN"/>
        </w:rPr>
      </w:pPr>
    </w:p>
    <w:p>
      <w:pPr>
        <w:ind w:firstLine="0" w:firstLineChars="0"/>
        <w:rPr>
          <w:rFonts w:hint="eastAsia" w:eastAsiaTheme="minorEastAsia"/>
          <w:lang w:eastAsia="zh-CN"/>
        </w:rPr>
      </w:pPr>
      <w:r>
        <w:rPr>
          <w:rFonts w:hint="eastAsia" w:eastAsiaTheme="minorEastAsia"/>
          <w:lang w:eastAsia="zh-CN"/>
        </w:rPr>
        <w:drawing>
          <wp:inline distT="0" distB="0" distL="114300" distR="114300">
            <wp:extent cx="5271770" cy="7848600"/>
            <wp:effectExtent l="0" t="0" r="5080" b="0"/>
            <wp:docPr id="15" name="图片 15" descr="edb386aff71da9ab73c0cb1f2b172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db386aff71da9ab73c0cb1f2b172a3"/>
                    <pic:cNvPicPr>
                      <a:picLocks noChangeAspect="1"/>
                    </pic:cNvPicPr>
                  </pic:nvPicPr>
                  <pic:blipFill>
                    <a:blip r:embed="rId20"/>
                    <a:stretch>
                      <a:fillRect/>
                    </a:stretch>
                  </pic:blipFill>
                  <pic:spPr>
                    <a:xfrm>
                      <a:off x="0" y="0"/>
                      <a:ext cx="5271770" cy="7848600"/>
                    </a:xfrm>
                    <a:prstGeom prst="rect">
                      <a:avLst/>
                    </a:prstGeom>
                  </pic:spPr>
                </pic:pic>
              </a:graphicData>
            </a:graphic>
          </wp:inline>
        </w:drawing>
      </w:r>
    </w:p>
    <w:p>
      <w:pPr>
        <w:ind w:firstLine="0" w:firstLineChars="0"/>
        <w:rPr>
          <w:rFonts w:hint="eastAsia" w:eastAsiaTheme="minorEastAsia"/>
          <w:lang w:eastAsia="zh-CN"/>
        </w:rPr>
      </w:pPr>
    </w:p>
    <w:p>
      <w:pPr>
        <w:ind w:firstLine="0" w:firstLineChars="0"/>
        <w:rPr>
          <w:rFonts w:hint="eastAsia" w:eastAsiaTheme="minorEastAsia"/>
          <w:lang w:eastAsia="zh-CN"/>
        </w:rPr>
      </w:pPr>
    </w:p>
    <w:p>
      <w:pPr>
        <w:ind w:firstLine="0" w:firstLineChars="0"/>
        <w:rPr>
          <w:rFonts w:hint="eastAsia" w:eastAsiaTheme="minorEastAsia"/>
          <w:lang w:eastAsia="zh-CN"/>
        </w:rPr>
      </w:pPr>
    </w:p>
    <w:p>
      <w:pPr>
        <w:ind w:firstLine="0" w:firstLineChars="0"/>
        <w:rPr>
          <w:rFonts w:hint="default" w:eastAsiaTheme="minorEastAsia"/>
          <w:lang w:val="en-US" w:eastAsia="zh-CN"/>
        </w:rPr>
      </w:pPr>
      <w:r>
        <w:rPr>
          <w:rFonts w:hint="eastAsia" w:eastAsiaTheme="minorEastAsia"/>
          <w:lang w:val="en-US" w:eastAsia="zh-CN"/>
        </w:rPr>
        <w:t xml:space="preserve"> </w:t>
      </w:r>
      <w:r>
        <w:drawing>
          <wp:inline distT="0" distB="0" distL="114300" distR="114300">
            <wp:extent cx="5237480" cy="7369175"/>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rcRect l="638" t="697" b="655"/>
                    <a:stretch>
                      <a:fillRect/>
                    </a:stretch>
                  </pic:blipFill>
                  <pic:spPr>
                    <a:xfrm>
                      <a:off x="0" y="0"/>
                      <a:ext cx="5237480" cy="7369175"/>
                    </a:xfrm>
                    <a:prstGeom prst="rect">
                      <a:avLst/>
                    </a:prstGeom>
                    <a:noFill/>
                    <a:ln>
                      <a:noFill/>
                    </a:ln>
                  </pic:spPr>
                </pic:pic>
              </a:graphicData>
            </a:graphic>
          </wp:inline>
        </w:drawing>
      </w:r>
    </w:p>
    <w:p>
      <w:pPr>
        <w:ind w:firstLine="0" w:firstLineChars="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sz w:val="21"/>
        </w:rPr>
        <mc:AlternateContent>
          <mc:Choice Requires="wps">
            <w:drawing>
              <wp:anchor distT="0" distB="0" distL="114300" distR="114300" simplePos="0" relativeHeight="251661312" behindDoc="0" locked="0" layoutInCell="1" allowOverlap="1">
                <wp:simplePos x="0" y="0"/>
                <wp:positionH relativeFrom="column">
                  <wp:posOffset>-339090</wp:posOffset>
                </wp:positionH>
                <wp:positionV relativeFrom="paragraph">
                  <wp:posOffset>1877695</wp:posOffset>
                </wp:positionV>
                <wp:extent cx="5409565" cy="466725"/>
                <wp:effectExtent l="0" t="0" r="0" b="0"/>
                <wp:wrapNone/>
                <wp:docPr id="14" name="文本框 14"/>
                <wp:cNvGraphicFramePr/>
                <a:graphic xmlns:a="http://schemas.openxmlformats.org/drawingml/2006/main">
                  <a:graphicData uri="http://schemas.microsoft.com/office/word/2010/wordprocessingShape">
                    <wps:wsp>
                      <wps:cNvSpPr txBox="1"/>
                      <wps:spPr>
                        <a:xfrm rot="19260000">
                          <a:off x="0" y="0"/>
                          <a:ext cx="5409565"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36"/>
                                <w:szCs w:val="44"/>
                                <w:lang w:val="en-US" w:eastAsia="zh-CN"/>
                              </w:rPr>
                            </w:pPr>
                            <w:r>
                              <w:rPr>
                                <w:rFonts w:hint="eastAsia"/>
                                <w:b/>
                                <w:bCs/>
                                <w:sz w:val="36"/>
                                <w:szCs w:val="44"/>
                                <w:lang w:val="en-US" w:eastAsia="zh-CN"/>
                              </w:rPr>
                              <w:t>仅限湖南省徙木环境科技有限公司环评项目使用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pt;margin-top:147.85pt;height:36.75pt;width:425.95pt;rotation:-2555904f;z-index:251661312;mso-width-relative:page;mso-height-relative:page;" filled="f" stroked="f" coordsize="21600,21600" o:gfxdata="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sUXnNkAAAALAQAADwAAAAAAAAABACAA&#10;AAAiAAAAZHJzL2Rvd25yZXYueG1sUEsBAhQAFAAAAAgAh07iQDdJLQlFAgAAdwQAAA4AAAAAAAAA&#10;AQAgAAAAKAEAAGRycy9lMm9Eb2MueG1sUEsFBgAAAAAGAAYAWQEAAN8FAAAAAA==&#10;">
                <v:fill on="f" focussize="0,0"/>
                <v:stroke on="f" weight="0.5pt"/>
                <v:imagedata o:title=""/>
                <o:lock v:ext="edit" aspectratio="f"/>
                <v:textbox>
                  <w:txbxContent>
                    <w:p>
                      <w:pPr>
                        <w:jc w:val="center"/>
                        <w:rPr>
                          <w:rFonts w:hint="default" w:eastAsiaTheme="minorEastAsia"/>
                          <w:b/>
                          <w:bCs/>
                          <w:sz w:val="36"/>
                          <w:szCs w:val="44"/>
                          <w:lang w:val="en-US" w:eastAsia="zh-CN"/>
                        </w:rPr>
                      </w:pPr>
                      <w:r>
                        <w:rPr>
                          <w:rFonts w:hint="eastAsia"/>
                          <w:b/>
                          <w:bCs/>
                          <w:sz w:val="36"/>
                          <w:szCs w:val="44"/>
                          <w:lang w:val="en-US" w:eastAsia="zh-CN"/>
                        </w:rPr>
                        <w:t>仅限湖南省徙木环境科技有限公司环评项目使用</w:t>
                      </w:r>
                    </w:p>
                  </w:txbxContent>
                </v:textbox>
              </v:shape>
            </w:pict>
          </mc:Fallback>
        </mc:AlternateContent>
      </w:r>
      <w:r>
        <w:rPr>
          <w:rFonts w:hint="eastAsia" w:eastAsiaTheme="minorEastAsia"/>
          <w:lang w:eastAsia="zh-CN"/>
        </w:rPr>
        <w:drawing>
          <wp:inline distT="0" distB="0" distL="114300" distR="114300">
            <wp:extent cx="5233035" cy="7531735"/>
            <wp:effectExtent l="0" t="0" r="5715" b="12065"/>
            <wp:docPr id="6" name="图片 6" descr="30c4e803bb2e3b3403108793303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c4e803bb2e3b34031087933034555"/>
                    <pic:cNvPicPr>
                      <a:picLocks noChangeAspect="1"/>
                    </pic:cNvPicPr>
                  </pic:nvPicPr>
                  <pic:blipFill>
                    <a:blip r:embed="rId22"/>
                    <a:stretch>
                      <a:fillRect/>
                    </a:stretch>
                  </pic:blipFill>
                  <pic:spPr>
                    <a:xfrm>
                      <a:off x="0" y="0"/>
                      <a:ext cx="5233035" cy="7531735"/>
                    </a:xfrm>
                    <a:prstGeom prst="rect">
                      <a:avLst/>
                    </a:prstGeom>
                  </pic:spPr>
                </pic:pic>
              </a:graphicData>
            </a:graphic>
          </wp:inline>
        </w:drawing>
      </w:r>
      <w:r>
        <w:rPr>
          <w:sz w:val="21"/>
        </w:rPr>
        <mc:AlternateContent>
          <mc:Choice Requires="wps">
            <w:drawing>
              <wp:anchor distT="0" distB="0" distL="114300" distR="114300" simplePos="0" relativeHeight="251662336" behindDoc="0" locked="0" layoutInCell="1" allowOverlap="1">
                <wp:simplePos x="0" y="0"/>
                <wp:positionH relativeFrom="column">
                  <wp:posOffset>-491490</wp:posOffset>
                </wp:positionH>
                <wp:positionV relativeFrom="paragraph">
                  <wp:posOffset>1725295</wp:posOffset>
                </wp:positionV>
                <wp:extent cx="5409565" cy="466725"/>
                <wp:effectExtent l="0" t="0" r="0" b="0"/>
                <wp:wrapNone/>
                <wp:docPr id="13" name="文本框 13"/>
                <wp:cNvGraphicFramePr/>
                <a:graphic xmlns:a="http://schemas.openxmlformats.org/drawingml/2006/main">
                  <a:graphicData uri="http://schemas.microsoft.com/office/word/2010/wordprocessingShape">
                    <wps:wsp>
                      <wps:cNvSpPr txBox="1"/>
                      <wps:spPr>
                        <a:xfrm rot="19260000">
                          <a:off x="0" y="0"/>
                          <a:ext cx="5409565"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36"/>
                                <w:szCs w:val="44"/>
                                <w:lang w:val="en-US" w:eastAsia="zh-CN"/>
                              </w:rPr>
                            </w:pPr>
                            <w:r>
                              <w:rPr>
                                <w:rFonts w:hint="eastAsia"/>
                                <w:b/>
                                <w:bCs/>
                                <w:sz w:val="36"/>
                                <w:szCs w:val="44"/>
                                <w:lang w:val="en-US" w:eastAsia="zh-CN"/>
                              </w:rPr>
                              <w:t>仅限湖南省徙木环境科技有限公司环评项目使用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7pt;margin-top:135.85pt;height:36.75pt;width:425.95pt;rotation:-2555904f;z-index:251662336;mso-width-relative:page;mso-height-relative:page;" filled="f" stroked="f" coordsize="21600,21600" o:gfxdata="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bbnY2AAAAAsBAAAPAAAAAAAAAAEAIAAA&#10;ACIAAABkcnMvZG93bnJldi54bWxQSwECFAAUAAAACACHTuJA3CwB9UUCAAB3BAAADgAAAAAAAAAB&#10;ACAAAAAnAQAAZHJzL2Uyb0RvYy54bWxQSwUGAAAAAAYABgBZAQAA3gUAAAAA&#10;">
                <v:fill on="f" focussize="0,0"/>
                <v:stroke on="f" weight="0.5pt"/>
                <v:imagedata o:title=""/>
                <o:lock v:ext="edit" aspectratio="f"/>
                <v:textbox>
                  <w:txbxContent>
                    <w:p>
                      <w:pPr>
                        <w:jc w:val="center"/>
                        <w:rPr>
                          <w:rFonts w:hint="default" w:eastAsiaTheme="minorEastAsia"/>
                          <w:b/>
                          <w:bCs/>
                          <w:sz w:val="36"/>
                          <w:szCs w:val="44"/>
                          <w:lang w:val="en-US" w:eastAsia="zh-CN"/>
                        </w:rPr>
                      </w:pPr>
                      <w:r>
                        <w:rPr>
                          <w:rFonts w:hint="eastAsia"/>
                          <w:b/>
                          <w:bCs/>
                          <w:sz w:val="36"/>
                          <w:szCs w:val="44"/>
                          <w:lang w:val="en-US" w:eastAsia="zh-CN"/>
                        </w:rPr>
                        <w:t>仅限湖南省徙木环境科技有限公司环评项目使用</w:t>
                      </w:r>
                    </w:p>
                  </w:txbxContent>
                </v:textbox>
              </v:shape>
            </w:pict>
          </mc:Fallback>
        </mc:AlternateContent>
      </w:r>
      <w:r>
        <w:rPr>
          <w:rFonts w:hint="eastAsia" w:eastAsiaTheme="minorEastAsia"/>
          <w:lang w:eastAsia="zh-CN"/>
        </w:rPr>
        <w:drawing>
          <wp:inline distT="0" distB="0" distL="114300" distR="114300">
            <wp:extent cx="5209540" cy="7190105"/>
            <wp:effectExtent l="0" t="0" r="10160" b="10795"/>
            <wp:docPr id="10" name="图片 10" descr="3f562df82ea01eaecb1bc35a12a75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f562df82ea01eaecb1bc35a12a75ad"/>
                    <pic:cNvPicPr>
                      <a:picLocks noChangeAspect="1"/>
                    </pic:cNvPicPr>
                  </pic:nvPicPr>
                  <pic:blipFill>
                    <a:blip r:embed="rId23"/>
                    <a:srcRect l="3509" t="10122" r="12575" b="2985"/>
                    <a:stretch>
                      <a:fillRect/>
                    </a:stretch>
                  </pic:blipFill>
                  <pic:spPr>
                    <a:xfrm>
                      <a:off x="0" y="0"/>
                      <a:ext cx="5209540" cy="7190105"/>
                    </a:xfrm>
                    <a:prstGeom prst="rect">
                      <a:avLst/>
                    </a:prstGeom>
                  </pic:spPr>
                </pic:pic>
              </a:graphicData>
            </a:graphic>
          </wp:inline>
        </w:drawing>
      </w:r>
      <w:r>
        <w:drawing>
          <wp:inline distT="0" distB="0" distL="114300" distR="114300">
            <wp:extent cx="5271770" cy="7399020"/>
            <wp:effectExtent l="0" t="0" r="5080" b="11430"/>
            <wp:docPr id="16" name="图片 16" descr="169294883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92948831263"/>
                    <pic:cNvPicPr>
                      <a:picLocks noChangeAspect="1"/>
                    </pic:cNvPicPr>
                  </pic:nvPicPr>
                  <pic:blipFill>
                    <a:blip r:embed="rId24"/>
                    <a:stretch>
                      <a:fillRect/>
                    </a:stretch>
                  </pic:blipFill>
                  <pic:spPr>
                    <a:xfrm>
                      <a:off x="0" y="0"/>
                      <a:ext cx="5271770" cy="7399020"/>
                    </a:xfrm>
                    <a:prstGeom prst="rect">
                      <a:avLst/>
                    </a:prstGeom>
                  </pic:spPr>
                </pic:pic>
              </a:graphicData>
            </a:graphic>
          </wp:inline>
        </w:drawing>
      </w:r>
      <w:r>
        <w:drawing>
          <wp:inline distT="0" distB="0" distL="114300" distR="114300">
            <wp:extent cx="5273675" cy="3460750"/>
            <wp:effectExtent l="0" t="0" r="3175" b="635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5"/>
                    <a:stretch>
                      <a:fillRect/>
                    </a:stretch>
                  </pic:blipFill>
                  <pic:spPr>
                    <a:xfrm>
                      <a:off x="0" y="0"/>
                      <a:ext cx="5273675" cy="3460750"/>
                    </a:xfrm>
                    <a:prstGeom prst="rect">
                      <a:avLst/>
                    </a:prstGeom>
                    <a:noFill/>
                    <a:ln>
                      <a:noFill/>
                    </a:ln>
                  </pic:spPr>
                </pic:pic>
              </a:graphicData>
            </a:graphic>
          </wp:inline>
        </w:drawing>
      </w:r>
      <w:r>
        <w:drawing>
          <wp:inline distT="0" distB="0" distL="114300" distR="114300">
            <wp:extent cx="5257165" cy="1036955"/>
            <wp:effectExtent l="0" t="0" r="635" b="1079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6"/>
                    <a:stretch>
                      <a:fillRect/>
                    </a:stretch>
                  </pic:blipFill>
                  <pic:spPr>
                    <a:xfrm>
                      <a:off x="0" y="0"/>
                      <a:ext cx="5257165" cy="1036955"/>
                    </a:xfrm>
                    <a:prstGeom prst="rect">
                      <a:avLst/>
                    </a:prstGeom>
                    <a:noFill/>
                    <a:ln>
                      <a:noFill/>
                    </a:ln>
                  </pic:spPr>
                </pic:pic>
              </a:graphicData>
            </a:graphic>
          </wp:inline>
        </w:drawing>
      </w:r>
    </w:p>
    <w:p>
      <w:pPr>
        <w:widowControl w:val="0"/>
        <w:spacing w:line="360" w:lineRule="auto"/>
        <w:ind w:left="0" w:leftChars="0" w:firstLine="0" w:firstLineChars="0"/>
        <w:jc w:val="center"/>
      </w:pPr>
      <w:r>
        <w:rPr>
          <w:rFonts w:hint="default" w:ascii="Times New Roman" w:hAnsi="Times New Roman" w:cs="Times New Roman"/>
          <w:b/>
          <w:sz w:val="36"/>
          <w:szCs w:val="36"/>
        </w:rPr>
        <w:t>目  录</w:t>
      </w:r>
    </w:p>
    <w:p>
      <w:pPr>
        <w:pStyle w:val="17"/>
        <w:tabs>
          <w:tab w:val="right" w:leader="dot" w:pos="8306"/>
        </w:tabs>
      </w:pPr>
      <w:r>
        <w:fldChar w:fldCharType="begin"/>
      </w:r>
      <w:r>
        <w:instrText xml:space="preserve">TOC \o "1-2" \f \h \u </w:instrText>
      </w:r>
      <w:r>
        <w:fldChar w:fldCharType="separate"/>
      </w:r>
      <w:r>
        <w:fldChar w:fldCharType="begin"/>
      </w:r>
      <w:r>
        <w:instrText xml:space="preserve"> HYPERLINK \l _Toc1133 </w:instrText>
      </w:r>
      <w:r>
        <w:fldChar w:fldCharType="separate"/>
      </w:r>
      <w:r>
        <w:rPr>
          <w:rFonts w:hint="eastAsia"/>
        </w:rPr>
        <w:t xml:space="preserve">第1章 </w:t>
      </w:r>
      <w:r>
        <w:t xml:space="preserve"> </w:t>
      </w:r>
      <w:r>
        <w:rPr>
          <w:rFonts w:hint="eastAsia"/>
        </w:rPr>
        <w:t>概述</w:t>
      </w:r>
      <w:r>
        <w:tab/>
      </w:r>
      <w:r>
        <w:fldChar w:fldCharType="begin"/>
      </w:r>
      <w:r>
        <w:instrText xml:space="preserve"> PAGEREF _Toc1133 \h </w:instrText>
      </w:r>
      <w:r>
        <w:fldChar w:fldCharType="separate"/>
      </w:r>
      <w:r>
        <w:t>1</w:t>
      </w:r>
      <w:r>
        <w:fldChar w:fldCharType="end"/>
      </w:r>
      <w:r>
        <w:fldChar w:fldCharType="end"/>
      </w:r>
    </w:p>
    <w:p>
      <w:pPr>
        <w:pStyle w:val="18"/>
        <w:tabs>
          <w:tab w:val="right" w:leader="dot" w:pos="8306"/>
        </w:tabs>
      </w:pPr>
      <w:r>
        <w:fldChar w:fldCharType="begin"/>
      </w:r>
      <w:r>
        <w:instrText xml:space="preserve"> HYPERLINK \l _Toc5538 </w:instrText>
      </w:r>
      <w:r>
        <w:fldChar w:fldCharType="separate"/>
      </w:r>
      <w:r>
        <w:rPr>
          <w:rFonts w:hint="eastAsia"/>
        </w:rPr>
        <w:t>1</w:t>
      </w:r>
      <w:r>
        <w:t>.1</w:t>
      </w:r>
      <w:r>
        <w:rPr>
          <w:rFonts w:hint="eastAsia"/>
        </w:rPr>
        <w:t>建设项目背景及建设项目特点</w:t>
      </w:r>
      <w:r>
        <w:tab/>
      </w:r>
      <w:r>
        <w:fldChar w:fldCharType="begin"/>
      </w:r>
      <w:r>
        <w:instrText xml:space="preserve"> PAGEREF _Toc5538 \h </w:instrText>
      </w:r>
      <w:r>
        <w:fldChar w:fldCharType="separate"/>
      </w:r>
      <w:r>
        <w:t>1</w:t>
      </w:r>
      <w:r>
        <w:fldChar w:fldCharType="end"/>
      </w:r>
      <w:r>
        <w:fldChar w:fldCharType="end"/>
      </w:r>
    </w:p>
    <w:p>
      <w:pPr>
        <w:pStyle w:val="18"/>
        <w:tabs>
          <w:tab w:val="right" w:leader="dot" w:pos="8306"/>
        </w:tabs>
      </w:pPr>
      <w:r>
        <w:fldChar w:fldCharType="begin"/>
      </w:r>
      <w:r>
        <w:instrText xml:space="preserve"> HYPERLINK \l _Toc30124 </w:instrText>
      </w:r>
      <w:r>
        <w:fldChar w:fldCharType="separate"/>
      </w:r>
      <w:r>
        <w:t>1.2评价目的</w:t>
      </w:r>
      <w:r>
        <w:tab/>
      </w:r>
      <w:r>
        <w:fldChar w:fldCharType="begin"/>
      </w:r>
      <w:r>
        <w:instrText xml:space="preserve"> PAGEREF _Toc30124 \h </w:instrText>
      </w:r>
      <w:r>
        <w:fldChar w:fldCharType="separate"/>
      </w:r>
      <w:r>
        <w:t>4</w:t>
      </w:r>
      <w:r>
        <w:fldChar w:fldCharType="end"/>
      </w:r>
      <w:r>
        <w:fldChar w:fldCharType="end"/>
      </w:r>
    </w:p>
    <w:p>
      <w:pPr>
        <w:pStyle w:val="18"/>
        <w:tabs>
          <w:tab w:val="right" w:leader="dot" w:pos="8306"/>
        </w:tabs>
      </w:pPr>
      <w:r>
        <w:fldChar w:fldCharType="begin"/>
      </w:r>
      <w:r>
        <w:instrText xml:space="preserve"> HYPERLINK \l _Toc964 </w:instrText>
      </w:r>
      <w:r>
        <w:fldChar w:fldCharType="separate"/>
      </w:r>
      <w:r>
        <w:t>1.3评价原则</w:t>
      </w:r>
      <w:r>
        <w:tab/>
      </w:r>
      <w:r>
        <w:fldChar w:fldCharType="begin"/>
      </w:r>
      <w:r>
        <w:instrText xml:space="preserve"> PAGEREF _Toc964 \h </w:instrText>
      </w:r>
      <w:r>
        <w:fldChar w:fldCharType="separate"/>
      </w:r>
      <w:r>
        <w:t>5</w:t>
      </w:r>
      <w:r>
        <w:fldChar w:fldCharType="end"/>
      </w:r>
      <w:r>
        <w:fldChar w:fldCharType="end"/>
      </w:r>
    </w:p>
    <w:p>
      <w:pPr>
        <w:pStyle w:val="18"/>
        <w:tabs>
          <w:tab w:val="right" w:leader="dot" w:pos="8306"/>
        </w:tabs>
      </w:pPr>
      <w:r>
        <w:fldChar w:fldCharType="begin"/>
      </w:r>
      <w:r>
        <w:instrText xml:space="preserve"> HYPERLINK \l _Toc21320 </w:instrText>
      </w:r>
      <w:r>
        <w:fldChar w:fldCharType="separate"/>
      </w:r>
      <w:r>
        <w:t>1.4环境影响评价的工作过程</w:t>
      </w:r>
      <w:r>
        <w:tab/>
      </w:r>
      <w:r>
        <w:fldChar w:fldCharType="begin"/>
      </w:r>
      <w:r>
        <w:instrText xml:space="preserve"> PAGEREF _Toc21320 \h </w:instrText>
      </w:r>
      <w:r>
        <w:fldChar w:fldCharType="separate"/>
      </w:r>
      <w:r>
        <w:t>5</w:t>
      </w:r>
      <w:r>
        <w:fldChar w:fldCharType="end"/>
      </w:r>
      <w:r>
        <w:fldChar w:fldCharType="end"/>
      </w:r>
    </w:p>
    <w:p>
      <w:pPr>
        <w:pStyle w:val="18"/>
        <w:tabs>
          <w:tab w:val="right" w:leader="dot" w:pos="8306"/>
        </w:tabs>
      </w:pPr>
      <w:r>
        <w:fldChar w:fldCharType="begin"/>
      </w:r>
      <w:r>
        <w:instrText xml:space="preserve"> HYPERLINK \l _Toc10757 </w:instrText>
      </w:r>
      <w:r>
        <w:fldChar w:fldCharType="separate"/>
      </w:r>
      <w:r>
        <w:t>1.5分析判定相关情况</w:t>
      </w:r>
      <w:r>
        <w:tab/>
      </w:r>
      <w:r>
        <w:fldChar w:fldCharType="begin"/>
      </w:r>
      <w:r>
        <w:instrText xml:space="preserve"> PAGEREF _Toc10757 \h </w:instrText>
      </w:r>
      <w:r>
        <w:fldChar w:fldCharType="separate"/>
      </w:r>
      <w:r>
        <w:t>6</w:t>
      </w:r>
      <w:r>
        <w:fldChar w:fldCharType="end"/>
      </w:r>
      <w:r>
        <w:fldChar w:fldCharType="end"/>
      </w:r>
    </w:p>
    <w:p>
      <w:pPr>
        <w:pStyle w:val="18"/>
        <w:tabs>
          <w:tab w:val="right" w:leader="dot" w:pos="8306"/>
        </w:tabs>
      </w:pPr>
      <w:r>
        <w:fldChar w:fldCharType="begin"/>
      </w:r>
      <w:r>
        <w:instrText xml:space="preserve"> HYPERLINK \l _Toc32225 </w:instrText>
      </w:r>
      <w:r>
        <w:fldChar w:fldCharType="separate"/>
      </w:r>
      <w:r>
        <w:t>1.6关注的主要环境问题及环境影响</w:t>
      </w:r>
      <w:r>
        <w:tab/>
      </w:r>
      <w:r>
        <w:fldChar w:fldCharType="begin"/>
      </w:r>
      <w:r>
        <w:instrText xml:space="preserve"> PAGEREF _Toc32225 \h </w:instrText>
      </w:r>
      <w:r>
        <w:fldChar w:fldCharType="separate"/>
      </w:r>
      <w:r>
        <w:t>21</w:t>
      </w:r>
      <w:r>
        <w:fldChar w:fldCharType="end"/>
      </w:r>
      <w:r>
        <w:fldChar w:fldCharType="end"/>
      </w:r>
    </w:p>
    <w:p>
      <w:pPr>
        <w:pStyle w:val="18"/>
        <w:tabs>
          <w:tab w:val="right" w:leader="dot" w:pos="8306"/>
        </w:tabs>
      </w:pPr>
      <w:r>
        <w:fldChar w:fldCharType="begin"/>
      </w:r>
      <w:r>
        <w:instrText xml:space="preserve"> HYPERLINK \l _Toc16961 </w:instrText>
      </w:r>
      <w:r>
        <w:fldChar w:fldCharType="separate"/>
      </w:r>
      <w:r>
        <w:t>1.7环境影响评价的主要结论</w:t>
      </w:r>
      <w:r>
        <w:tab/>
      </w:r>
      <w:r>
        <w:fldChar w:fldCharType="begin"/>
      </w:r>
      <w:r>
        <w:instrText xml:space="preserve"> PAGEREF _Toc16961 \h </w:instrText>
      </w:r>
      <w:r>
        <w:fldChar w:fldCharType="separate"/>
      </w:r>
      <w:r>
        <w:t>21</w:t>
      </w:r>
      <w:r>
        <w:fldChar w:fldCharType="end"/>
      </w:r>
      <w:r>
        <w:fldChar w:fldCharType="end"/>
      </w:r>
    </w:p>
    <w:p>
      <w:pPr>
        <w:pStyle w:val="17"/>
        <w:tabs>
          <w:tab w:val="right" w:leader="dot" w:pos="8306"/>
        </w:tabs>
      </w:pPr>
      <w:r>
        <w:fldChar w:fldCharType="begin"/>
      </w:r>
      <w:r>
        <w:instrText xml:space="preserve"> HYPERLINK \l _Toc7352 </w:instrText>
      </w:r>
      <w:r>
        <w:fldChar w:fldCharType="separate"/>
      </w:r>
      <w:r>
        <w:rPr>
          <w:rFonts w:hint="eastAsia"/>
        </w:rPr>
        <w:t>第</w:t>
      </w:r>
      <w:r>
        <w:t>2</w:t>
      </w:r>
      <w:r>
        <w:rPr>
          <w:rFonts w:hint="eastAsia"/>
        </w:rPr>
        <w:t xml:space="preserve">章 </w:t>
      </w:r>
      <w:r>
        <w:t xml:space="preserve"> 总则</w:t>
      </w:r>
      <w:r>
        <w:tab/>
      </w:r>
      <w:r>
        <w:fldChar w:fldCharType="begin"/>
      </w:r>
      <w:r>
        <w:instrText xml:space="preserve"> PAGEREF _Toc7352 \h </w:instrText>
      </w:r>
      <w:r>
        <w:fldChar w:fldCharType="separate"/>
      </w:r>
      <w:r>
        <w:t>22</w:t>
      </w:r>
      <w:r>
        <w:fldChar w:fldCharType="end"/>
      </w:r>
      <w:r>
        <w:fldChar w:fldCharType="end"/>
      </w:r>
    </w:p>
    <w:p>
      <w:pPr>
        <w:pStyle w:val="18"/>
        <w:tabs>
          <w:tab w:val="right" w:leader="dot" w:pos="8306"/>
        </w:tabs>
      </w:pPr>
      <w:r>
        <w:fldChar w:fldCharType="begin"/>
      </w:r>
      <w:r>
        <w:instrText xml:space="preserve"> HYPERLINK \l _Toc8254 </w:instrText>
      </w:r>
      <w:r>
        <w:fldChar w:fldCharType="separate"/>
      </w:r>
      <w:r>
        <w:t>2.1编制依据</w:t>
      </w:r>
      <w:r>
        <w:tab/>
      </w:r>
      <w:r>
        <w:fldChar w:fldCharType="begin"/>
      </w:r>
      <w:r>
        <w:instrText xml:space="preserve"> PAGEREF _Toc8254 \h </w:instrText>
      </w:r>
      <w:r>
        <w:fldChar w:fldCharType="separate"/>
      </w:r>
      <w:r>
        <w:t>22</w:t>
      </w:r>
      <w:r>
        <w:fldChar w:fldCharType="end"/>
      </w:r>
      <w:r>
        <w:fldChar w:fldCharType="end"/>
      </w:r>
    </w:p>
    <w:p>
      <w:pPr>
        <w:pStyle w:val="18"/>
        <w:tabs>
          <w:tab w:val="right" w:leader="dot" w:pos="8306"/>
        </w:tabs>
      </w:pPr>
      <w:r>
        <w:fldChar w:fldCharType="begin"/>
      </w:r>
      <w:r>
        <w:instrText xml:space="preserve"> HYPERLINK \l _Toc32729 </w:instrText>
      </w:r>
      <w:r>
        <w:fldChar w:fldCharType="separate"/>
      </w:r>
      <w:r>
        <w:t>2.2环境影响要素识别和评价因子筛选</w:t>
      </w:r>
      <w:r>
        <w:tab/>
      </w:r>
      <w:r>
        <w:fldChar w:fldCharType="begin"/>
      </w:r>
      <w:r>
        <w:instrText xml:space="preserve"> PAGEREF _Toc32729 \h </w:instrText>
      </w:r>
      <w:r>
        <w:fldChar w:fldCharType="separate"/>
      </w:r>
      <w:r>
        <w:t>25</w:t>
      </w:r>
      <w:r>
        <w:fldChar w:fldCharType="end"/>
      </w:r>
      <w:r>
        <w:fldChar w:fldCharType="end"/>
      </w:r>
    </w:p>
    <w:p>
      <w:pPr>
        <w:pStyle w:val="18"/>
        <w:tabs>
          <w:tab w:val="right" w:leader="dot" w:pos="8306"/>
        </w:tabs>
      </w:pPr>
      <w:r>
        <w:fldChar w:fldCharType="begin"/>
      </w:r>
      <w:r>
        <w:instrText xml:space="preserve"> HYPERLINK \l _Toc31156 </w:instrText>
      </w:r>
      <w:r>
        <w:fldChar w:fldCharType="separate"/>
      </w:r>
      <w:r>
        <w:t>2.3环境功能区划</w:t>
      </w:r>
      <w:r>
        <w:tab/>
      </w:r>
      <w:r>
        <w:fldChar w:fldCharType="begin"/>
      </w:r>
      <w:r>
        <w:instrText xml:space="preserve"> PAGEREF _Toc31156 \h </w:instrText>
      </w:r>
      <w:r>
        <w:fldChar w:fldCharType="separate"/>
      </w:r>
      <w:r>
        <w:t>27</w:t>
      </w:r>
      <w:r>
        <w:fldChar w:fldCharType="end"/>
      </w:r>
      <w:r>
        <w:fldChar w:fldCharType="end"/>
      </w:r>
    </w:p>
    <w:p>
      <w:pPr>
        <w:pStyle w:val="18"/>
        <w:tabs>
          <w:tab w:val="right" w:leader="dot" w:pos="8306"/>
        </w:tabs>
      </w:pPr>
      <w:r>
        <w:fldChar w:fldCharType="begin"/>
      </w:r>
      <w:r>
        <w:instrText xml:space="preserve"> HYPERLINK \l _Toc31889 </w:instrText>
      </w:r>
      <w:r>
        <w:fldChar w:fldCharType="separate"/>
      </w:r>
      <w:r>
        <w:t>2.4评价标准</w:t>
      </w:r>
      <w:r>
        <w:tab/>
      </w:r>
      <w:r>
        <w:fldChar w:fldCharType="begin"/>
      </w:r>
      <w:r>
        <w:instrText xml:space="preserve"> PAGEREF _Toc31889 \h </w:instrText>
      </w:r>
      <w:r>
        <w:fldChar w:fldCharType="separate"/>
      </w:r>
      <w:r>
        <w:t>29</w:t>
      </w:r>
      <w:r>
        <w:fldChar w:fldCharType="end"/>
      </w:r>
      <w:r>
        <w:fldChar w:fldCharType="end"/>
      </w:r>
    </w:p>
    <w:p>
      <w:pPr>
        <w:pStyle w:val="18"/>
        <w:tabs>
          <w:tab w:val="right" w:leader="dot" w:pos="8306"/>
        </w:tabs>
      </w:pPr>
      <w:r>
        <w:fldChar w:fldCharType="begin"/>
      </w:r>
      <w:r>
        <w:instrText xml:space="preserve"> HYPERLINK \l _Toc13156 </w:instrText>
      </w:r>
      <w:r>
        <w:fldChar w:fldCharType="separate"/>
      </w:r>
      <w:r>
        <w:t>2.5评价工作等级及评价范围</w:t>
      </w:r>
      <w:r>
        <w:tab/>
      </w:r>
      <w:r>
        <w:fldChar w:fldCharType="begin"/>
      </w:r>
      <w:r>
        <w:instrText xml:space="preserve"> PAGEREF _Toc13156 \h </w:instrText>
      </w:r>
      <w:r>
        <w:fldChar w:fldCharType="separate"/>
      </w:r>
      <w:r>
        <w:t>34</w:t>
      </w:r>
      <w:r>
        <w:fldChar w:fldCharType="end"/>
      </w:r>
      <w:r>
        <w:fldChar w:fldCharType="end"/>
      </w:r>
    </w:p>
    <w:p>
      <w:pPr>
        <w:pStyle w:val="17"/>
        <w:tabs>
          <w:tab w:val="right" w:leader="dot" w:pos="8306"/>
        </w:tabs>
      </w:pPr>
      <w:r>
        <w:fldChar w:fldCharType="begin"/>
      </w:r>
      <w:r>
        <w:instrText xml:space="preserve"> HYPERLINK \l _Toc24217 </w:instrText>
      </w:r>
      <w:r>
        <w:fldChar w:fldCharType="separate"/>
      </w:r>
      <w:r>
        <w:rPr>
          <w:rFonts w:hint="eastAsia"/>
        </w:rPr>
        <w:t xml:space="preserve">第3章 </w:t>
      </w:r>
      <w:r>
        <w:t xml:space="preserve"> 建设项目工程分析</w:t>
      </w:r>
      <w:r>
        <w:tab/>
      </w:r>
      <w:r>
        <w:fldChar w:fldCharType="begin"/>
      </w:r>
      <w:r>
        <w:instrText xml:space="preserve"> PAGEREF _Toc24217 \h </w:instrText>
      </w:r>
      <w:r>
        <w:fldChar w:fldCharType="separate"/>
      </w:r>
      <w:r>
        <w:t>43</w:t>
      </w:r>
      <w:r>
        <w:fldChar w:fldCharType="end"/>
      </w:r>
      <w:r>
        <w:fldChar w:fldCharType="end"/>
      </w:r>
    </w:p>
    <w:p>
      <w:pPr>
        <w:pStyle w:val="18"/>
        <w:tabs>
          <w:tab w:val="right" w:leader="dot" w:pos="8306"/>
        </w:tabs>
      </w:pPr>
      <w:r>
        <w:fldChar w:fldCharType="begin"/>
      </w:r>
      <w:r>
        <w:instrText xml:space="preserve"> HYPERLINK \l _Toc1051 </w:instrText>
      </w:r>
      <w:r>
        <w:fldChar w:fldCharType="separate"/>
      </w:r>
      <w:r>
        <w:t>3.1建设项目概况</w:t>
      </w:r>
      <w:r>
        <w:tab/>
      </w:r>
      <w:r>
        <w:fldChar w:fldCharType="begin"/>
      </w:r>
      <w:r>
        <w:instrText xml:space="preserve"> PAGEREF _Toc1051 \h </w:instrText>
      </w:r>
      <w:r>
        <w:fldChar w:fldCharType="separate"/>
      </w:r>
      <w:r>
        <w:t>43</w:t>
      </w:r>
      <w:r>
        <w:fldChar w:fldCharType="end"/>
      </w:r>
      <w:r>
        <w:fldChar w:fldCharType="end"/>
      </w:r>
    </w:p>
    <w:p>
      <w:pPr>
        <w:pStyle w:val="18"/>
        <w:tabs>
          <w:tab w:val="right" w:leader="dot" w:pos="8306"/>
        </w:tabs>
      </w:pPr>
      <w:r>
        <w:fldChar w:fldCharType="begin"/>
      </w:r>
      <w:r>
        <w:instrText xml:space="preserve"> HYPERLINK \l _Toc7074 </w:instrText>
      </w:r>
      <w:r>
        <w:fldChar w:fldCharType="separate"/>
      </w:r>
      <w:r>
        <w:t>3.2公用工程</w:t>
      </w:r>
      <w:r>
        <w:tab/>
      </w:r>
      <w:r>
        <w:fldChar w:fldCharType="begin"/>
      </w:r>
      <w:r>
        <w:instrText xml:space="preserve"> PAGEREF _Toc7074 \h </w:instrText>
      </w:r>
      <w:r>
        <w:fldChar w:fldCharType="separate"/>
      </w:r>
      <w:r>
        <w:t>46</w:t>
      </w:r>
      <w:r>
        <w:fldChar w:fldCharType="end"/>
      </w:r>
      <w:r>
        <w:fldChar w:fldCharType="end"/>
      </w:r>
    </w:p>
    <w:p>
      <w:pPr>
        <w:pStyle w:val="18"/>
        <w:tabs>
          <w:tab w:val="right" w:leader="dot" w:pos="8306"/>
        </w:tabs>
      </w:pPr>
      <w:r>
        <w:fldChar w:fldCharType="begin"/>
      </w:r>
      <w:r>
        <w:instrText xml:space="preserve"> HYPERLINK \l _Toc1171 </w:instrText>
      </w:r>
      <w:r>
        <w:fldChar w:fldCharType="separate"/>
      </w:r>
      <w:r>
        <w:t>3.3项目总平面布置</w:t>
      </w:r>
      <w:r>
        <w:tab/>
      </w:r>
      <w:r>
        <w:fldChar w:fldCharType="begin"/>
      </w:r>
      <w:r>
        <w:instrText xml:space="preserve"> PAGEREF _Toc1171 \h </w:instrText>
      </w:r>
      <w:r>
        <w:fldChar w:fldCharType="separate"/>
      </w:r>
      <w:r>
        <w:t>47</w:t>
      </w:r>
      <w:r>
        <w:fldChar w:fldCharType="end"/>
      </w:r>
      <w:r>
        <w:fldChar w:fldCharType="end"/>
      </w:r>
    </w:p>
    <w:p>
      <w:pPr>
        <w:pStyle w:val="18"/>
        <w:tabs>
          <w:tab w:val="right" w:leader="dot" w:pos="8306"/>
        </w:tabs>
      </w:pPr>
      <w:r>
        <w:fldChar w:fldCharType="begin"/>
      </w:r>
      <w:r>
        <w:instrText xml:space="preserve"> HYPERLINK \l _Toc9248 </w:instrText>
      </w:r>
      <w:r>
        <w:fldChar w:fldCharType="separate"/>
      </w:r>
      <w:r>
        <w:t>3.5营运期污染源分析</w:t>
      </w:r>
      <w:r>
        <w:tab/>
      </w:r>
      <w:r>
        <w:fldChar w:fldCharType="begin"/>
      </w:r>
      <w:r>
        <w:instrText xml:space="preserve"> PAGEREF _Toc9248 \h </w:instrText>
      </w:r>
      <w:r>
        <w:fldChar w:fldCharType="separate"/>
      </w:r>
      <w:r>
        <w:t>47</w:t>
      </w:r>
      <w:r>
        <w:fldChar w:fldCharType="end"/>
      </w:r>
      <w:r>
        <w:fldChar w:fldCharType="end"/>
      </w:r>
    </w:p>
    <w:p>
      <w:pPr>
        <w:pStyle w:val="18"/>
        <w:tabs>
          <w:tab w:val="right" w:leader="dot" w:pos="8306"/>
        </w:tabs>
      </w:pPr>
      <w:r>
        <w:fldChar w:fldCharType="begin"/>
      </w:r>
      <w:r>
        <w:instrText xml:space="preserve"> HYPERLINK \l _Toc15244 </w:instrText>
      </w:r>
      <w:r>
        <w:fldChar w:fldCharType="separate"/>
      </w:r>
      <w:r>
        <w:t>3.6项目平衡分析</w:t>
      </w:r>
      <w:r>
        <w:tab/>
      </w:r>
      <w:r>
        <w:fldChar w:fldCharType="begin"/>
      </w:r>
      <w:r>
        <w:instrText xml:space="preserve"> PAGEREF _Toc15244 \h </w:instrText>
      </w:r>
      <w:r>
        <w:fldChar w:fldCharType="separate"/>
      </w:r>
      <w:r>
        <w:t>50</w:t>
      </w:r>
      <w:r>
        <w:fldChar w:fldCharType="end"/>
      </w:r>
      <w:r>
        <w:fldChar w:fldCharType="end"/>
      </w:r>
    </w:p>
    <w:p>
      <w:pPr>
        <w:pStyle w:val="18"/>
        <w:tabs>
          <w:tab w:val="right" w:leader="dot" w:pos="8306"/>
        </w:tabs>
      </w:pPr>
      <w:r>
        <w:fldChar w:fldCharType="begin"/>
      </w:r>
      <w:r>
        <w:instrText xml:space="preserve"> HYPERLINK \l _Toc17282 </w:instrText>
      </w:r>
      <w:r>
        <w:fldChar w:fldCharType="separate"/>
      </w:r>
      <w:r>
        <w:t>3.7污染源强核算</w:t>
      </w:r>
      <w:r>
        <w:tab/>
      </w:r>
      <w:r>
        <w:fldChar w:fldCharType="begin"/>
      </w:r>
      <w:r>
        <w:instrText xml:space="preserve"> PAGEREF _Toc17282 \h </w:instrText>
      </w:r>
      <w:r>
        <w:fldChar w:fldCharType="separate"/>
      </w:r>
      <w:r>
        <w:t>52</w:t>
      </w:r>
      <w:r>
        <w:fldChar w:fldCharType="end"/>
      </w:r>
      <w:r>
        <w:fldChar w:fldCharType="end"/>
      </w:r>
    </w:p>
    <w:p>
      <w:pPr>
        <w:pStyle w:val="18"/>
        <w:tabs>
          <w:tab w:val="right" w:leader="dot" w:pos="8306"/>
        </w:tabs>
      </w:pPr>
      <w:r>
        <w:fldChar w:fldCharType="begin"/>
      </w:r>
      <w:r>
        <w:instrText xml:space="preserve"> HYPERLINK \l _Toc28572 </w:instrText>
      </w:r>
      <w:r>
        <w:fldChar w:fldCharType="separate"/>
      </w:r>
      <w:r>
        <w:t>3.8项目污染源汇总</w:t>
      </w:r>
      <w:r>
        <w:tab/>
      </w:r>
      <w:r>
        <w:fldChar w:fldCharType="begin"/>
      </w:r>
      <w:r>
        <w:instrText xml:space="preserve"> PAGEREF _Toc28572 \h </w:instrText>
      </w:r>
      <w:r>
        <w:fldChar w:fldCharType="separate"/>
      </w:r>
      <w:r>
        <w:t>57</w:t>
      </w:r>
      <w:r>
        <w:fldChar w:fldCharType="end"/>
      </w:r>
      <w:r>
        <w:fldChar w:fldCharType="end"/>
      </w:r>
    </w:p>
    <w:p>
      <w:pPr>
        <w:pStyle w:val="17"/>
        <w:tabs>
          <w:tab w:val="right" w:leader="dot" w:pos="8306"/>
        </w:tabs>
      </w:pPr>
      <w:r>
        <w:fldChar w:fldCharType="begin"/>
      </w:r>
      <w:r>
        <w:instrText xml:space="preserve"> HYPERLINK \l _Toc21321 </w:instrText>
      </w:r>
      <w:r>
        <w:fldChar w:fldCharType="separate"/>
      </w:r>
      <w:r>
        <w:rPr>
          <w:rFonts w:hint="eastAsia"/>
        </w:rPr>
        <w:t xml:space="preserve">第4章 </w:t>
      </w:r>
      <w:r>
        <w:t xml:space="preserve"> 环境现状调查与评价</w:t>
      </w:r>
      <w:r>
        <w:tab/>
      </w:r>
      <w:r>
        <w:fldChar w:fldCharType="begin"/>
      </w:r>
      <w:r>
        <w:instrText xml:space="preserve"> PAGEREF _Toc21321 \h </w:instrText>
      </w:r>
      <w:r>
        <w:fldChar w:fldCharType="separate"/>
      </w:r>
      <w:r>
        <w:t>60</w:t>
      </w:r>
      <w:r>
        <w:fldChar w:fldCharType="end"/>
      </w:r>
      <w:r>
        <w:fldChar w:fldCharType="end"/>
      </w:r>
    </w:p>
    <w:p>
      <w:pPr>
        <w:pStyle w:val="18"/>
        <w:tabs>
          <w:tab w:val="right" w:leader="dot" w:pos="8306"/>
        </w:tabs>
      </w:pPr>
      <w:r>
        <w:fldChar w:fldCharType="begin"/>
      </w:r>
      <w:r>
        <w:instrText xml:space="preserve"> HYPERLINK \l _Toc5250 </w:instrText>
      </w:r>
      <w:r>
        <w:fldChar w:fldCharType="separate"/>
      </w:r>
      <w:r>
        <w:t>4.1自然环境概况</w:t>
      </w:r>
      <w:r>
        <w:tab/>
      </w:r>
      <w:r>
        <w:fldChar w:fldCharType="begin"/>
      </w:r>
      <w:r>
        <w:instrText xml:space="preserve"> PAGEREF _Toc5250 \h </w:instrText>
      </w:r>
      <w:r>
        <w:fldChar w:fldCharType="separate"/>
      </w:r>
      <w:r>
        <w:t>60</w:t>
      </w:r>
      <w:r>
        <w:fldChar w:fldCharType="end"/>
      </w:r>
      <w:r>
        <w:fldChar w:fldCharType="end"/>
      </w:r>
    </w:p>
    <w:p>
      <w:pPr>
        <w:pStyle w:val="18"/>
        <w:tabs>
          <w:tab w:val="right" w:leader="dot" w:pos="8306"/>
        </w:tabs>
      </w:pPr>
      <w:r>
        <w:fldChar w:fldCharType="begin"/>
      </w:r>
      <w:r>
        <w:instrText xml:space="preserve"> HYPERLINK \l _Toc24461 </w:instrText>
      </w:r>
      <w:r>
        <w:fldChar w:fldCharType="separate"/>
      </w:r>
      <w:r>
        <w:rPr>
          <w:rFonts w:hint="eastAsia"/>
        </w:rPr>
        <w:t>4.2汨罗高新技术产业开发区概况</w:t>
      </w:r>
      <w:r>
        <w:tab/>
      </w:r>
      <w:r>
        <w:fldChar w:fldCharType="begin"/>
      </w:r>
      <w:r>
        <w:instrText xml:space="preserve"> PAGEREF _Toc24461 \h </w:instrText>
      </w:r>
      <w:r>
        <w:fldChar w:fldCharType="separate"/>
      </w:r>
      <w:r>
        <w:t>66</w:t>
      </w:r>
      <w:r>
        <w:fldChar w:fldCharType="end"/>
      </w:r>
      <w:r>
        <w:fldChar w:fldCharType="end"/>
      </w:r>
    </w:p>
    <w:p>
      <w:pPr>
        <w:pStyle w:val="18"/>
        <w:tabs>
          <w:tab w:val="right" w:leader="dot" w:pos="8306"/>
        </w:tabs>
      </w:pPr>
      <w:r>
        <w:fldChar w:fldCharType="begin"/>
      </w:r>
      <w:r>
        <w:instrText xml:space="preserve"> HYPERLINK \l _Toc6139 </w:instrText>
      </w:r>
      <w:r>
        <w:fldChar w:fldCharType="separate"/>
      </w:r>
      <w:r>
        <w:t>4.</w:t>
      </w:r>
      <w:r>
        <w:rPr>
          <w:rFonts w:hint="eastAsia"/>
        </w:rPr>
        <w:t>3</w:t>
      </w:r>
      <w:r>
        <w:t>环境质量现状调查与评价</w:t>
      </w:r>
      <w:r>
        <w:tab/>
      </w:r>
      <w:r>
        <w:fldChar w:fldCharType="begin"/>
      </w:r>
      <w:r>
        <w:instrText xml:space="preserve"> PAGEREF _Toc6139 \h </w:instrText>
      </w:r>
      <w:r>
        <w:fldChar w:fldCharType="separate"/>
      </w:r>
      <w:r>
        <w:t>71</w:t>
      </w:r>
      <w:r>
        <w:fldChar w:fldCharType="end"/>
      </w:r>
      <w:r>
        <w:fldChar w:fldCharType="end"/>
      </w:r>
    </w:p>
    <w:p>
      <w:pPr>
        <w:pStyle w:val="18"/>
        <w:tabs>
          <w:tab w:val="right" w:leader="dot" w:pos="8306"/>
        </w:tabs>
      </w:pPr>
      <w:r>
        <w:fldChar w:fldCharType="begin"/>
      </w:r>
      <w:r>
        <w:instrText xml:space="preserve"> HYPERLINK \l _Toc4338 </w:instrText>
      </w:r>
      <w:r>
        <w:fldChar w:fldCharType="separate"/>
      </w:r>
      <w:r>
        <w:rPr>
          <w:rFonts w:hint="eastAsia"/>
        </w:rPr>
        <w:t>4</w:t>
      </w:r>
      <w:r>
        <w:t>.4</w:t>
      </w:r>
      <w:r>
        <w:rPr>
          <w:rFonts w:hint="eastAsia"/>
        </w:rPr>
        <w:t>区域污染源调查</w:t>
      </w:r>
      <w:r>
        <w:tab/>
      </w:r>
      <w:r>
        <w:fldChar w:fldCharType="begin"/>
      </w:r>
      <w:r>
        <w:instrText xml:space="preserve"> PAGEREF _Toc4338 \h </w:instrText>
      </w:r>
      <w:r>
        <w:fldChar w:fldCharType="separate"/>
      </w:r>
      <w:r>
        <w:t>90</w:t>
      </w:r>
      <w:r>
        <w:fldChar w:fldCharType="end"/>
      </w:r>
      <w:r>
        <w:fldChar w:fldCharType="end"/>
      </w:r>
    </w:p>
    <w:p>
      <w:pPr>
        <w:pStyle w:val="17"/>
        <w:tabs>
          <w:tab w:val="right" w:leader="dot" w:pos="8306"/>
        </w:tabs>
      </w:pPr>
      <w:r>
        <w:fldChar w:fldCharType="begin"/>
      </w:r>
      <w:r>
        <w:instrText xml:space="preserve"> HYPERLINK \l _Toc12917 </w:instrText>
      </w:r>
      <w:r>
        <w:fldChar w:fldCharType="separate"/>
      </w:r>
      <w:r>
        <w:rPr>
          <w:rFonts w:hint="eastAsia"/>
        </w:rPr>
        <w:t xml:space="preserve">第5章 </w:t>
      </w:r>
      <w:r>
        <w:t xml:space="preserve"> 环境影响预测与评价</w:t>
      </w:r>
      <w:r>
        <w:tab/>
      </w:r>
      <w:r>
        <w:fldChar w:fldCharType="begin"/>
      </w:r>
      <w:r>
        <w:instrText xml:space="preserve"> PAGEREF _Toc12917 \h </w:instrText>
      </w:r>
      <w:r>
        <w:fldChar w:fldCharType="separate"/>
      </w:r>
      <w:r>
        <w:t>100</w:t>
      </w:r>
      <w:r>
        <w:fldChar w:fldCharType="end"/>
      </w:r>
      <w:r>
        <w:fldChar w:fldCharType="end"/>
      </w:r>
    </w:p>
    <w:p>
      <w:pPr>
        <w:pStyle w:val="18"/>
        <w:tabs>
          <w:tab w:val="right" w:leader="dot" w:pos="8306"/>
        </w:tabs>
      </w:pPr>
      <w:r>
        <w:fldChar w:fldCharType="begin"/>
      </w:r>
      <w:r>
        <w:instrText xml:space="preserve"> HYPERLINK \l _Toc3881 </w:instrText>
      </w:r>
      <w:r>
        <w:fldChar w:fldCharType="separate"/>
      </w:r>
      <w:r>
        <w:t>5.1施工期环境影响分析与评价</w:t>
      </w:r>
      <w:r>
        <w:tab/>
      </w:r>
      <w:r>
        <w:fldChar w:fldCharType="begin"/>
      </w:r>
      <w:r>
        <w:instrText xml:space="preserve"> PAGEREF _Toc3881 \h </w:instrText>
      </w:r>
      <w:r>
        <w:fldChar w:fldCharType="separate"/>
      </w:r>
      <w:r>
        <w:t>100</w:t>
      </w:r>
      <w:r>
        <w:fldChar w:fldCharType="end"/>
      </w:r>
      <w:r>
        <w:fldChar w:fldCharType="end"/>
      </w:r>
    </w:p>
    <w:p>
      <w:pPr>
        <w:pStyle w:val="18"/>
        <w:tabs>
          <w:tab w:val="right" w:leader="dot" w:pos="8306"/>
        </w:tabs>
      </w:pPr>
      <w:r>
        <w:fldChar w:fldCharType="begin"/>
      </w:r>
      <w:r>
        <w:instrText xml:space="preserve"> HYPERLINK \l _Toc16906 </w:instrText>
      </w:r>
      <w:r>
        <w:fldChar w:fldCharType="separate"/>
      </w:r>
      <w:r>
        <w:t>5.2运营期大气环境影响预测与评价</w:t>
      </w:r>
      <w:r>
        <w:tab/>
      </w:r>
      <w:r>
        <w:fldChar w:fldCharType="begin"/>
      </w:r>
      <w:r>
        <w:instrText xml:space="preserve"> PAGEREF _Toc16906 \h </w:instrText>
      </w:r>
      <w:r>
        <w:fldChar w:fldCharType="separate"/>
      </w:r>
      <w:r>
        <w:t>100</w:t>
      </w:r>
      <w:r>
        <w:fldChar w:fldCharType="end"/>
      </w:r>
      <w:r>
        <w:fldChar w:fldCharType="end"/>
      </w:r>
    </w:p>
    <w:p>
      <w:pPr>
        <w:pStyle w:val="18"/>
        <w:tabs>
          <w:tab w:val="right" w:leader="dot" w:pos="8306"/>
        </w:tabs>
      </w:pPr>
      <w:r>
        <w:fldChar w:fldCharType="begin"/>
      </w:r>
      <w:r>
        <w:instrText xml:space="preserve"> HYPERLINK \l _Toc26718 </w:instrText>
      </w:r>
      <w:r>
        <w:fldChar w:fldCharType="separate"/>
      </w:r>
      <w:r>
        <w:rPr>
          <w:rFonts w:hint="eastAsia"/>
        </w:rPr>
        <w:t>5</w:t>
      </w:r>
      <w:r>
        <w:t>.3运营期地表水环境影响预测评价</w:t>
      </w:r>
      <w:r>
        <w:tab/>
      </w:r>
      <w:r>
        <w:fldChar w:fldCharType="begin"/>
      </w:r>
      <w:r>
        <w:instrText xml:space="preserve"> PAGEREF _Toc26718 \h </w:instrText>
      </w:r>
      <w:r>
        <w:fldChar w:fldCharType="separate"/>
      </w:r>
      <w:r>
        <w:t>108</w:t>
      </w:r>
      <w:r>
        <w:fldChar w:fldCharType="end"/>
      </w:r>
      <w:r>
        <w:fldChar w:fldCharType="end"/>
      </w:r>
    </w:p>
    <w:p>
      <w:pPr>
        <w:pStyle w:val="18"/>
        <w:tabs>
          <w:tab w:val="right" w:leader="dot" w:pos="8306"/>
        </w:tabs>
      </w:pPr>
      <w:r>
        <w:fldChar w:fldCharType="begin"/>
      </w:r>
      <w:r>
        <w:instrText xml:space="preserve"> HYPERLINK \l _Toc10925 </w:instrText>
      </w:r>
      <w:r>
        <w:fldChar w:fldCharType="separate"/>
      </w:r>
      <w:r>
        <w:rPr>
          <w:rFonts w:hint="eastAsia"/>
        </w:rPr>
        <w:t>5</w:t>
      </w:r>
      <w:r>
        <w:t>.4运营期地下水环境影响分析</w:t>
      </w:r>
      <w:r>
        <w:tab/>
      </w:r>
      <w:r>
        <w:fldChar w:fldCharType="begin"/>
      </w:r>
      <w:r>
        <w:instrText xml:space="preserve"> PAGEREF _Toc10925 \h </w:instrText>
      </w:r>
      <w:r>
        <w:fldChar w:fldCharType="separate"/>
      </w:r>
      <w:r>
        <w:t>109</w:t>
      </w:r>
      <w:r>
        <w:fldChar w:fldCharType="end"/>
      </w:r>
      <w:r>
        <w:fldChar w:fldCharType="end"/>
      </w:r>
    </w:p>
    <w:p>
      <w:pPr>
        <w:pStyle w:val="18"/>
        <w:tabs>
          <w:tab w:val="right" w:leader="dot" w:pos="8306"/>
        </w:tabs>
      </w:pPr>
      <w:r>
        <w:fldChar w:fldCharType="begin"/>
      </w:r>
      <w:r>
        <w:instrText xml:space="preserve"> HYPERLINK \l _Toc11598 </w:instrText>
      </w:r>
      <w:r>
        <w:fldChar w:fldCharType="separate"/>
      </w:r>
      <w:r>
        <w:rPr>
          <w:rFonts w:hint="eastAsia"/>
        </w:rPr>
        <w:t>5</w:t>
      </w:r>
      <w:r>
        <w:t>.5声环境影响分析</w:t>
      </w:r>
      <w:r>
        <w:tab/>
      </w:r>
      <w:r>
        <w:fldChar w:fldCharType="begin"/>
      </w:r>
      <w:r>
        <w:instrText xml:space="preserve"> PAGEREF _Toc11598 \h </w:instrText>
      </w:r>
      <w:r>
        <w:fldChar w:fldCharType="separate"/>
      </w:r>
      <w:r>
        <w:t>112</w:t>
      </w:r>
      <w:r>
        <w:fldChar w:fldCharType="end"/>
      </w:r>
      <w:r>
        <w:fldChar w:fldCharType="end"/>
      </w:r>
    </w:p>
    <w:p>
      <w:pPr>
        <w:pStyle w:val="18"/>
        <w:tabs>
          <w:tab w:val="right" w:leader="dot" w:pos="8306"/>
        </w:tabs>
      </w:pPr>
      <w:r>
        <w:fldChar w:fldCharType="begin"/>
      </w:r>
      <w:r>
        <w:instrText xml:space="preserve"> HYPERLINK \l _Toc19572 </w:instrText>
      </w:r>
      <w:r>
        <w:fldChar w:fldCharType="separate"/>
      </w:r>
      <w:r>
        <w:rPr>
          <w:rFonts w:hint="eastAsia"/>
        </w:rPr>
        <w:t>5</w:t>
      </w:r>
      <w:r>
        <w:t>.6固体废物环境影响分析</w:t>
      </w:r>
      <w:r>
        <w:tab/>
      </w:r>
      <w:r>
        <w:fldChar w:fldCharType="begin"/>
      </w:r>
      <w:r>
        <w:instrText xml:space="preserve"> PAGEREF _Toc19572 \h </w:instrText>
      </w:r>
      <w:r>
        <w:fldChar w:fldCharType="separate"/>
      </w:r>
      <w:r>
        <w:t>114</w:t>
      </w:r>
      <w:r>
        <w:fldChar w:fldCharType="end"/>
      </w:r>
      <w:r>
        <w:fldChar w:fldCharType="end"/>
      </w:r>
    </w:p>
    <w:p>
      <w:pPr>
        <w:pStyle w:val="18"/>
        <w:tabs>
          <w:tab w:val="right" w:leader="dot" w:pos="8306"/>
        </w:tabs>
      </w:pPr>
      <w:r>
        <w:fldChar w:fldCharType="begin"/>
      </w:r>
      <w:r>
        <w:instrText xml:space="preserve"> HYPERLINK \l _Toc11992 </w:instrText>
      </w:r>
      <w:r>
        <w:fldChar w:fldCharType="separate"/>
      </w:r>
      <w:r>
        <w:rPr>
          <w:rFonts w:hint="eastAsia"/>
        </w:rPr>
        <w:t>5</w:t>
      </w:r>
      <w:r>
        <w:t>.7土壤环境影响分析</w:t>
      </w:r>
      <w:r>
        <w:tab/>
      </w:r>
      <w:r>
        <w:fldChar w:fldCharType="begin"/>
      </w:r>
      <w:r>
        <w:instrText xml:space="preserve"> PAGEREF _Toc11992 \h </w:instrText>
      </w:r>
      <w:r>
        <w:fldChar w:fldCharType="separate"/>
      </w:r>
      <w:r>
        <w:t>117</w:t>
      </w:r>
      <w:r>
        <w:fldChar w:fldCharType="end"/>
      </w:r>
      <w:r>
        <w:fldChar w:fldCharType="end"/>
      </w:r>
    </w:p>
    <w:p>
      <w:pPr>
        <w:pStyle w:val="18"/>
        <w:tabs>
          <w:tab w:val="right" w:leader="dot" w:pos="8306"/>
        </w:tabs>
      </w:pPr>
      <w:r>
        <w:fldChar w:fldCharType="begin"/>
      </w:r>
      <w:r>
        <w:instrText xml:space="preserve"> HYPERLINK \l _Toc26967 </w:instrText>
      </w:r>
      <w:r>
        <w:fldChar w:fldCharType="separate"/>
      </w:r>
      <w:r>
        <w:rPr>
          <w:rFonts w:hint="eastAsia"/>
        </w:rPr>
        <w:t>5</w:t>
      </w:r>
      <w:r>
        <w:t>.8生态环境影响分析</w:t>
      </w:r>
      <w:r>
        <w:tab/>
      </w:r>
      <w:r>
        <w:fldChar w:fldCharType="begin"/>
      </w:r>
      <w:r>
        <w:instrText xml:space="preserve"> PAGEREF _Toc26967 \h </w:instrText>
      </w:r>
      <w:r>
        <w:fldChar w:fldCharType="separate"/>
      </w:r>
      <w:r>
        <w:t>117</w:t>
      </w:r>
      <w:r>
        <w:fldChar w:fldCharType="end"/>
      </w:r>
      <w:r>
        <w:fldChar w:fldCharType="end"/>
      </w:r>
    </w:p>
    <w:p>
      <w:pPr>
        <w:pStyle w:val="18"/>
        <w:tabs>
          <w:tab w:val="right" w:leader="dot" w:pos="8306"/>
        </w:tabs>
      </w:pPr>
      <w:r>
        <w:fldChar w:fldCharType="begin"/>
      </w:r>
      <w:r>
        <w:instrText xml:space="preserve"> HYPERLINK \l _Toc28997 </w:instrText>
      </w:r>
      <w:r>
        <w:fldChar w:fldCharType="separate"/>
      </w:r>
      <w:r>
        <w:rPr>
          <w:rFonts w:hint="eastAsia"/>
        </w:rPr>
        <w:t>5</w:t>
      </w:r>
      <w:r>
        <w:t>.9环境风险评价</w:t>
      </w:r>
      <w:r>
        <w:tab/>
      </w:r>
      <w:r>
        <w:fldChar w:fldCharType="begin"/>
      </w:r>
      <w:r>
        <w:instrText xml:space="preserve"> PAGEREF _Toc28997 \h </w:instrText>
      </w:r>
      <w:r>
        <w:fldChar w:fldCharType="separate"/>
      </w:r>
      <w:r>
        <w:t>117</w:t>
      </w:r>
      <w:r>
        <w:fldChar w:fldCharType="end"/>
      </w:r>
      <w:r>
        <w:fldChar w:fldCharType="end"/>
      </w:r>
    </w:p>
    <w:p>
      <w:pPr>
        <w:pStyle w:val="17"/>
        <w:tabs>
          <w:tab w:val="right" w:leader="dot" w:pos="8306"/>
        </w:tabs>
      </w:pPr>
      <w:r>
        <w:fldChar w:fldCharType="begin"/>
      </w:r>
      <w:r>
        <w:instrText xml:space="preserve"> HYPERLINK \l _Toc24043 </w:instrText>
      </w:r>
      <w:r>
        <w:fldChar w:fldCharType="separate"/>
      </w:r>
      <w:r>
        <w:rPr>
          <w:rFonts w:hint="eastAsia"/>
        </w:rPr>
        <w:t xml:space="preserve">第6章 </w:t>
      </w:r>
      <w:r>
        <w:t xml:space="preserve"> 环境保护措施及其可行性论证</w:t>
      </w:r>
      <w:r>
        <w:tab/>
      </w:r>
      <w:r>
        <w:fldChar w:fldCharType="begin"/>
      </w:r>
      <w:r>
        <w:instrText xml:space="preserve"> PAGEREF _Toc24043 \h </w:instrText>
      </w:r>
      <w:r>
        <w:fldChar w:fldCharType="separate"/>
      </w:r>
      <w:r>
        <w:t>124</w:t>
      </w:r>
      <w:r>
        <w:fldChar w:fldCharType="end"/>
      </w:r>
      <w:r>
        <w:fldChar w:fldCharType="end"/>
      </w:r>
    </w:p>
    <w:p>
      <w:pPr>
        <w:pStyle w:val="18"/>
        <w:tabs>
          <w:tab w:val="right" w:leader="dot" w:pos="8306"/>
        </w:tabs>
      </w:pPr>
      <w:r>
        <w:fldChar w:fldCharType="begin"/>
      </w:r>
      <w:r>
        <w:instrText xml:space="preserve"> HYPERLINK \l _Toc19097 </w:instrText>
      </w:r>
      <w:r>
        <w:fldChar w:fldCharType="separate"/>
      </w:r>
      <w:r>
        <w:rPr>
          <w:rFonts w:hint="eastAsia"/>
        </w:rPr>
        <w:t>6</w:t>
      </w:r>
      <w:r>
        <w:t>.1</w:t>
      </w:r>
      <w:r>
        <w:rPr>
          <w:rFonts w:hint="eastAsia"/>
        </w:rPr>
        <w:t>施工期污染防治措施</w:t>
      </w:r>
      <w:r>
        <w:tab/>
      </w:r>
      <w:r>
        <w:fldChar w:fldCharType="begin"/>
      </w:r>
      <w:r>
        <w:instrText xml:space="preserve"> PAGEREF _Toc19097 \h </w:instrText>
      </w:r>
      <w:r>
        <w:fldChar w:fldCharType="separate"/>
      </w:r>
      <w:r>
        <w:t>124</w:t>
      </w:r>
      <w:r>
        <w:fldChar w:fldCharType="end"/>
      </w:r>
      <w:r>
        <w:fldChar w:fldCharType="end"/>
      </w:r>
    </w:p>
    <w:p>
      <w:pPr>
        <w:pStyle w:val="18"/>
        <w:tabs>
          <w:tab w:val="right" w:leader="dot" w:pos="8306"/>
        </w:tabs>
      </w:pPr>
      <w:r>
        <w:fldChar w:fldCharType="begin"/>
      </w:r>
      <w:r>
        <w:instrText xml:space="preserve"> HYPERLINK \l _Toc27865 </w:instrText>
      </w:r>
      <w:r>
        <w:fldChar w:fldCharType="separate"/>
      </w:r>
      <w:r>
        <w:rPr>
          <w:rFonts w:hint="eastAsia"/>
        </w:rPr>
        <w:t>6</w:t>
      </w:r>
      <w:r>
        <w:t>.</w:t>
      </w:r>
      <w:r>
        <w:rPr>
          <w:rFonts w:hint="eastAsia"/>
        </w:rPr>
        <w:t>2</w:t>
      </w:r>
      <w:r>
        <w:t>运营期大气污染防治措施及可行性分析</w:t>
      </w:r>
      <w:r>
        <w:tab/>
      </w:r>
      <w:r>
        <w:fldChar w:fldCharType="begin"/>
      </w:r>
      <w:r>
        <w:instrText xml:space="preserve"> PAGEREF _Toc27865 \h </w:instrText>
      </w:r>
      <w:r>
        <w:fldChar w:fldCharType="separate"/>
      </w:r>
      <w:r>
        <w:t>124</w:t>
      </w:r>
      <w:r>
        <w:fldChar w:fldCharType="end"/>
      </w:r>
      <w:r>
        <w:fldChar w:fldCharType="end"/>
      </w:r>
    </w:p>
    <w:p>
      <w:pPr>
        <w:pStyle w:val="18"/>
        <w:tabs>
          <w:tab w:val="right" w:leader="dot" w:pos="8306"/>
        </w:tabs>
      </w:pPr>
      <w:r>
        <w:fldChar w:fldCharType="begin"/>
      </w:r>
      <w:r>
        <w:instrText xml:space="preserve"> HYPERLINK \l _Toc3247 </w:instrText>
      </w:r>
      <w:r>
        <w:fldChar w:fldCharType="separate"/>
      </w:r>
      <w:r>
        <w:rPr>
          <w:rFonts w:hint="eastAsia"/>
        </w:rPr>
        <w:t>6</w:t>
      </w:r>
      <w:r>
        <w:t>.</w:t>
      </w:r>
      <w:r>
        <w:rPr>
          <w:rFonts w:hint="eastAsia"/>
        </w:rPr>
        <w:t>4</w:t>
      </w:r>
      <w:r>
        <w:t>地下水污染防治措施</w:t>
      </w:r>
      <w:r>
        <w:tab/>
      </w:r>
      <w:r>
        <w:fldChar w:fldCharType="begin"/>
      </w:r>
      <w:r>
        <w:instrText xml:space="preserve"> PAGEREF _Toc3247 \h </w:instrText>
      </w:r>
      <w:r>
        <w:fldChar w:fldCharType="separate"/>
      </w:r>
      <w:r>
        <w:t>131</w:t>
      </w:r>
      <w:r>
        <w:fldChar w:fldCharType="end"/>
      </w:r>
      <w:r>
        <w:fldChar w:fldCharType="end"/>
      </w:r>
    </w:p>
    <w:p>
      <w:pPr>
        <w:pStyle w:val="18"/>
        <w:tabs>
          <w:tab w:val="right" w:leader="dot" w:pos="8306"/>
        </w:tabs>
      </w:pPr>
      <w:r>
        <w:fldChar w:fldCharType="begin"/>
      </w:r>
      <w:r>
        <w:instrText xml:space="preserve"> HYPERLINK \l _Toc6942 </w:instrText>
      </w:r>
      <w:r>
        <w:fldChar w:fldCharType="separate"/>
      </w:r>
      <w:r>
        <w:rPr>
          <w:rFonts w:hint="eastAsia"/>
        </w:rPr>
        <w:t>6</w:t>
      </w:r>
      <w:r>
        <w:t>.</w:t>
      </w:r>
      <w:r>
        <w:rPr>
          <w:rFonts w:hint="eastAsia"/>
        </w:rPr>
        <w:t>5</w:t>
      </w:r>
      <w:r>
        <w:t>噪声污染防治措施及可行性分析</w:t>
      </w:r>
      <w:r>
        <w:tab/>
      </w:r>
      <w:r>
        <w:fldChar w:fldCharType="begin"/>
      </w:r>
      <w:r>
        <w:instrText xml:space="preserve"> PAGEREF _Toc6942 \h </w:instrText>
      </w:r>
      <w:r>
        <w:fldChar w:fldCharType="separate"/>
      </w:r>
      <w:r>
        <w:t>132</w:t>
      </w:r>
      <w:r>
        <w:fldChar w:fldCharType="end"/>
      </w:r>
      <w:r>
        <w:fldChar w:fldCharType="end"/>
      </w:r>
    </w:p>
    <w:p>
      <w:pPr>
        <w:pStyle w:val="18"/>
        <w:tabs>
          <w:tab w:val="right" w:leader="dot" w:pos="8306"/>
        </w:tabs>
      </w:pPr>
      <w:r>
        <w:fldChar w:fldCharType="begin"/>
      </w:r>
      <w:r>
        <w:instrText xml:space="preserve"> HYPERLINK \l _Toc24812 </w:instrText>
      </w:r>
      <w:r>
        <w:fldChar w:fldCharType="separate"/>
      </w:r>
      <w:r>
        <w:rPr>
          <w:rFonts w:hint="eastAsia"/>
        </w:rPr>
        <w:t>6</w:t>
      </w:r>
      <w:r>
        <w:t>.</w:t>
      </w:r>
      <w:r>
        <w:rPr>
          <w:rFonts w:hint="eastAsia"/>
        </w:rPr>
        <w:t>6</w:t>
      </w:r>
      <w:r>
        <w:t>固废处理处置措施及可行性分析</w:t>
      </w:r>
      <w:r>
        <w:tab/>
      </w:r>
      <w:r>
        <w:fldChar w:fldCharType="begin"/>
      </w:r>
      <w:r>
        <w:instrText xml:space="preserve"> PAGEREF _Toc24812 \h </w:instrText>
      </w:r>
      <w:r>
        <w:fldChar w:fldCharType="separate"/>
      </w:r>
      <w:r>
        <w:t>133</w:t>
      </w:r>
      <w:r>
        <w:fldChar w:fldCharType="end"/>
      </w:r>
      <w:r>
        <w:fldChar w:fldCharType="end"/>
      </w:r>
    </w:p>
    <w:p>
      <w:pPr>
        <w:pStyle w:val="18"/>
        <w:tabs>
          <w:tab w:val="right" w:leader="dot" w:pos="8306"/>
        </w:tabs>
      </w:pPr>
      <w:r>
        <w:fldChar w:fldCharType="begin"/>
      </w:r>
      <w:r>
        <w:instrText xml:space="preserve"> HYPERLINK \l _Toc19299 </w:instrText>
      </w:r>
      <w:r>
        <w:fldChar w:fldCharType="separate"/>
      </w:r>
      <w:r>
        <w:rPr>
          <w:rFonts w:hint="eastAsia"/>
        </w:rPr>
        <w:t>6</w:t>
      </w:r>
      <w:r>
        <w:t>.</w:t>
      </w:r>
      <w:r>
        <w:rPr>
          <w:rFonts w:hint="eastAsia"/>
        </w:rPr>
        <w:t>7土壤防治措施</w:t>
      </w:r>
      <w:r>
        <w:t>及可行性分析</w:t>
      </w:r>
      <w:r>
        <w:tab/>
      </w:r>
      <w:r>
        <w:fldChar w:fldCharType="begin"/>
      </w:r>
      <w:r>
        <w:instrText xml:space="preserve"> PAGEREF _Toc19299 \h </w:instrText>
      </w:r>
      <w:r>
        <w:fldChar w:fldCharType="separate"/>
      </w:r>
      <w:r>
        <w:t>135</w:t>
      </w:r>
      <w:r>
        <w:fldChar w:fldCharType="end"/>
      </w:r>
      <w:r>
        <w:fldChar w:fldCharType="end"/>
      </w:r>
    </w:p>
    <w:p>
      <w:pPr>
        <w:pStyle w:val="17"/>
        <w:tabs>
          <w:tab w:val="right" w:leader="dot" w:pos="8306"/>
        </w:tabs>
      </w:pPr>
      <w:r>
        <w:fldChar w:fldCharType="begin"/>
      </w:r>
      <w:r>
        <w:instrText xml:space="preserve"> HYPERLINK \l _Toc27338 </w:instrText>
      </w:r>
      <w:r>
        <w:fldChar w:fldCharType="separate"/>
      </w:r>
      <w:r>
        <w:rPr>
          <w:rFonts w:hint="eastAsia"/>
        </w:rPr>
        <w:t xml:space="preserve">第7章 </w:t>
      </w:r>
      <w:r>
        <w:t xml:space="preserve"> 环境经济损益分析及总量控制</w:t>
      </w:r>
      <w:r>
        <w:tab/>
      </w:r>
      <w:r>
        <w:fldChar w:fldCharType="begin"/>
      </w:r>
      <w:r>
        <w:instrText xml:space="preserve"> PAGEREF _Toc27338 \h </w:instrText>
      </w:r>
      <w:r>
        <w:fldChar w:fldCharType="separate"/>
      </w:r>
      <w:r>
        <w:t>137</w:t>
      </w:r>
      <w:r>
        <w:fldChar w:fldCharType="end"/>
      </w:r>
      <w:r>
        <w:fldChar w:fldCharType="end"/>
      </w:r>
    </w:p>
    <w:p>
      <w:pPr>
        <w:pStyle w:val="18"/>
        <w:tabs>
          <w:tab w:val="right" w:leader="dot" w:pos="8306"/>
        </w:tabs>
      </w:pPr>
      <w:r>
        <w:fldChar w:fldCharType="begin"/>
      </w:r>
      <w:r>
        <w:instrText xml:space="preserve"> HYPERLINK \l _Toc30949 </w:instrText>
      </w:r>
      <w:r>
        <w:fldChar w:fldCharType="separate"/>
      </w:r>
      <w:r>
        <w:rPr>
          <w:rFonts w:hint="eastAsia"/>
        </w:rPr>
        <w:t>7</w:t>
      </w:r>
      <w:r>
        <w:t>.1环境效益分析</w:t>
      </w:r>
      <w:r>
        <w:tab/>
      </w:r>
      <w:r>
        <w:fldChar w:fldCharType="begin"/>
      </w:r>
      <w:r>
        <w:instrText xml:space="preserve"> PAGEREF _Toc30949 \h </w:instrText>
      </w:r>
      <w:r>
        <w:fldChar w:fldCharType="separate"/>
      </w:r>
      <w:r>
        <w:t>137</w:t>
      </w:r>
      <w:r>
        <w:fldChar w:fldCharType="end"/>
      </w:r>
      <w:r>
        <w:fldChar w:fldCharType="end"/>
      </w:r>
    </w:p>
    <w:p>
      <w:pPr>
        <w:pStyle w:val="18"/>
        <w:tabs>
          <w:tab w:val="right" w:leader="dot" w:pos="8306"/>
        </w:tabs>
      </w:pPr>
      <w:r>
        <w:fldChar w:fldCharType="begin"/>
      </w:r>
      <w:r>
        <w:instrText xml:space="preserve"> HYPERLINK \l _Toc12176 </w:instrText>
      </w:r>
      <w:r>
        <w:fldChar w:fldCharType="separate"/>
      </w:r>
      <w:r>
        <w:rPr>
          <w:rFonts w:hint="eastAsia"/>
        </w:rPr>
        <w:t>7</w:t>
      </w:r>
      <w:r>
        <w:t>.2工程经济效益与社会效益分析</w:t>
      </w:r>
      <w:r>
        <w:tab/>
      </w:r>
      <w:r>
        <w:fldChar w:fldCharType="begin"/>
      </w:r>
      <w:r>
        <w:instrText xml:space="preserve"> PAGEREF _Toc12176 \h </w:instrText>
      </w:r>
      <w:r>
        <w:fldChar w:fldCharType="separate"/>
      </w:r>
      <w:r>
        <w:t>138</w:t>
      </w:r>
      <w:r>
        <w:fldChar w:fldCharType="end"/>
      </w:r>
      <w:r>
        <w:fldChar w:fldCharType="end"/>
      </w:r>
    </w:p>
    <w:p>
      <w:pPr>
        <w:pStyle w:val="18"/>
        <w:tabs>
          <w:tab w:val="right" w:leader="dot" w:pos="8306"/>
        </w:tabs>
      </w:pPr>
      <w:r>
        <w:fldChar w:fldCharType="begin"/>
      </w:r>
      <w:r>
        <w:instrText xml:space="preserve"> HYPERLINK \l _Toc14022 </w:instrText>
      </w:r>
      <w:r>
        <w:fldChar w:fldCharType="separate"/>
      </w:r>
      <w:r>
        <w:rPr>
          <w:rFonts w:hint="eastAsia"/>
        </w:rPr>
        <w:t>7</w:t>
      </w:r>
      <w:r>
        <w:t>.3总量控制分析</w:t>
      </w:r>
      <w:r>
        <w:tab/>
      </w:r>
      <w:r>
        <w:fldChar w:fldCharType="begin"/>
      </w:r>
      <w:r>
        <w:instrText xml:space="preserve"> PAGEREF _Toc14022 \h </w:instrText>
      </w:r>
      <w:r>
        <w:fldChar w:fldCharType="separate"/>
      </w:r>
      <w:r>
        <w:t>138</w:t>
      </w:r>
      <w:r>
        <w:fldChar w:fldCharType="end"/>
      </w:r>
      <w:r>
        <w:fldChar w:fldCharType="end"/>
      </w:r>
    </w:p>
    <w:p>
      <w:pPr>
        <w:pStyle w:val="17"/>
        <w:tabs>
          <w:tab w:val="right" w:leader="dot" w:pos="8306"/>
        </w:tabs>
      </w:pPr>
      <w:r>
        <w:fldChar w:fldCharType="begin"/>
      </w:r>
      <w:r>
        <w:instrText xml:space="preserve"> HYPERLINK \l _Toc29936 </w:instrText>
      </w:r>
      <w:r>
        <w:fldChar w:fldCharType="separate"/>
      </w:r>
      <w:r>
        <w:rPr>
          <w:rFonts w:hint="eastAsia"/>
        </w:rPr>
        <w:t xml:space="preserve">第8章 </w:t>
      </w:r>
      <w:r>
        <w:t xml:space="preserve"> 环境管理与环境监测计划</w:t>
      </w:r>
      <w:r>
        <w:tab/>
      </w:r>
      <w:r>
        <w:fldChar w:fldCharType="begin"/>
      </w:r>
      <w:r>
        <w:instrText xml:space="preserve"> PAGEREF _Toc29936 \h </w:instrText>
      </w:r>
      <w:r>
        <w:fldChar w:fldCharType="separate"/>
      </w:r>
      <w:r>
        <w:t>139</w:t>
      </w:r>
      <w:r>
        <w:fldChar w:fldCharType="end"/>
      </w:r>
      <w:r>
        <w:fldChar w:fldCharType="end"/>
      </w:r>
    </w:p>
    <w:p>
      <w:pPr>
        <w:pStyle w:val="18"/>
        <w:tabs>
          <w:tab w:val="right" w:leader="dot" w:pos="8306"/>
        </w:tabs>
      </w:pPr>
      <w:r>
        <w:fldChar w:fldCharType="begin"/>
      </w:r>
      <w:r>
        <w:instrText xml:space="preserve"> HYPERLINK \l _Toc32447 </w:instrText>
      </w:r>
      <w:r>
        <w:fldChar w:fldCharType="separate"/>
      </w:r>
      <w:r>
        <w:rPr>
          <w:rFonts w:hint="eastAsia"/>
        </w:rPr>
        <w:t>8</w:t>
      </w:r>
      <w:r>
        <w:t>.1环境管理</w:t>
      </w:r>
      <w:r>
        <w:tab/>
      </w:r>
      <w:r>
        <w:fldChar w:fldCharType="begin"/>
      </w:r>
      <w:r>
        <w:instrText xml:space="preserve"> PAGEREF _Toc32447 \h </w:instrText>
      </w:r>
      <w:r>
        <w:fldChar w:fldCharType="separate"/>
      </w:r>
      <w:r>
        <w:t>139</w:t>
      </w:r>
      <w:r>
        <w:fldChar w:fldCharType="end"/>
      </w:r>
      <w:r>
        <w:fldChar w:fldCharType="end"/>
      </w:r>
    </w:p>
    <w:p>
      <w:pPr>
        <w:pStyle w:val="18"/>
        <w:tabs>
          <w:tab w:val="right" w:leader="dot" w:pos="8306"/>
        </w:tabs>
      </w:pPr>
      <w:r>
        <w:fldChar w:fldCharType="begin"/>
      </w:r>
      <w:r>
        <w:instrText xml:space="preserve"> HYPERLINK \l _Toc5470 </w:instrText>
      </w:r>
      <w:r>
        <w:fldChar w:fldCharType="separate"/>
      </w:r>
      <w:r>
        <w:rPr>
          <w:rFonts w:hint="eastAsia"/>
        </w:rPr>
        <w:t>8</w:t>
      </w:r>
      <w:r>
        <w:t>.2环境监测</w:t>
      </w:r>
      <w:r>
        <w:rPr>
          <w:rFonts w:hint="eastAsia"/>
        </w:rPr>
        <w:t>计划</w:t>
      </w:r>
      <w:r>
        <w:tab/>
      </w:r>
      <w:r>
        <w:fldChar w:fldCharType="begin"/>
      </w:r>
      <w:r>
        <w:instrText xml:space="preserve"> PAGEREF _Toc5470 \h </w:instrText>
      </w:r>
      <w:r>
        <w:fldChar w:fldCharType="separate"/>
      </w:r>
      <w:r>
        <w:t>142</w:t>
      </w:r>
      <w:r>
        <w:fldChar w:fldCharType="end"/>
      </w:r>
      <w:r>
        <w:fldChar w:fldCharType="end"/>
      </w:r>
    </w:p>
    <w:p>
      <w:pPr>
        <w:pStyle w:val="18"/>
        <w:tabs>
          <w:tab w:val="right" w:leader="dot" w:pos="8306"/>
        </w:tabs>
      </w:pPr>
      <w:r>
        <w:fldChar w:fldCharType="begin"/>
      </w:r>
      <w:r>
        <w:instrText xml:space="preserve"> HYPERLINK \l _Toc29322 </w:instrText>
      </w:r>
      <w:r>
        <w:fldChar w:fldCharType="separate"/>
      </w:r>
      <w:r>
        <w:rPr>
          <w:rFonts w:hint="eastAsia"/>
        </w:rPr>
        <w:t>8</w:t>
      </w:r>
      <w:r>
        <w:t>.3竣工环保验收内容</w:t>
      </w:r>
      <w:r>
        <w:tab/>
      </w:r>
      <w:r>
        <w:fldChar w:fldCharType="begin"/>
      </w:r>
      <w:r>
        <w:instrText xml:space="preserve"> PAGEREF _Toc29322 \h </w:instrText>
      </w:r>
      <w:r>
        <w:fldChar w:fldCharType="separate"/>
      </w:r>
      <w:r>
        <w:t>142</w:t>
      </w:r>
      <w:r>
        <w:fldChar w:fldCharType="end"/>
      </w:r>
      <w:r>
        <w:fldChar w:fldCharType="end"/>
      </w:r>
    </w:p>
    <w:p>
      <w:pPr>
        <w:pStyle w:val="17"/>
        <w:tabs>
          <w:tab w:val="right" w:leader="dot" w:pos="8306"/>
        </w:tabs>
      </w:pPr>
      <w:r>
        <w:fldChar w:fldCharType="begin"/>
      </w:r>
      <w:r>
        <w:instrText xml:space="preserve"> HYPERLINK \l _Toc96 </w:instrText>
      </w:r>
      <w:r>
        <w:fldChar w:fldCharType="separate"/>
      </w:r>
      <w:r>
        <w:rPr>
          <w:rFonts w:hint="eastAsia"/>
        </w:rPr>
        <w:t xml:space="preserve">第9章 </w:t>
      </w:r>
      <w:r>
        <w:t xml:space="preserve"> 环境影响评价结论</w:t>
      </w:r>
      <w:r>
        <w:tab/>
      </w:r>
      <w:r>
        <w:fldChar w:fldCharType="begin"/>
      </w:r>
      <w:r>
        <w:instrText xml:space="preserve"> PAGEREF _Toc96 \h </w:instrText>
      </w:r>
      <w:r>
        <w:fldChar w:fldCharType="separate"/>
      </w:r>
      <w:r>
        <w:t>144</w:t>
      </w:r>
      <w:r>
        <w:fldChar w:fldCharType="end"/>
      </w:r>
      <w:r>
        <w:fldChar w:fldCharType="end"/>
      </w:r>
    </w:p>
    <w:p>
      <w:pPr>
        <w:pStyle w:val="18"/>
        <w:tabs>
          <w:tab w:val="right" w:leader="dot" w:pos="8306"/>
        </w:tabs>
      </w:pPr>
      <w:r>
        <w:fldChar w:fldCharType="begin"/>
      </w:r>
      <w:r>
        <w:instrText xml:space="preserve"> HYPERLINK \l _Toc3455 </w:instrText>
      </w:r>
      <w:r>
        <w:fldChar w:fldCharType="separate"/>
      </w:r>
      <w:r>
        <w:rPr>
          <w:rFonts w:hint="eastAsia"/>
        </w:rPr>
        <w:t>9</w:t>
      </w:r>
      <w:r>
        <w:t>.1项目概况</w:t>
      </w:r>
      <w:r>
        <w:tab/>
      </w:r>
      <w:r>
        <w:fldChar w:fldCharType="begin"/>
      </w:r>
      <w:r>
        <w:instrText xml:space="preserve"> PAGEREF _Toc3455 \h </w:instrText>
      </w:r>
      <w:r>
        <w:fldChar w:fldCharType="separate"/>
      </w:r>
      <w:r>
        <w:t>144</w:t>
      </w:r>
      <w:r>
        <w:fldChar w:fldCharType="end"/>
      </w:r>
      <w:r>
        <w:fldChar w:fldCharType="end"/>
      </w:r>
    </w:p>
    <w:p>
      <w:pPr>
        <w:pStyle w:val="18"/>
        <w:tabs>
          <w:tab w:val="right" w:leader="dot" w:pos="8306"/>
        </w:tabs>
      </w:pPr>
      <w:r>
        <w:fldChar w:fldCharType="begin"/>
      </w:r>
      <w:r>
        <w:instrText xml:space="preserve"> HYPERLINK \l _Toc3627 </w:instrText>
      </w:r>
      <w:r>
        <w:fldChar w:fldCharType="separate"/>
      </w:r>
      <w:r>
        <w:rPr>
          <w:rFonts w:hint="eastAsia"/>
        </w:rPr>
        <w:t>9</w:t>
      </w:r>
      <w:r>
        <w:t>.2环境质量现状</w:t>
      </w:r>
      <w:r>
        <w:tab/>
      </w:r>
      <w:r>
        <w:fldChar w:fldCharType="begin"/>
      </w:r>
      <w:r>
        <w:instrText xml:space="preserve"> PAGEREF _Toc3627 \h </w:instrText>
      </w:r>
      <w:r>
        <w:fldChar w:fldCharType="separate"/>
      </w:r>
      <w:r>
        <w:t>144</w:t>
      </w:r>
      <w:r>
        <w:fldChar w:fldCharType="end"/>
      </w:r>
      <w:r>
        <w:fldChar w:fldCharType="end"/>
      </w:r>
    </w:p>
    <w:p>
      <w:pPr>
        <w:pStyle w:val="18"/>
        <w:tabs>
          <w:tab w:val="right" w:leader="dot" w:pos="8306"/>
        </w:tabs>
      </w:pPr>
      <w:r>
        <w:fldChar w:fldCharType="begin"/>
      </w:r>
      <w:r>
        <w:instrText xml:space="preserve"> HYPERLINK \l _Toc28730 </w:instrText>
      </w:r>
      <w:r>
        <w:fldChar w:fldCharType="separate"/>
      </w:r>
      <w:r>
        <w:rPr>
          <w:rFonts w:hint="eastAsia"/>
        </w:rPr>
        <w:t>9</w:t>
      </w:r>
      <w:r>
        <w:t>.3环境影响及环保措施</w:t>
      </w:r>
      <w:r>
        <w:tab/>
      </w:r>
      <w:r>
        <w:fldChar w:fldCharType="begin"/>
      </w:r>
      <w:r>
        <w:instrText xml:space="preserve"> PAGEREF _Toc28730 \h </w:instrText>
      </w:r>
      <w:r>
        <w:fldChar w:fldCharType="separate"/>
      </w:r>
      <w:r>
        <w:t>144</w:t>
      </w:r>
      <w:r>
        <w:fldChar w:fldCharType="end"/>
      </w:r>
      <w:r>
        <w:fldChar w:fldCharType="end"/>
      </w:r>
    </w:p>
    <w:p>
      <w:pPr>
        <w:pStyle w:val="18"/>
        <w:tabs>
          <w:tab w:val="right" w:leader="dot" w:pos="8306"/>
        </w:tabs>
      </w:pPr>
      <w:r>
        <w:fldChar w:fldCharType="begin"/>
      </w:r>
      <w:r>
        <w:instrText xml:space="preserve"> HYPERLINK \l _Toc18753 </w:instrText>
      </w:r>
      <w:r>
        <w:fldChar w:fldCharType="separate"/>
      </w:r>
      <w:r>
        <w:rPr>
          <w:rFonts w:hint="eastAsia"/>
        </w:rPr>
        <w:t>9</w:t>
      </w:r>
      <w:r>
        <w:t>.</w:t>
      </w:r>
      <w:r>
        <w:rPr>
          <w:rFonts w:hint="eastAsia"/>
        </w:rPr>
        <w:t>4</w:t>
      </w:r>
      <w:r>
        <w:t>环境影响经济损益分析</w:t>
      </w:r>
      <w:r>
        <w:tab/>
      </w:r>
      <w:r>
        <w:fldChar w:fldCharType="begin"/>
      </w:r>
      <w:r>
        <w:instrText xml:space="preserve"> PAGEREF _Toc18753 \h </w:instrText>
      </w:r>
      <w:r>
        <w:fldChar w:fldCharType="separate"/>
      </w:r>
      <w:r>
        <w:t>146</w:t>
      </w:r>
      <w:r>
        <w:fldChar w:fldCharType="end"/>
      </w:r>
      <w:r>
        <w:fldChar w:fldCharType="end"/>
      </w:r>
    </w:p>
    <w:p>
      <w:pPr>
        <w:pStyle w:val="18"/>
        <w:tabs>
          <w:tab w:val="right" w:leader="dot" w:pos="8306"/>
        </w:tabs>
      </w:pPr>
      <w:r>
        <w:fldChar w:fldCharType="begin"/>
      </w:r>
      <w:r>
        <w:instrText xml:space="preserve"> HYPERLINK \l _Toc32322 </w:instrText>
      </w:r>
      <w:r>
        <w:fldChar w:fldCharType="separate"/>
      </w:r>
      <w:r>
        <w:rPr>
          <w:rFonts w:hint="eastAsia"/>
        </w:rPr>
        <w:t>9</w:t>
      </w:r>
      <w:r>
        <w:t>.</w:t>
      </w:r>
      <w:r>
        <w:rPr>
          <w:rFonts w:hint="eastAsia"/>
        </w:rPr>
        <w:t>5</w:t>
      </w:r>
      <w:r>
        <w:t>环境管理与环境监测计划</w:t>
      </w:r>
      <w:r>
        <w:tab/>
      </w:r>
      <w:r>
        <w:fldChar w:fldCharType="begin"/>
      </w:r>
      <w:r>
        <w:instrText xml:space="preserve"> PAGEREF _Toc32322 \h </w:instrText>
      </w:r>
      <w:r>
        <w:fldChar w:fldCharType="separate"/>
      </w:r>
      <w:r>
        <w:t>146</w:t>
      </w:r>
      <w:r>
        <w:fldChar w:fldCharType="end"/>
      </w:r>
      <w:r>
        <w:fldChar w:fldCharType="end"/>
      </w:r>
    </w:p>
    <w:p>
      <w:pPr>
        <w:pStyle w:val="18"/>
        <w:tabs>
          <w:tab w:val="right" w:leader="dot" w:pos="8306"/>
        </w:tabs>
      </w:pPr>
      <w:r>
        <w:fldChar w:fldCharType="begin"/>
      </w:r>
      <w:r>
        <w:instrText xml:space="preserve"> HYPERLINK \l _Toc9712 </w:instrText>
      </w:r>
      <w:r>
        <w:fldChar w:fldCharType="separate"/>
      </w:r>
      <w:r>
        <w:rPr>
          <w:rFonts w:hint="eastAsia"/>
        </w:rPr>
        <w:t>9</w:t>
      </w:r>
      <w:r>
        <w:t>.</w:t>
      </w:r>
      <w:r>
        <w:rPr>
          <w:rFonts w:hint="eastAsia"/>
        </w:rPr>
        <w:t>6</w:t>
      </w:r>
      <w:r>
        <w:t>总量控制</w:t>
      </w:r>
      <w:r>
        <w:tab/>
      </w:r>
      <w:r>
        <w:fldChar w:fldCharType="begin"/>
      </w:r>
      <w:r>
        <w:instrText xml:space="preserve"> PAGEREF _Toc9712 \h </w:instrText>
      </w:r>
      <w:r>
        <w:fldChar w:fldCharType="separate"/>
      </w:r>
      <w:r>
        <w:t>146</w:t>
      </w:r>
      <w:r>
        <w:fldChar w:fldCharType="end"/>
      </w:r>
      <w:r>
        <w:fldChar w:fldCharType="end"/>
      </w:r>
    </w:p>
    <w:p>
      <w:pPr>
        <w:pStyle w:val="18"/>
        <w:tabs>
          <w:tab w:val="right" w:leader="dot" w:pos="8306"/>
        </w:tabs>
      </w:pPr>
      <w:r>
        <w:fldChar w:fldCharType="begin"/>
      </w:r>
      <w:r>
        <w:instrText xml:space="preserve"> HYPERLINK \l _Toc1539 </w:instrText>
      </w:r>
      <w:r>
        <w:fldChar w:fldCharType="separate"/>
      </w:r>
      <w:r>
        <w:rPr>
          <w:rFonts w:hint="eastAsia"/>
        </w:rPr>
        <w:t>9</w:t>
      </w:r>
      <w:r>
        <w:t>.</w:t>
      </w:r>
      <w:r>
        <w:rPr>
          <w:rFonts w:hint="eastAsia"/>
        </w:rPr>
        <w:t>7</w:t>
      </w:r>
      <w:r>
        <w:t>产业政策及选址可行性</w:t>
      </w:r>
      <w:r>
        <w:tab/>
      </w:r>
      <w:r>
        <w:fldChar w:fldCharType="begin"/>
      </w:r>
      <w:r>
        <w:instrText xml:space="preserve"> PAGEREF _Toc1539 \h </w:instrText>
      </w:r>
      <w:r>
        <w:fldChar w:fldCharType="separate"/>
      </w:r>
      <w:r>
        <w:t>147</w:t>
      </w:r>
      <w:r>
        <w:fldChar w:fldCharType="end"/>
      </w:r>
      <w:r>
        <w:fldChar w:fldCharType="end"/>
      </w:r>
    </w:p>
    <w:p>
      <w:pPr>
        <w:pStyle w:val="18"/>
        <w:tabs>
          <w:tab w:val="right" w:leader="dot" w:pos="8306"/>
        </w:tabs>
      </w:pPr>
      <w:r>
        <w:fldChar w:fldCharType="begin"/>
      </w:r>
      <w:r>
        <w:instrText xml:space="preserve"> HYPERLINK \l _Toc7908 </w:instrText>
      </w:r>
      <w:r>
        <w:fldChar w:fldCharType="separate"/>
      </w:r>
      <w:r>
        <w:rPr>
          <w:rFonts w:hint="eastAsia"/>
        </w:rPr>
        <w:t>9</w:t>
      </w:r>
      <w:r>
        <w:t>.</w:t>
      </w:r>
      <w:r>
        <w:rPr>
          <w:rFonts w:hint="eastAsia"/>
        </w:rPr>
        <w:t>8公众参与</w:t>
      </w:r>
      <w:r>
        <w:tab/>
      </w:r>
      <w:r>
        <w:fldChar w:fldCharType="begin"/>
      </w:r>
      <w:r>
        <w:instrText xml:space="preserve"> PAGEREF _Toc7908 \h </w:instrText>
      </w:r>
      <w:r>
        <w:fldChar w:fldCharType="separate"/>
      </w:r>
      <w:r>
        <w:t>147</w:t>
      </w:r>
      <w:r>
        <w:fldChar w:fldCharType="end"/>
      </w:r>
      <w:r>
        <w:fldChar w:fldCharType="end"/>
      </w:r>
    </w:p>
    <w:p>
      <w:pPr>
        <w:pStyle w:val="18"/>
        <w:tabs>
          <w:tab w:val="right" w:leader="dot" w:pos="8306"/>
        </w:tabs>
      </w:pPr>
      <w:r>
        <w:fldChar w:fldCharType="begin"/>
      </w:r>
      <w:r>
        <w:instrText xml:space="preserve"> HYPERLINK \l _Toc11684 </w:instrText>
      </w:r>
      <w:r>
        <w:fldChar w:fldCharType="separate"/>
      </w:r>
      <w:r>
        <w:rPr>
          <w:rFonts w:hint="eastAsia"/>
        </w:rPr>
        <w:t>9</w:t>
      </w:r>
      <w:r>
        <w:t>.</w:t>
      </w:r>
      <w:r>
        <w:rPr>
          <w:rFonts w:hint="eastAsia"/>
        </w:rPr>
        <w:t>9</w:t>
      </w:r>
      <w:r>
        <w:t>综合结论</w:t>
      </w:r>
      <w:r>
        <w:tab/>
      </w:r>
      <w:r>
        <w:fldChar w:fldCharType="begin"/>
      </w:r>
      <w:r>
        <w:instrText xml:space="preserve"> PAGEREF _Toc11684 \h </w:instrText>
      </w:r>
      <w:r>
        <w:fldChar w:fldCharType="separate"/>
      </w:r>
      <w:r>
        <w:t>147</w:t>
      </w:r>
      <w:r>
        <w:fldChar w:fldCharType="end"/>
      </w:r>
      <w:r>
        <w:fldChar w:fldCharType="end"/>
      </w:r>
    </w:p>
    <w:p>
      <w:r>
        <w:fldChar w:fldCharType="end"/>
      </w:r>
    </w:p>
    <w:p>
      <w:pPr>
        <w:pStyle w:val="5"/>
        <w:rPr>
          <w:rFonts w:hint="eastAsia"/>
          <w:color w:val="auto"/>
        </w:rPr>
      </w:pPr>
      <w:bookmarkStart w:id="0" w:name="_Toc25410"/>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rPr>
          <w:rFonts w:hint="eastAsia"/>
          <w:color w:val="auto"/>
        </w:rPr>
      </w:pPr>
    </w:p>
    <w:p>
      <w:pPr>
        <w:pStyle w:val="19"/>
        <w:widowControl w:val="0"/>
        <w:spacing w:before="36" w:beforeLines="15" w:after="36" w:afterLines="15" w:line="336" w:lineRule="auto"/>
        <w:ind w:firstLine="0" w:firstLineChars="0"/>
        <w:jc w:val="left"/>
        <w:rPr>
          <w:rFonts w:hint="default" w:ascii="Times New Roman" w:hAnsi="Times New Roman" w:cs="Times New Roman"/>
          <w:b/>
        </w:rPr>
      </w:pPr>
    </w:p>
    <w:p>
      <w:pPr>
        <w:pStyle w:val="19"/>
        <w:widowControl w:val="0"/>
        <w:spacing w:before="36" w:beforeLines="15" w:after="36" w:afterLines="15" w:line="336" w:lineRule="auto"/>
        <w:ind w:firstLine="0" w:firstLineChars="0"/>
        <w:jc w:val="left"/>
        <w:rPr>
          <w:rFonts w:hint="default" w:ascii="Times New Roman" w:hAnsi="Times New Roman" w:cs="Times New Roman"/>
          <w:b/>
        </w:rPr>
      </w:pPr>
    </w:p>
    <w:p>
      <w:pPr>
        <w:pStyle w:val="19"/>
        <w:widowControl w:val="0"/>
        <w:spacing w:before="36" w:beforeLines="15" w:after="36" w:afterLines="15" w:line="336" w:lineRule="auto"/>
        <w:ind w:firstLine="0" w:firstLineChars="0"/>
        <w:jc w:val="left"/>
        <w:rPr>
          <w:rFonts w:hint="default" w:ascii="Times New Roman" w:hAnsi="Times New Roman" w:cs="Times New Roman"/>
          <w:b/>
        </w:rPr>
      </w:pPr>
    </w:p>
    <w:p>
      <w:pPr>
        <w:pStyle w:val="19"/>
        <w:widowControl w:val="0"/>
        <w:spacing w:before="36" w:beforeLines="15" w:after="36" w:afterLines="15" w:line="336" w:lineRule="auto"/>
        <w:ind w:firstLine="0" w:firstLineChars="0"/>
        <w:jc w:val="left"/>
        <w:rPr>
          <w:rFonts w:hint="default" w:ascii="Times New Roman" w:hAnsi="Times New Roman" w:cs="Times New Roman"/>
          <w:b/>
        </w:rPr>
      </w:pPr>
    </w:p>
    <w:p>
      <w:pPr>
        <w:pStyle w:val="19"/>
        <w:widowControl w:val="0"/>
        <w:spacing w:before="36" w:beforeLines="15" w:after="36" w:afterLines="15" w:line="336" w:lineRule="auto"/>
        <w:ind w:firstLine="0" w:firstLineChars="0"/>
        <w:jc w:val="left"/>
        <w:rPr>
          <w:rFonts w:hint="default" w:ascii="Times New Roman" w:hAnsi="Times New Roman" w:cs="Times New Roman"/>
          <w:b/>
          <w:highlight w:val="none"/>
          <w:u w:val="none"/>
        </w:rPr>
      </w:pPr>
      <w:r>
        <w:rPr>
          <w:rFonts w:hint="default" w:ascii="Times New Roman" w:hAnsi="Times New Roman" w:cs="Times New Roman"/>
          <w:b/>
          <w:highlight w:val="none"/>
          <w:u w:val="none"/>
        </w:rPr>
        <w:t>附件:</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环评委托书</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营业执照</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项目备案证明</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公司更名证明</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中塑环评批复</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厂房租赁合同</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项目土地使用证明</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产业园区规划环评批复</w:t>
      </w:r>
    </w:p>
    <w:p>
      <w:pPr>
        <w:widowControl w:val="0"/>
        <w:numPr>
          <w:ilvl w:val="0"/>
          <w:numId w:val="1"/>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执行标准函</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Times New Roman" w:hAnsi="Times New Roman" w:cs="Times New Roman"/>
          <w:color w:val="auto"/>
          <w:highlight w:val="none"/>
          <w:u w:val="none"/>
          <w:lang w:val="en-US" w:eastAsia="zh-CN"/>
        </w:rPr>
      </w:pPr>
      <w:bookmarkStart w:id="246" w:name="_GoBack"/>
      <w:bookmarkEnd w:id="246"/>
      <w:r>
        <w:rPr>
          <w:rFonts w:hint="eastAsia" w:cs="Times New Roman"/>
          <w:color w:val="auto"/>
          <w:highlight w:val="none"/>
          <w:u w:val="none"/>
          <w:lang w:val="en-US" w:eastAsia="zh-CN"/>
        </w:rPr>
        <w:t>附件11环境质量监测报告及质保单</w:t>
      </w:r>
    </w:p>
    <w:p>
      <w:pPr>
        <w:widowControl w:val="0"/>
        <w:spacing w:line="324" w:lineRule="auto"/>
        <w:ind w:left="0" w:leftChars="0" w:firstLine="0" w:firstLineChars="0"/>
        <w:jc w:val="left"/>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rPr>
        <w:t>附图：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项目地理位置图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项目总平面布置图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项目评价范围图</w:t>
      </w:r>
      <w:r>
        <w:rPr>
          <w:rFonts w:hint="eastAsia" w:cs="Times New Roman"/>
          <w:color w:val="auto"/>
          <w:highlight w:val="none"/>
          <w:u w:val="none"/>
          <w:lang w:val="en-US" w:eastAsia="zh-CN"/>
        </w:rPr>
        <w:t>及环境保护目标图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rPr>
        <w:t>项目</w:t>
      </w:r>
      <w:r>
        <w:rPr>
          <w:rFonts w:hint="eastAsia" w:ascii="Times New Roman" w:hAnsi="Times New Roman" w:cs="Times New Roman"/>
          <w:color w:val="auto"/>
          <w:highlight w:val="none"/>
          <w:u w:val="none"/>
          <w:lang w:val="en-US" w:eastAsia="zh-CN"/>
        </w:rPr>
        <w:t>现场</w:t>
      </w:r>
      <w:r>
        <w:rPr>
          <w:rFonts w:hint="eastAsia" w:ascii="Times New Roman" w:hAnsi="Times New Roman" w:cs="Times New Roman"/>
          <w:color w:val="auto"/>
          <w:highlight w:val="none"/>
          <w:u w:val="none"/>
        </w:rPr>
        <w:t>照片</w:t>
      </w:r>
      <w:r>
        <w:rPr>
          <w:rFonts w:hint="eastAsia" w:ascii="Times New Roman" w:hAnsi="Times New Roman" w:cs="Times New Roman"/>
          <w:color w:val="auto"/>
          <w:highlight w:val="none"/>
          <w:u w:val="none"/>
          <w:lang w:val="en-US" w:eastAsia="zh-CN"/>
        </w:rPr>
        <w:t>及四至情况</w:t>
      </w:r>
      <w:r>
        <w:rPr>
          <w:rFonts w:hint="eastAsia" w:ascii="Times New Roman" w:hAnsi="Times New Roman" w:cs="Times New Roman"/>
          <w:color w:val="auto"/>
          <w:highlight w:val="none"/>
          <w:u w:val="none"/>
        </w:rPr>
        <w:t>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项目监测点位图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产业园区功能分区图</w:t>
      </w:r>
    </w:p>
    <w:p>
      <w:pPr>
        <w:widowControl w:val="0"/>
        <w:numPr>
          <w:ilvl w:val="1"/>
          <w:numId w:val="2"/>
        </w:numPr>
        <w:spacing w:line="324" w:lineRule="auto"/>
        <w:ind w:left="0" w:firstLine="480" w:firstLineChars="200"/>
        <w:jc w:val="left"/>
        <w:rPr>
          <w:rFonts w:hint="default" w:ascii="Times New Roman" w:hAnsi="Times New Roman" w:cs="Times New Roman"/>
          <w:color w:val="auto"/>
          <w:highlight w:val="none"/>
          <w:u w:val="none"/>
        </w:rPr>
      </w:pPr>
      <w:r>
        <w:rPr>
          <w:rFonts w:hint="eastAsia" w:cs="Times New Roman"/>
          <w:color w:val="auto"/>
          <w:highlight w:val="none"/>
          <w:u w:val="none"/>
          <w:lang w:val="en-US" w:eastAsia="zh-CN"/>
        </w:rPr>
        <w:t>项目管网分布图</w:t>
      </w:r>
    </w:p>
    <w:p>
      <w:pPr>
        <w:pStyle w:val="2"/>
        <w:rPr>
          <w:rFonts w:hint="default"/>
          <w:lang w:val="en-US"/>
        </w:rPr>
      </w:pPr>
      <w:r>
        <w:rPr>
          <w:rFonts w:hint="eastAsia" w:cs="Times New Roman"/>
          <w:color w:val="auto"/>
          <w:highlight w:val="none"/>
          <w:u w:val="none"/>
          <w:lang w:val="en-US" w:eastAsia="zh-CN"/>
        </w:rPr>
        <w:t>附图8 各环境要素评价范围图</w:t>
      </w:r>
    </w:p>
    <w:p>
      <w:pPr>
        <w:widowControl w:val="0"/>
        <w:spacing w:line="324" w:lineRule="auto"/>
        <w:ind w:left="0" w:leftChars="0" w:firstLine="0" w:firstLineChars="0"/>
        <w:jc w:val="left"/>
        <w:rPr>
          <w:rFonts w:hint="default" w:ascii="Times New Roman" w:hAnsi="Times New Roman" w:cs="Times New Roman"/>
          <w:b/>
          <w:color w:val="auto"/>
          <w:highlight w:val="none"/>
          <w:u w:val="none"/>
        </w:rPr>
      </w:pPr>
      <w:r>
        <w:rPr>
          <w:rFonts w:hint="default" w:ascii="Times New Roman" w:hAnsi="Times New Roman" w:cs="Times New Roman"/>
          <w:b/>
          <w:color w:val="auto"/>
          <w:highlight w:val="none"/>
          <w:u w:val="none"/>
        </w:rPr>
        <w:t>附表：</w:t>
      </w:r>
    </w:p>
    <w:p>
      <w:pPr>
        <w:keepNext w:val="0"/>
        <w:keepLines w:val="0"/>
        <w:pageBreakBefore w:val="0"/>
        <w:widowControl w:val="0"/>
        <w:numPr>
          <w:ilvl w:val="0"/>
          <w:numId w:val="3"/>
        </w:numPr>
        <w:kinsoku/>
        <w:wordWrap/>
        <w:overflowPunct/>
        <w:topLinePunct w:val="0"/>
        <w:autoSpaceDE/>
        <w:autoSpaceDN/>
        <w:bidi w:val="0"/>
        <w:adjustRightInd/>
        <w:snapToGrid/>
        <w:spacing w:line="324" w:lineRule="auto"/>
        <w:ind w:left="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建设项目环评审批基础信息表</w:t>
      </w:r>
    </w:p>
    <w:p>
      <w:pPr>
        <w:keepNext w:val="0"/>
        <w:keepLines w:val="0"/>
        <w:pageBreakBefore w:val="0"/>
        <w:widowControl w:val="0"/>
        <w:numPr>
          <w:ilvl w:val="0"/>
          <w:numId w:val="3"/>
        </w:numPr>
        <w:kinsoku/>
        <w:wordWrap/>
        <w:overflowPunct/>
        <w:topLinePunct w:val="0"/>
        <w:autoSpaceDE/>
        <w:autoSpaceDN/>
        <w:bidi w:val="0"/>
        <w:adjustRightInd/>
        <w:snapToGrid/>
        <w:spacing w:line="324" w:lineRule="auto"/>
        <w:ind w:left="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建设项目大气环境影响评价自查表</w:t>
      </w:r>
    </w:p>
    <w:p>
      <w:pPr>
        <w:keepNext w:val="0"/>
        <w:keepLines w:val="0"/>
        <w:pageBreakBefore w:val="0"/>
        <w:widowControl w:val="0"/>
        <w:numPr>
          <w:ilvl w:val="0"/>
          <w:numId w:val="3"/>
        </w:numPr>
        <w:kinsoku/>
        <w:wordWrap/>
        <w:overflowPunct/>
        <w:topLinePunct w:val="0"/>
        <w:autoSpaceDE/>
        <w:autoSpaceDN/>
        <w:bidi w:val="0"/>
        <w:adjustRightInd/>
        <w:snapToGrid/>
        <w:spacing w:line="324" w:lineRule="auto"/>
        <w:ind w:left="0"/>
        <w:jc w:val="left"/>
        <w:textAlignment w:val="auto"/>
        <w:rPr>
          <w:rFonts w:hint="default" w:ascii="Times New Roman" w:hAnsi="Times New Roman" w:cs="Times New Roman"/>
          <w:color w:val="auto"/>
          <w:highlight w:val="none"/>
          <w:u w:val="none"/>
        </w:rPr>
      </w:pPr>
      <w:r>
        <w:rPr>
          <w:rFonts w:hint="default" w:ascii="Times New Roman" w:hAnsi="Times New Roman" w:cs="Times New Roman"/>
          <w:color w:val="auto"/>
          <w:highlight w:val="none"/>
          <w:u w:val="none"/>
        </w:rPr>
        <w:t>建设项目地表水环境影响评价自查表</w:t>
      </w:r>
    </w:p>
    <w:p>
      <w:pPr>
        <w:keepNext w:val="0"/>
        <w:keepLines w:val="0"/>
        <w:pageBreakBefore w:val="0"/>
        <w:widowControl w:val="0"/>
        <w:numPr>
          <w:ilvl w:val="0"/>
          <w:numId w:val="3"/>
        </w:numPr>
        <w:kinsoku/>
        <w:wordWrap/>
        <w:overflowPunct/>
        <w:topLinePunct w:val="0"/>
        <w:autoSpaceDE/>
        <w:autoSpaceDN/>
        <w:bidi w:val="0"/>
        <w:adjustRightInd/>
        <w:snapToGrid/>
        <w:spacing w:line="324" w:lineRule="auto"/>
        <w:ind w:left="0"/>
        <w:jc w:val="left"/>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声环境影响</w:t>
      </w:r>
      <w:r>
        <w:rPr>
          <w:rFonts w:hint="default" w:ascii="Times New Roman" w:hAnsi="Times New Roman" w:cs="Times New Roman"/>
          <w:color w:val="auto"/>
          <w:highlight w:val="none"/>
          <w:u w:val="none"/>
        </w:rPr>
        <w:t>评价自查表</w:t>
      </w:r>
    </w:p>
    <w:p>
      <w:pPr>
        <w:keepNext w:val="0"/>
        <w:keepLines w:val="0"/>
        <w:pageBreakBefore w:val="0"/>
        <w:widowControl w:val="0"/>
        <w:numPr>
          <w:ilvl w:val="0"/>
          <w:numId w:val="3"/>
        </w:numPr>
        <w:kinsoku/>
        <w:wordWrap/>
        <w:overflowPunct/>
        <w:topLinePunct w:val="0"/>
        <w:autoSpaceDE/>
        <w:autoSpaceDN/>
        <w:bidi w:val="0"/>
        <w:adjustRightInd/>
        <w:snapToGrid/>
        <w:spacing w:line="324" w:lineRule="auto"/>
        <w:ind w:left="0"/>
        <w:jc w:val="left"/>
        <w:textAlignment w:val="auto"/>
        <w:rPr>
          <w:rFonts w:hint="default" w:ascii="Times New Roman" w:hAnsi="Times New Roman" w:cs="Times New Roman"/>
          <w:color w:val="auto"/>
          <w:highlight w:val="none"/>
          <w:u w:val="none"/>
        </w:rPr>
      </w:pPr>
      <w:r>
        <w:rPr>
          <w:rFonts w:hint="eastAsia" w:ascii="Times New Roman" w:hAnsi="Times New Roman" w:cs="Times New Roman"/>
          <w:color w:val="auto"/>
          <w:highlight w:val="none"/>
          <w:u w:val="none"/>
          <w:lang w:eastAsia="zh-CN"/>
        </w:rPr>
        <w:t>土壤环境影响评价自查表</w:t>
      </w:r>
    </w:p>
    <w:p>
      <w:pPr>
        <w:rPr>
          <w:rFonts w:hint="eastAsia"/>
          <w:color w:val="auto"/>
        </w:rPr>
      </w:pPr>
    </w:p>
    <w:p>
      <w:pPr>
        <w:pStyle w:val="5"/>
        <w:rPr>
          <w:rFonts w:hint="eastAsia"/>
          <w:color w:val="auto"/>
        </w:rPr>
      </w:pPr>
    </w:p>
    <w:p>
      <w:pPr>
        <w:rPr>
          <w:rFonts w:hint="eastAsia"/>
        </w:rPr>
      </w:pPr>
    </w:p>
    <w:p>
      <w:pPr>
        <w:pStyle w:val="5"/>
        <w:rPr>
          <w:rFonts w:hint="eastAsia"/>
          <w:color w:val="auto"/>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1" w:name="_Toc1133"/>
    </w:p>
    <w:p>
      <w:pPr>
        <w:pStyle w:val="5"/>
        <w:rPr>
          <w:color w:val="auto"/>
        </w:rPr>
      </w:pPr>
      <w:r>
        <w:rPr>
          <w:rFonts w:hint="eastAsia"/>
          <w:color w:val="auto"/>
        </w:rPr>
        <w:t xml:space="preserve">第1章 </w:t>
      </w:r>
      <w:r>
        <w:rPr>
          <w:color w:val="auto"/>
        </w:rPr>
        <w:t xml:space="preserve"> </w:t>
      </w:r>
      <w:r>
        <w:rPr>
          <w:rFonts w:hint="eastAsia"/>
          <w:color w:val="auto"/>
        </w:rPr>
        <w:t>概述</w:t>
      </w:r>
      <w:bookmarkEnd w:id="0"/>
      <w:bookmarkEnd w:id="1"/>
    </w:p>
    <w:p>
      <w:pPr>
        <w:pStyle w:val="6"/>
        <w:rPr>
          <w:color w:val="auto"/>
        </w:rPr>
      </w:pPr>
      <w:bookmarkStart w:id="2" w:name="_Toc1655"/>
      <w:bookmarkStart w:id="3" w:name="_Toc5538"/>
      <w:r>
        <w:rPr>
          <w:rFonts w:hint="eastAsia"/>
          <w:color w:val="auto"/>
        </w:rPr>
        <w:t>1</w:t>
      </w:r>
      <w:r>
        <w:rPr>
          <w:color w:val="auto"/>
        </w:rPr>
        <w:t>.1</w:t>
      </w:r>
      <w:r>
        <w:rPr>
          <w:rFonts w:hint="eastAsia"/>
          <w:color w:val="auto"/>
        </w:rPr>
        <w:t>建设项目背景及建设项目特点</w:t>
      </w:r>
      <w:bookmarkEnd w:id="2"/>
      <w:bookmarkEnd w:id="3"/>
    </w:p>
    <w:p>
      <w:pPr>
        <w:ind w:firstLine="480"/>
        <w:rPr>
          <w:color w:val="auto"/>
        </w:rPr>
      </w:pPr>
      <w:r>
        <w:rPr>
          <w:color w:val="auto"/>
        </w:rPr>
        <w:t>塑料制品是采用塑料为主要原料加工而成的生活、工业等用品的统称。包括以塑料为原料的注塑、吸塑等所有工艺的制品。它与合成橡胶、合成纤维形成了日常生活不可缺少的三大合成材料。</w:t>
      </w:r>
    </w:p>
    <w:p>
      <w:pPr>
        <w:ind w:firstLine="480"/>
        <w:rPr>
          <w:color w:val="auto"/>
        </w:rPr>
      </w:pPr>
      <w:r>
        <w:rPr>
          <w:color w:val="auto"/>
        </w:rPr>
        <w:t>近几年来，塑料与钢铁、木材、水泥一起共同构成了现代工业四大基础材料，在国民经济发展中占有重要地位。相对于金属、石材、木材，塑料制品具有成本低、可塑性强等优点，在国民经济中应用广泛，塑料工业在当今世界上占有极为重要的地位，多年来塑料制品的生产在世界各地高速度发展。</w:t>
      </w:r>
    </w:p>
    <w:p>
      <w:pPr>
        <w:ind w:firstLine="480"/>
        <w:rPr>
          <w:color w:val="auto"/>
        </w:rPr>
      </w:pPr>
      <w:r>
        <w:rPr>
          <w:color w:val="auto"/>
        </w:rPr>
        <w:t>我国塑料制品产量在世界排名中始终位于前列，其中多种塑料制品产量已经位于全球首位，我国已经成为世界塑料制品生产大国。塑料制品应用广泛，庞大的下游行业为我国塑料制品行业的发展提供了强有力的支撑。随着《振兴石化行业规划细则》的出台，我国塑料制品行业迎来新的发展机遇。我国塑料制品市场需求主要集中于农用塑料制品、包装塑料制品、建筑塑料制品、工业交通及工程塑料制品等几个方面。塑料具有材料综合性能优异，加工方便，生产和使用中可以显著节约能源等优点，被广泛应用于工农业及人民的日常生活之中。</w:t>
      </w:r>
    </w:p>
    <w:p>
      <w:pPr>
        <w:ind w:firstLine="480"/>
        <w:rPr>
          <w:color w:val="auto"/>
        </w:rPr>
      </w:pPr>
      <w:r>
        <w:rPr>
          <w:rFonts w:hint="eastAsia"/>
          <w:color w:val="auto"/>
        </w:rPr>
        <w:t>近年来，我国宏观经济持续加速发展，交通建设、建筑工程、市政工程、水利工程、农业和工业等行业市场对塑料管道的需求不断加大，拉动了中国塑料管道行业的高速发展。提升企业市场竞争力，充分利用本地资源，以研发和生产PE塑料管材为主，促进企业可持续性发展，有助于企业做大做强塑料管材产品的生产主业，延伸企业产业链条，促进产业集群发展实现突破。</w:t>
      </w:r>
    </w:p>
    <w:p>
      <w:pPr>
        <w:ind w:firstLine="480"/>
        <w:rPr>
          <w:color w:val="auto"/>
        </w:rPr>
      </w:pPr>
      <w:r>
        <w:rPr>
          <w:color w:val="auto"/>
        </w:rPr>
        <w:t>汨罗，简称罗城，隶属于岳阳市，处湖南省东北部，紧靠洞庭湖东畔、汨罗江下游。汨罗的废品收购业始发于清代，改革开放以来，汨罗顺应国家发展循环经济大势，启动工业园建设，集群发展，成立了汨罗市工业园，后发展为汨罗高新区。作为全国知名的再生资源产业园，汨罗高新区是全国再生塑料价格的监测点。依靠汨罗再生资源回收集散市场优势，汨罗高新区建立了从再生资源回收、粗加工向中高端产品转变的资源循环利用体系，成为面向全国、辐射全国、服务 全国的国内重要再生资源聚散中心</w:t>
      </w:r>
      <w:r>
        <w:rPr>
          <w:rFonts w:hint="eastAsia"/>
          <w:color w:val="auto"/>
        </w:rPr>
        <w:t>。</w:t>
      </w:r>
    </w:p>
    <w:p>
      <w:pPr>
        <w:ind w:firstLine="480"/>
        <w:rPr>
          <w:rFonts w:hint="eastAsia"/>
          <w:u w:val="single"/>
          <w:vertAlign w:val="baseline"/>
          <w:lang w:val="en-US" w:eastAsia="zh-CN"/>
        </w:rPr>
      </w:pPr>
      <w:r>
        <w:rPr>
          <w:rFonts w:hint="eastAsia"/>
          <w:u w:val="single"/>
        </w:rPr>
        <w:t>湖南中塑新能源有限公司</w:t>
      </w:r>
      <w:r>
        <w:rPr>
          <w:rFonts w:hint="eastAsia"/>
          <w:u w:val="single"/>
          <w:lang w:val="en-US" w:eastAsia="zh-CN"/>
        </w:rPr>
        <w:t>于2018年取得了原岳阳市环境保护局下发的岳环评【2018】66号批复的《关于湖南中塑新能源有限公司年产100万吨再生塑料项目环境影响报告书的批复》</w:t>
      </w:r>
      <w:r>
        <w:rPr>
          <w:rFonts w:hint="eastAsia"/>
          <w:highlight w:val="none"/>
          <w:u w:val="single"/>
          <w:lang w:val="en-US" w:eastAsia="zh-CN"/>
        </w:rPr>
        <w:t>（附件6），</w:t>
      </w:r>
      <w:r>
        <w:rPr>
          <w:rFonts w:hint="eastAsia"/>
          <w:u w:val="single"/>
          <w:lang w:val="en-US" w:eastAsia="zh-CN"/>
        </w:rPr>
        <w:t>批复内容为：湖南中塑新能源有限公司拟投资115412.8万元在湖南汨罗循环经济产业园区内（平益高速以北、G536以南、107国道以东、湄江以西区域）新建年产100万吨再生塑料建设项目，总用地面积为272315m</w:t>
      </w:r>
      <w:r>
        <w:rPr>
          <w:rFonts w:hint="eastAsia"/>
          <w:u w:val="single"/>
          <w:vertAlign w:val="superscript"/>
          <w:lang w:val="en-US" w:eastAsia="zh-CN"/>
        </w:rPr>
        <w:t>2</w:t>
      </w:r>
      <w:r>
        <w:rPr>
          <w:rFonts w:hint="eastAsia"/>
          <w:u w:val="single"/>
          <w:lang w:val="en-US" w:eastAsia="zh-CN"/>
        </w:rPr>
        <w:t>，总建筑面积为171162m</w:t>
      </w:r>
      <w:r>
        <w:rPr>
          <w:rFonts w:hint="eastAsia"/>
          <w:u w:val="single"/>
          <w:vertAlign w:val="superscript"/>
          <w:lang w:val="en-US" w:eastAsia="zh-CN"/>
        </w:rPr>
        <w:t>2</w:t>
      </w:r>
      <w:r>
        <w:rPr>
          <w:rFonts w:hint="eastAsia"/>
          <w:u w:val="single"/>
          <w:vertAlign w:val="baseline"/>
          <w:lang w:val="en-US" w:eastAsia="zh-CN"/>
        </w:rPr>
        <w:t>。同步建设2栋5F管理、服务用房，20栋1F生产厂房及配套设施。现按照批复要求建设了相关生产设施并通过了一、二期竣工环境保护验收，取得了验收专家评审意见。由于市场发展需要，原湖南中塑新能源有限公司批复生产的4#厂房现租赁给湖南博泰管业有限公司从事其他项目建设，项目厂房及配套设施已按照岳环评【2018】66号批复中建设完成，湖南博泰管业可依托现有厂房相关设施从事生产经营活动。</w:t>
      </w:r>
    </w:p>
    <w:p>
      <w:pPr>
        <w:ind w:firstLine="480"/>
        <w:rPr>
          <w:rFonts w:hint="default"/>
          <w:u w:val="single"/>
          <w:vertAlign w:val="baseline"/>
          <w:lang w:val="en-US" w:eastAsia="zh-CN"/>
        </w:rPr>
      </w:pPr>
      <w:r>
        <w:rPr>
          <w:rFonts w:hint="eastAsia"/>
          <w:u w:val="single"/>
          <w:vertAlign w:val="baseline"/>
          <w:lang w:val="en-US" w:eastAsia="zh-CN"/>
        </w:rPr>
        <w:t>湖南博泰管业有限公司原名为汨罗市中塑博泰新材料有限公司，于2023年1月变更营业执照名称及经营地址，主要经营范围为：塑料制品制造；塑料制品销售；新材料技术研发等，租赁湖南中塑新能源有限公司现有空置厂房（4#）从事经营生产，除生产设施外其余公用工程均依托湖南中塑新能源有限公司已建配套设施。</w:t>
      </w:r>
    </w:p>
    <w:p>
      <w:pPr>
        <w:ind w:firstLine="480"/>
        <w:rPr>
          <w:color w:val="auto"/>
          <w:u w:val="single"/>
        </w:rPr>
      </w:pPr>
      <w:r>
        <w:rPr>
          <w:color w:val="auto"/>
          <w:u w:val="single"/>
        </w:rPr>
        <w:t>202</w:t>
      </w:r>
      <w:r>
        <w:rPr>
          <w:rFonts w:hint="eastAsia"/>
          <w:color w:val="auto"/>
          <w:u w:val="single"/>
        </w:rPr>
        <w:t>3</w:t>
      </w:r>
      <w:r>
        <w:rPr>
          <w:color w:val="auto"/>
          <w:u w:val="single"/>
        </w:rPr>
        <w:t>年，湖南博泰管业有限公司在</w:t>
      </w:r>
      <w:r>
        <w:rPr>
          <w:rFonts w:hint="eastAsia"/>
          <w:color w:val="auto"/>
          <w:u w:val="single"/>
        </w:rPr>
        <w:t>汨罗市新市镇汨罗循环经济产业园G536与青春大道交界处107国道以东</w:t>
      </w:r>
      <w:r>
        <w:rPr>
          <w:color w:val="auto"/>
          <w:u w:val="single"/>
        </w:rPr>
        <w:t>租赁闲置厂房作为厂区</w:t>
      </w:r>
      <w:r>
        <w:rPr>
          <w:rFonts w:hint="eastAsia"/>
          <w:color w:val="auto"/>
          <w:u w:val="single"/>
          <w:lang w:val="en-US" w:eastAsia="zh-CN"/>
        </w:rPr>
        <w:t>拟</w:t>
      </w:r>
      <w:r>
        <w:rPr>
          <w:rFonts w:hint="eastAsia"/>
          <w:color w:val="auto"/>
          <w:u w:val="single"/>
        </w:rPr>
        <w:t>建设</w:t>
      </w:r>
      <w:r>
        <w:rPr>
          <w:rFonts w:hint="eastAsia"/>
          <w:color w:val="auto"/>
          <w:u w:val="single"/>
          <w:lang w:eastAsia="zh-CN"/>
        </w:rPr>
        <w:t>年产</w:t>
      </w:r>
      <w:r>
        <w:rPr>
          <w:rFonts w:hint="eastAsia"/>
          <w:color w:val="auto"/>
          <w:u w:val="single"/>
          <w:lang w:val="en-US" w:eastAsia="zh-CN"/>
        </w:rPr>
        <w:t>8</w:t>
      </w:r>
      <w:r>
        <w:rPr>
          <w:rFonts w:hint="eastAsia"/>
          <w:color w:val="auto"/>
          <w:u w:val="single"/>
          <w:lang w:eastAsia="zh-CN"/>
        </w:rPr>
        <w:t>万吨高分子材料精深制品建设项目</w:t>
      </w:r>
      <w:r>
        <w:rPr>
          <w:color w:val="auto"/>
          <w:u w:val="single"/>
        </w:rPr>
        <w:t>。</w:t>
      </w:r>
    </w:p>
    <w:p>
      <w:pPr>
        <w:ind w:firstLine="480"/>
        <w:rPr>
          <w:rFonts w:hint="eastAsia"/>
          <w:color w:val="auto"/>
          <w:u w:val="single"/>
          <w:lang w:val="en-US" w:eastAsia="zh-CN"/>
        </w:rPr>
      </w:pPr>
      <w:r>
        <w:rPr>
          <w:rFonts w:hint="eastAsia"/>
          <w:color w:val="auto"/>
          <w:u w:val="single"/>
          <w:lang w:val="en-US" w:eastAsia="zh-CN"/>
        </w:rPr>
        <w:t>2023年4月26日，湖南博泰管业有限公司重新核实了现有实际生产能力和未来发展规划，重新核实原有设计8万吨高分子材料精深制品生产线可行性，将生产能力变更为3万吨高分子材料精深制品生产线，且前往湖南汨罗高新技术产业开发区管理委员会备案了汨高政审【2023】37号文件，除产能变更外其余均与汨罗市发展和改革局下发的汨发改备【2022】66号文一致（附件3），重新编制了本环境影响评价报告书。</w:t>
      </w:r>
    </w:p>
    <w:p>
      <w:pPr>
        <w:ind w:firstLine="480"/>
        <w:rPr>
          <w:rFonts w:hint="default"/>
          <w:color w:val="auto"/>
          <w:u w:val="single"/>
          <w:lang w:val="en-US" w:eastAsia="zh-CN"/>
        </w:rPr>
      </w:pPr>
      <w:r>
        <w:rPr>
          <w:rFonts w:hint="eastAsia"/>
          <w:color w:val="auto"/>
          <w:u w:val="single"/>
        </w:rPr>
        <w:t>根据设备实际生产能力及实际市场需求，本项目核定生产能力为</w:t>
      </w:r>
      <w:r>
        <w:rPr>
          <w:color w:val="auto"/>
          <w:u w:val="single"/>
        </w:rPr>
        <w:t>建设</w:t>
      </w:r>
      <w:r>
        <w:rPr>
          <w:rFonts w:hint="eastAsia"/>
          <w:color w:val="auto"/>
          <w:u w:val="single"/>
          <w:lang w:val="en-US" w:eastAsia="zh-CN"/>
        </w:rPr>
        <w:t>3</w:t>
      </w:r>
      <w:r>
        <w:rPr>
          <w:rFonts w:hint="eastAsia"/>
          <w:color w:val="auto"/>
          <w:u w:val="single"/>
        </w:rPr>
        <w:t>万吨高分子材料精深制品建设</w:t>
      </w:r>
      <w:r>
        <w:rPr>
          <w:rFonts w:hint="eastAsia"/>
          <w:color w:val="auto"/>
          <w:highlight w:val="none"/>
          <w:u w:val="single"/>
        </w:rPr>
        <w:t>项目</w:t>
      </w:r>
      <w:r>
        <w:rPr>
          <w:color w:val="auto"/>
          <w:szCs w:val="21"/>
          <w:highlight w:val="none"/>
          <w:u w:val="single"/>
        </w:rPr>
        <w:t>。本项目占地面积为</w:t>
      </w:r>
      <w:r>
        <w:rPr>
          <w:rFonts w:hint="eastAsia"/>
          <w:color w:val="auto"/>
          <w:szCs w:val="21"/>
          <w:highlight w:val="none"/>
          <w:u w:val="single"/>
          <w:lang w:val="en-US" w:eastAsia="zh-CN"/>
        </w:rPr>
        <w:t>21213.54</w:t>
      </w:r>
      <w:r>
        <w:rPr>
          <w:rFonts w:hint="eastAsia"/>
          <w:color w:val="auto"/>
          <w:szCs w:val="21"/>
          <w:highlight w:val="none"/>
          <w:u w:val="single"/>
        </w:rPr>
        <w:t xml:space="preserve"> </w:t>
      </w:r>
      <w:r>
        <w:rPr>
          <w:color w:val="auto"/>
          <w:szCs w:val="21"/>
          <w:highlight w:val="none"/>
          <w:u w:val="single"/>
        </w:rPr>
        <w:t>m</w:t>
      </w:r>
      <w:r>
        <w:rPr>
          <w:color w:val="auto"/>
          <w:szCs w:val="21"/>
          <w:highlight w:val="none"/>
          <w:u w:val="single"/>
          <w:vertAlign w:val="superscript"/>
        </w:rPr>
        <w:t>2</w:t>
      </w:r>
      <w:r>
        <w:rPr>
          <w:color w:val="auto"/>
          <w:szCs w:val="21"/>
          <w:highlight w:val="none"/>
          <w:u w:val="single"/>
        </w:rPr>
        <w:t>，</w:t>
      </w:r>
      <w:r>
        <w:rPr>
          <w:rFonts w:hint="eastAsia"/>
          <w:color w:val="auto"/>
          <w:szCs w:val="21"/>
          <w:highlight w:val="none"/>
          <w:u w:val="single"/>
          <w:lang w:val="en-US" w:eastAsia="zh-CN"/>
        </w:rPr>
        <w:t>其中厂房面积为10281.64m</w:t>
      </w:r>
      <w:r>
        <w:rPr>
          <w:rFonts w:hint="eastAsia"/>
          <w:color w:val="auto"/>
          <w:szCs w:val="21"/>
          <w:highlight w:val="none"/>
          <w:u w:val="single"/>
          <w:vertAlign w:val="superscript"/>
          <w:lang w:val="en-US" w:eastAsia="zh-CN"/>
        </w:rPr>
        <w:t>2</w:t>
      </w:r>
      <w:r>
        <w:rPr>
          <w:rFonts w:hint="eastAsia"/>
          <w:color w:val="auto"/>
          <w:szCs w:val="21"/>
          <w:highlight w:val="none"/>
          <w:u w:val="single"/>
          <w:lang w:val="en-US" w:eastAsia="zh-CN"/>
        </w:rPr>
        <w:t>，</w:t>
      </w:r>
      <w:r>
        <w:rPr>
          <w:color w:val="auto"/>
          <w:szCs w:val="21"/>
          <w:highlight w:val="none"/>
          <w:u w:val="single"/>
        </w:rPr>
        <w:t>总投资</w:t>
      </w:r>
      <w:r>
        <w:rPr>
          <w:rFonts w:hint="eastAsia"/>
          <w:color w:val="auto"/>
          <w:szCs w:val="21"/>
          <w:highlight w:val="none"/>
          <w:u w:val="single"/>
        </w:rPr>
        <w:t>6000</w:t>
      </w:r>
      <w:r>
        <w:rPr>
          <w:color w:val="auto"/>
          <w:szCs w:val="21"/>
          <w:highlight w:val="none"/>
          <w:u w:val="single"/>
        </w:rPr>
        <w:t>万元。项目以</w:t>
      </w:r>
      <w:r>
        <w:rPr>
          <w:rFonts w:hint="eastAsia"/>
          <w:color w:val="auto"/>
          <w:szCs w:val="21"/>
          <w:highlight w:val="none"/>
          <w:u w:val="single"/>
        </w:rPr>
        <w:t>再生塑料颗粒、色</w:t>
      </w:r>
      <w:r>
        <w:rPr>
          <w:rFonts w:hint="eastAsia"/>
          <w:color w:val="auto"/>
          <w:szCs w:val="21"/>
          <w:u w:val="single"/>
        </w:rPr>
        <w:t>母粒、消泡剂</w:t>
      </w:r>
      <w:r>
        <w:rPr>
          <w:color w:val="auto"/>
          <w:szCs w:val="21"/>
          <w:u w:val="single"/>
        </w:rPr>
        <w:t>为原料，</w:t>
      </w:r>
      <w:r>
        <w:rPr>
          <w:rFonts w:hint="eastAsia"/>
          <w:color w:val="auto"/>
          <w:szCs w:val="21"/>
          <w:u w:val="single"/>
        </w:rPr>
        <w:t>主要生产工艺为</w:t>
      </w:r>
      <w:r>
        <w:rPr>
          <w:color w:val="auto"/>
          <w:szCs w:val="21"/>
          <w:u w:val="single"/>
        </w:rPr>
        <w:t>破碎、熔融挤出、定型、切割等</w:t>
      </w:r>
      <w:r>
        <w:rPr>
          <w:rFonts w:hint="eastAsia"/>
          <w:color w:val="auto"/>
          <w:szCs w:val="21"/>
          <w:u w:val="single"/>
          <w:lang w:eastAsia="zh-CN"/>
        </w:rPr>
        <w:t>，</w:t>
      </w:r>
      <w:r>
        <w:rPr>
          <w:rFonts w:hint="eastAsia"/>
          <w:color w:val="auto"/>
          <w:szCs w:val="21"/>
          <w:u w:val="single"/>
          <w:lang w:val="en-US" w:eastAsia="zh-CN"/>
        </w:rPr>
        <w:t>共设置16条生产线</w:t>
      </w:r>
      <w:r>
        <w:rPr>
          <w:color w:val="auto"/>
          <w:szCs w:val="21"/>
          <w:u w:val="single"/>
        </w:rPr>
        <w:t>。</w:t>
      </w:r>
    </w:p>
    <w:p>
      <w:pPr>
        <w:ind w:firstLine="480"/>
        <w:rPr>
          <w:color w:val="auto"/>
          <w:szCs w:val="21"/>
        </w:rPr>
      </w:pPr>
      <w:r>
        <w:rPr>
          <w:color w:val="auto"/>
        </w:rPr>
        <w:t>根据《中华人民共和国环境保护法》（2015年1月1日）、《中华人民共和国环境影响评价法》（2018年12月29日）、《建设项目环境影响评价分类管理名录》（2021版）的有关规定，本项目使用</w:t>
      </w:r>
      <w:r>
        <w:rPr>
          <w:rFonts w:hint="eastAsia"/>
          <w:color w:val="auto"/>
        </w:rPr>
        <w:t>再生塑料颗粒</w:t>
      </w:r>
      <w:r>
        <w:rPr>
          <w:color w:val="auto"/>
        </w:rPr>
        <w:t>为原料，属于再生塑料，本项目属于“二十六、橡胶和塑料制品业—53 塑料制品业”中“以再生塑料为原料”，按要求应编制环境影响报告书。</w:t>
      </w:r>
      <w:r>
        <w:rPr>
          <w:color w:val="auto"/>
          <w:szCs w:val="21"/>
        </w:rPr>
        <w:t>因此建设单位委托湖南</w:t>
      </w:r>
      <w:r>
        <w:rPr>
          <w:rFonts w:hint="eastAsia"/>
          <w:color w:val="auto"/>
          <w:szCs w:val="21"/>
        </w:rPr>
        <w:t>徙木环境</w:t>
      </w:r>
      <w:r>
        <w:rPr>
          <w:color w:val="auto"/>
          <w:szCs w:val="21"/>
        </w:rPr>
        <w:t>科技有限公司承担本项目的环境影响评价编制工作。评价单位在充分收集有关资料并深入进行现场踏勘后，依据国家、地方的有关环保法律、法规，在建设单位大力支持下，完成了该项目环境影响报告书的编制工作，上报有关生态环境主管部门审批。</w:t>
      </w:r>
    </w:p>
    <w:p>
      <w:pPr>
        <w:pStyle w:val="6"/>
        <w:rPr>
          <w:color w:val="auto"/>
        </w:rPr>
      </w:pPr>
      <w:bookmarkStart w:id="4" w:name="_Toc30124"/>
      <w:bookmarkStart w:id="5" w:name="_Toc9269"/>
      <w:r>
        <w:rPr>
          <w:color w:val="auto"/>
        </w:rPr>
        <w:t>1.2评价目的</w:t>
      </w:r>
      <w:bookmarkEnd w:id="4"/>
      <w:bookmarkEnd w:id="5"/>
    </w:p>
    <w:p>
      <w:pPr>
        <w:ind w:firstLine="480"/>
        <w:rPr>
          <w:color w:val="auto"/>
        </w:rPr>
      </w:pPr>
      <w:r>
        <w:rPr>
          <w:color w:val="auto"/>
        </w:rPr>
        <w:t>（1）通过环境现状调查，了解评价区域的环境质量状况，分析评价区域存在的主要环境问题。</w:t>
      </w:r>
    </w:p>
    <w:p>
      <w:pPr>
        <w:ind w:firstLine="480"/>
        <w:rPr>
          <w:color w:val="auto"/>
        </w:rPr>
      </w:pPr>
      <w:r>
        <w:rPr>
          <w:color w:val="auto"/>
        </w:rPr>
        <w:t>（2）通过工程分析，查清项目污染类型、排污节点、污染物种类、各项污染物的排放规律及排放量，确定污染因子、环境影响因素。</w:t>
      </w:r>
    </w:p>
    <w:p>
      <w:pPr>
        <w:ind w:firstLine="480"/>
        <w:rPr>
          <w:color w:val="auto"/>
        </w:rPr>
      </w:pPr>
      <w:r>
        <w:rPr>
          <w:color w:val="auto"/>
        </w:rPr>
        <w:t>（3）在现状评价及工程分析的基础上，预测评价或分析项目建设对环境的影响程度和范围。</w:t>
      </w:r>
    </w:p>
    <w:p>
      <w:pPr>
        <w:ind w:firstLine="480"/>
        <w:rPr>
          <w:color w:val="auto"/>
        </w:rPr>
      </w:pPr>
      <w:r>
        <w:rPr>
          <w:color w:val="auto"/>
        </w:rPr>
        <w:t>（4）从经济、技术角度分析论证拟采用的环保措施的可行性。必要时提出改善或改进措施的替代方案。</w:t>
      </w:r>
    </w:p>
    <w:p>
      <w:pPr>
        <w:ind w:firstLine="480"/>
        <w:rPr>
          <w:color w:val="auto"/>
        </w:rPr>
      </w:pPr>
      <w:r>
        <w:rPr>
          <w:color w:val="auto"/>
        </w:rPr>
        <w:t>（5）根据环境功能要求和环境容量，提出污染物排放总量控制建议指标。</w:t>
      </w:r>
    </w:p>
    <w:p>
      <w:pPr>
        <w:ind w:firstLine="480"/>
        <w:rPr>
          <w:color w:val="auto"/>
        </w:rPr>
      </w:pPr>
      <w:r>
        <w:rPr>
          <w:color w:val="auto"/>
        </w:rPr>
        <w:t>（6）根据当地的发展规划、环境功能区划以及影响评价结果，论证项目选址的合理性。</w:t>
      </w:r>
    </w:p>
    <w:p>
      <w:pPr>
        <w:ind w:firstLine="480"/>
        <w:rPr>
          <w:color w:val="auto"/>
        </w:rPr>
      </w:pPr>
      <w:r>
        <w:rPr>
          <w:color w:val="auto"/>
        </w:rPr>
        <w:t>（7）依据环保法规、产业政策和区域环境现状、工艺排污情况、污染防治措施等综合分析结果，从环境保护角度对项目的可行性给出明确结论，确保环境影响报告书为主管部门提供决策依据，为环境管理提供科学依据。</w:t>
      </w:r>
    </w:p>
    <w:p>
      <w:pPr>
        <w:pStyle w:val="6"/>
        <w:rPr>
          <w:color w:val="auto"/>
        </w:rPr>
      </w:pPr>
      <w:bookmarkStart w:id="6" w:name="_Toc25402_WPSOffice_Level2"/>
      <w:bookmarkStart w:id="7" w:name="_Toc23671_WPSOffice_Level2"/>
      <w:bookmarkStart w:id="8" w:name="_Toc27078_WPSOffice_Level2"/>
      <w:bookmarkStart w:id="9" w:name="_Toc964"/>
      <w:bookmarkStart w:id="10" w:name="_Toc4549_WPSOffice_Level2"/>
      <w:bookmarkStart w:id="11" w:name="_Toc30571_WPSOffice_Level2"/>
      <w:bookmarkStart w:id="12" w:name="_Toc14333"/>
      <w:bookmarkStart w:id="13" w:name="_Toc23478_WPSOffice_Level2"/>
      <w:bookmarkStart w:id="14" w:name="_Toc15489"/>
      <w:bookmarkStart w:id="15" w:name="_Toc14806"/>
      <w:r>
        <w:rPr>
          <w:color w:val="auto"/>
        </w:rPr>
        <w:t>1.3评价原则</w:t>
      </w:r>
      <w:bookmarkEnd w:id="6"/>
      <w:bookmarkEnd w:id="7"/>
      <w:bookmarkEnd w:id="8"/>
      <w:bookmarkEnd w:id="9"/>
      <w:bookmarkEnd w:id="10"/>
      <w:bookmarkEnd w:id="11"/>
      <w:bookmarkEnd w:id="12"/>
      <w:bookmarkEnd w:id="13"/>
      <w:bookmarkEnd w:id="14"/>
      <w:bookmarkEnd w:id="15"/>
    </w:p>
    <w:p>
      <w:pPr>
        <w:ind w:firstLine="480"/>
        <w:rPr>
          <w:color w:val="auto"/>
        </w:rPr>
      </w:pPr>
      <w:r>
        <w:rPr>
          <w:color w:val="auto"/>
        </w:rPr>
        <w:t>按照以人为本、建设资源节约型、环境友好型社会和科学发展的要求，遵循以下原则开展环境影响评价工作：</w:t>
      </w:r>
    </w:p>
    <w:p>
      <w:pPr>
        <w:ind w:firstLine="480"/>
        <w:rPr>
          <w:color w:val="auto"/>
        </w:rPr>
      </w:pPr>
      <w:bookmarkStart w:id="16" w:name="_Toc32050_WPSOffice_Level3"/>
      <w:bookmarkStart w:id="17" w:name="_Toc22622_WPSOffice_Level3"/>
      <w:r>
        <w:rPr>
          <w:color w:val="auto"/>
        </w:rPr>
        <w:t>（1）依法评价</w:t>
      </w:r>
      <w:bookmarkEnd w:id="16"/>
      <w:bookmarkEnd w:id="17"/>
    </w:p>
    <w:p>
      <w:pPr>
        <w:ind w:firstLine="480"/>
        <w:rPr>
          <w:color w:val="auto"/>
        </w:rPr>
      </w:pPr>
      <w:r>
        <w:rPr>
          <w:color w:val="auto"/>
        </w:rPr>
        <w:t>贯彻执行我国环境保护相关法律法规、标准、政策和规划等，优化项目建设，服务环境管理。</w:t>
      </w:r>
    </w:p>
    <w:p>
      <w:pPr>
        <w:ind w:firstLine="480"/>
        <w:rPr>
          <w:color w:val="auto"/>
        </w:rPr>
      </w:pPr>
      <w:bookmarkStart w:id="18" w:name="_Toc4012_WPSOffice_Level3"/>
      <w:bookmarkStart w:id="19" w:name="_Toc4858_WPSOffice_Level3"/>
      <w:r>
        <w:rPr>
          <w:color w:val="auto"/>
        </w:rPr>
        <w:t>（2）科学评价</w:t>
      </w:r>
      <w:bookmarkEnd w:id="18"/>
      <w:bookmarkEnd w:id="19"/>
    </w:p>
    <w:p>
      <w:pPr>
        <w:ind w:firstLine="480"/>
        <w:rPr>
          <w:color w:val="auto"/>
        </w:rPr>
      </w:pPr>
      <w:r>
        <w:rPr>
          <w:color w:val="auto"/>
        </w:rPr>
        <w:t>规范环境影响评价方法，科学分析项目建设对环境质量的影响。</w:t>
      </w:r>
    </w:p>
    <w:p>
      <w:pPr>
        <w:ind w:firstLine="480"/>
        <w:rPr>
          <w:color w:val="auto"/>
        </w:rPr>
      </w:pPr>
      <w:bookmarkStart w:id="20" w:name="_Toc12925_WPSOffice_Level3"/>
      <w:bookmarkStart w:id="21" w:name="_Toc17709_WPSOffice_Level3"/>
      <w:r>
        <w:rPr>
          <w:color w:val="auto"/>
        </w:rPr>
        <w:t>（3）突出重点</w:t>
      </w:r>
      <w:bookmarkEnd w:id="20"/>
      <w:bookmarkEnd w:id="21"/>
    </w:p>
    <w:p>
      <w:pPr>
        <w:ind w:firstLine="480"/>
        <w:rPr>
          <w:color w:val="auto"/>
        </w:rPr>
      </w:pPr>
      <w:r>
        <w:rPr>
          <w:color w:val="auto"/>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6"/>
        <w:rPr>
          <w:color w:val="auto"/>
        </w:rPr>
      </w:pPr>
      <w:bookmarkStart w:id="22" w:name="_Toc25814"/>
      <w:bookmarkStart w:id="23" w:name="_Toc18434_WPSOffice_Level2"/>
      <w:bookmarkStart w:id="24" w:name="_Toc23956"/>
      <w:bookmarkStart w:id="25" w:name="_Toc9127_WPSOffice_Level2"/>
      <w:bookmarkStart w:id="26" w:name="_Toc19873_WPSOffice_Level2"/>
      <w:bookmarkStart w:id="27" w:name="_Toc26293_WPSOffice_Level2"/>
      <w:bookmarkStart w:id="28" w:name="_Toc4491_WPSOffice_Level2"/>
      <w:bookmarkStart w:id="29" w:name="_Toc23635_WPSOffice_Level2"/>
      <w:bookmarkStart w:id="30" w:name="_Toc21320"/>
      <w:bookmarkStart w:id="31" w:name="_Toc21676"/>
      <w:r>
        <w:rPr>
          <w:color w:val="auto"/>
        </w:rPr>
        <w:t>1.4环境影响评价的工作过程</w:t>
      </w:r>
      <w:bookmarkEnd w:id="22"/>
      <w:bookmarkEnd w:id="23"/>
      <w:bookmarkEnd w:id="24"/>
      <w:bookmarkEnd w:id="25"/>
      <w:bookmarkEnd w:id="26"/>
      <w:bookmarkEnd w:id="27"/>
      <w:bookmarkEnd w:id="28"/>
      <w:bookmarkEnd w:id="29"/>
      <w:bookmarkEnd w:id="30"/>
      <w:bookmarkEnd w:id="31"/>
    </w:p>
    <w:p>
      <w:pPr>
        <w:ind w:firstLine="480"/>
        <w:rPr>
          <w:color w:val="auto"/>
        </w:rPr>
      </w:pPr>
      <w:r>
        <w:rPr>
          <w:color w:val="auto"/>
        </w:rPr>
        <w:t>202</w:t>
      </w:r>
      <w:r>
        <w:rPr>
          <w:rFonts w:hint="eastAsia"/>
          <w:color w:val="auto"/>
        </w:rPr>
        <w:t>3</w:t>
      </w:r>
      <w:r>
        <w:rPr>
          <w:color w:val="auto"/>
        </w:rPr>
        <w:t>年</w:t>
      </w:r>
      <w:r>
        <w:rPr>
          <w:rFonts w:hint="eastAsia"/>
          <w:color w:val="auto"/>
        </w:rPr>
        <w:t>1</w:t>
      </w:r>
      <w:r>
        <w:rPr>
          <w:color w:val="auto"/>
        </w:rPr>
        <w:t>月</w:t>
      </w:r>
      <w:r>
        <w:rPr>
          <w:rFonts w:hint="eastAsia"/>
          <w:color w:val="auto"/>
        </w:rPr>
        <w:t>底</w:t>
      </w:r>
      <w:r>
        <w:rPr>
          <w:color w:val="auto"/>
        </w:rPr>
        <w:t>，湖南博泰管业有限公司委托湖南</w:t>
      </w:r>
      <w:r>
        <w:rPr>
          <w:rFonts w:hint="eastAsia"/>
          <w:color w:val="auto"/>
        </w:rPr>
        <w:t>徙木环境科技</w:t>
      </w:r>
      <w:r>
        <w:rPr>
          <w:color w:val="auto"/>
        </w:rPr>
        <w:t>有限公司承担湖南博泰管业有限公司</w:t>
      </w:r>
      <w:r>
        <w:rPr>
          <w:rFonts w:hint="eastAsia"/>
          <w:color w:val="auto"/>
          <w:lang w:eastAsia="zh-CN"/>
        </w:rPr>
        <w:t>年产3万吨高分子材料精深制品建设项目</w:t>
      </w:r>
      <w:r>
        <w:rPr>
          <w:color w:val="auto"/>
        </w:rPr>
        <w:t>的环境影响评价工作。我单位承接任务后，随即组成环境影响评价工作组，安排有关环评技术人员赴现场进行调查，收集有关资料，调查厂址周围的地表水、环境空气、声环境和地下水环境质量现状资料，收集了项目所在区域近期环境质量现状监测数据以及业主征询当地群众及企业单位的意见；并根据项目的规模、污染物排放量及其“三废”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湖南博泰管业有限公司</w:t>
      </w:r>
      <w:r>
        <w:rPr>
          <w:rFonts w:hint="eastAsia"/>
          <w:color w:val="auto"/>
          <w:lang w:eastAsia="zh-CN"/>
        </w:rPr>
        <w:t>年产3万吨高分子材料精深制品建设项目</w:t>
      </w:r>
      <w:r>
        <w:rPr>
          <w:color w:val="auto"/>
        </w:rPr>
        <w:t>环境影响报告书》（送审稿）。</w:t>
      </w:r>
    </w:p>
    <w:p>
      <w:pPr>
        <w:ind w:firstLine="480"/>
        <w:rPr>
          <w:color w:val="auto"/>
        </w:rPr>
      </w:pPr>
      <w:r>
        <w:rPr>
          <w:color w:val="auto"/>
        </w:rPr>
        <w:t>本项目环境影响评价程序如下图所示。</w:t>
      </w:r>
    </w:p>
    <w:p>
      <w:pPr>
        <w:pStyle w:val="30"/>
        <w:rPr>
          <w:color w:val="auto"/>
        </w:rPr>
      </w:pPr>
      <w:r>
        <w:rPr>
          <w:color w:val="auto"/>
        </w:rPr>
        <w:object>
          <v:shape id="_x0000_i1025" o:spt="75" type="#_x0000_t75" style="height:489.6pt;width:414.45pt;" o:ole="t" filled="f" o:preferrelative="t" stroked="f" coordsize="21600,21600">
            <v:path/>
            <v:fill on="f" focussize="0,0"/>
            <v:stroke on="f" joinstyle="miter"/>
            <v:imagedata r:id="rId28" embosscolor="#FFFFFF" o:title=""/>
            <o:lock v:ext="edit" aspectratio="t"/>
            <w10:wrap type="none"/>
            <w10:anchorlock/>
          </v:shape>
          <o:OLEObject Type="Embed" ProgID="Visio.Drawing.11" ShapeID="_x0000_i1025" DrawAspect="Content" ObjectID="_1468075725" r:id="rId27">
            <o:LockedField>false</o:LockedField>
          </o:OLEObject>
        </w:object>
      </w:r>
    </w:p>
    <w:p>
      <w:pPr>
        <w:pStyle w:val="31"/>
        <w:rPr>
          <w:color w:val="auto"/>
        </w:rPr>
      </w:pPr>
      <w:r>
        <w:rPr>
          <w:color w:val="auto"/>
        </w:rPr>
        <w:t>图1.4-1环境影响评价程序图</w:t>
      </w:r>
    </w:p>
    <w:p>
      <w:pPr>
        <w:pStyle w:val="6"/>
        <w:rPr>
          <w:color w:val="auto"/>
        </w:rPr>
      </w:pPr>
      <w:bookmarkStart w:id="32" w:name="_Toc28904"/>
      <w:bookmarkStart w:id="33" w:name="_Toc8525"/>
      <w:bookmarkStart w:id="34" w:name="_Toc10757"/>
      <w:r>
        <w:rPr>
          <w:color w:val="auto"/>
        </w:rPr>
        <w:t>1.5分析判定相关情况</w:t>
      </w:r>
      <w:bookmarkEnd w:id="32"/>
      <w:bookmarkEnd w:id="33"/>
      <w:bookmarkEnd w:id="34"/>
    </w:p>
    <w:p>
      <w:pPr>
        <w:ind w:firstLine="482"/>
        <w:rPr>
          <w:b/>
          <w:bCs/>
          <w:color w:val="auto"/>
        </w:rPr>
      </w:pPr>
      <w:r>
        <w:rPr>
          <w:b/>
          <w:bCs/>
          <w:color w:val="auto"/>
        </w:rPr>
        <w:t>1、产业政策相符性分析</w:t>
      </w:r>
    </w:p>
    <w:p>
      <w:pPr>
        <w:ind w:firstLine="482"/>
        <w:rPr>
          <w:b/>
          <w:bCs/>
          <w:color w:val="auto"/>
          <w:u w:val="single"/>
        </w:rPr>
      </w:pPr>
      <w:r>
        <w:rPr>
          <w:b/>
          <w:bCs/>
          <w:color w:val="auto"/>
          <w:u w:val="single"/>
        </w:rPr>
        <w:t>（1）产业相符性分析</w:t>
      </w:r>
    </w:p>
    <w:p>
      <w:pPr>
        <w:ind w:firstLine="480"/>
        <w:rPr>
          <w:color w:val="auto"/>
          <w:u w:val="single"/>
        </w:rPr>
      </w:pPr>
      <w:r>
        <w:rPr>
          <w:color w:val="auto"/>
          <w:u w:val="single"/>
        </w:rPr>
        <w:t>本项目PE管</w:t>
      </w:r>
      <w:r>
        <w:rPr>
          <w:rFonts w:hint="eastAsia"/>
          <w:color w:val="auto"/>
          <w:u w:val="single"/>
        </w:rPr>
        <w:t>生产</w:t>
      </w:r>
      <w:r>
        <w:rPr>
          <w:color w:val="auto"/>
          <w:u w:val="single"/>
        </w:rPr>
        <w:t>使用</w:t>
      </w:r>
      <w:r>
        <w:rPr>
          <w:rFonts w:hint="eastAsia"/>
          <w:color w:val="auto"/>
          <w:u w:val="single"/>
        </w:rPr>
        <w:t>再生塑料颗粒</w:t>
      </w:r>
      <w:r>
        <w:rPr>
          <w:color w:val="auto"/>
          <w:u w:val="single"/>
        </w:rPr>
        <w:t>为原料，属于《产业结构调整指导目录（2019年本）》中“第一项鼓励类</w:t>
      </w:r>
      <w:r>
        <w:rPr>
          <w:rFonts w:hint="eastAsia"/>
          <w:color w:val="auto"/>
          <w:u w:val="single"/>
        </w:rPr>
        <w:t>—</w:t>
      </w:r>
      <w:r>
        <w:rPr>
          <w:color w:val="auto"/>
          <w:u w:val="single"/>
        </w:rPr>
        <w:t>四十三、环境保护与资源节约综合利用-26、再生资源、建筑垃圾资源化回收利用工程和产业化”，为鼓励类项目。</w:t>
      </w:r>
    </w:p>
    <w:p>
      <w:pPr>
        <w:ind w:firstLine="482"/>
        <w:rPr>
          <w:b/>
          <w:bCs/>
          <w:color w:val="auto"/>
        </w:rPr>
      </w:pPr>
      <w:r>
        <w:rPr>
          <w:b/>
          <w:bCs/>
          <w:color w:val="auto"/>
        </w:rPr>
        <w:t>（2）与《环境保护综合名录（2021年版）》相符性分析</w:t>
      </w:r>
    </w:p>
    <w:p>
      <w:pPr>
        <w:ind w:firstLine="480"/>
        <w:rPr>
          <w:color w:val="auto"/>
        </w:rPr>
      </w:pPr>
      <w:r>
        <w:rPr>
          <w:color w:val="auto"/>
        </w:rPr>
        <w:t>本项目不属于《环境保护综合名录（2021年版）》中“一、高污染、高环境风险产品名录”之类，符合《环境保护综合名录（2021年版）》相关要求。</w:t>
      </w:r>
    </w:p>
    <w:p>
      <w:pPr>
        <w:ind w:firstLine="482"/>
        <w:rPr>
          <w:b/>
          <w:bCs/>
          <w:color w:val="auto"/>
        </w:rPr>
      </w:pPr>
      <w:r>
        <w:rPr>
          <w:b/>
          <w:bCs/>
          <w:color w:val="auto"/>
        </w:rPr>
        <w:t>（3）与《湖南省“两高”项目管理名录》的相符性分析</w:t>
      </w:r>
    </w:p>
    <w:p>
      <w:pPr>
        <w:ind w:firstLine="480"/>
        <w:rPr>
          <w:rFonts w:hint="eastAsia" w:eastAsia="宋体"/>
          <w:color w:val="auto"/>
          <w:lang w:val="en-US" w:eastAsia="zh-CN"/>
        </w:rPr>
      </w:pPr>
      <w:r>
        <w:rPr>
          <w:color w:val="auto"/>
        </w:rPr>
        <w:t>本项目属于塑料制品制造，不属于《湖南省“两高”项目管理名录》中提及的行业、内容、产品、工序的项目，不属于涉煤及煤制品、石油焦、渣油、重油等高污染燃料使用工业炉窑、锅炉的项目</w:t>
      </w:r>
      <w:r>
        <w:rPr>
          <w:rFonts w:hint="eastAsia"/>
          <w:color w:val="auto"/>
          <w:lang w:eastAsia="zh-CN"/>
        </w:rPr>
        <w:t>。</w:t>
      </w:r>
    </w:p>
    <w:p>
      <w:pPr>
        <w:ind w:firstLine="482"/>
        <w:rPr>
          <w:b/>
          <w:bCs/>
          <w:color w:val="auto"/>
        </w:rPr>
      </w:pPr>
      <w:r>
        <w:rPr>
          <w:b/>
          <w:bCs/>
          <w:color w:val="auto"/>
        </w:rPr>
        <w:t>（4）与《湖南省“十四五”生态环境保护规划》（湘政办发〔2021〕61号）相符性分析</w:t>
      </w:r>
    </w:p>
    <w:p>
      <w:pPr>
        <w:ind w:firstLine="480"/>
        <w:rPr>
          <w:color w:val="auto"/>
        </w:rPr>
      </w:pPr>
      <w:r>
        <w:rPr>
          <w:color w:val="auto"/>
        </w:rPr>
        <w:t>2021年9月30日，湖南省人民政府办公厅印发了《湖南省“十四五”生态环境保护规划》，提出“持续推动塑料污染全链条治理。建立健全塑料污染治理协调推进机制、责任落实机制，将塑料污染治理纳入污染防治攻坚战和省级生态环保督察范围。加强监管执法，全面禁止废塑料进口，推广使用可降解塑料制品、塑料替代产品。大力宣传引导，鼓励支持涉塑机构、企业搭建合作平台，制定行业标准，开展试点示范，强化科研攻关，培育新业态新模式。”本项目使用</w:t>
      </w:r>
      <w:r>
        <w:rPr>
          <w:rFonts w:hint="eastAsia"/>
          <w:color w:val="auto"/>
        </w:rPr>
        <w:t>再生塑料颗粒</w:t>
      </w:r>
      <w:r>
        <w:rPr>
          <w:color w:val="auto"/>
        </w:rPr>
        <w:t>为原料，属于废塑料再利用，符合《湖南省“十四五”生态环境保护规划》</w:t>
      </w:r>
      <w:r>
        <w:rPr>
          <w:rFonts w:hint="eastAsia"/>
          <w:color w:val="auto"/>
        </w:rPr>
        <w:t>。</w:t>
      </w:r>
    </w:p>
    <w:p>
      <w:pPr>
        <w:ind w:firstLine="482"/>
        <w:rPr>
          <w:rFonts w:hint="default" w:eastAsia="宋体"/>
          <w:b/>
          <w:bCs/>
          <w:color w:val="auto"/>
          <w:lang w:val="en-US" w:eastAsia="zh-CN"/>
        </w:rPr>
      </w:pPr>
      <w:r>
        <w:rPr>
          <w:b/>
          <w:bCs/>
          <w:color w:val="auto"/>
        </w:rPr>
        <w:t>（5）与</w:t>
      </w:r>
      <w:r>
        <w:rPr>
          <w:rFonts w:hint="eastAsia"/>
          <w:b/>
          <w:bCs/>
          <w:color w:val="auto"/>
          <w:lang w:val="en-US" w:eastAsia="zh-CN"/>
        </w:rPr>
        <w:t>汨罗高新技术产业开发区调扩区总体规划符合性</w:t>
      </w:r>
    </w:p>
    <w:p>
      <w:pPr>
        <w:keepNext w:val="0"/>
        <w:keepLines w:val="0"/>
        <w:widowControl/>
        <w:suppressLineNumbers w:val="0"/>
        <w:jc w:val="left"/>
        <w:rPr>
          <w:color w:val="auto"/>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根据湖南省生态环境厅以湘环评函【</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2019</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 xml:space="preserve">8 </w:t>
      </w:r>
      <w:r>
        <w:rPr>
          <w:rFonts w:hint="eastAsia" w:ascii="宋体" w:hAnsi="宋体" w:eastAsia="宋体" w:cs="宋体"/>
          <w:color w:val="000000" w:themeColor="text1"/>
          <w:kern w:val="0"/>
          <w:sz w:val="24"/>
          <w:szCs w:val="24"/>
          <w:lang w:val="en-US" w:eastAsia="zh-CN" w:bidi="ar"/>
          <w14:textFill>
            <w14:solidFill>
              <w14:schemeClr w14:val="tx1"/>
            </w14:solidFill>
          </w14:textFill>
        </w:rPr>
        <w:t>号出具的《关于《汨罗高新技术产业开发区调区扩区总体规划环境影响报告书》的审查意见》，汨罗高新技术产业开发区产业定位：园区形成“三大主导，三大从属”的产业格局，主导产业为再生资源回收利用、有色金属精深加工、先进制造，辅以安防建材、新材料、电子信息三大特色产业。其中新市片区功能定位为再生资源回收和再生资源加工 基地，本项目属于再生资源回收在利用，是汨罗市的主导产业之一，符合新市片区的产业发展定位</w:t>
      </w:r>
      <w:r>
        <w:rPr>
          <w:color w:val="auto"/>
        </w:rPr>
        <w:t>。</w:t>
      </w:r>
    </w:p>
    <w:p>
      <w:pPr>
        <w:ind w:firstLine="482"/>
        <w:rPr>
          <w:rFonts w:hint="eastAsia" w:ascii="Times New Roman" w:hAnsi="Times New Roman" w:eastAsia="宋体"/>
          <w:b/>
          <w:bCs/>
          <w:color w:val="auto"/>
        </w:rPr>
      </w:pPr>
      <w:r>
        <w:rPr>
          <w:rFonts w:hint="eastAsia"/>
          <w:b/>
          <w:bCs/>
          <w:color w:val="auto"/>
          <w:lang w:eastAsia="zh-CN"/>
        </w:rPr>
        <w:t>（</w:t>
      </w:r>
      <w:r>
        <w:rPr>
          <w:rFonts w:hint="eastAsia"/>
          <w:b/>
          <w:bCs/>
          <w:color w:val="auto"/>
          <w:lang w:val="en-US" w:eastAsia="zh-CN"/>
        </w:rPr>
        <w:t>6）</w:t>
      </w:r>
      <w:r>
        <w:rPr>
          <w:rFonts w:hint="eastAsia" w:ascii="Times New Roman" w:hAnsi="Times New Roman" w:eastAsia="宋体"/>
          <w:b/>
          <w:bCs/>
          <w:color w:val="auto"/>
        </w:rPr>
        <w:t>与</w:t>
      </w:r>
      <w:r>
        <w:rPr>
          <w:rFonts w:hint="eastAsia" w:ascii="Times New Roman" w:hAnsi="Times New Roman" w:eastAsia="宋体"/>
          <w:b/>
          <w:bCs/>
          <w:color w:val="auto"/>
          <w:lang w:val="en-US" w:eastAsia="zh-CN"/>
        </w:rPr>
        <w:t>汨罗高新技术产业开发区调扩区总体规划环境影响报告书审查意见的</w:t>
      </w:r>
      <w:r>
        <w:rPr>
          <w:rFonts w:hint="eastAsia" w:ascii="Times New Roman" w:hAnsi="Times New Roman" w:eastAsia="宋体"/>
          <w:b/>
          <w:bCs/>
          <w:color w:val="auto"/>
        </w:rPr>
        <w:t>符合性分析表</w:t>
      </w:r>
    </w:p>
    <w:p>
      <w:pPr>
        <w:pStyle w:val="31"/>
        <w:numPr>
          <w:ilvl w:val="0"/>
          <w:numId w:val="0"/>
        </w:numPr>
        <w:jc w:val="center"/>
        <w:rPr>
          <w:rFonts w:hint="default" w:ascii="Times New Roman" w:hAnsi="Times New Roman" w:eastAsia="宋体"/>
          <w:b/>
          <w:bCs/>
          <w:color w:val="auto"/>
          <w:lang w:val="en-US" w:eastAsia="zh-CN"/>
        </w:rPr>
      </w:pPr>
      <w:r>
        <w:rPr>
          <w:color w:val="auto"/>
        </w:rPr>
        <w:t>1.</w:t>
      </w:r>
      <w:r>
        <w:rPr>
          <w:rFonts w:hint="eastAsia"/>
          <w:color w:val="auto"/>
          <w:lang w:val="en-US" w:eastAsia="zh-CN"/>
        </w:rPr>
        <w:t>6</w:t>
      </w:r>
      <w:r>
        <w:rPr>
          <w:color w:val="auto"/>
        </w:rPr>
        <w:t>-</w:t>
      </w:r>
      <w:r>
        <w:rPr>
          <w:rFonts w:hint="eastAsia"/>
          <w:color w:val="auto"/>
        </w:rPr>
        <w:t>1</w:t>
      </w:r>
      <w:r>
        <w:rPr>
          <w:color w:val="auto"/>
        </w:rPr>
        <w:t xml:space="preserve"> 本项目与</w:t>
      </w:r>
      <w:r>
        <w:rPr>
          <w:rFonts w:hint="eastAsia"/>
          <w:color w:val="auto"/>
          <w:lang w:val="en-US" w:eastAsia="zh-CN"/>
        </w:rPr>
        <w:t>园区规划环评审查意见的符合性分析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1"/>
        <w:gridCol w:w="1416"/>
        <w:gridCol w:w="7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center"/>
              <w:rPr>
                <w:rFonts w:hint="default" w:eastAsia="宋体"/>
                <w:b/>
                <w:bCs/>
                <w:color w:val="auto"/>
                <w:lang w:val="en-US" w:eastAsia="zh-CN"/>
              </w:rPr>
            </w:pPr>
            <w:r>
              <w:rPr>
                <w:rFonts w:hint="eastAsia"/>
                <w:b/>
                <w:bCs/>
                <w:color w:val="auto"/>
                <w:lang w:val="en-US" w:eastAsia="zh-CN"/>
              </w:rPr>
              <w:t>规划环评及审查意见要求</w:t>
            </w:r>
          </w:p>
        </w:tc>
        <w:tc>
          <w:tcPr>
            <w:tcW w:w="1416" w:type="dxa"/>
            <w:tcBorders>
              <w:tl2br w:val="nil"/>
              <w:tr2bl w:val="nil"/>
            </w:tcBorders>
            <w:vAlign w:val="center"/>
          </w:tcPr>
          <w:p>
            <w:pPr>
              <w:pStyle w:val="30"/>
              <w:rPr>
                <w:rFonts w:hint="default" w:eastAsia="宋体"/>
                <w:b/>
                <w:bCs/>
                <w:color w:val="auto"/>
                <w:lang w:val="en-US" w:eastAsia="zh-CN"/>
              </w:rPr>
            </w:pPr>
            <w:r>
              <w:rPr>
                <w:rFonts w:hint="eastAsia"/>
                <w:b/>
                <w:bCs/>
                <w:color w:val="auto"/>
                <w:lang w:val="en-US" w:eastAsia="zh-CN"/>
              </w:rPr>
              <w:t>本项目情况</w:t>
            </w:r>
          </w:p>
        </w:tc>
        <w:tc>
          <w:tcPr>
            <w:tcW w:w="745" w:type="dxa"/>
            <w:tcBorders>
              <w:tl2br w:val="nil"/>
              <w:tr2bl w:val="nil"/>
            </w:tcBorders>
            <w:vAlign w:val="center"/>
          </w:tcPr>
          <w:p>
            <w:pPr>
              <w:pStyle w:val="30"/>
              <w:rPr>
                <w:rFonts w:hint="default"/>
                <w:b/>
                <w:bCs/>
                <w:color w:val="auto"/>
                <w:lang w:val="en-US" w:eastAsia="zh-CN"/>
              </w:rPr>
            </w:pPr>
            <w:r>
              <w:rPr>
                <w:rFonts w:hint="eastAsia"/>
                <w:b/>
                <w:bCs/>
                <w:color w:val="auto"/>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严格按照经核准的规划范围开展园区建设，进一步优化园区规划功能布局，处理好园区内部各功能组团及园区与周边农业、生活、配套服务等各功能组团间的关系，充分利用自然地形和绿化隔离带使各功能区隔离，减少相互干扰。按报告书建议，在下一步控规编制和修编时将新市片西片区规划的绿地(现已开发为工业用地)按实际使用功能调整为工业用地，西片区靠近新市镇区的二类工业用地调整为一类工业用地，以减轻对镇区环境的不利影响</w:t>
            </w:r>
            <w:r>
              <w:rPr>
                <w:rFonts w:hint="default"/>
                <w:color w:val="auto"/>
                <w:lang w:val="en-US" w:eastAsia="zh-CN"/>
              </w:rPr>
              <w:t>;</w:t>
            </w:r>
            <w:r>
              <w:rPr>
                <w:rFonts w:hint="eastAsia"/>
                <w:color w:val="auto"/>
                <w:lang w:val="en-US" w:eastAsia="zh-CN"/>
              </w:rPr>
              <w:t>针对新市片区工业区与居民区混杂、企业功能布局混乱的现状问题，管委会应按承诺采取分期拆迁和棚改拆迁的方式对与规划用地性质不符的安置区逐步拆迁到位</w:t>
            </w:r>
            <w:r>
              <w:rPr>
                <w:rFonts w:hint="default"/>
                <w:color w:val="auto"/>
                <w:lang w:val="en-US" w:eastAsia="zh-CN"/>
              </w:rPr>
              <w:t>;</w:t>
            </w:r>
            <w:r>
              <w:rPr>
                <w:rFonts w:hint="eastAsia"/>
                <w:color w:val="auto"/>
                <w:lang w:val="en-US" w:eastAsia="zh-CN"/>
              </w:rPr>
              <w:t>新市片区南部远景规划用地位于工业区常年主导风向的下风向，远景规划时应合理规划用地性质，确保与工业区环境相容。</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本项目租赁现有厂房进行建设，不新增用地，且使用可再生塑料为原材料，属于资源循环利用项目，符合园区规划。</w:t>
            </w:r>
          </w:p>
        </w:tc>
        <w:tc>
          <w:tcPr>
            <w:tcW w:w="745" w:type="dxa"/>
            <w:tcBorders>
              <w:tl2br w:val="nil"/>
              <w:tr2bl w:val="nil"/>
            </w:tcBorders>
            <w:vAlign w:val="center"/>
          </w:tcPr>
          <w:p>
            <w:pPr>
              <w:pStyle w:val="30"/>
              <w:rPr>
                <w:rFonts w:hint="eastAsia" w:eastAsia="宋体"/>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rPr>
                <w:rFonts w:hint="eastAsia"/>
                <w:color w:val="auto"/>
                <w:lang w:val="en-US" w:eastAsia="zh-CN"/>
              </w:rPr>
            </w:pPr>
            <w:r>
              <w:rPr>
                <w:rFonts w:hint="eastAsia"/>
                <w:color w:val="auto"/>
                <w:lang w:val="en-US" w:eastAsia="zh-CN"/>
              </w:rPr>
              <w:t>严格执行规划环评提出的产业准入条件，在规划区规划期内涉及产业结构调整事项时须充分考虑环评提出的环境制约因素和准入限制及禁止要求，结合正在开展的“三线一单”划定工作，进一步优化制定完善汩罗高新区环境准入负面清单。园区不得引进国家明令淘汰和禁止发展的高能耗、高物耗、污染重、不符合产业政策的建设项目，其中弼时片区按照原规划环评要求禁止引进排水涉重金属及持久性有机物的企业，禁止引进电镀、线路板制造等企业，严格限制引进排水量大的企业</w:t>
            </w:r>
            <w:r>
              <w:rPr>
                <w:rFonts w:hint="default"/>
                <w:color w:val="auto"/>
                <w:lang w:val="en-US" w:eastAsia="zh-CN"/>
              </w:rPr>
              <w:t>;</w:t>
            </w:r>
            <w:r>
              <w:rPr>
                <w:rFonts w:hint="eastAsia"/>
                <w:color w:val="auto"/>
                <w:lang w:val="en-US" w:eastAsia="zh-CN"/>
              </w:rPr>
              <w:t>新市片区发展相关再生资源回收利用行业时应严格落实《废塑料综合利用行业规范条件》、《铝行业规范条件》、《铜冶炼行业规范条件》要求，新建再生铜铝项目产能原则上来自泊罗市区域内现有企业的产能替换，对报告书提出的不满足行业规范条件的汨罗市金龙铜业有限公司、国鑫有色金属有限公司、钱进铜业有限公司、成宇铜业有限公司、联达铜铝材有限公司等企业进行提质改造，并强化环保达标排放和总量控制要求</w:t>
            </w:r>
            <w:r>
              <w:rPr>
                <w:rFonts w:hint="default"/>
                <w:color w:val="auto"/>
                <w:lang w:val="en-US" w:eastAsia="zh-CN"/>
              </w:rPr>
              <w:t>;</w:t>
            </w:r>
            <w:r>
              <w:rPr>
                <w:rFonts w:hint="eastAsia"/>
                <w:color w:val="auto"/>
                <w:lang w:val="en-US" w:eastAsia="zh-CN"/>
              </w:rPr>
              <w:t>园区管委会和地方环保行政主管部门应按照规划环评提出的行业、工艺和设备、规模、产品四项负面清单和后续</w:t>
            </w:r>
            <w:r>
              <w:rPr>
                <w:rFonts w:hint="default"/>
                <w:color w:val="auto"/>
                <w:lang w:val="en-US" w:eastAsia="zh-CN"/>
              </w:rPr>
              <w:t>“</w:t>
            </w:r>
            <w:r>
              <w:rPr>
                <w:rFonts w:hint="eastAsia"/>
                <w:color w:val="auto"/>
                <w:lang w:val="en-US" w:eastAsia="zh-CN"/>
              </w:rPr>
              <w:t>三线一单</w:t>
            </w:r>
            <w:r>
              <w:rPr>
                <w:rFonts w:hint="default"/>
                <w:color w:val="auto"/>
                <w:lang w:val="en-US" w:eastAsia="zh-CN"/>
              </w:rPr>
              <w:t>”</w:t>
            </w:r>
            <w:r>
              <w:rPr>
                <w:rFonts w:hint="eastAsia"/>
                <w:color w:val="auto"/>
                <w:lang w:val="en-US" w:eastAsia="zh-CN"/>
              </w:rPr>
              <w:t>提出的准入条件要求做好入园项目的招商把关，对入园项目严格执行环境影响评价制度、落实环保三同时监管要求。</w:t>
            </w:r>
          </w:p>
        </w:tc>
        <w:tc>
          <w:tcPr>
            <w:tcW w:w="1416" w:type="dxa"/>
            <w:tcBorders>
              <w:tl2br w:val="nil"/>
              <w:tr2bl w:val="nil"/>
            </w:tcBorders>
            <w:vAlign w:val="center"/>
          </w:tcPr>
          <w:p>
            <w:pPr>
              <w:pStyle w:val="30"/>
              <w:rPr>
                <w:rFonts w:hint="eastAsia"/>
                <w:color w:val="auto"/>
                <w:lang w:val="en-US" w:eastAsia="zh-CN"/>
              </w:rPr>
            </w:pPr>
            <w:r>
              <w:rPr>
                <w:rFonts w:hint="eastAsia"/>
                <w:color w:val="auto"/>
                <w:lang w:val="en-US" w:eastAsia="zh-CN"/>
              </w:rPr>
              <w:t xml:space="preserve">本项目符合 </w:t>
            </w:r>
          </w:p>
          <w:p>
            <w:pPr>
              <w:pStyle w:val="30"/>
              <w:rPr>
                <w:rFonts w:hint="eastAsia"/>
                <w:color w:val="auto"/>
                <w:lang w:val="en-US" w:eastAsia="zh-CN"/>
              </w:rPr>
            </w:pPr>
            <w:r>
              <w:rPr>
                <w:rFonts w:hint="eastAsia"/>
                <w:color w:val="auto"/>
                <w:lang w:val="en-US" w:eastAsia="zh-CN"/>
              </w:rPr>
              <w:t xml:space="preserve">规划环评中 </w:t>
            </w:r>
          </w:p>
          <w:p>
            <w:pPr>
              <w:pStyle w:val="30"/>
              <w:rPr>
                <w:rFonts w:hint="eastAsia"/>
                <w:color w:val="auto"/>
                <w:lang w:val="en-US" w:eastAsia="zh-CN"/>
              </w:rPr>
            </w:pPr>
            <w:r>
              <w:rPr>
                <w:rFonts w:hint="eastAsia"/>
                <w:color w:val="auto"/>
                <w:lang w:val="en-US" w:eastAsia="zh-CN"/>
              </w:rPr>
              <w:t xml:space="preserve">的产业准入 </w:t>
            </w:r>
          </w:p>
          <w:p>
            <w:pPr>
              <w:pStyle w:val="30"/>
              <w:rPr>
                <w:rFonts w:hint="eastAsia"/>
                <w:color w:val="auto"/>
                <w:lang w:val="en-US" w:eastAsia="zh-CN"/>
              </w:rPr>
            </w:pPr>
            <w:r>
              <w:rPr>
                <w:rFonts w:hint="eastAsia"/>
                <w:color w:val="auto"/>
                <w:lang w:val="en-US" w:eastAsia="zh-CN"/>
              </w:rPr>
              <w:t xml:space="preserve">条件，项目 </w:t>
            </w:r>
          </w:p>
          <w:p>
            <w:pPr>
              <w:pStyle w:val="30"/>
              <w:rPr>
                <w:rFonts w:hint="eastAsia"/>
                <w:color w:val="auto"/>
                <w:lang w:val="en-US" w:eastAsia="zh-CN"/>
              </w:rPr>
            </w:pPr>
            <w:r>
              <w:rPr>
                <w:rFonts w:hint="eastAsia"/>
                <w:color w:val="auto"/>
                <w:lang w:val="en-US" w:eastAsia="zh-CN"/>
              </w:rPr>
              <w:t xml:space="preserve">产业属于资源回收 </w:t>
            </w:r>
          </w:p>
          <w:p>
            <w:pPr>
              <w:pStyle w:val="30"/>
              <w:rPr>
                <w:rFonts w:hint="eastAsia"/>
                <w:color w:val="auto"/>
                <w:lang w:val="en-US" w:eastAsia="zh-CN"/>
              </w:rPr>
            </w:pPr>
            <w:r>
              <w:rPr>
                <w:rFonts w:hint="eastAsia"/>
                <w:color w:val="auto"/>
                <w:lang w:val="en-US" w:eastAsia="zh-CN"/>
              </w:rPr>
              <w:t xml:space="preserve">利用，符合 </w:t>
            </w:r>
          </w:p>
          <w:p>
            <w:pPr>
              <w:pStyle w:val="30"/>
              <w:rPr>
                <w:rFonts w:hint="eastAsia"/>
                <w:color w:val="auto"/>
                <w:lang w:val="en-US" w:eastAsia="zh-CN"/>
              </w:rPr>
            </w:pPr>
            <w:r>
              <w:rPr>
                <w:rFonts w:hint="eastAsia"/>
                <w:color w:val="auto"/>
                <w:lang w:val="en-US" w:eastAsia="zh-CN"/>
              </w:rPr>
              <w:t xml:space="preserve">准入要求， </w:t>
            </w:r>
          </w:p>
          <w:p>
            <w:pPr>
              <w:pStyle w:val="30"/>
              <w:rPr>
                <w:rFonts w:hint="eastAsia"/>
                <w:color w:val="auto"/>
                <w:lang w:val="en-US" w:eastAsia="zh-CN"/>
              </w:rPr>
            </w:pPr>
            <w:r>
              <w:rPr>
                <w:rFonts w:hint="eastAsia"/>
                <w:color w:val="auto"/>
                <w:lang w:val="en-US" w:eastAsia="zh-CN"/>
              </w:rPr>
              <w:t xml:space="preserve">与园区“三 </w:t>
            </w:r>
          </w:p>
          <w:p>
            <w:pPr>
              <w:pStyle w:val="30"/>
              <w:rPr>
                <w:rFonts w:hint="eastAsia"/>
                <w:color w:val="auto"/>
                <w:lang w:val="en-US" w:eastAsia="zh-CN"/>
              </w:rPr>
            </w:pPr>
            <w:r>
              <w:rPr>
                <w:rFonts w:hint="eastAsia"/>
                <w:color w:val="auto"/>
                <w:lang w:val="en-US" w:eastAsia="zh-CN"/>
              </w:rPr>
              <w:t xml:space="preserve">线一单”生 </w:t>
            </w:r>
          </w:p>
          <w:p>
            <w:pPr>
              <w:pStyle w:val="30"/>
              <w:rPr>
                <w:rFonts w:hint="eastAsia"/>
                <w:color w:val="auto"/>
                <w:lang w:val="en-US" w:eastAsia="zh-CN"/>
              </w:rPr>
            </w:pPr>
            <w:r>
              <w:rPr>
                <w:rFonts w:hint="eastAsia"/>
                <w:color w:val="auto"/>
                <w:lang w:val="en-US" w:eastAsia="zh-CN"/>
              </w:rPr>
              <w:t xml:space="preserve">态环境管控 </w:t>
            </w:r>
          </w:p>
          <w:p>
            <w:pPr>
              <w:pStyle w:val="30"/>
              <w:rPr>
                <w:rFonts w:hint="eastAsia"/>
                <w:color w:val="auto"/>
                <w:lang w:val="en-US" w:eastAsia="zh-CN"/>
              </w:rPr>
            </w:pPr>
            <w:r>
              <w:rPr>
                <w:rFonts w:hint="eastAsia"/>
                <w:color w:val="auto"/>
                <w:lang w:val="en-US" w:eastAsia="zh-CN"/>
              </w:rPr>
              <w:t>要求相符</w:t>
            </w:r>
          </w:p>
          <w:p>
            <w:pPr>
              <w:pStyle w:val="30"/>
              <w:rPr>
                <w:rFonts w:hint="eastAsia"/>
                <w:color w:val="auto"/>
                <w:lang w:val="en-US" w:eastAsia="zh-CN"/>
              </w:rPr>
            </w:pPr>
          </w:p>
        </w:tc>
        <w:tc>
          <w:tcPr>
            <w:tcW w:w="745" w:type="dxa"/>
            <w:tcBorders>
              <w:tl2br w:val="nil"/>
              <w:tr2bl w:val="nil"/>
            </w:tcBorders>
            <w:vAlign w:val="center"/>
          </w:tcPr>
          <w:p>
            <w:pPr>
              <w:pStyle w:val="30"/>
              <w:rPr>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完善园区排水基础设施建设和提质改造。园区排水实施雨污分流，污污分流，新市片涉重废水经厂内处理达到相关标准要求后进入重金属污水处理厂处理</w:t>
            </w:r>
            <w:r>
              <w:rPr>
                <w:rFonts w:hint="default"/>
                <w:color w:val="auto"/>
                <w:lang w:val="en-US" w:eastAsia="zh-CN"/>
              </w:rPr>
              <w:t>;</w:t>
            </w:r>
            <w:r>
              <w:rPr>
                <w:rFonts w:hint="eastAsia"/>
                <w:color w:val="auto"/>
                <w:lang w:val="en-US" w:eastAsia="zh-CN"/>
              </w:rPr>
              <w:t xml:space="preserve">按环评要求做好汩罗市城市污水处理厂的扩建提质改造，尾水排放提标至《城镇污水处理厂污染物排放标准》 </w:t>
            </w:r>
            <w:r>
              <w:rPr>
                <w:rFonts w:hint="default"/>
                <w:color w:val="auto"/>
                <w:lang w:val="en-US" w:eastAsia="zh-CN"/>
              </w:rPr>
              <w:t xml:space="preserve">(GB 18918-2002) </w:t>
            </w:r>
            <w:r>
              <w:rPr>
                <w:rFonts w:hint="eastAsia"/>
                <w:color w:val="auto"/>
                <w:lang w:val="en-US" w:eastAsia="zh-CN"/>
              </w:rPr>
              <w:t>一级</w:t>
            </w:r>
            <w:r>
              <w:rPr>
                <w:rFonts w:hint="default"/>
                <w:color w:val="auto"/>
                <w:lang w:val="en-US" w:eastAsia="zh-CN"/>
              </w:rPr>
              <w:t xml:space="preserve">A </w:t>
            </w:r>
            <w:r>
              <w:rPr>
                <w:rFonts w:hint="eastAsia"/>
                <w:color w:val="auto"/>
                <w:lang w:val="en-US" w:eastAsia="zh-CN"/>
              </w:rPr>
              <w:t>标准</w:t>
            </w:r>
            <w:r>
              <w:rPr>
                <w:rFonts w:hint="default"/>
                <w:color w:val="auto"/>
                <w:lang w:val="en-US" w:eastAsia="zh-CN"/>
              </w:rPr>
              <w:t>;</w:t>
            </w:r>
            <w:r>
              <w:rPr>
                <w:rFonts w:hint="eastAsia"/>
                <w:color w:val="auto"/>
                <w:lang w:val="en-US" w:eastAsia="zh-CN"/>
              </w:rPr>
              <w:t>在改造工程完成前，新市片区新增废水必须进中水回用工程或企业自建污水处理设施后回用不外排。加快弼时镇污水处理厂及配套管网工程建设</w:t>
            </w:r>
            <w:r>
              <w:rPr>
                <w:rFonts w:hint="default"/>
                <w:color w:val="auto"/>
                <w:lang w:val="en-US" w:eastAsia="zh-CN"/>
              </w:rPr>
              <w:t>,</w:t>
            </w:r>
            <w:r>
              <w:rPr>
                <w:rFonts w:hint="eastAsia"/>
                <w:color w:val="auto"/>
                <w:lang w:val="en-US" w:eastAsia="zh-CN"/>
              </w:rPr>
              <w:t xml:space="preserve">厂网工程建成投运前，园区暂停引进外排工业废水的项目。新市片区依托的 </w:t>
            </w:r>
            <w:r>
              <w:rPr>
                <w:rFonts w:hint="default"/>
                <w:color w:val="auto"/>
                <w:lang w:val="en-US" w:eastAsia="zh-CN"/>
              </w:rPr>
              <w:t>1#</w:t>
            </w:r>
            <w:r>
              <w:rPr>
                <w:rFonts w:hint="eastAsia"/>
                <w:color w:val="auto"/>
                <w:lang w:val="en-US" w:eastAsia="zh-CN"/>
              </w:rPr>
              <w:t xml:space="preserve">雨水排污口 </w:t>
            </w:r>
          </w:p>
          <w:p>
            <w:pPr>
              <w:pStyle w:val="30"/>
              <w:jc w:val="left"/>
              <w:rPr>
                <w:rFonts w:hint="eastAsia"/>
                <w:color w:val="auto"/>
                <w:lang w:val="en-US" w:eastAsia="zh-CN"/>
              </w:rPr>
            </w:pPr>
            <w:r>
              <w:rPr>
                <w:rFonts w:hint="eastAsia"/>
                <w:color w:val="auto"/>
                <w:lang w:val="en-US" w:eastAsia="zh-CN"/>
              </w:rPr>
              <w:t>位于饮用水源保护区二级保护区，</w:t>
            </w:r>
            <w:r>
              <w:rPr>
                <w:rFonts w:hint="default"/>
                <w:color w:val="auto"/>
                <w:lang w:val="en-US" w:eastAsia="zh-CN"/>
              </w:rPr>
              <w:t>2#</w:t>
            </w:r>
            <w:r>
              <w:rPr>
                <w:rFonts w:hint="eastAsia"/>
                <w:color w:val="auto"/>
                <w:lang w:val="en-US" w:eastAsia="zh-CN"/>
              </w:rPr>
              <w:t>雨水排污口距饮用水源保护区二级保护区边界</w:t>
            </w:r>
            <w:r>
              <w:rPr>
                <w:rFonts w:hint="default"/>
                <w:color w:val="auto"/>
                <w:lang w:val="en-US" w:eastAsia="zh-CN"/>
              </w:rPr>
              <w:t xml:space="preserve">1000 </w:t>
            </w:r>
            <w:r>
              <w:rPr>
                <w:rFonts w:hint="eastAsia"/>
                <w:color w:val="auto"/>
                <w:lang w:val="en-US" w:eastAsia="zh-CN"/>
              </w:rPr>
              <w:t xml:space="preserve">米，园区应按规划环评建议要求取消 </w:t>
            </w:r>
            <w:r>
              <w:rPr>
                <w:rFonts w:hint="default"/>
                <w:color w:val="auto"/>
                <w:lang w:val="en-US" w:eastAsia="zh-CN"/>
              </w:rPr>
              <w:t>1#</w:t>
            </w:r>
            <w:r>
              <w:rPr>
                <w:rFonts w:hint="eastAsia"/>
                <w:color w:val="auto"/>
                <w:lang w:val="en-US" w:eastAsia="zh-CN"/>
              </w:rPr>
              <w:t xml:space="preserve">雨排口，并将 </w:t>
            </w:r>
            <w:r>
              <w:rPr>
                <w:rFonts w:hint="default"/>
                <w:color w:val="auto"/>
                <w:lang w:val="en-US" w:eastAsia="zh-CN"/>
              </w:rPr>
              <w:t>2#</w:t>
            </w:r>
            <w:r>
              <w:rPr>
                <w:rFonts w:hint="eastAsia"/>
                <w:color w:val="auto"/>
                <w:lang w:val="en-US" w:eastAsia="zh-CN"/>
              </w:rPr>
              <w:t>雨排口上移，减少对饮用水源保护区的风险影响。</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项目不排放生产废水，冷却水通过循环水池循环使用不外排；生活污水经过化粪池处理后排入园区污水管网</w:t>
            </w:r>
          </w:p>
        </w:tc>
        <w:tc>
          <w:tcPr>
            <w:tcW w:w="745" w:type="dxa"/>
            <w:tcBorders>
              <w:tl2br w:val="nil"/>
              <w:tr2bl w:val="nil"/>
            </w:tcBorders>
            <w:vAlign w:val="center"/>
          </w:tcPr>
          <w:p>
            <w:pPr>
              <w:pStyle w:val="30"/>
              <w:rPr>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加强高新区大气污染防控措施，通过产业控制、清洁能源推广等减少气型污染物源头排放量，园区禁止新建燃煤企业，燃料应采用天然气、电能等清洁能源，并对现有企业进行能源结构清洁化改造。加强企业管理，对各企业有工艺废气产污节点，应配置废气收集与处理净化装置，做到达标排放</w:t>
            </w:r>
            <w:r>
              <w:rPr>
                <w:rFonts w:hint="default"/>
                <w:color w:val="auto"/>
                <w:lang w:val="en-US" w:eastAsia="zh-CN"/>
              </w:rPr>
              <w:t>;</w:t>
            </w:r>
            <w:r>
              <w:rPr>
                <w:rFonts w:hint="eastAsia"/>
                <w:color w:val="auto"/>
                <w:lang w:val="en-US" w:eastAsia="zh-CN"/>
              </w:rPr>
              <w:t>采取有效措施，减少工艺废气的无组织排放，入园企业各生产装置排放的废气须经处理达到相应的排放标准</w:t>
            </w:r>
            <w:r>
              <w:rPr>
                <w:rFonts w:hint="default"/>
                <w:color w:val="auto"/>
                <w:lang w:val="en-US" w:eastAsia="zh-CN"/>
              </w:rPr>
              <w:t>;</w:t>
            </w:r>
            <w:r>
              <w:rPr>
                <w:rFonts w:hint="eastAsia"/>
                <w:color w:val="auto"/>
                <w:lang w:val="en-US" w:eastAsia="zh-CN"/>
              </w:rPr>
              <w:t>合理优化布局，并在工业企业之间设置合理的间隔距离，避免不利影响。</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项目废气均采用了治理措施，达到相关标准后排放，符合规划环评审查意见要求</w:t>
            </w:r>
          </w:p>
        </w:tc>
        <w:tc>
          <w:tcPr>
            <w:tcW w:w="745" w:type="dxa"/>
            <w:tcBorders>
              <w:tl2br w:val="nil"/>
              <w:tr2bl w:val="nil"/>
            </w:tcBorders>
            <w:vAlign w:val="center"/>
          </w:tcPr>
          <w:p>
            <w:pPr>
              <w:pStyle w:val="30"/>
              <w:rPr>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加强固体废物的环境管理。做好工业固体废物和生活垃圾的分类收集、转运、综合利用和无害化处理，建立统一的固废收集、贮存、运输、综合利用和安全处置的管理体系。推行清洁生产，减少固体废物产生量</w:t>
            </w:r>
            <w:r>
              <w:rPr>
                <w:rFonts w:hint="default"/>
                <w:color w:val="auto"/>
                <w:lang w:val="en-US" w:eastAsia="zh-CN"/>
              </w:rPr>
              <w:t>;</w:t>
            </w:r>
            <w:r>
              <w:rPr>
                <w:rFonts w:hint="eastAsia"/>
                <w:color w:val="auto"/>
                <w:lang w:val="en-US" w:eastAsia="zh-CN"/>
              </w:rPr>
              <w:t>加强固体废物的资源化进程，提高综合利用率</w:t>
            </w:r>
            <w:r>
              <w:rPr>
                <w:rFonts w:hint="default"/>
                <w:color w:val="auto"/>
                <w:lang w:val="en-US" w:eastAsia="zh-CN"/>
              </w:rPr>
              <w:t>;</w:t>
            </w:r>
            <w:r>
              <w:rPr>
                <w:rFonts w:hint="eastAsia"/>
                <w:color w:val="auto"/>
                <w:lang w:val="en-US" w:eastAsia="zh-CN"/>
              </w:rPr>
              <w:t>规范固体废物处理措施</w:t>
            </w:r>
            <w:r>
              <w:rPr>
                <w:rFonts w:hint="default"/>
                <w:color w:val="auto"/>
                <w:lang w:val="en-US" w:eastAsia="zh-CN"/>
              </w:rPr>
              <w:t>,</w:t>
            </w:r>
            <w:r>
              <w:rPr>
                <w:rFonts w:hint="eastAsia"/>
                <w:color w:val="auto"/>
                <w:lang w:val="en-US" w:eastAsia="zh-CN"/>
              </w:rPr>
              <w:t>对工业企业产生固体废物特别是危险固废应按国家有关规定综合利用或妥善处置，严防二次污染。</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项目一般固废暂存于一般固废暂存间；危险废物暂存于危废间委托资质单位处理</w:t>
            </w:r>
          </w:p>
        </w:tc>
        <w:tc>
          <w:tcPr>
            <w:tcW w:w="745" w:type="dxa"/>
            <w:tcBorders>
              <w:tl2br w:val="nil"/>
              <w:tr2bl w:val="nil"/>
            </w:tcBorders>
            <w:vAlign w:val="center"/>
          </w:tcPr>
          <w:p>
            <w:pPr>
              <w:pStyle w:val="30"/>
              <w:rPr>
                <w:color w:val="auto"/>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加强园区环境风险预警、防控和应急体系建设。园区管理机构应建立专职的环境监督管理机构，建立环境风险防控管理工作长效机制，建立健全环境风险信息库和环境风险事故防范措施、应急预案，全面提升园区风险防控和事故应急处置能力，严防环境风险事故发生。</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项目计划制定突发环境事件应急预案</w:t>
            </w:r>
          </w:p>
        </w:tc>
        <w:tc>
          <w:tcPr>
            <w:tcW w:w="745" w:type="dxa"/>
            <w:tcBorders>
              <w:tl2br w:val="nil"/>
              <w:tr2bl w:val="nil"/>
            </w:tcBorders>
            <w:vAlign w:val="center"/>
          </w:tcPr>
          <w:p>
            <w:pPr>
              <w:pStyle w:val="3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按园区开发规划统筹制定拆迁安置方案，妥善落实移民生产生活安置措施，防止移民再次安置和次生环境问题。具体项目建设应先期按环评要求完成环保拆迁后方可正式投产。</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项目所在地为已建厂房，不新增用地</w:t>
            </w:r>
          </w:p>
        </w:tc>
        <w:tc>
          <w:tcPr>
            <w:tcW w:w="745" w:type="dxa"/>
            <w:tcBorders>
              <w:tl2br w:val="nil"/>
              <w:tr2bl w:val="nil"/>
            </w:tcBorders>
            <w:vAlign w:val="center"/>
          </w:tcPr>
          <w:p>
            <w:pPr>
              <w:pStyle w:val="30"/>
              <w:rPr>
                <w:rFonts w:hint="eastAsia"/>
                <w:color w:val="auto"/>
                <w:lang w:val="en-US" w:eastAsia="zh-CN"/>
              </w:rPr>
            </w:pPr>
            <w:r>
              <w:rPr>
                <w:rFonts w:hint="eastAsia"/>
                <w:color w:val="auto"/>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61" w:type="dxa"/>
            <w:tcBorders>
              <w:tl2br w:val="nil"/>
              <w:tr2bl w:val="nil"/>
            </w:tcBorders>
            <w:vAlign w:val="center"/>
          </w:tcPr>
          <w:p>
            <w:pPr>
              <w:pStyle w:val="30"/>
              <w:jc w:val="left"/>
              <w:rPr>
                <w:rFonts w:hint="eastAsia"/>
                <w:color w:val="auto"/>
                <w:lang w:val="en-US" w:eastAsia="zh-CN"/>
              </w:rPr>
            </w:pPr>
            <w:r>
              <w:rPr>
                <w:rFonts w:hint="eastAsia"/>
                <w:color w:val="auto"/>
                <w:lang w:val="en-US" w:eastAsia="zh-CN"/>
              </w:rPr>
              <w:t>做好建设期的生态保护和水土保持工作。注意保护好周围农田、河流及自然景观，落实生态环境的保护、恢复和补偿，对土石方开挖、堆存及回填要实施围挡、护坡等措施，裸露地及时恢复植被，防止水土流失。</w:t>
            </w:r>
          </w:p>
        </w:tc>
        <w:tc>
          <w:tcPr>
            <w:tcW w:w="1416"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项目不新增用地，不涉及土建工程</w:t>
            </w:r>
          </w:p>
        </w:tc>
        <w:tc>
          <w:tcPr>
            <w:tcW w:w="745" w:type="dxa"/>
            <w:tcBorders>
              <w:tl2br w:val="nil"/>
              <w:tr2bl w:val="nil"/>
            </w:tcBorders>
            <w:vAlign w:val="center"/>
          </w:tcPr>
          <w:p>
            <w:pPr>
              <w:pStyle w:val="30"/>
              <w:rPr>
                <w:rFonts w:hint="eastAsia"/>
                <w:color w:val="auto"/>
                <w:lang w:val="en-US" w:eastAsia="zh-CN"/>
              </w:rPr>
            </w:pPr>
            <w:r>
              <w:rPr>
                <w:rFonts w:hint="eastAsia"/>
                <w:color w:val="auto"/>
                <w:lang w:val="en-US" w:eastAsia="zh-CN"/>
              </w:rPr>
              <w:t>符合</w:t>
            </w:r>
          </w:p>
        </w:tc>
      </w:tr>
    </w:tbl>
    <w:p>
      <w:pPr>
        <w:ind w:left="0" w:leftChars="0" w:firstLine="0" w:firstLineChars="0"/>
        <w:rPr>
          <w:rFonts w:ascii="Times New Roman" w:hAnsi="Times New Roman" w:eastAsia="宋体"/>
          <w:b/>
          <w:bCs/>
          <w:color w:val="auto"/>
        </w:rPr>
      </w:pPr>
    </w:p>
    <w:p>
      <w:pPr>
        <w:ind w:firstLine="482"/>
        <w:rPr>
          <w:rFonts w:ascii="Times New Roman" w:hAnsi="Times New Roman" w:eastAsia="宋体"/>
          <w:b/>
          <w:bCs/>
          <w:color w:val="auto"/>
        </w:rPr>
      </w:pPr>
      <w:r>
        <w:rPr>
          <w:rFonts w:ascii="Times New Roman" w:hAnsi="Times New Roman" w:eastAsia="宋体"/>
          <w:b/>
          <w:bCs/>
          <w:color w:val="auto"/>
        </w:rPr>
        <w:t>（</w:t>
      </w:r>
      <w:r>
        <w:rPr>
          <w:rFonts w:hint="eastAsia"/>
          <w:b/>
          <w:bCs/>
          <w:color w:val="auto"/>
          <w:lang w:val="en-US" w:eastAsia="zh-CN"/>
        </w:rPr>
        <w:t>7</w:t>
      </w:r>
      <w:r>
        <w:rPr>
          <w:rFonts w:ascii="Times New Roman" w:hAnsi="Times New Roman" w:eastAsia="宋体"/>
          <w:b/>
          <w:bCs/>
          <w:color w:val="auto"/>
        </w:rPr>
        <w:t>）与《重点行业挥发性有机物综合治理方案》符合性分析</w:t>
      </w:r>
    </w:p>
    <w:p>
      <w:pPr>
        <w:pStyle w:val="31"/>
        <w:rPr>
          <w:color w:val="auto"/>
        </w:rPr>
      </w:pPr>
      <w:r>
        <w:rPr>
          <w:color w:val="auto"/>
        </w:rPr>
        <w:t>表1.</w:t>
      </w:r>
      <w:r>
        <w:rPr>
          <w:rFonts w:hint="eastAsia"/>
          <w:color w:val="auto"/>
          <w:lang w:val="en-US" w:eastAsia="zh-CN"/>
        </w:rPr>
        <w:t>7</w:t>
      </w:r>
      <w:r>
        <w:rPr>
          <w:color w:val="auto"/>
        </w:rPr>
        <w:t>-</w:t>
      </w:r>
      <w:r>
        <w:rPr>
          <w:rFonts w:hint="eastAsia"/>
          <w:color w:val="auto"/>
        </w:rPr>
        <w:t>1</w:t>
      </w:r>
      <w:r>
        <w:rPr>
          <w:color w:val="auto"/>
        </w:rPr>
        <w:t xml:space="preserve"> 本项目与《重点行业挥发性有机物综合治理方案》相关要求表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30"/>
        <w:gridCol w:w="3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b/>
                <w:bCs/>
                <w:color w:val="auto"/>
              </w:rPr>
            </w:pPr>
            <w:r>
              <w:rPr>
                <w:b/>
                <w:bCs/>
                <w:color w:val="auto"/>
              </w:rPr>
              <w:t>相关规定</w:t>
            </w:r>
          </w:p>
        </w:tc>
        <w:tc>
          <w:tcPr>
            <w:tcW w:w="3263" w:type="dxa"/>
            <w:tcBorders>
              <w:tl2br w:val="nil"/>
              <w:tr2bl w:val="nil"/>
            </w:tcBorders>
            <w:vAlign w:val="center"/>
          </w:tcPr>
          <w:p>
            <w:pPr>
              <w:pStyle w:val="30"/>
              <w:rPr>
                <w:b/>
                <w:bCs/>
                <w:color w:val="auto"/>
              </w:rPr>
            </w:pPr>
            <w:r>
              <w:rPr>
                <w:b/>
                <w:bCs/>
                <w:color w:val="auto"/>
              </w:rPr>
              <w:t>相符性分析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color w:val="auto"/>
              </w:rPr>
            </w:pPr>
            <w:r>
              <w:rPr>
                <w:color w:val="auto"/>
              </w:rPr>
              <w:t>重点区域范围：京津冀及周边地区、长三角地区、汾渭平原</w:t>
            </w:r>
          </w:p>
        </w:tc>
        <w:tc>
          <w:tcPr>
            <w:tcW w:w="3263" w:type="dxa"/>
            <w:tcBorders>
              <w:tl2br w:val="nil"/>
              <w:tr2bl w:val="nil"/>
            </w:tcBorders>
            <w:vAlign w:val="center"/>
          </w:tcPr>
          <w:p>
            <w:pPr>
              <w:pStyle w:val="30"/>
              <w:rPr>
                <w:color w:val="auto"/>
              </w:rPr>
            </w:pPr>
            <w:r>
              <w:rPr>
                <w:color w:val="auto"/>
              </w:rPr>
              <w:t>本项目位于湖南省汨罗市，不属于重点区域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color w:val="auto"/>
              </w:rPr>
            </w:pPr>
            <w:r>
              <w:rPr>
                <w:color w:val="auto"/>
              </w:rPr>
              <w:t>重点行业：石化、化工、工业涂装、包装印刷、油品储运销等行业（以下简称重点行业）是我国VOCs重点排放源。为打赢蓝天保卫战、进一步改善环境空气质量，迫切需要全面加强重点行业VOCs综合治理</w:t>
            </w:r>
          </w:p>
        </w:tc>
        <w:tc>
          <w:tcPr>
            <w:tcW w:w="3263" w:type="dxa"/>
            <w:tcBorders>
              <w:tl2br w:val="nil"/>
              <w:tr2bl w:val="nil"/>
            </w:tcBorders>
            <w:vAlign w:val="center"/>
          </w:tcPr>
          <w:p>
            <w:pPr>
              <w:pStyle w:val="30"/>
              <w:rPr>
                <w:color w:val="auto"/>
              </w:rPr>
            </w:pPr>
            <w:r>
              <w:rPr>
                <w:color w:val="auto"/>
              </w:rPr>
              <w:t>本项目不属于重点行业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color w:val="auto"/>
              </w:rPr>
            </w:pPr>
            <w:r>
              <w:rPr>
                <w:color w:val="auto"/>
              </w:rPr>
              <w:t>大力推进源头替代。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加强政策引导。企业采用符合国家有关低VOCs含量产品规定的涂料、油墨、胶粘剂等。</w:t>
            </w:r>
          </w:p>
        </w:tc>
        <w:tc>
          <w:tcPr>
            <w:tcW w:w="3263" w:type="dxa"/>
            <w:tcBorders>
              <w:tl2br w:val="nil"/>
              <w:tr2bl w:val="nil"/>
            </w:tcBorders>
            <w:vAlign w:val="center"/>
          </w:tcPr>
          <w:p>
            <w:pPr>
              <w:pStyle w:val="30"/>
              <w:rPr>
                <w:color w:val="auto"/>
              </w:rPr>
            </w:pPr>
            <w:r>
              <w:rPr>
                <w:color w:val="auto"/>
              </w:rPr>
              <w:t>本项目为塑料制品制造，不使用胶粘剂、涂料等，符合要求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color w:val="auto"/>
              </w:rPr>
            </w:pPr>
            <w:r>
              <w:rPr>
                <w:color w:val="auto"/>
              </w:rPr>
              <w:t>全面加强无组织排放控制。重点对含VOCs物料（包括含VOCs 原辅材料、含VOCs产品、含VOCs废料以及有机聚合物材料 等）储存、转移和输送、设备与管线组件泄漏、敞开液面逸散以及工艺过程等五类排放源实施管控，通过采取设备与场所密闭、工艺改进、废气有效收集等措施，削减VOCs无组织排放。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3263" w:type="dxa"/>
            <w:tcBorders>
              <w:tl2br w:val="nil"/>
              <w:tr2bl w:val="nil"/>
            </w:tcBorders>
            <w:vAlign w:val="center"/>
          </w:tcPr>
          <w:p>
            <w:pPr>
              <w:pStyle w:val="30"/>
              <w:rPr>
                <w:color w:val="auto"/>
                <w:highlight w:val="none"/>
              </w:rPr>
            </w:pPr>
            <w:r>
              <w:rPr>
                <w:color w:val="auto"/>
                <w:highlight w:val="none"/>
              </w:rPr>
              <w:t>本项目</w:t>
            </w:r>
            <w:r>
              <w:rPr>
                <w:rFonts w:hint="eastAsia"/>
                <w:color w:val="auto"/>
                <w:highlight w:val="none"/>
              </w:rPr>
              <w:t>熔融挤出</w:t>
            </w:r>
            <w:r>
              <w:rPr>
                <w:color w:val="auto"/>
                <w:highlight w:val="none"/>
              </w:rPr>
              <w:t>工序</w:t>
            </w:r>
            <w:r>
              <w:rPr>
                <w:rFonts w:hint="eastAsia"/>
                <w:color w:val="auto"/>
                <w:highlight w:val="none"/>
              </w:rPr>
              <w:t>会产生有机废气，</w:t>
            </w:r>
            <w:r>
              <w:rPr>
                <w:color w:val="auto"/>
                <w:highlight w:val="none"/>
              </w:rPr>
              <w:t>采取集气罩收集有机废气后，通过</w:t>
            </w:r>
            <w:r>
              <w:rPr>
                <w:rFonts w:hint="eastAsia"/>
                <w:color w:val="auto"/>
                <w:highlight w:val="none"/>
              </w:rPr>
              <w:t>两级</w:t>
            </w:r>
            <w:r>
              <w:rPr>
                <w:color w:val="auto"/>
                <w:highlight w:val="none"/>
              </w:rPr>
              <w:t>活性炭进行处理，距集气罩开口面最远处的VOCs无组织排放位置，控制风速为0.</w:t>
            </w:r>
            <w:r>
              <w:rPr>
                <w:rFonts w:hint="eastAsia"/>
                <w:color w:val="auto"/>
                <w:highlight w:val="none"/>
              </w:rPr>
              <w:t>5</w:t>
            </w:r>
            <w:r>
              <w:rPr>
                <w:color w:val="auto"/>
                <w:highlight w:val="none"/>
              </w:rPr>
              <w:t>m/s，不低于0.3m/s，符合要求</w:t>
            </w:r>
            <w:r>
              <w:rPr>
                <w:rFonts w:hint="eastAsia"/>
                <w:color w:val="auto"/>
                <w:highlight w:val="none"/>
              </w:rPr>
              <w:t>。</w:t>
            </w:r>
          </w:p>
          <w:p>
            <w:pPr>
              <w:pStyle w:val="30"/>
              <w:rPr>
                <w:color w:val="auto"/>
              </w:rPr>
            </w:pPr>
          </w:p>
          <w:p>
            <w:pPr>
              <w:pStyle w:val="3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741" w:type="dxa"/>
            <w:tcBorders>
              <w:tl2br w:val="nil"/>
              <w:tr2bl w:val="nil"/>
            </w:tcBorders>
            <w:vAlign w:val="center"/>
          </w:tcPr>
          <w:p>
            <w:pPr>
              <w:pStyle w:val="30"/>
              <w:rPr>
                <w:color w:val="auto"/>
              </w:rPr>
            </w:pPr>
            <w:r>
              <w:rPr>
                <w:color w:val="auto"/>
              </w:rPr>
              <w:t>推进建设适宜高效的治污设施。企业新建治污设施或对现有治污 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3263" w:type="dxa"/>
            <w:tcBorders>
              <w:tl2br w:val="nil"/>
              <w:tr2bl w:val="nil"/>
            </w:tcBorders>
            <w:vAlign w:val="center"/>
          </w:tcPr>
          <w:p>
            <w:pPr>
              <w:pStyle w:val="30"/>
              <w:rPr>
                <w:color w:val="auto"/>
              </w:rPr>
            </w:pPr>
            <w:r>
              <w:rPr>
                <w:color w:val="auto"/>
              </w:rPr>
              <w:t>本项目属于低浓度废气，采取</w:t>
            </w:r>
            <w:r>
              <w:rPr>
                <w:rFonts w:hint="eastAsia"/>
                <w:color w:val="auto"/>
              </w:rPr>
              <w:t>两级</w:t>
            </w:r>
            <w:r>
              <w:rPr>
                <w:color w:val="auto"/>
              </w:rPr>
              <w:t>活性炭吸附</w:t>
            </w:r>
            <w:r>
              <w:rPr>
                <w:rFonts w:hint="eastAsia"/>
                <w:color w:val="auto"/>
              </w:rPr>
              <w:t>装置</w:t>
            </w:r>
            <w:r>
              <w:rPr>
                <w:color w:val="auto"/>
              </w:rPr>
              <w:t>进行处理，废活性炭交由有资质的单位处理，基本符合要求。</w:t>
            </w:r>
          </w:p>
        </w:tc>
      </w:tr>
    </w:tbl>
    <w:p>
      <w:pPr>
        <w:ind w:firstLine="480"/>
        <w:rPr>
          <w:color w:val="auto"/>
        </w:rPr>
      </w:pPr>
      <w:r>
        <w:rPr>
          <w:color w:val="auto"/>
        </w:rPr>
        <w:t>通过上表分析，项目基本符合《重点行业挥发性有机物综合治理方案》相关要求。</w:t>
      </w:r>
    </w:p>
    <w:p>
      <w:pPr>
        <w:ind w:firstLine="482"/>
        <w:rPr>
          <w:b/>
          <w:bCs/>
          <w:color w:val="auto"/>
        </w:rPr>
      </w:pPr>
      <w:r>
        <w:rPr>
          <w:b/>
          <w:bCs/>
          <w:color w:val="auto"/>
        </w:rPr>
        <w:t>（</w:t>
      </w:r>
      <w:r>
        <w:rPr>
          <w:rFonts w:hint="eastAsia"/>
          <w:b/>
          <w:bCs/>
          <w:color w:val="auto"/>
          <w:lang w:val="en-US" w:eastAsia="zh-CN"/>
        </w:rPr>
        <w:t>8</w:t>
      </w:r>
      <w:r>
        <w:rPr>
          <w:b/>
          <w:bCs/>
          <w:color w:val="auto"/>
        </w:rPr>
        <w:t>）与《挥发性有机物（VOCs）污染防治技术政策》符合性分析</w:t>
      </w:r>
    </w:p>
    <w:p>
      <w:pPr>
        <w:pStyle w:val="31"/>
        <w:rPr>
          <w:color w:val="auto"/>
        </w:rPr>
      </w:pPr>
      <w:r>
        <w:rPr>
          <w:color w:val="auto"/>
        </w:rPr>
        <w:t>表1.5-</w:t>
      </w:r>
      <w:r>
        <w:rPr>
          <w:rFonts w:hint="eastAsia"/>
          <w:color w:val="auto"/>
        </w:rPr>
        <w:t>2</w:t>
      </w:r>
      <w:r>
        <w:rPr>
          <w:color w:val="auto"/>
        </w:rPr>
        <w:t xml:space="preserve"> 本项目与《挥发性有机物（VOCs）污染防治技术政策》相关要求符合性分析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99"/>
        <w:gridCol w:w="3272"/>
        <w:gridCol w:w="2482"/>
        <w:gridCol w:w="13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73" w:type="dxa"/>
            <w:tcBorders>
              <w:tl2br w:val="nil"/>
              <w:tr2bl w:val="nil"/>
            </w:tcBorders>
            <w:vAlign w:val="center"/>
          </w:tcPr>
          <w:p>
            <w:pPr>
              <w:pStyle w:val="30"/>
              <w:rPr>
                <w:b/>
                <w:bCs/>
                <w:color w:val="auto"/>
              </w:rPr>
            </w:pPr>
            <w:r>
              <w:rPr>
                <w:b/>
                <w:bCs/>
                <w:color w:val="auto"/>
              </w:rPr>
              <w:t>项目</w:t>
            </w:r>
          </w:p>
        </w:tc>
        <w:tc>
          <w:tcPr>
            <w:tcW w:w="3465" w:type="dxa"/>
            <w:tcBorders>
              <w:tl2br w:val="nil"/>
              <w:tr2bl w:val="nil"/>
            </w:tcBorders>
            <w:vAlign w:val="center"/>
          </w:tcPr>
          <w:p>
            <w:pPr>
              <w:pStyle w:val="30"/>
              <w:rPr>
                <w:b/>
                <w:bCs/>
                <w:color w:val="auto"/>
              </w:rPr>
            </w:pPr>
            <w:r>
              <w:rPr>
                <w:b/>
                <w:bCs/>
                <w:color w:val="auto"/>
              </w:rPr>
              <w:t>要求</w:t>
            </w:r>
          </w:p>
        </w:tc>
        <w:tc>
          <w:tcPr>
            <w:tcW w:w="2625" w:type="dxa"/>
            <w:tcBorders>
              <w:tl2br w:val="nil"/>
              <w:tr2bl w:val="nil"/>
            </w:tcBorders>
            <w:vAlign w:val="center"/>
          </w:tcPr>
          <w:p>
            <w:pPr>
              <w:pStyle w:val="30"/>
              <w:rPr>
                <w:b/>
                <w:bCs/>
                <w:color w:val="auto"/>
              </w:rPr>
            </w:pPr>
            <w:r>
              <w:rPr>
                <w:b/>
                <w:bCs/>
                <w:color w:val="auto"/>
              </w:rPr>
              <w:t>本项目情况</w:t>
            </w:r>
          </w:p>
        </w:tc>
        <w:tc>
          <w:tcPr>
            <w:tcW w:w="1441" w:type="dxa"/>
            <w:tcBorders>
              <w:tl2br w:val="nil"/>
              <w:tr2bl w:val="nil"/>
            </w:tcBorders>
            <w:vAlign w:val="center"/>
          </w:tcPr>
          <w:p>
            <w:pPr>
              <w:pStyle w:val="30"/>
              <w:rPr>
                <w:b/>
                <w:bCs/>
                <w:color w:val="auto"/>
              </w:rPr>
            </w:pPr>
            <w:r>
              <w:rPr>
                <w:b/>
                <w:bCs/>
                <w:color w:val="auto"/>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trPr>
        <w:tc>
          <w:tcPr>
            <w:tcW w:w="1473" w:type="dxa"/>
            <w:tcBorders>
              <w:tl2br w:val="nil"/>
              <w:tr2bl w:val="nil"/>
            </w:tcBorders>
            <w:vAlign w:val="center"/>
          </w:tcPr>
          <w:p>
            <w:pPr>
              <w:pStyle w:val="30"/>
              <w:rPr>
                <w:color w:val="auto"/>
              </w:rPr>
            </w:pPr>
            <w:r>
              <w:rPr>
                <w:color w:val="auto"/>
              </w:rPr>
              <w:t>末端治理和综合利用</w:t>
            </w:r>
          </w:p>
        </w:tc>
        <w:tc>
          <w:tcPr>
            <w:tcW w:w="3465" w:type="dxa"/>
            <w:tcBorders>
              <w:tl2br w:val="nil"/>
              <w:tr2bl w:val="nil"/>
            </w:tcBorders>
            <w:vAlign w:val="center"/>
          </w:tcPr>
          <w:p>
            <w:pPr>
              <w:pStyle w:val="30"/>
              <w:rPr>
                <w:color w:val="auto"/>
              </w:rPr>
            </w:pPr>
            <w:r>
              <w:rPr>
                <w:color w:val="auto"/>
              </w:rPr>
              <w:t>（十五）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625" w:type="dxa"/>
            <w:tcBorders>
              <w:tl2br w:val="nil"/>
              <w:tr2bl w:val="nil"/>
            </w:tcBorders>
            <w:vAlign w:val="center"/>
          </w:tcPr>
          <w:p>
            <w:pPr>
              <w:pStyle w:val="30"/>
              <w:rPr>
                <w:color w:val="auto"/>
              </w:rPr>
            </w:pPr>
            <w:r>
              <w:rPr>
                <w:color w:val="auto"/>
              </w:rPr>
              <w:t>项目对排放的废气进行收集后采取</w:t>
            </w:r>
            <w:r>
              <w:rPr>
                <w:rFonts w:hint="eastAsia"/>
                <w:color w:val="auto"/>
              </w:rPr>
              <w:t>两级</w:t>
            </w:r>
            <w:r>
              <w:rPr>
                <w:color w:val="auto"/>
              </w:rPr>
              <w:t>活性炭吸附，再通过</w:t>
            </w:r>
            <w:r>
              <w:rPr>
                <w:rFonts w:hint="eastAsia"/>
                <w:color w:val="auto"/>
                <w:lang w:eastAsia="zh-CN"/>
              </w:rPr>
              <w:t>18m高排气筒</w:t>
            </w:r>
            <w:r>
              <w:rPr>
                <w:rFonts w:hint="eastAsia"/>
                <w:color w:val="auto"/>
              </w:rPr>
              <w:t>（DA001）</w:t>
            </w:r>
            <w:r>
              <w:rPr>
                <w:color w:val="auto"/>
              </w:rPr>
              <w:t>达标排放。</w:t>
            </w:r>
          </w:p>
        </w:tc>
        <w:tc>
          <w:tcPr>
            <w:tcW w:w="1441" w:type="dxa"/>
            <w:tcBorders>
              <w:tl2br w:val="nil"/>
              <w:tr2bl w:val="nil"/>
            </w:tcBorders>
            <w:vAlign w:val="center"/>
          </w:tcPr>
          <w:p>
            <w:pPr>
              <w:pStyle w:val="30"/>
              <w:rPr>
                <w:color w:val="auto"/>
              </w:rPr>
            </w:pPr>
            <w:r>
              <w:rPr>
                <w:color w:val="auto"/>
              </w:rPr>
              <w:t>符合</w:t>
            </w:r>
          </w:p>
        </w:tc>
      </w:tr>
    </w:tbl>
    <w:p>
      <w:pPr>
        <w:ind w:firstLine="480"/>
        <w:rPr>
          <w:color w:val="auto"/>
        </w:rPr>
      </w:pPr>
      <w:r>
        <w:rPr>
          <w:color w:val="auto"/>
        </w:rPr>
        <w:t>通过上表分析，项目基本符合《挥发性有机物（VOCs）污染防治技术政策》相关要求。</w:t>
      </w:r>
    </w:p>
    <w:p>
      <w:pPr>
        <w:ind w:firstLine="482"/>
        <w:rPr>
          <w:b/>
          <w:bCs/>
          <w:color w:val="auto"/>
        </w:rPr>
      </w:pPr>
      <w:r>
        <w:rPr>
          <w:b/>
          <w:bCs/>
          <w:color w:val="auto"/>
        </w:rPr>
        <w:t>（</w:t>
      </w:r>
      <w:r>
        <w:rPr>
          <w:rFonts w:hint="eastAsia"/>
          <w:b/>
          <w:bCs/>
          <w:color w:val="auto"/>
          <w:lang w:val="en-US" w:eastAsia="zh-CN"/>
        </w:rPr>
        <w:t>9</w:t>
      </w:r>
      <w:r>
        <w:rPr>
          <w:b/>
          <w:bCs/>
          <w:color w:val="auto"/>
        </w:rPr>
        <w:t>）与《挥发性有机物无组织排放控制标准（GB 37822—2019）》符合性分析</w:t>
      </w:r>
    </w:p>
    <w:p>
      <w:pPr>
        <w:pStyle w:val="31"/>
        <w:rPr>
          <w:color w:val="auto"/>
        </w:rPr>
      </w:pPr>
      <w:r>
        <w:rPr>
          <w:color w:val="auto"/>
        </w:rPr>
        <w:t>表1.3-</w:t>
      </w:r>
      <w:r>
        <w:rPr>
          <w:rFonts w:hint="eastAsia"/>
          <w:color w:val="auto"/>
        </w:rPr>
        <w:t xml:space="preserve">3 </w:t>
      </w:r>
      <w:r>
        <w:rPr>
          <w:color w:val="auto"/>
        </w:rPr>
        <w:t>本项目与《挥发性有机物无组织排放控制标准（GB 37822—2019）》相关要求符合性</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b/>
                <w:bCs/>
                <w:color w:val="auto"/>
              </w:rPr>
            </w:pPr>
            <w:r>
              <w:rPr>
                <w:b/>
                <w:bCs/>
                <w:color w:val="auto"/>
              </w:rPr>
              <w:t>相关规定</w:t>
            </w:r>
          </w:p>
        </w:tc>
        <w:tc>
          <w:tcPr>
            <w:tcW w:w="4502" w:type="dxa"/>
            <w:tcBorders>
              <w:tl2br w:val="nil"/>
              <w:tr2bl w:val="nil"/>
            </w:tcBorders>
            <w:vAlign w:val="center"/>
          </w:tcPr>
          <w:p>
            <w:pPr>
              <w:pStyle w:val="30"/>
              <w:rPr>
                <w:b/>
                <w:bCs/>
                <w:color w:val="auto"/>
              </w:rPr>
            </w:pPr>
            <w:r>
              <w:rPr>
                <w:b/>
                <w:bCs/>
                <w:color w:val="auto"/>
              </w:rPr>
              <w:t>本项目符合性分析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502" w:type="dxa"/>
            <w:tcBorders>
              <w:tl2br w:val="nil"/>
              <w:tr2bl w:val="nil"/>
            </w:tcBorders>
            <w:vAlign w:val="center"/>
          </w:tcPr>
          <w:p>
            <w:pPr>
              <w:pStyle w:val="30"/>
              <w:rPr>
                <w:color w:val="auto"/>
              </w:rPr>
            </w:pPr>
            <w:r>
              <w:rPr>
                <w:color w:val="auto"/>
              </w:rPr>
              <w:t>VOCs物料应储存于密闭的容器、包装袋、储罐、储库、料仓中。</w:t>
            </w:r>
          </w:p>
        </w:tc>
        <w:tc>
          <w:tcPr>
            <w:tcW w:w="4502" w:type="dxa"/>
            <w:tcBorders>
              <w:tl2br w:val="nil"/>
              <w:tr2bl w:val="nil"/>
            </w:tcBorders>
            <w:vAlign w:val="center"/>
          </w:tcPr>
          <w:p>
            <w:pPr>
              <w:pStyle w:val="30"/>
              <w:rPr>
                <w:color w:val="auto"/>
              </w:rPr>
            </w:pPr>
            <w:r>
              <w:rPr>
                <w:color w:val="auto"/>
              </w:rPr>
              <w:t>本项目使用的</w:t>
            </w:r>
            <w:r>
              <w:rPr>
                <w:rFonts w:hint="eastAsia"/>
                <w:color w:val="auto"/>
              </w:rPr>
              <w:t>再生塑料颗粒原料</w:t>
            </w:r>
            <w:r>
              <w:rPr>
                <w:color w:val="auto"/>
              </w:rPr>
              <w:t>采用包装袋进行储存</w:t>
            </w:r>
            <w:r>
              <w:rPr>
                <w:rFonts w:hint="eastAsia"/>
                <w:color w:val="auto"/>
              </w:rPr>
              <w:t>于原料暂存间</w:t>
            </w:r>
            <w:r>
              <w:rPr>
                <w:color w:val="auto"/>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盛装VOCs物料的容器或包装袋应存放于室内，或存放于设置有雨棚、遮阳和防渗设施的专用场地。盛装VOCs物料的容器或包装袋在非取用状态时应加盖、封口、保持密闭。</w:t>
            </w:r>
          </w:p>
        </w:tc>
        <w:tc>
          <w:tcPr>
            <w:tcW w:w="4502" w:type="dxa"/>
            <w:tcBorders>
              <w:tl2br w:val="nil"/>
              <w:tr2bl w:val="nil"/>
            </w:tcBorders>
            <w:vAlign w:val="center"/>
          </w:tcPr>
          <w:p>
            <w:pPr>
              <w:pStyle w:val="30"/>
              <w:rPr>
                <w:color w:val="auto"/>
              </w:rPr>
            </w:pPr>
            <w:r>
              <w:rPr>
                <w:color w:val="auto"/>
              </w:rPr>
              <w:t>本项目原辅料均储存在室内，不露天堆放，且 在非取用状态时加盖、封口、保持密闭，符合要求。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VOCs物料储存、料仓应满足密闭空间的要求。</w:t>
            </w:r>
          </w:p>
        </w:tc>
        <w:tc>
          <w:tcPr>
            <w:tcW w:w="4502" w:type="dxa"/>
            <w:tcBorders>
              <w:tl2br w:val="nil"/>
              <w:tr2bl w:val="nil"/>
            </w:tcBorders>
            <w:vAlign w:val="center"/>
          </w:tcPr>
          <w:p>
            <w:pPr>
              <w:pStyle w:val="30"/>
              <w:rPr>
                <w:color w:val="auto"/>
              </w:rPr>
            </w:pPr>
            <w:r>
              <w:rPr>
                <w:color w:val="auto"/>
              </w:rPr>
              <w:t>VOCs物料储存、料仓满足密闭空间的要求。符合要求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物料投加和卸放：粉状，粒状VOCs物料应采用气力输送方式或采用密闭固体投料器等给料方式密闭投加。无法密闭投加的，应在密闭空间内操作，或进行局部气体收集，废气应排至除尘设施、VOCs废气收集处理系统。</w:t>
            </w:r>
          </w:p>
        </w:tc>
        <w:tc>
          <w:tcPr>
            <w:tcW w:w="4502" w:type="dxa"/>
            <w:tcBorders>
              <w:tl2br w:val="nil"/>
              <w:tr2bl w:val="nil"/>
            </w:tcBorders>
            <w:vAlign w:val="center"/>
          </w:tcPr>
          <w:p>
            <w:pPr>
              <w:pStyle w:val="30"/>
              <w:rPr>
                <w:color w:val="auto"/>
              </w:rPr>
            </w:pPr>
            <w:r>
              <w:rPr>
                <w:color w:val="auto"/>
              </w:rPr>
              <w:t>本项目拟将投料口设置为半封闭进行局部集气，收集后进入除尘设施处理，符合要求。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VOCs 物料卸（出、放）料过程应密闭，卸料废气应排至VOCs废气收集系统处理；无法密闭的，应采取局部气体收集措施，废气应排至VOCs废气收集处理系统。</w:t>
            </w:r>
          </w:p>
        </w:tc>
        <w:tc>
          <w:tcPr>
            <w:tcW w:w="4502" w:type="dxa"/>
            <w:tcBorders>
              <w:tl2br w:val="nil"/>
              <w:tr2bl w:val="nil"/>
            </w:tcBorders>
            <w:vAlign w:val="center"/>
          </w:tcPr>
          <w:p>
            <w:pPr>
              <w:pStyle w:val="30"/>
              <w:rPr>
                <w:color w:val="auto"/>
              </w:rPr>
            </w:pPr>
            <w:r>
              <w:rPr>
                <w:color w:val="auto"/>
              </w:rPr>
              <w:t>对</w:t>
            </w:r>
            <w:r>
              <w:rPr>
                <w:rFonts w:hint="eastAsia"/>
                <w:color w:val="auto"/>
              </w:rPr>
              <w:t>挤出</w:t>
            </w:r>
            <w:r>
              <w:rPr>
                <w:color w:val="auto"/>
              </w:rPr>
              <w:t>过程产生的有机废气采取集气罩收集后进入废气处理系统处置</w:t>
            </w:r>
            <w:r>
              <w:rPr>
                <w:rFonts w:hint="eastAsia"/>
                <w:color w:val="auto"/>
                <w:lang w:val="en-US" w:eastAsia="zh-CN"/>
              </w:rPr>
              <w:t>后通过一根18m高排气筒（DA001）排放</w:t>
            </w:r>
            <w:r>
              <w:rPr>
                <w:color w:val="auto"/>
              </w:rPr>
              <w:t>，符合要求。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VOCs 物料混合、搅拌、研磨、造粒、切片、压片等配料加工过程，以及含VOCs产品的包装（灌装、分装）过程应采用密闭设备或在密闭空间内操作，废气应排至VOCs废气收集处理系统；无法密闭的，应采取局部气体收集措施，废气应排至VOCs废气收集处理系统。</w:t>
            </w:r>
          </w:p>
        </w:tc>
        <w:tc>
          <w:tcPr>
            <w:tcW w:w="4502" w:type="dxa"/>
            <w:tcBorders>
              <w:tl2br w:val="nil"/>
              <w:tr2bl w:val="nil"/>
            </w:tcBorders>
            <w:vAlign w:val="center"/>
          </w:tcPr>
          <w:p>
            <w:pPr>
              <w:pStyle w:val="30"/>
              <w:rPr>
                <w:color w:val="auto"/>
              </w:rPr>
            </w:pPr>
            <w:r>
              <w:rPr>
                <w:color w:val="auto"/>
              </w:rPr>
              <w:t>VOCs物料挤出等工序均在封闭设备进行，出口无法密闭处采用集气罩进行局部收集，后进入VOCs废气处理设施处理，符合要求。</w:t>
            </w:r>
          </w:p>
        </w:tc>
      </w:tr>
    </w:tbl>
    <w:p>
      <w:pPr>
        <w:ind w:firstLine="480"/>
        <w:rPr>
          <w:color w:val="auto"/>
        </w:rPr>
      </w:pPr>
      <w:r>
        <w:rPr>
          <w:color w:val="auto"/>
        </w:rPr>
        <w:t>通过上表分析，项目基本符合《挥发性有机物无组织排放控制标准（GB 37822—2019）》相关要求。</w:t>
      </w:r>
    </w:p>
    <w:p>
      <w:pPr>
        <w:ind w:firstLine="482"/>
        <w:rPr>
          <w:b/>
          <w:bCs/>
          <w:color w:val="auto"/>
        </w:rPr>
      </w:pPr>
      <w:r>
        <w:rPr>
          <w:b/>
          <w:bCs/>
          <w:color w:val="auto"/>
        </w:rPr>
        <w:t>（</w:t>
      </w:r>
      <w:r>
        <w:rPr>
          <w:rFonts w:hint="eastAsia"/>
          <w:b/>
          <w:bCs/>
          <w:color w:val="auto"/>
          <w:lang w:val="en-US" w:eastAsia="zh-CN"/>
        </w:rPr>
        <w:t>10</w:t>
      </w:r>
      <w:r>
        <w:rPr>
          <w:b/>
          <w:bCs/>
          <w:color w:val="auto"/>
        </w:rPr>
        <w:t>）与《废塑料综合利用行业规范条件》符合性分析</w:t>
      </w:r>
    </w:p>
    <w:p>
      <w:pPr>
        <w:pStyle w:val="31"/>
        <w:rPr>
          <w:color w:val="auto"/>
        </w:rPr>
      </w:pPr>
      <w:r>
        <w:rPr>
          <w:color w:val="auto"/>
        </w:rPr>
        <w:t>表1.3-</w:t>
      </w:r>
      <w:r>
        <w:rPr>
          <w:rFonts w:hint="eastAsia"/>
          <w:color w:val="auto"/>
        </w:rPr>
        <w:t>4</w:t>
      </w:r>
      <w:r>
        <w:rPr>
          <w:color w:val="auto"/>
        </w:rPr>
        <w:t xml:space="preserve"> 本项目与《废塑料综合利用行业规范条件》符合性分析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相关规定</w:t>
            </w:r>
          </w:p>
        </w:tc>
        <w:tc>
          <w:tcPr>
            <w:tcW w:w="4502" w:type="dxa"/>
            <w:tcBorders>
              <w:tl2br w:val="nil"/>
              <w:tr2bl w:val="nil"/>
            </w:tcBorders>
            <w:vAlign w:val="center"/>
          </w:tcPr>
          <w:p>
            <w:pPr>
              <w:pStyle w:val="30"/>
              <w:rPr>
                <w:color w:val="auto"/>
              </w:rPr>
            </w:pPr>
            <w:r>
              <w:rPr>
                <w:color w:val="auto"/>
              </w:rPr>
              <w:t>本项目符合性分析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04" w:type="dxa"/>
            <w:gridSpan w:val="2"/>
            <w:tcBorders>
              <w:tl2br w:val="nil"/>
              <w:tr2bl w:val="nil"/>
            </w:tcBorders>
            <w:vAlign w:val="center"/>
          </w:tcPr>
          <w:p>
            <w:pPr>
              <w:pStyle w:val="30"/>
              <w:rPr>
                <w:color w:val="auto"/>
              </w:rPr>
            </w:pPr>
            <w:r>
              <w:rPr>
                <w:color w:val="auto"/>
              </w:rPr>
              <w:t>一、企业的设立和布局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废塑料综合利用企业是指采用物理机械法对热塑性废塑料进行再生加工的企业；不包括受到危险化学品、农药等污染的废弃塑料包装物、废弃一次性医疗用塑料制品等塑料类危险废物，以及氟塑料等特种工程塑料。</w:t>
            </w:r>
          </w:p>
        </w:tc>
        <w:tc>
          <w:tcPr>
            <w:tcW w:w="4502" w:type="dxa"/>
            <w:tcBorders>
              <w:tl2br w:val="nil"/>
              <w:tr2bl w:val="nil"/>
            </w:tcBorders>
            <w:vAlign w:val="center"/>
          </w:tcPr>
          <w:p>
            <w:pPr>
              <w:pStyle w:val="30"/>
              <w:rPr>
                <w:color w:val="auto"/>
              </w:rPr>
            </w:pPr>
            <w:r>
              <w:rPr>
                <w:color w:val="auto"/>
              </w:rPr>
              <w:t>本项目原料为正规塑料回收企业清理、破碎后的</w:t>
            </w:r>
            <w:r>
              <w:rPr>
                <w:rFonts w:hint="eastAsia"/>
                <w:color w:val="auto"/>
              </w:rPr>
              <w:t>再生塑料颗粒</w:t>
            </w:r>
            <w:r>
              <w:rPr>
                <w:color w:val="auto"/>
              </w:rPr>
              <w:t>。项目不接收含有毒有害的废塑料，如沾染危险化学品、农药等废塑料包装物，以及输液器、针头、血袋等一次性废气医疗用塑料制品等。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新建及改造、扩建废塑料加工企业应符合国家产业政策及所在地区土地利用总体规划、城乡建设规划、环境保护、污染防治规划。企业建设应有规范化设计要求，采用节能环保技术及生产装备。</w:t>
            </w:r>
          </w:p>
        </w:tc>
        <w:tc>
          <w:tcPr>
            <w:tcW w:w="4502" w:type="dxa"/>
            <w:tcBorders>
              <w:tl2br w:val="nil"/>
              <w:tr2bl w:val="nil"/>
            </w:tcBorders>
            <w:vAlign w:val="center"/>
          </w:tcPr>
          <w:p>
            <w:pPr>
              <w:pStyle w:val="30"/>
              <w:rPr>
                <w:color w:val="auto"/>
              </w:rPr>
            </w:pPr>
            <w:r>
              <w:rPr>
                <w:color w:val="auto"/>
              </w:rPr>
              <w:t>本项目为新建项目，符合国家产业政策及汨罗 高新技术产业开发区新市片区土地利用规划，项目建设规范化的生产及环保设备，符合要 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在国家法律、法规、规章和规划确定或县级及以上人民政府规定的自然保护区、风景名胜区、饮用水源保护区、基本农田保护区和其他需要特别保护的区域内，不得新建废塑料综合利用企业。</w:t>
            </w:r>
          </w:p>
        </w:tc>
        <w:tc>
          <w:tcPr>
            <w:tcW w:w="4502" w:type="dxa"/>
            <w:tcBorders>
              <w:tl2br w:val="nil"/>
              <w:tr2bl w:val="nil"/>
            </w:tcBorders>
            <w:vAlign w:val="center"/>
          </w:tcPr>
          <w:p>
            <w:pPr>
              <w:pStyle w:val="30"/>
              <w:rPr>
                <w:color w:val="auto"/>
              </w:rPr>
            </w:pPr>
            <w:r>
              <w:rPr>
                <w:color w:val="auto"/>
              </w:rPr>
              <w:t>本项目不涉及自然保护区、风景名胜区、饮用水源保护区、基本农田保护区和其他需要特别保护的区域，符合要求。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04" w:type="dxa"/>
            <w:gridSpan w:val="2"/>
            <w:tcBorders>
              <w:tl2br w:val="nil"/>
              <w:tr2bl w:val="nil"/>
            </w:tcBorders>
            <w:vAlign w:val="center"/>
          </w:tcPr>
          <w:p>
            <w:pPr>
              <w:pStyle w:val="30"/>
              <w:rPr>
                <w:color w:val="auto"/>
              </w:rPr>
            </w:pPr>
            <w:r>
              <w:rPr>
                <w:color w:val="auto"/>
              </w:rPr>
              <w:t>二、资源综合利用及能耗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企业应对收集的废塑料进行充分利用，提高资源回收利用效率，不得倾倒、焚烧与填埋。</w:t>
            </w:r>
          </w:p>
        </w:tc>
        <w:tc>
          <w:tcPr>
            <w:tcW w:w="4502" w:type="dxa"/>
            <w:tcBorders>
              <w:tl2br w:val="nil"/>
              <w:tr2bl w:val="nil"/>
            </w:tcBorders>
            <w:vAlign w:val="center"/>
          </w:tcPr>
          <w:p>
            <w:pPr>
              <w:pStyle w:val="30"/>
              <w:rPr>
                <w:color w:val="auto"/>
              </w:rPr>
            </w:pPr>
            <w:r>
              <w:rPr>
                <w:color w:val="auto"/>
              </w:rPr>
              <w:t>本项目收集的废塑料均回用于生产，符合要求。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04" w:type="dxa"/>
            <w:gridSpan w:val="2"/>
            <w:tcBorders>
              <w:tl2br w:val="nil"/>
              <w:tr2bl w:val="nil"/>
            </w:tcBorders>
            <w:vAlign w:val="center"/>
          </w:tcPr>
          <w:p>
            <w:pPr>
              <w:pStyle w:val="30"/>
              <w:rPr>
                <w:color w:val="auto"/>
              </w:rPr>
            </w:pPr>
            <w:r>
              <w:rPr>
                <w:color w:val="auto"/>
              </w:rPr>
              <w:t>三、工艺与装备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新建及改造、扩建废塑料综合利用企业应采用先进技术、工艺和装备，提高废塑料再生加工过程的自动化水平；鼓励废塑料综合利用企业研发和使用生产效率高、工艺技术先进、能耗物耗低的加工生产系统。</w:t>
            </w:r>
          </w:p>
        </w:tc>
        <w:tc>
          <w:tcPr>
            <w:tcW w:w="4502" w:type="dxa"/>
            <w:tcBorders>
              <w:tl2br w:val="nil"/>
              <w:tr2bl w:val="nil"/>
            </w:tcBorders>
            <w:vAlign w:val="center"/>
          </w:tcPr>
          <w:p>
            <w:pPr>
              <w:pStyle w:val="30"/>
              <w:rPr>
                <w:color w:val="auto"/>
              </w:rPr>
            </w:pPr>
            <w:r>
              <w:rPr>
                <w:color w:val="auto"/>
              </w:rPr>
              <w:t>本项目采用先进的自动化流水线设备，工艺先进，能耗低，符合要求。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04" w:type="dxa"/>
            <w:gridSpan w:val="2"/>
            <w:tcBorders>
              <w:tl2br w:val="nil"/>
              <w:tr2bl w:val="nil"/>
            </w:tcBorders>
            <w:vAlign w:val="center"/>
          </w:tcPr>
          <w:p>
            <w:pPr>
              <w:pStyle w:val="30"/>
              <w:rPr>
                <w:color w:val="auto"/>
              </w:rPr>
            </w:pPr>
            <w:r>
              <w:rPr>
                <w:color w:val="auto"/>
              </w:rPr>
              <w:t>四、环境保护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废塑料综合利用企业应严格执行《中华人民共和国环境影响评价法》，按照环境保护主管部门的相关规定报批环境影响评价文件。按照环境保护“三同时”的要求建设配套的环境保护设施，编制环境风险应急预案，并依法申请项目竣工环境保护验收。</w:t>
            </w:r>
          </w:p>
        </w:tc>
        <w:tc>
          <w:tcPr>
            <w:tcW w:w="4502" w:type="dxa"/>
            <w:tcBorders>
              <w:tl2br w:val="nil"/>
              <w:tr2bl w:val="nil"/>
            </w:tcBorders>
            <w:vAlign w:val="center"/>
          </w:tcPr>
          <w:p>
            <w:pPr>
              <w:pStyle w:val="30"/>
              <w:rPr>
                <w:color w:val="auto"/>
              </w:rPr>
            </w:pPr>
            <w:r>
              <w:rPr>
                <w:color w:val="auto"/>
              </w:rPr>
              <w:t>本项目按规定报批环境影响评价文件，按照“三同时”的要求建设配套的环境保护设施，并在环评手续办理后编制环境风险应急预案及申请项目竣工环境保护验收，符合要求。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企业加工存储场地应建有围墙，在园区内的企业可为单独厂房，地面全部硬化且无明显破损现象。</w:t>
            </w:r>
          </w:p>
        </w:tc>
        <w:tc>
          <w:tcPr>
            <w:tcW w:w="4502" w:type="dxa"/>
            <w:tcBorders>
              <w:tl2br w:val="nil"/>
              <w:tr2bl w:val="nil"/>
            </w:tcBorders>
            <w:vAlign w:val="center"/>
          </w:tcPr>
          <w:p>
            <w:pPr>
              <w:pStyle w:val="30"/>
              <w:rPr>
                <w:color w:val="auto"/>
              </w:rPr>
            </w:pPr>
            <w:r>
              <w:rPr>
                <w:color w:val="auto"/>
              </w:rPr>
              <w:t>本项目储存场地位于厂房内，建有围墙，地面全部硬化且无明显破损现象。符合要求。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企业必须配备废塑料分类存放场所。原料、产品、本企业不能利用废塑料及不可利用废物贮存在具有防雨、防风、防渗等功能的厂房或加盖雨棚的专门贮存场地内，无露天堆放现象。企业厂区管网建设应达到“雨污分流”要求</w:t>
            </w:r>
          </w:p>
        </w:tc>
        <w:tc>
          <w:tcPr>
            <w:tcW w:w="4502" w:type="dxa"/>
            <w:tcBorders>
              <w:tl2br w:val="nil"/>
              <w:tr2bl w:val="nil"/>
            </w:tcBorders>
            <w:vAlign w:val="center"/>
          </w:tcPr>
          <w:p>
            <w:pPr>
              <w:pStyle w:val="30"/>
              <w:rPr>
                <w:color w:val="auto"/>
              </w:rPr>
            </w:pPr>
            <w:r>
              <w:rPr>
                <w:color w:val="auto"/>
              </w:rPr>
              <w:t>本项目原辅材料分类暂存于厂房内，无露天堆放现象；</w:t>
            </w:r>
            <w:r>
              <w:rPr>
                <w:rFonts w:hint="eastAsia"/>
                <w:color w:val="auto"/>
              </w:rPr>
              <w:t>生产过程中产生的冷却水经循环水池后循环使用，不会与雨水混流，</w:t>
            </w:r>
            <w:r>
              <w:rPr>
                <w:color w:val="auto"/>
              </w:rPr>
              <w:t>项目建设实施</w:t>
            </w:r>
            <w:r>
              <w:rPr>
                <w:rFonts w:hint="eastAsia"/>
                <w:color w:val="auto"/>
              </w:rPr>
              <w:t>能够满足</w:t>
            </w:r>
            <w:r>
              <w:rPr>
                <w:color w:val="auto"/>
              </w:rPr>
              <w:t>“雨污分流”</w:t>
            </w:r>
            <w:r>
              <w:rPr>
                <w:rFonts w:hint="eastAsia"/>
                <w:color w:val="auto"/>
              </w:rPr>
              <w:t>要求</w:t>
            </w:r>
            <w:r>
              <w:rPr>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企业应具有与加工利用能力相适应的废水处理设施，中水回用率必须符合环评文件的有关要求。废水处理后需要外排的废水，必须经处理后达标排放。企业应采用高效节能环保的污泥处理工艺，或交由具有处理资格的废物处理机构，实施污泥无害化处理。</w:t>
            </w:r>
          </w:p>
        </w:tc>
        <w:tc>
          <w:tcPr>
            <w:tcW w:w="4502" w:type="dxa"/>
            <w:tcBorders>
              <w:tl2br w:val="nil"/>
              <w:tr2bl w:val="nil"/>
            </w:tcBorders>
            <w:vAlign w:val="center"/>
          </w:tcPr>
          <w:p>
            <w:pPr>
              <w:pStyle w:val="30"/>
              <w:rPr>
                <w:color w:val="auto"/>
              </w:rPr>
            </w:pPr>
            <w:r>
              <w:rPr>
                <w:color w:val="auto"/>
              </w:rPr>
              <w:t>本项目无生产废水产生。冷却所用废水循环使用。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highlight w:val="none"/>
              </w:rPr>
            </w:pPr>
            <w:r>
              <w:rPr>
                <w:color w:val="auto"/>
                <w:highlight w:val="none"/>
              </w:rPr>
              <w:t>再生加工过程中产生废气、粉尘的加工车间应设置废气、粉尘收集处理设施，通过净化处理，达标后排放</w:t>
            </w:r>
          </w:p>
        </w:tc>
        <w:tc>
          <w:tcPr>
            <w:tcW w:w="4502" w:type="dxa"/>
            <w:tcBorders>
              <w:tl2br w:val="nil"/>
              <w:tr2bl w:val="nil"/>
            </w:tcBorders>
            <w:vAlign w:val="center"/>
          </w:tcPr>
          <w:p>
            <w:pPr>
              <w:pStyle w:val="30"/>
              <w:rPr>
                <w:color w:val="auto"/>
                <w:highlight w:val="none"/>
              </w:rPr>
            </w:pPr>
            <w:r>
              <w:rPr>
                <w:color w:val="auto"/>
                <w:highlight w:val="none"/>
              </w:rPr>
              <w:t>本项目</w:t>
            </w:r>
            <w:r>
              <w:rPr>
                <w:rFonts w:hint="eastAsia"/>
                <w:color w:val="auto"/>
                <w:highlight w:val="none"/>
              </w:rPr>
              <w:t>破碎粉尘</w:t>
            </w:r>
            <w:r>
              <w:rPr>
                <w:rFonts w:hint="eastAsia"/>
                <w:color w:val="auto"/>
                <w:highlight w:val="none"/>
                <w:lang w:val="en-US" w:eastAsia="zh-CN"/>
              </w:rPr>
              <w:t>通过布袋除尘器处理后通过一根18m高排气筒（DA002）</w:t>
            </w:r>
            <w:r>
              <w:rPr>
                <w:color w:val="auto"/>
                <w:highlight w:val="none"/>
              </w:rPr>
              <w:t>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02" w:type="dxa"/>
            <w:tcBorders>
              <w:tl2br w:val="nil"/>
              <w:tr2bl w:val="nil"/>
            </w:tcBorders>
            <w:vAlign w:val="center"/>
          </w:tcPr>
          <w:p>
            <w:pPr>
              <w:pStyle w:val="30"/>
              <w:rPr>
                <w:color w:val="auto"/>
              </w:rPr>
            </w:pPr>
            <w:r>
              <w:rPr>
                <w:color w:val="auto"/>
              </w:rPr>
              <w:t>对于加工过程中噪音污染大的设备，必须采取降噪和隔音措施，企业噪声应达到《工业企业厂界环境噪声排放标准》</w:t>
            </w:r>
          </w:p>
        </w:tc>
        <w:tc>
          <w:tcPr>
            <w:tcW w:w="4502" w:type="dxa"/>
            <w:tcBorders>
              <w:tl2br w:val="nil"/>
              <w:tr2bl w:val="nil"/>
            </w:tcBorders>
            <w:vAlign w:val="center"/>
          </w:tcPr>
          <w:p>
            <w:pPr>
              <w:pStyle w:val="30"/>
              <w:rPr>
                <w:color w:val="auto"/>
              </w:rPr>
            </w:pPr>
            <w:r>
              <w:rPr>
                <w:color w:val="auto"/>
              </w:rPr>
              <w:t>本项目采用基础减震、隔音降噪等措施后，符合《工业企业厂界环境噪声排放标准》中的</w:t>
            </w:r>
            <w:r>
              <w:rPr>
                <w:rFonts w:hint="eastAsia"/>
                <w:color w:val="auto"/>
              </w:rPr>
              <w:t>3</w:t>
            </w:r>
            <w:r>
              <w:rPr>
                <w:color w:val="auto"/>
              </w:rPr>
              <w:t>类标准，符合要求。</w:t>
            </w:r>
          </w:p>
        </w:tc>
      </w:tr>
    </w:tbl>
    <w:p>
      <w:pPr>
        <w:ind w:firstLine="480"/>
        <w:rPr>
          <w:color w:val="auto"/>
        </w:rPr>
      </w:pPr>
      <w:r>
        <w:rPr>
          <w:color w:val="auto"/>
        </w:rPr>
        <w:t>通过上表分析，项目基本符合《废塑料综合利用行业规范条件》相关要求。</w:t>
      </w:r>
    </w:p>
    <w:p>
      <w:pPr>
        <w:ind w:firstLine="482"/>
        <w:rPr>
          <w:b/>
          <w:bCs/>
          <w:color w:val="auto"/>
        </w:rPr>
      </w:pPr>
      <w:r>
        <w:rPr>
          <w:b/>
          <w:bCs/>
          <w:color w:val="auto"/>
        </w:rPr>
        <w:t>（1</w:t>
      </w:r>
      <w:r>
        <w:rPr>
          <w:rFonts w:hint="eastAsia"/>
          <w:b/>
          <w:bCs/>
          <w:color w:val="auto"/>
        </w:rPr>
        <w:t>0</w:t>
      </w:r>
      <w:r>
        <w:rPr>
          <w:b/>
          <w:bCs/>
          <w:color w:val="auto"/>
        </w:rPr>
        <w:t>）与《湖南长江经济带发展负面清单实施细则（试行）》符合性分析</w:t>
      </w:r>
    </w:p>
    <w:p>
      <w:pPr>
        <w:pStyle w:val="31"/>
        <w:rPr>
          <w:color w:val="auto"/>
        </w:rPr>
      </w:pPr>
      <w:r>
        <w:rPr>
          <w:bCs/>
          <w:color w:val="auto"/>
        </w:rPr>
        <w:t>表1.5-</w:t>
      </w:r>
      <w:r>
        <w:rPr>
          <w:rFonts w:hint="eastAsia"/>
          <w:bCs/>
          <w:color w:val="auto"/>
        </w:rPr>
        <w:t>5</w:t>
      </w:r>
      <w:r>
        <w:rPr>
          <w:bCs/>
          <w:color w:val="auto"/>
        </w:rPr>
        <w:t xml:space="preserve"> </w:t>
      </w:r>
      <w:r>
        <w:rPr>
          <w:color w:val="auto"/>
        </w:rPr>
        <w:t>本项目与《湖南长江经济带发展负面清单实施细则（试行）》符合性分析一览表</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5"/>
        <w:gridCol w:w="4496"/>
        <w:gridCol w:w="2046"/>
        <w:gridCol w:w="13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65" w:type="dxa"/>
            <w:tcBorders>
              <w:tl2br w:val="nil"/>
              <w:tr2bl w:val="nil"/>
            </w:tcBorders>
            <w:vAlign w:val="center"/>
          </w:tcPr>
          <w:p>
            <w:pPr>
              <w:pStyle w:val="30"/>
              <w:rPr>
                <w:b/>
                <w:bCs/>
                <w:color w:val="auto"/>
              </w:rPr>
            </w:pPr>
            <w:r>
              <w:rPr>
                <w:b/>
                <w:bCs/>
                <w:color w:val="auto"/>
              </w:rPr>
              <w:t>序号</w:t>
            </w:r>
          </w:p>
        </w:tc>
        <w:tc>
          <w:tcPr>
            <w:tcW w:w="4496" w:type="dxa"/>
            <w:tcBorders>
              <w:tl2br w:val="nil"/>
              <w:tr2bl w:val="nil"/>
            </w:tcBorders>
            <w:vAlign w:val="center"/>
          </w:tcPr>
          <w:p>
            <w:pPr>
              <w:pStyle w:val="30"/>
              <w:rPr>
                <w:b/>
                <w:bCs/>
                <w:color w:val="auto"/>
              </w:rPr>
            </w:pPr>
            <w:r>
              <w:rPr>
                <w:b/>
                <w:bCs/>
                <w:color w:val="auto"/>
              </w:rPr>
              <w:t>相关要求</w:t>
            </w:r>
          </w:p>
        </w:tc>
        <w:tc>
          <w:tcPr>
            <w:tcW w:w="2046" w:type="dxa"/>
            <w:tcBorders>
              <w:tl2br w:val="nil"/>
              <w:tr2bl w:val="nil"/>
            </w:tcBorders>
            <w:vAlign w:val="center"/>
          </w:tcPr>
          <w:p>
            <w:pPr>
              <w:pStyle w:val="30"/>
              <w:rPr>
                <w:b/>
                <w:bCs/>
                <w:color w:val="auto"/>
              </w:rPr>
            </w:pPr>
            <w:r>
              <w:rPr>
                <w:b/>
                <w:bCs/>
                <w:color w:val="auto"/>
              </w:rPr>
              <w:t>项目情况</w:t>
            </w:r>
          </w:p>
        </w:tc>
        <w:tc>
          <w:tcPr>
            <w:tcW w:w="1315" w:type="dxa"/>
            <w:tcBorders>
              <w:tl2br w:val="nil"/>
              <w:tr2bl w:val="nil"/>
            </w:tcBorders>
            <w:vAlign w:val="center"/>
          </w:tcPr>
          <w:p>
            <w:pPr>
              <w:pStyle w:val="30"/>
              <w:rPr>
                <w:b/>
                <w:bCs/>
                <w:color w:val="auto"/>
              </w:rPr>
            </w:pPr>
            <w:r>
              <w:rPr>
                <w:b/>
                <w:bCs/>
                <w:color w:val="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1</w:t>
            </w:r>
          </w:p>
        </w:tc>
        <w:tc>
          <w:tcPr>
            <w:tcW w:w="4496" w:type="dxa"/>
            <w:tcBorders>
              <w:tl2br w:val="nil"/>
              <w:tr2bl w:val="nil"/>
            </w:tcBorders>
            <w:vAlign w:val="center"/>
          </w:tcPr>
          <w:p>
            <w:pPr>
              <w:pStyle w:val="30"/>
              <w:rPr>
                <w:color w:val="auto"/>
              </w:rPr>
            </w:pPr>
            <w:r>
              <w:rPr>
                <w:color w:val="auto"/>
              </w:rPr>
              <w:t>第四条禁止在自然保护区核心区、缓冲区的岸线和河段范围内投资建设以下项目：</w:t>
            </w:r>
          </w:p>
          <w:p>
            <w:pPr>
              <w:pStyle w:val="30"/>
              <w:rPr>
                <w:color w:val="auto"/>
              </w:rPr>
            </w:pPr>
            <w:r>
              <w:rPr>
                <w:color w:val="auto"/>
              </w:rPr>
              <w:t>（一）高尔夫球场开发、房地产开发、索道建设、会所建设等项目；</w:t>
            </w:r>
          </w:p>
          <w:p>
            <w:pPr>
              <w:pStyle w:val="30"/>
              <w:rPr>
                <w:color w:val="auto"/>
              </w:rPr>
            </w:pPr>
            <w:r>
              <w:rPr>
                <w:color w:val="auto"/>
              </w:rPr>
              <w:t>（二）光伏发电、风力发电、火力发电建设项目；</w:t>
            </w:r>
          </w:p>
          <w:p>
            <w:pPr>
              <w:pStyle w:val="30"/>
              <w:rPr>
                <w:color w:val="auto"/>
              </w:rPr>
            </w:pPr>
            <w:r>
              <w:rPr>
                <w:color w:val="auto"/>
              </w:rPr>
              <w:t>（三）社会资金进行商业性探矿勘查，以及不属于国家紧缺矿种资源的基础地质调查和矿产远景调查等公益性工作的设施建设；</w:t>
            </w:r>
          </w:p>
          <w:p>
            <w:pPr>
              <w:pStyle w:val="30"/>
              <w:rPr>
                <w:color w:val="auto"/>
              </w:rPr>
            </w:pPr>
            <w:r>
              <w:rPr>
                <w:color w:val="auto"/>
              </w:rPr>
              <w:t>（四）野生动物驯养繁殖、展览基地建设项目；</w:t>
            </w:r>
          </w:p>
          <w:p>
            <w:pPr>
              <w:pStyle w:val="30"/>
              <w:rPr>
                <w:color w:val="auto"/>
              </w:rPr>
            </w:pPr>
            <w:r>
              <w:rPr>
                <w:color w:val="auto"/>
              </w:rPr>
              <w:t>（五）污染环境、破坏自然资源或自然景观的建设设施；</w:t>
            </w:r>
          </w:p>
          <w:p>
            <w:pPr>
              <w:pStyle w:val="30"/>
              <w:rPr>
                <w:color w:val="auto"/>
              </w:rPr>
            </w:pPr>
            <w:r>
              <w:rPr>
                <w:color w:val="auto"/>
              </w:rPr>
              <w:t>（六）对自然保护区主要保护对象产生重大影响、改变自然生态系统完整性、原真性、破坏自然景观的设施；</w:t>
            </w:r>
          </w:p>
          <w:p>
            <w:pPr>
              <w:pStyle w:val="30"/>
              <w:rPr>
                <w:color w:val="auto"/>
              </w:rPr>
            </w:pPr>
            <w:r>
              <w:rPr>
                <w:color w:val="auto"/>
              </w:rPr>
              <w:t>（七）其他不符合自然保护区主体功能定位和国家禁止的设施。</w:t>
            </w:r>
          </w:p>
        </w:tc>
        <w:tc>
          <w:tcPr>
            <w:tcW w:w="2046" w:type="dxa"/>
            <w:tcBorders>
              <w:tl2br w:val="nil"/>
              <w:tr2bl w:val="nil"/>
            </w:tcBorders>
            <w:vAlign w:val="center"/>
          </w:tcPr>
          <w:p>
            <w:pPr>
              <w:pStyle w:val="30"/>
              <w:rPr>
                <w:color w:val="auto"/>
              </w:rPr>
            </w:pPr>
            <w:r>
              <w:rPr>
                <w:color w:val="auto"/>
              </w:rPr>
              <w:t>本项目选址不在自然保护区核心区、缓冲区的岸线和河段范围。</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2</w:t>
            </w:r>
          </w:p>
        </w:tc>
        <w:tc>
          <w:tcPr>
            <w:tcW w:w="4496" w:type="dxa"/>
            <w:tcBorders>
              <w:tl2br w:val="nil"/>
              <w:tr2bl w:val="nil"/>
            </w:tcBorders>
            <w:vAlign w:val="center"/>
          </w:tcPr>
          <w:p>
            <w:pPr>
              <w:pStyle w:val="30"/>
              <w:rPr>
                <w:color w:val="auto"/>
              </w:rPr>
            </w:pPr>
            <w:r>
              <w:rPr>
                <w:color w:val="auto"/>
              </w:rPr>
              <w:t>第六条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2046" w:type="dxa"/>
            <w:tcBorders>
              <w:tl2br w:val="nil"/>
              <w:tr2bl w:val="nil"/>
            </w:tcBorders>
            <w:vAlign w:val="center"/>
          </w:tcPr>
          <w:p>
            <w:pPr>
              <w:pStyle w:val="30"/>
              <w:rPr>
                <w:color w:val="auto"/>
              </w:rPr>
            </w:pPr>
            <w:r>
              <w:rPr>
                <w:color w:val="auto"/>
              </w:rPr>
              <w:t>本项目选址不在风景名胜区内。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3</w:t>
            </w:r>
          </w:p>
        </w:tc>
        <w:tc>
          <w:tcPr>
            <w:tcW w:w="4496" w:type="dxa"/>
            <w:tcBorders>
              <w:tl2br w:val="nil"/>
              <w:tr2bl w:val="nil"/>
            </w:tcBorders>
            <w:vAlign w:val="center"/>
          </w:tcPr>
          <w:p>
            <w:pPr>
              <w:pStyle w:val="30"/>
              <w:rPr>
                <w:color w:val="auto"/>
              </w:rPr>
            </w:pPr>
            <w:r>
              <w:rPr>
                <w:color w:val="auto"/>
              </w:rPr>
              <w:t>第七条饮用水水源一级保护区内禁止新建、改建、扩建与供水设施和保护水源无关的建设项目；禁止向水域排放污水，已设置的排污口必须拆除；不得设置与供水需要无关的码头，禁止停靠船舶；禁止堆置和存放工业废渣、城市垃圾、粪便和其它废弃物；禁止设置油库；禁止使用含磷洗涤剂、化肥、农药；禁止建设养殖场、禁止网箱养殖、旅游等可能污染饮用水水体的投资建设项目。</w:t>
            </w:r>
          </w:p>
          <w:p>
            <w:pPr>
              <w:pStyle w:val="30"/>
              <w:rPr>
                <w:color w:val="auto"/>
              </w:rPr>
            </w:pPr>
            <w:r>
              <w:rPr>
                <w:color w:val="auto"/>
              </w:rPr>
              <w:t>第八条饮用水水源二级保护区内禁止新建、改建、扩建向水体排放污染物的投资建设项目。原有排污口依法拆除或关闭。禁止设立装卸垃圾、粪便、油类和有毒物品的码头。</w:t>
            </w:r>
          </w:p>
        </w:tc>
        <w:tc>
          <w:tcPr>
            <w:tcW w:w="2046" w:type="dxa"/>
            <w:tcBorders>
              <w:tl2br w:val="nil"/>
              <w:tr2bl w:val="nil"/>
            </w:tcBorders>
            <w:vAlign w:val="center"/>
          </w:tcPr>
          <w:p>
            <w:pPr>
              <w:pStyle w:val="30"/>
              <w:rPr>
                <w:color w:val="auto"/>
              </w:rPr>
            </w:pPr>
            <w:r>
              <w:rPr>
                <w:color w:val="auto"/>
              </w:rPr>
              <w:t>本项目选址不在饮用水水源保护区。</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65" w:type="dxa"/>
            <w:tcBorders>
              <w:tl2br w:val="nil"/>
              <w:tr2bl w:val="nil"/>
            </w:tcBorders>
            <w:vAlign w:val="center"/>
          </w:tcPr>
          <w:p>
            <w:pPr>
              <w:pStyle w:val="30"/>
              <w:rPr>
                <w:color w:val="auto"/>
              </w:rPr>
            </w:pPr>
            <w:r>
              <w:rPr>
                <w:color w:val="auto"/>
              </w:rPr>
              <w:t>4</w:t>
            </w:r>
          </w:p>
        </w:tc>
        <w:tc>
          <w:tcPr>
            <w:tcW w:w="4496" w:type="dxa"/>
            <w:tcBorders>
              <w:tl2br w:val="nil"/>
              <w:tr2bl w:val="nil"/>
            </w:tcBorders>
            <w:vAlign w:val="center"/>
          </w:tcPr>
          <w:p>
            <w:pPr>
              <w:pStyle w:val="30"/>
              <w:rPr>
                <w:color w:val="auto"/>
              </w:rPr>
            </w:pPr>
            <w:r>
              <w:rPr>
                <w:color w:val="auto"/>
              </w:rPr>
              <w:t>第九条禁止在水产种质资源保护区内新建排污口、从事围湖造田造地等投资建设项目。</w:t>
            </w:r>
          </w:p>
        </w:tc>
        <w:tc>
          <w:tcPr>
            <w:tcW w:w="2046" w:type="dxa"/>
            <w:tcBorders>
              <w:tl2br w:val="nil"/>
              <w:tr2bl w:val="nil"/>
            </w:tcBorders>
            <w:vAlign w:val="center"/>
          </w:tcPr>
          <w:p>
            <w:pPr>
              <w:pStyle w:val="30"/>
              <w:rPr>
                <w:color w:val="auto"/>
              </w:rPr>
            </w:pPr>
            <w:r>
              <w:rPr>
                <w:color w:val="auto"/>
              </w:rPr>
              <w:t>本项目选址不在水产种质资源保护区内。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5</w:t>
            </w:r>
          </w:p>
        </w:tc>
        <w:tc>
          <w:tcPr>
            <w:tcW w:w="4496" w:type="dxa"/>
            <w:tcBorders>
              <w:tl2br w:val="nil"/>
              <w:tr2bl w:val="nil"/>
            </w:tcBorders>
            <w:vAlign w:val="center"/>
          </w:tcPr>
          <w:p>
            <w:pPr>
              <w:pStyle w:val="30"/>
              <w:rPr>
                <w:color w:val="auto"/>
              </w:rPr>
            </w:pPr>
            <w:r>
              <w:rPr>
                <w:color w:val="auto"/>
              </w:rPr>
              <w:t>第十条禁止在国家湿地公园范围内开（围）垦湿地、挖沙、采矿等，《中华人民共和国防洪法》规定的紧急防汛期采取的紧急措施除外。</w:t>
            </w:r>
          </w:p>
          <w:p>
            <w:pPr>
              <w:pStyle w:val="30"/>
              <w:rPr>
                <w:color w:val="auto"/>
              </w:rPr>
            </w:pPr>
            <w:r>
              <w:rPr>
                <w:color w:val="auto"/>
              </w:rPr>
              <w:t>第十一条禁止在国家湿地公园范围内从事房地产、度假村、高尔夫球场、风力发电、光伏发电等任何不符合主体功能定位的投资建设项目。</w:t>
            </w:r>
          </w:p>
        </w:tc>
        <w:tc>
          <w:tcPr>
            <w:tcW w:w="2046" w:type="dxa"/>
            <w:tcBorders>
              <w:tl2br w:val="nil"/>
              <w:tr2bl w:val="nil"/>
            </w:tcBorders>
            <w:vAlign w:val="center"/>
          </w:tcPr>
          <w:p>
            <w:pPr>
              <w:pStyle w:val="30"/>
              <w:rPr>
                <w:color w:val="auto"/>
              </w:rPr>
            </w:pPr>
            <w:r>
              <w:rPr>
                <w:color w:val="auto"/>
              </w:rPr>
              <w:t>本项目选址不在国家湿地公园内。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6</w:t>
            </w:r>
          </w:p>
        </w:tc>
        <w:tc>
          <w:tcPr>
            <w:tcW w:w="4496" w:type="dxa"/>
            <w:tcBorders>
              <w:tl2br w:val="nil"/>
              <w:tr2bl w:val="nil"/>
            </w:tcBorders>
            <w:vAlign w:val="center"/>
          </w:tcPr>
          <w:p>
            <w:pPr>
              <w:pStyle w:val="30"/>
              <w:rPr>
                <w:color w:val="auto"/>
              </w:rPr>
            </w:pPr>
            <w:r>
              <w:rPr>
                <w:color w:val="auto"/>
              </w:rPr>
              <w:t>第十五条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2046" w:type="dxa"/>
            <w:tcBorders>
              <w:tl2br w:val="nil"/>
              <w:tr2bl w:val="nil"/>
            </w:tcBorders>
            <w:vAlign w:val="center"/>
          </w:tcPr>
          <w:p>
            <w:pPr>
              <w:pStyle w:val="30"/>
              <w:rPr>
                <w:color w:val="auto"/>
              </w:rPr>
            </w:pPr>
            <w:r>
              <w:rPr>
                <w:color w:val="auto"/>
              </w:rPr>
              <w:t>本项目选址不在生态保护红线和永久基本农田范围内。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7</w:t>
            </w:r>
          </w:p>
        </w:tc>
        <w:tc>
          <w:tcPr>
            <w:tcW w:w="4496" w:type="dxa"/>
            <w:tcBorders>
              <w:tl2br w:val="nil"/>
              <w:tr2bl w:val="nil"/>
            </w:tcBorders>
            <w:vAlign w:val="center"/>
          </w:tcPr>
          <w:p>
            <w:pPr>
              <w:pStyle w:val="30"/>
              <w:rPr>
                <w:color w:val="auto"/>
              </w:rPr>
            </w:pPr>
            <w:r>
              <w:rPr>
                <w:color w:val="auto"/>
              </w:rPr>
              <w:t>第十八条禁止在长江干支流（长江干流湖南段、湘江沅江千流及洞庭湖）岸线1公里范围（指长江干支流岸线边界向陆域纵深1公里，边界指水利部门河道管理范围边界）内新建、扩建化工园区和化工项目。禁止在《中国开发区审核公告目录》公布的园区或省人民政府批准设立的园区外新建、扩建钢铁、石化、化工、焦化、建材、有色等高污染项目。</w:t>
            </w:r>
          </w:p>
        </w:tc>
        <w:tc>
          <w:tcPr>
            <w:tcW w:w="2046" w:type="dxa"/>
            <w:tcBorders>
              <w:tl2br w:val="nil"/>
              <w:tr2bl w:val="nil"/>
            </w:tcBorders>
            <w:vAlign w:val="center"/>
          </w:tcPr>
          <w:p>
            <w:pPr>
              <w:pStyle w:val="30"/>
              <w:rPr>
                <w:color w:val="auto"/>
              </w:rPr>
            </w:pPr>
            <w:r>
              <w:rPr>
                <w:color w:val="auto"/>
              </w:rPr>
              <w:t>本项目选址不在长江干支流（长江干流湖南段、湘江沅江千流及洞庭湖）岸线1公里范围内。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8</w:t>
            </w:r>
          </w:p>
        </w:tc>
        <w:tc>
          <w:tcPr>
            <w:tcW w:w="4496" w:type="dxa"/>
            <w:tcBorders>
              <w:tl2br w:val="nil"/>
              <w:tr2bl w:val="nil"/>
            </w:tcBorders>
            <w:vAlign w:val="center"/>
          </w:tcPr>
          <w:p>
            <w:pPr>
              <w:pStyle w:val="30"/>
              <w:rPr>
                <w:color w:val="auto"/>
              </w:rPr>
            </w:pPr>
            <w:r>
              <w:rPr>
                <w:color w:val="auto"/>
              </w:rPr>
              <w:t>第十九条禁止新建、扩建不符合国家石化、现代煤化工等产业布局规划的项目。</w:t>
            </w:r>
          </w:p>
          <w:p>
            <w:pPr>
              <w:pStyle w:val="30"/>
              <w:rPr>
                <w:color w:val="auto"/>
              </w:rPr>
            </w:pPr>
            <w:r>
              <w:rPr>
                <w:color w:val="auto"/>
              </w:rPr>
              <w:t>第二十条新建乙烯、对二甲苯（PX）、二苯基甲烷二异氰酸酯（MDI）等石化项目由省人民政府投资主管部门按照国家批准的石化产业规划布局方案核准。未列入国家批准相关规划的新建乙烯、对二甲苯（PX）、二苯基甲烷二异氰酸酯（MDI）项目，禁止建设。</w:t>
            </w:r>
          </w:p>
          <w:p>
            <w:pPr>
              <w:pStyle w:val="30"/>
              <w:rPr>
                <w:color w:val="auto"/>
              </w:rPr>
            </w:pPr>
            <w:r>
              <w:rPr>
                <w:color w:val="auto"/>
              </w:rPr>
              <w:t>第二十一条新建煤制烯烃、煤制对二甲苯（PX）等煤化工项目，依法依规按程序核准。新建年产超过100万吨的煤制甲醇项目，由省人民政府投资主管部门依法核准。其余项目禁止建设。</w:t>
            </w:r>
          </w:p>
        </w:tc>
        <w:tc>
          <w:tcPr>
            <w:tcW w:w="2046" w:type="dxa"/>
            <w:tcBorders>
              <w:tl2br w:val="nil"/>
              <w:tr2bl w:val="nil"/>
            </w:tcBorders>
            <w:vAlign w:val="center"/>
          </w:tcPr>
          <w:p>
            <w:pPr>
              <w:pStyle w:val="30"/>
              <w:rPr>
                <w:color w:val="auto"/>
              </w:rPr>
            </w:pPr>
            <w:r>
              <w:rPr>
                <w:color w:val="auto"/>
              </w:rPr>
              <w:t>本项目为</w:t>
            </w:r>
            <w:r>
              <w:rPr>
                <w:rFonts w:hint="eastAsia"/>
                <w:color w:val="auto"/>
              </w:rPr>
              <w:t>塑料管</w:t>
            </w:r>
            <w:r>
              <w:rPr>
                <w:color w:val="auto"/>
              </w:rPr>
              <w:t>生产项目，不属于石化、煤化工项目。</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9</w:t>
            </w:r>
          </w:p>
        </w:tc>
        <w:tc>
          <w:tcPr>
            <w:tcW w:w="4496" w:type="dxa"/>
            <w:tcBorders>
              <w:tl2br w:val="nil"/>
              <w:tr2bl w:val="nil"/>
            </w:tcBorders>
            <w:vAlign w:val="center"/>
          </w:tcPr>
          <w:p>
            <w:pPr>
              <w:pStyle w:val="30"/>
              <w:rPr>
                <w:color w:val="auto"/>
              </w:rPr>
            </w:pPr>
            <w:r>
              <w:rPr>
                <w:color w:val="auto"/>
              </w:rPr>
              <w:t>第二十二条禁止新建、扩建法律法规和相关政策明令禁止的落后产能项目；对不符合要求的落后产能项目，依法依规退出。</w:t>
            </w:r>
          </w:p>
        </w:tc>
        <w:tc>
          <w:tcPr>
            <w:tcW w:w="2046" w:type="dxa"/>
            <w:tcBorders>
              <w:tl2br w:val="nil"/>
              <w:tr2bl w:val="nil"/>
            </w:tcBorders>
            <w:vAlign w:val="center"/>
          </w:tcPr>
          <w:p>
            <w:pPr>
              <w:pStyle w:val="30"/>
              <w:rPr>
                <w:color w:val="auto"/>
              </w:rPr>
            </w:pPr>
            <w:r>
              <w:rPr>
                <w:color w:val="auto"/>
              </w:rPr>
              <w:t>本项目不属于落后产能项目。</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10</w:t>
            </w:r>
          </w:p>
        </w:tc>
        <w:tc>
          <w:tcPr>
            <w:tcW w:w="4496" w:type="dxa"/>
            <w:tcBorders>
              <w:tl2br w:val="nil"/>
              <w:tr2bl w:val="nil"/>
            </w:tcBorders>
            <w:vAlign w:val="center"/>
          </w:tcPr>
          <w:p>
            <w:pPr>
              <w:pStyle w:val="30"/>
              <w:rPr>
                <w:color w:val="auto"/>
              </w:rPr>
            </w:pPr>
            <w:r>
              <w:rPr>
                <w:color w:val="auto"/>
              </w:rPr>
              <w:t>第二十三条对最新版《产业结构调整指导目录》中限制类的新建项目，禁止投资；对淘汰类项目，禁止投资。</w:t>
            </w:r>
          </w:p>
          <w:p>
            <w:pPr>
              <w:pStyle w:val="30"/>
              <w:rPr>
                <w:color w:val="auto"/>
              </w:rPr>
            </w:pPr>
            <w:r>
              <w:rPr>
                <w:color w:val="auto"/>
              </w:rPr>
              <w:t>国家级重点生态功能区，要严格执行国家重点生态功能区产业准入负面清单。</w:t>
            </w:r>
          </w:p>
        </w:tc>
        <w:tc>
          <w:tcPr>
            <w:tcW w:w="2046" w:type="dxa"/>
            <w:tcBorders>
              <w:tl2br w:val="nil"/>
              <w:tr2bl w:val="nil"/>
            </w:tcBorders>
            <w:vAlign w:val="center"/>
          </w:tcPr>
          <w:p>
            <w:pPr>
              <w:pStyle w:val="30"/>
              <w:rPr>
                <w:color w:val="auto"/>
              </w:rPr>
            </w:pPr>
            <w:r>
              <w:rPr>
                <w:color w:val="auto"/>
              </w:rPr>
              <w:t>本项目为塑料制品业，不属于《产业结构调整指导目录（2019年本）》中限制类和淘汰类项目，本项目选址不在国家重点生态功能区内。</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11</w:t>
            </w:r>
          </w:p>
        </w:tc>
        <w:tc>
          <w:tcPr>
            <w:tcW w:w="4496" w:type="dxa"/>
            <w:tcBorders>
              <w:tl2br w:val="nil"/>
              <w:tr2bl w:val="nil"/>
            </w:tcBorders>
            <w:vAlign w:val="center"/>
          </w:tcPr>
          <w:p>
            <w:pPr>
              <w:pStyle w:val="30"/>
              <w:rPr>
                <w:color w:val="auto"/>
              </w:rPr>
            </w:pPr>
            <w:r>
              <w:rPr>
                <w:color w:val="auto"/>
              </w:rPr>
              <w:t>第二十四条禁止新建、扩建不符合国家产能置换要求的严重过剩产能行业（钢铁、水泥、电解铝、平板玻璃、船舶等行业）的项目。</w:t>
            </w:r>
          </w:p>
        </w:tc>
        <w:tc>
          <w:tcPr>
            <w:tcW w:w="2046" w:type="dxa"/>
            <w:tcBorders>
              <w:tl2br w:val="nil"/>
              <w:tr2bl w:val="nil"/>
            </w:tcBorders>
            <w:vAlign w:val="center"/>
          </w:tcPr>
          <w:p>
            <w:pPr>
              <w:pStyle w:val="30"/>
              <w:rPr>
                <w:color w:val="auto"/>
              </w:rPr>
            </w:pPr>
            <w:r>
              <w:rPr>
                <w:color w:val="auto"/>
              </w:rPr>
              <w:t>本项目为塑料制品业，不属于国家产能置换要求的严重过剩产能行业（钢铁、水泥、电解铝、平板玻璃、船舶等行业）的项目。</w:t>
            </w:r>
          </w:p>
        </w:tc>
        <w:tc>
          <w:tcPr>
            <w:tcW w:w="1315" w:type="dxa"/>
            <w:tcBorders>
              <w:tl2br w:val="nil"/>
              <w:tr2bl w:val="nil"/>
            </w:tcBorders>
            <w:vAlign w:val="center"/>
          </w:tcPr>
          <w:p>
            <w:pPr>
              <w:pStyle w:val="30"/>
              <w:rPr>
                <w:color w:val="auto"/>
              </w:rPr>
            </w:pPr>
            <w:r>
              <w:rPr>
                <w:color w:val="auto"/>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5" w:type="dxa"/>
            <w:tcBorders>
              <w:tl2br w:val="nil"/>
              <w:tr2bl w:val="nil"/>
            </w:tcBorders>
            <w:vAlign w:val="center"/>
          </w:tcPr>
          <w:p>
            <w:pPr>
              <w:pStyle w:val="30"/>
              <w:rPr>
                <w:color w:val="auto"/>
              </w:rPr>
            </w:pPr>
            <w:r>
              <w:rPr>
                <w:color w:val="auto"/>
              </w:rPr>
              <w:t>12</w:t>
            </w:r>
          </w:p>
        </w:tc>
        <w:tc>
          <w:tcPr>
            <w:tcW w:w="4496" w:type="dxa"/>
            <w:tcBorders>
              <w:tl2br w:val="nil"/>
              <w:tr2bl w:val="nil"/>
            </w:tcBorders>
            <w:vAlign w:val="center"/>
          </w:tcPr>
          <w:p>
            <w:pPr>
              <w:pStyle w:val="30"/>
              <w:rPr>
                <w:color w:val="auto"/>
              </w:rPr>
            </w:pPr>
            <w:r>
              <w:rPr>
                <w:color w:val="auto"/>
              </w:rPr>
              <w:t>第二十五条各级各部门不得以任何名义、任何方式办理产能严重过剩行业新增产能项目的建设审批手续，对确有必要新增产能的，必须严格执行产能置换实施办法，实施减量或等量置换，依法依规办理有关手续。</w:t>
            </w:r>
          </w:p>
          <w:p>
            <w:pPr>
              <w:pStyle w:val="30"/>
              <w:rPr>
                <w:color w:val="auto"/>
              </w:rPr>
            </w:pPr>
            <w:r>
              <w:rPr>
                <w:color w:val="auto"/>
              </w:rPr>
              <w:t>第二十六条高污染项目应严格按照环境保护综合名录等有关要求执行。</w:t>
            </w:r>
          </w:p>
        </w:tc>
        <w:tc>
          <w:tcPr>
            <w:tcW w:w="2046" w:type="dxa"/>
            <w:tcBorders>
              <w:tl2br w:val="nil"/>
              <w:tr2bl w:val="nil"/>
            </w:tcBorders>
            <w:vAlign w:val="center"/>
          </w:tcPr>
          <w:p>
            <w:pPr>
              <w:pStyle w:val="30"/>
              <w:rPr>
                <w:color w:val="auto"/>
              </w:rPr>
            </w:pPr>
            <w:r>
              <w:rPr>
                <w:color w:val="auto"/>
              </w:rPr>
              <w:t>本项目为塑料制品业，不属于产能过剩行业，也不属于高污染项目。</w:t>
            </w:r>
          </w:p>
        </w:tc>
        <w:tc>
          <w:tcPr>
            <w:tcW w:w="1315" w:type="dxa"/>
            <w:tcBorders>
              <w:tl2br w:val="nil"/>
              <w:tr2bl w:val="nil"/>
            </w:tcBorders>
            <w:vAlign w:val="center"/>
          </w:tcPr>
          <w:p>
            <w:pPr>
              <w:pStyle w:val="30"/>
              <w:rPr>
                <w:color w:val="auto"/>
              </w:rPr>
            </w:pPr>
            <w:r>
              <w:rPr>
                <w:color w:val="auto"/>
              </w:rPr>
              <w:t>相符</w:t>
            </w:r>
          </w:p>
        </w:tc>
      </w:tr>
    </w:tbl>
    <w:p>
      <w:pPr>
        <w:ind w:firstLine="482"/>
        <w:rPr>
          <w:b/>
          <w:bCs/>
          <w:color w:val="auto"/>
        </w:rPr>
      </w:pPr>
      <w:r>
        <w:rPr>
          <w:b/>
          <w:bCs/>
          <w:color w:val="auto"/>
        </w:rPr>
        <w:t>2、“三线一单”的符合性分析</w:t>
      </w:r>
    </w:p>
    <w:p>
      <w:pPr>
        <w:ind w:firstLine="480"/>
        <w:rPr>
          <w:color w:val="auto"/>
        </w:rPr>
      </w:pPr>
      <w:r>
        <w:rPr>
          <w:color w:val="auto"/>
        </w:rPr>
        <w:t>（1）生态保护红线</w:t>
      </w:r>
    </w:p>
    <w:p>
      <w:pPr>
        <w:ind w:firstLine="480"/>
        <w:rPr>
          <w:color w:val="auto"/>
        </w:rPr>
      </w:pPr>
      <w:r>
        <w:rPr>
          <w:color w:val="auto"/>
        </w:rPr>
        <w:t>根据《岳阳市生态保护红线划定方案》，汨罗市生态保护红线总面积140.33km</w:t>
      </w:r>
      <w:r>
        <w:rPr>
          <w:color w:val="auto"/>
          <w:vertAlign w:val="superscript"/>
        </w:rPr>
        <w:t>2</w:t>
      </w:r>
      <w:r>
        <w:rPr>
          <w:color w:val="auto"/>
        </w:rPr>
        <w:t>，占国土面积比例8.39%。本项目位于湖南省</w:t>
      </w:r>
      <w:r>
        <w:rPr>
          <w:rFonts w:hint="eastAsia"/>
          <w:color w:val="auto"/>
        </w:rPr>
        <w:t>汨罗市新市镇汨罗循环经济产业园G536与青春大道交界处107国道以东</w:t>
      </w:r>
      <w:r>
        <w:rPr>
          <w:color w:val="auto"/>
        </w:rPr>
        <w:t>，不属于汨罗市生态保护红线范围。</w:t>
      </w:r>
    </w:p>
    <w:p>
      <w:pPr>
        <w:ind w:firstLine="480"/>
        <w:rPr>
          <w:color w:val="auto"/>
        </w:rPr>
      </w:pPr>
      <w:r>
        <w:rPr>
          <w:color w:val="auto"/>
        </w:rPr>
        <w:t>（2）环境质量底线</w:t>
      </w:r>
    </w:p>
    <w:p>
      <w:pPr>
        <w:ind w:firstLine="480"/>
        <w:rPr>
          <w:color w:val="auto"/>
        </w:rPr>
      </w:pPr>
      <w:r>
        <w:rPr>
          <w:color w:val="auto"/>
        </w:rPr>
        <w:t>所在区域</w:t>
      </w:r>
      <w:r>
        <w:rPr>
          <w:rFonts w:hint="eastAsia"/>
          <w:color w:val="auto"/>
        </w:rPr>
        <w:t>202</w:t>
      </w:r>
      <w:r>
        <w:rPr>
          <w:rFonts w:hint="eastAsia"/>
          <w:color w:val="auto"/>
          <w:lang w:val="en-US" w:eastAsia="zh-CN"/>
        </w:rPr>
        <w:t>2</w:t>
      </w:r>
      <w:r>
        <w:rPr>
          <w:color w:val="auto"/>
        </w:rPr>
        <w:t>年环境空气质量为达标区域</w:t>
      </w:r>
      <w:r>
        <w:rPr>
          <w:rFonts w:hint="eastAsia"/>
          <w:color w:val="auto"/>
        </w:rPr>
        <w:t>，</w:t>
      </w:r>
      <w:r>
        <w:rPr>
          <w:color w:val="auto"/>
        </w:rPr>
        <w:t>TSP满足《环境空气质量标准》（GB3095-2012）中二级标准要求。TVOC均能到达《环境影响评价技术导则 大气环境》（HJ2.2-2018）附录D的浓度限值</w:t>
      </w:r>
      <w:r>
        <w:rPr>
          <w:rFonts w:hint="eastAsia"/>
          <w:color w:val="auto"/>
        </w:rPr>
        <w:t>。所在区域地表水、地下水及声环境质量现状均能满足相关环境质量标准，项目排放的废水、废气、固体废物等经本评价提出的污染防治措施处理后均能达标排放，对区域环境影响可接受，符合环境质量底线要求。故符合《关于以改善环境质量为核心加强环境影响评价管理的通知》（环环评[2016]150号）中的环境质量底线要求。</w:t>
      </w:r>
    </w:p>
    <w:p>
      <w:pPr>
        <w:ind w:firstLine="480"/>
        <w:rPr>
          <w:color w:val="auto"/>
        </w:rPr>
      </w:pPr>
      <w:r>
        <w:rPr>
          <w:color w:val="auto"/>
        </w:rPr>
        <w:t>（3）资源利用上限</w:t>
      </w:r>
    </w:p>
    <w:p>
      <w:pPr>
        <w:ind w:firstLine="480"/>
        <w:rPr>
          <w:color w:val="auto"/>
        </w:rPr>
      </w:pPr>
      <w:r>
        <w:rPr>
          <w:color w:val="auto"/>
        </w:rPr>
        <w:t>资源是环境的载体，资源利用上线是各地区能源、水、土地等资源消耗不得突破的“天花板”。项目使用的资源主要为电和水，营运过程中用电依托当地电网供电，生产用水与生活用水来自于井水，项目资源消耗量相对区域资源利用总量较少，符合资源利用上限要求。</w:t>
      </w:r>
    </w:p>
    <w:p>
      <w:pPr>
        <w:ind w:firstLine="480"/>
        <w:rPr>
          <w:color w:val="auto"/>
        </w:rPr>
      </w:pPr>
      <w:r>
        <w:rPr>
          <w:color w:val="auto"/>
        </w:rPr>
        <w:t>（4）生态环境准入清单</w:t>
      </w:r>
    </w:p>
    <w:p>
      <w:pPr>
        <w:ind w:firstLine="480"/>
        <w:rPr>
          <w:color w:val="auto"/>
        </w:rPr>
      </w:pPr>
      <w:r>
        <w:rPr>
          <w:color w:val="auto"/>
        </w:rPr>
        <w:t>本项目位于</w:t>
      </w:r>
      <w:r>
        <w:rPr>
          <w:rFonts w:hint="eastAsia"/>
          <w:color w:val="auto"/>
          <w:lang w:val="en-US" w:eastAsia="zh-CN"/>
        </w:rPr>
        <w:t>湖南汨罗高新技术产业开发区新市片区</w:t>
      </w:r>
      <w:r>
        <w:rPr>
          <w:color w:val="auto"/>
        </w:rPr>
        <w:t>，本项目与《</w:t>
      </w:r>
      <w:r>
        <w:rPr>
          <w:rFonts w:hint="eastAsia"/>
          <w:color w:val="auto"/>
          <w:lang w:val="en-US" w:eastAsia="zh-CN"/>
        </w:rPr>
        <w:t>湖南省“三线一单”生态环境总体管控暨省级以上产业园区生态环境准入清单》</w:t>
      </w:r>
      <w:r>
        <w:rPr>
          <w:color w:val="auto"/>
        </w:rPr>
        <w:t>相符性分析：</w:t>
      </w:r>
    </w:p>
    <w:p>
      <w:pPr>
        <w:pStyle w:val="31"/>
        <w:rPr>
          <w:color w:val="auto"/>
        </w:rPr>
      </w:pPr>
      <w:r>
        <w:rPr>
          <w:color w:val="auto"/>
        </w:rPr>
        <w:t>表1.3-</w:t>
      </w:r>
      <w:r>
        <w:rPr>
          <w:rFonts w:hint="eastAsia"/>
          <w:color w:val="auto"/>
        </w:rPr>
        <w:t>7</w:t>
      </w:r>
      <w:r>
        <w:rPr>
          <w:color w:val="auto"/>
        </w:rPr>
        <w:t xml:space="preserve"> 本项《</w:t>
      </w:r>
      <w:r>
        <w:rPr>
          <w:rFonts w:hint="eastAsia"/>
          <w:color w:val="auto"/>
          <w:lang w:val="en-US" w:eastAsia="zh-CN"/>
        </w:rPr>
        <w:t>湖南省“三线一单”生态环境总体管控暨省级以上产业园区生态环境准入清单》</w:t>
      </w:r>
      <w:r>
        <w:rPr>
          <w:color w:val="auto"/>
        </w:rPr>
        <w:t>符合性分析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14"/>
        <w:gridCol w:w="843"/>
        <w:gridCol w:w="214"/>
        <w:gridCol w:w="461"/>
        <w:gridCol w:w="887"/>
        <w:gridCol w:w="3958"/>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1" w:type="dxa"/>
            <w:tcBorders>
              <w:tl2br w:val="nil"/>
              <w:tr2bl w:val="nil"/>
            </w:tcBorders>
            <w:vAlign w:val="center"/>
          </w:tcPr>
          <w:p>
            <w:pPr>
              <w:pStyle w:val="30"/>
              <w:rPr>
                <w:color w:val="auto"/>
              </w:rPr>
            </w:pPr>
            <w:r>
              <w:rPr>
                <w:color w:val="auto"/>
              </w:rPr>
              <w:t>环境管控单元编码</w:t>
            </w:r>
          </w:p>
        </w:tc>
        <w:tc>
          <w:tcPr>
            <w:tcW w:w="1005" w:type="dxa"/>
            <w:gridSpan w:val="2"/>
            <w:tcBorders>
              <w:tl2br w:val="nil"/>
              <w:tr2bl w:val="nil"/>
            </w:tcBorders>
            <w:vAlign w:val="center"/>
          </w:tcPr>
          <w:p>
            <w:pPr>
              <w:pStyle w:val="30"/>
              <w:rPr>
                <w:color w:val="auto"/>
              </w:rPr>
            </w:pPr>
            <w:r>
              <w:rPr>
                <w:color w:val="auto"/>
              </w:rPr>
              <w:t>单元名称</w:t>
            </w:r>
          </w:p>
        </w:tc>
        <w:tc>
          <w:tcPr>
            <w:tcW w:w="705" w:type="dxa"/>
            <w:gridSpan w:val="2"/>
            <w:tcBorders>
              <w:tl2br w:val="nil"/>
              <w:tr2bl w:val="nil"/>
            </w:tcBorders>
            <w:vAlign w:val="center"/>
          </w:tcPr>
          <w:p>
            <w:pPr>
              <w:pStyle w:val="30"/>
              <w:rPr>
                <w:color w:val="auto"/>
              </w:rPr>
            </w:pPr>
            <w:r>
              <w:rPr>
                <w:color w:val="auto"/>
              </w:rPr>
              <w:t>单元分类</w:t>
            </w:r>
          </w:p>
        </w:tc>
        <w:tc>
          <w:tcPr>
            <w:tcW w:w="930"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单元面积（km</w:t>
            </w:r>
            <w:r>
              <w:rPr>
                <w:rFonts w:hint="eastAsia"/>
                <w:color w:val="auto"/>
                <w:vertAlign w:val="superscript"/>
                <w:lang w:val="en-US" w:eastAsia="zh-CN"/>
              </w:rPr>
              <w:t>2</w:t>
            </w:r>
            <w:r>
              <w:rPr>
                <w:rFonts w:hint="eastAsia"/>
                <w:color w:val="auto"/>
                <w:lang w:val="en-US" w:eastAsia="zh-CN"/>
              </w:rPr>
              <w:t>）</w:t>
            </w:r>
          </w:p>
        </w:tc>
        <w:tc>
          <w:tcPr>
            <w:tcW w:w="5463" w:type="dxa"/>
            <w:gridSpan w:val="2"/>
            <w:tcBorders>
              <w:tl2br w:val="nil"/>
              <w:tr2bl w:val="nil"/>
            </w:tcBorders>
            <w:vAlign w:val="center"/>
          </w:tcPr>
          <w:p>
            <w:pPr>
              <w:pStyle w:val="30"/>
              <w:rPr>
                <w:color w:val="auto"/>
              </w:rPr>
            </w:pPr>
            <w:r>
              <w:rPr>
                <w:rFonts w:hint="eastAsia"/>
                <w:color w:val="auto"/>
                <w:lang w:val="en-US" w:eastAsia="zh-CN"/>
              </w:rPr>
              <w:t>主导产业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01" w:type="dxa"/>
            <w:tcBorders>
              <w:tl2br w:val="nil"/>
              <w:tr2bl w:val="nil"/>
            </w:tcBorders>
            <w:vAlign w:val="center"/>
          </w:tcPr>
          <w:p>
            <w:pPr>
              <w:pStyle w:val="30"/>
              <w:rPr>
                <w:rFonts w:hint="eastAsia" w:eastAsia="宋体"/>
                <w:color w:val="auto"/>
                <w:lang w:eastAsia="zh-CN"/>
              </w:rPr>
            </w:pPr>
            <w:r>
              <w:rPr>
                <w:color w:val="auto"/>
              </w:rPr>
              <w:t>ZH4306812000</w:t>
            </w:r>
            <w:r>
              <w:rPr>
                <w:rFonts w:hint="eastAsia"/>
                <w:color w:val="auto"/>
                <w:lang w:val="en-US" w:eastAsia="zh-CN"/>
              </w:rPr>
              <w:t>3</w:t>
            </w:r>
          </w:p>
        </w:tc>
        <w:tc>
          <w:tcPr>
            <w:tcW w:w="1005" w:type="dxa"/>
            <w:gridSpan w:val="2"/>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湖南汨罗高新技术产业开发区</w:t>
            </w:r>
          </w:p>
        </w:tc>
        <w:tc>
          <w:tcPr>
            <w:tcW w:w="705" w:type="dxa"/>
            <w:gridSpan w:val="2"/>
            <w:tcBorders>
              <w:tl2br w:val="nil"/>
              <w:tr2bl w:val="nil"/>
            </w:tcBorders>
            <w:vAlign w:val="center"/>
          </w:tcPr>
          <w:p>
            <w:pPr>
              <w:pStyle w:val="30"/>
              <w:rPr>
                <w:color w:val="auto"/>
              </w:rPr>
            </w:pPr>
            <w:r>
              <w:rPr>
                <w:rFonts w:hint="eastAsia"/>
                <w:color w:val="auto"/>
              </w:rPr>
              <w:t>重点管控单元</w:t>
            </w:r>
          </w:p>
        </w:tc>
        <w:tc>
          <w:tcPr>
            <w:tcW w:w="930" w:type="dxa"/>
            <w:tcBorders>
              <w:tl2br w:val="nil"/>
              <w:tr2bl w:val="nil"/>
            </w:tcBorders>
            <w:vAlign w:val="center"/>
          </w:tcPr>
          <w:p>
            <w:pPr>
              <w:pStyle w:val="30"/>
              <w:rPr>
                <w:rFonts w:hint="default"/>
                <w:color w:val="auto"/>
                <w:lang w:val="en-US" w:eastAsia="zh-CN"/>
              </w:rPr>
            </w:pPr>
            <w:r>
              <w:rPr>
                <w:rFonts w:hint="eastAsia"/>
                <w:color w:val="auto"/>
                <w:lang w:val="en-US" w:eastAsia="zh-CN"/>
              </w:rPr>
              <w:t>核准面积：9.1913</w:t>
            </w:r>
          </w:p>
        </w:tc>
        <w:tc>
          <w:tcPr>
            <w:tcW w:w="5463" w:type="dxa"/>
            <w:gridSpan w:val="2"/>
            <w:tcBorders>
              <w:tl2br w:val="nil"/>
              <w:tr2bl w:val="nil"/>
            </w:tcBorders>
            <w:vAlign w:val="center"/>
          </w:tcPr>
          <w:p>
            <w:pPr>
              <w:pStyle w:val="30"/>
              <w:rPr>
                <w:rFonts w:hint="default"/>
                <w:color w:val="auto"/>
                <w:lang w:val="en-US"/>
              </w:rPr>
            </w:pPr>
            <w:r>
              <w:rPr>
                <w:rFonts w:hint="eastAsia"/>
                <w:color w:val="auto"/>
                <w:lang w:val="en-US" w:eastAsia="zh-CN"/>
              </w:rPr>
              <w:t>以再生资源回收利用、有色金属深加工、现今执照产业为主导，辅以发展安防建材、新材料、电子信息三大特色产业；新市片区重点发展再生资源深加工，先进制造，有色金属深加工，再生资源回收交易与拆解加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28" w:type="dxa"/>
            <w:gridSpan w:val="4"/>
            <w:tcBorders>
              <w:tl2br w:val="nil"/>
              <w:tr2bl w:val="nil"/>
            </w:tcBorders>
            <w:vAlign w:val="center"/>
          </w:tcPr>
          <w:p>
            <w:pPr>
              <w:pStyle w:val="30"/>
              <w:rPr>
                <w:color w:val="auto"/>
              </w:rPr>
            </w:pPr>
            <w:r>
              <w:rPr>
                <w:color w:val="auto"/>
              </w:rPr>
              <w:t>管控维度</w:t>
            </w:r>
          </w:p>
        </w:tc>
        <w:tc>
          <w:tcPr>
            <w:tcW w:w="5628" w:type="dxa"/>
            <w:gridSpan w:val="3"/>
            <w:tcBorders>
              <w:tl2br w:val="nil"/>
              <w:tr2bl w:val="nil"/>
            </w:tcBorders>
            <w:vAlign w:val="center"/>
          </w:tcPr>
          <w:p>
            <w:pPr>
              <w:pStyle w:val="30"/>
              <w:rPr>
                <w:color w:val="auto"/>
              </w:rPr>
            </w:pPr>
            <w:r>
              <w:rPr>
                <w:color w:val="auto"/>
              </w:rPr>
              <w:t>管控要求</w:t>
            </w:r>
          </w:p>
        </w:tc>
        <w:tc>
          <w:tcPr>
            <w:tcW w:w="1248" w:type="dxa"/>
            <w:tcBorders>
              <w:tl2br w:val="nil"/>
              <w:tr2bl w:val="nil"/>
            </w:tcBorders>
            <w:vAlign w:val="center"/>
          </w:tcPr>
          <w:p>
            <w:pPr>
              <w:pStyle w:val="30"/>
              <w:rPr>
                <w:color w:val="auto"/>
              </w:rPr>
            </w:pPr>
            <w:r>
              <w:rPr>
                <w:color w:val="auto"/>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20" w:type="dxa"/>
            <w:gridSpan w:val="2"/>
            <w:vMerge w:val="restart"/>
            <w:tcBorders>
              <w:tl2br w:val="nil"/>
              <w:tr2bl w:val="nil"/>
            </w:tcBorders>
            <w:vAlign w:val="center"/>
          </w:tcPr>
          <w:p>
            <w:pPr>
              <w:pStyle w:val="30"/>
              <w:rPr>
                <w:color w:val="auto"/>
              </w:rPr>
            </w:pPr>
            <w:r>
              <w:rPr>
                <w:color w:val="auto"/>
              </w:rPr>
              <w:t>新市镇</w:t>
            </w:r>
          </w:p>
        </w:tc>
        <w:tc>
          <w:tcPr>
            <w:tcW w:w="1108" w:type="dxa"/>
            <w:gridSpan w:val="2"/>
            <w:tcBorders>
              <w:tl2br w:val="nil"/>
              <w:tr2bl w:val="nil"/>
            </w:tcBorders>
            <w:vAlign w:val="center"/>
          </w:tcPr>
          <w:p>
            <w:pPr>
              <w:pStyle w:val="30"/>
              <w:rPr>
                <w:rFonts w:hint="eastAsia"/>
                <w:color w:val="auto"/>
                <w:lang w:val="en-US" w:eastAsia="zh-CN"/>
              </w:rPr>
            </w:pPr>
            <w:r>
              <w:rPr>
                <w:rFonts w:hint="eastAsia"/>
                <w:color w:val="auto"/>
                <w:lang w:val="en-US" w:eastAsia="zh-CN"/>
              </w:rPr>
              <w:t>空间布局约束</w:t>
            </w:r>
          </w:p>
        </w:tc>
        <w:tc>
          <w:tcPr>
            <w:tcW w:w="5628" w:type="dxa"/>
            <w:gridSpan w:val="3"/>
            <w:tcBorders>
              <w:tl2br w:val="nil"/>
              <w:tr2bl w:val="nil"/>
            </w:tcBorders>
            <w:vAlign w:val="center"/>
          </w:tcPr>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1.1</w:t>
            </w:r>
            <w:r>
              <w:rPr>
                <w:rFonts w:hint="eastAsia"/>
                <w:color w:val="auto"/>
                <w:lang w:val="en-US" w:eastAsia="zh-CN"/>
              </w:rPr>
              <w:t xml:space="preserve">）再生资源回收利用行业禁止引进不能满足《废塑料综合利用行业规范条件》、《废塑料回收与再生利用污染控制技术规范 （试行）》、《铝行业规范条件》、《铜冶炼行业规范条件》要求的项目；禁止引进水耗、能耗高的行业。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1.2</w:t>
            </w:r>
            <w:r>
              <w:rPr>
                <w:rFonts w:hint="eastAsia"/>
                <w:color w:val="auto"/>
                <w:lang w:val="en-US" w:eastAsia="zh-CN"/>
              </w:rPr>
              <w:t xml:space="preserve">）管委会采取分期拆迁和棚改拆迁的方式对与规划用地性质不符的安置区逐步拆迁到位。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1.3</w:t>
            </w:r>
            <w:r>
              <w:rPr>
                <w:rFonts w:hint="eastAsia"/>
                <w:color w:val="auto"/>
                <w:lang w:val="en-US" w:eastAsia="zh-CN"/>
              </w:rPr>
              <w:t>）在下一步控规编制和修编时将新市片区西片区规划的绿地（现已开发为工业用地）按实际使用功能调整为工业用地，西片区靠近新市镇区的二类工业用地调整为一类工业用地，以减轻对镇区环境的不利影响；新市片区南部远景规划用地位于工业区常年主导风向的下风向，远景规划时应合理规划用地性质，确保与工业区环境相容。</w:t>
            </w:r>
          </w:p>
        </w:tc>
        <w:tc>
          <w:tcPr>
            <w:tcW w:w="1248"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项目属于再生资源回收利用行业，不属于高水耗、高能耗行业，满足相关行业规范条件。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20" w:type="dxa"/>
            <w:gridSpan w:val="2"/>
            <w:vMerge w:val="continue"/>
            <w:tcBorders>
              <w:tl2br w:val="nil"/>
              <w:tr2bl w:val="nil"/>
            </w:tcBorders>
            <w:vAlign w:val="center"/>
          </w:tcPr>
          <w:p>
            <w:pPr>
              <w:pStyle w:val="30"/>
              <w:rPr>
                <w:color w:val="auto"/>
              </w:rPr>
            </w:pPr>
          </w:p>
        </w:tc>
        <w:tc>
          <w:tcPr>
            <w:tcW w:w="1108" w:type="dxa"/>
            <w:gridSpan w:val="2"/>
            <w:tcBorders>
              <w:tl2br w:val="nil"/>
              <w:tr2bl w:val="nil"/>
            </w:tcBorders>
            <w:vAlign w:val="center"/>
          </w:tcPr>
          <w:p>
            <w:pPr>
              <w:pStyle w:val="30"/>
              <w:rPr>
                <w:color w:val="auto"/>
              </w:rPr>
            </w:pPr>
            <w:r>
              <w:rPr>
                <w:color w:val="auto"/>
              </w:rPr>
              <w:t>污染物排放管控</w:t>
            </w:r>
          </w:p>
        </w:tc>
        <w:tc>
          <w:tcPr>
            <w:tcW w:w="5628" w:type="dxa"/>
            <w:gridSpan w:val="3"/>
            <w:tcBorders>
              <w:tl2br w:val="nil"/>
              <w:tr2bl w:val="nil"/>
            </w:tcBorders>
            <w:vAlign w:val="center"/>
          </w:tcPr>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2.1</w:t>
            </w:r>
            <w:r>
              <w:rPr>
                <w:rFonts w:hint="eastAsia"/>
                <w:color w:val="auto"/>
                <w:lang w:val="en-US" w:eastAsia="zh-CN"/>
              </w:rPr>
              <w:t xml:space="preserve">）废水： </w:t>
            </w:r>
          </w:p>
          <w:p>
            <w:pPr>
              <w:pStyle w:val="30"/>
              <w:jc w:val="left"/>
              <w:rPr>
                <w:rFonts w:hint="eastAsia"/>
                <w:color w:val="auto"/>
                <w:lang w:val="en-US" w:eastAsia="zh-CN"/>
              </w:rPr>
            </w:pPr>
            <w:r>
              <w:rPr>
                <w:rFonts w:hint="eastAsia"/>
                <w:color w:val="auto"/>
                <w:lang w:val="en-US" w:eastAsia="zh-CN"/>
              </w:rPr>
              <w:t>新市片区：涉重废水经厂内预处理后进入重金属污水处理厂处理达标后，排至汨罗市城市污水处理厂。不含重金属工业废水和生活污水经预处理后汇入汨罗市城市污水处理厂处理达标后排至汨罗江。再生塑料加工企业生产废水经预处理后汇入开发区污水处理及中水回用工程处理后回用于企业生产。加快落实新市片区涉及的饮用水源保护区的调整工作。</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2.2</w:t>
            </w:r>
            <w:r>
              <w:rPr>
                <w:rFonts w:hint="eastAsia"/>
                <w:color w:val="auto"/>
                <w:lang w:val="en-US" w:eastAsia="zh-CN"/>
              </w:rPr>
              <w:t xml:space="preserve">）废气：加强开发区大气污染防控措施，通过产业控制、清洁能源推广等减少气型污染物源头排放量。加强企业管理，对有工艺废气产污节点的企业，须配置废气收集与处理净化装置，确保达标排放。采取有效措施减少工艺废气的无组织排放，入园企业各生产装置排放的废气须经处理达到相应的排放标准。到 </w:t>
            </w:r>
            <w:r>
              <w:rPr>
                <w:rFonts w:hint="default"/>
                <w:color w:val="auto"/>
                <w:lang w:val="en-US" w:eastAsia="zh-CN"/>
              </w:rPr>
              <w:t xml:space="preserve">2020 </w:t>
            </w:r>
            <w:r>
              <w:rPr>
                <w:rFonts w:hint="eastAsia"/>
                <w:color w:val="auto"/>
                <w:lang w:val="en-US" w:eastAsia="zh-CN"/>
              </w:rPr>
              <w:t xml:space="preserve">年，完成网格化监测微型站建设，建成园区环境综合监管平台。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2.3</w:t>
            </w:r>
            <w:r>
              <w:rPr>
                <w:rFonts w:hint="eastAsia"/>
                <w:color w:val="auto"/>
                <w:lang w:val="en-US" w:eastAsia="zh-CN"/>
              </w:rPr>
              <w:t xml:space="preserve">）园区内相关行业及锅炉废气污染物排放满足《湖南省生态环境厅关于执行污染物特别排放限值（第一批）的公告》中的要求。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2.4</w:t>
            </w:r>
            <w:r>
              <w:rPr>
                <w:rFonts w:hint="eastAsia"/>
                <w:color w:val="auto"/>
                <w:lang w:val="en-US" w:eastAsia="zh-CN"/>
              </w:rPr>
              <w:t xml:space="preserve">）固废：做好工业固体废物和生活垃圾的分类收集、转运、综合利用和无害化处理，建立统一的固废收集、贮存、运输、综合利用和安全处置的管理体系。推行清洁生产、减少固体废物产生量；加强固体废物的资源化进程，提高综合利用率；规范固体废物处理措施，对工业企业产生固体废物特别是危险固废应按国家有关规定综合利用或妥善处置。主管部门以及当地环保部门对进驻的企业进行严格控制，对产生危险废物的企业进行重点监控，危险废物的堆存应严格执行相关标准，收集后交由有资质单位或危险废物处 </w:t>
            </w:r>
          </w:p>
          <w:p>
            <w:pPr>
              <w:pStyle w:val="30"/>
              <w:jc w:val="left"/>
              <w:rPr>
                <w:rFonts w:hint="eastAsia"/>
                <w:color w:val="auto"/>
                <w:lang w:val="en-US" w:eastAsia="zh-CN"/>
              </w:rPr>
            </w:pPr>
            <w:r>
              <w:rPr>
                <w:rFonts w:hint="eastAsia"/>
                <w:color w:val="auto"/>
                <w:lang w:val="en-US" w:eastAsia="zh-CN"/>
              </w:rPr>
              <w:t>置中心处置。</w:t>
            </w:r>
          </w:p>
          <w:p>
            <w:pPr>
              <w:pStyle w:val="30"/>
              <w:jc w:val="left"/>
              <w:rPr>
                <w:rFonts w:hint="eastAsia"/>
                <w:color w:val="auto"/>
                <w:lang w:val="en-US" w:eastAsia="zh-CN"/>
              </w:rPr>
            </w:pPr>
          </w:p>
        </w:tc>
        <w:tc>
          <w:tcPr>
            <w:tcW w:w="1248"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项目不排放生产废水；项目使用清洁能源，废气设置处理措施通过有组织排放口达标排放；项目不涉及锅炉；项目固废和危废设置暂存间暂存，定期交相关单位处理。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20" w:type="dxa"/>
            <w:gridSpan w:val="2"/>
            <w:vMerge w:val="continue"/>
            <w:tcBorders>
              <w:tl2br w:val="nil"/>
              <w:tr2bl w:val="nil"/>
            </w:tcBorders>
            <w:vAlign w:val="center"/>
          </w:tcPr>
          <w:p>
            <w:pPr>
              <w:pStyle w:val="30"/>
              <w:rPr>
                <w:color w:val="auto"/>
              </w:rPr>
            </w:pPr>
          </w:p>
        </w:tc>
        <w:tc>
          <w:tcPr>
            <w:tcW w:w="1108" w:type="dxa"/>
            <w:gridSpan w:val="2"/>
            <w:tcBorders>
              <w:tl2br w:val="nil"/>
              <w:tr2bl w:val="nil"/>
            </w:tcBorders>
            <w:vAlign w:val="center"/>
          </w:tcPr>
          <w:p>
            <w:pPr>
              <w:pStyle w:val="30"/>
              <w:rPr>
                <w:color w:val="auto"/>
              </w:rPr>
            </w:pPr>
            <w:r>
              <w:rPr>
                <w:color w:val="auto"/>
              </w:rPr>
              <w:t>环境风险防控</w:t>
            </w:r>
          </w:p>
        </w:tc>
        <w:tc>
          <w:tcPr>
            <w:tcW w:w="5628" w:type="dxa"/>
            <w:gridSpan w:val="3"/>
            <w:tcBorders>
              <w:tl2br w:val="nil"/>
              <w:tr2bl w:val="nil"/>
            </w:tcBorders>
            <w:vAlign w:val="center"/>
          </w:tcPr>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3.1</w:t>
            </w:r>
            <w:r>
              <w:rPr>
                <w:rFonts w:hint="eastAsia"/>
                <w:color w:val="auto"/>
                <w:lang w:val="en-US" w:eastAsia="zh-CN"/>
              </w:rPr>
              <w:t>）新市片区：园区应建立健全环境风险防控体系，严格落实《湖南汨罗循环经济产业园（新市工业园）突发环境事件应急预案》中相关要求，严防突发环境事件发生，提高应急处置能力</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3.3</w:t>
            </w:r>
            <w:r>
              <w:rPr>
                <w:rFonts w:hint="eastAsia"/>
                <w:color w:val="auto"/>
                <w:lang w:val="en-US" w:eastAsia="zh-CN"/>
              </w:rPr>
              <w:t>）园区可能发生突发环境事件的污染物排放企业，生产、储存、运输、使用危险化学品的企业，产生、收集、贮存、运输、 利用、处置危险废物的企业应当编制和实施环境应急预案；鼓励其他企业制定单独的环境应急预案，或在突发事件应急预案中制定环境应急预案专章，并备案。</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3.4</w:t>
            </w:r>
            <w:r>
              <w:rPr>
                <w:rFonts w:hint="eastAsia"/>
                <w:color w:val="auto"/>
                <w:lang w:val="en-US" w:eastAsia="zh-CN"/>
              </w:rPr>
              <w:t xml:space="preserve">）建设用地土壤风险防控：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3.4.1</w:t>
            </w:r>
            <w:r>
              <w:rPr>
                <w:rFonts w:hint="eastAsia"/>
                <w:color w:val="auto"/>
                <w:lang w:val="en-US" w:eastAsia="zh-CN"/>
              </w:rPr>
              <w:t xml:space="preserve">）将建设用地土壤环境管理要求纳入城市规划和供地管理，土地开发利用必须符合土壤环境质量要求；各类涉及土地利用 的规划和可能造成土壤污染的建设项目，依法进行环境影响评价；自然资源部门在编制国土空间规划时，应充分考虑污染地块的环境风险，合理确定土地用途；已经制定的规划应当根据土壤污染防治要求作出相应调整。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3.4.2</w:t>
            </w:r>
            <w:r>
              <w:rPr>
                <w:rFonts w:hint="eastAsia"/>
                <w:color w:val="auto"/>
                <w:lang w:val="en-US" w:eastAsia="zh-CN"/>
              </w:rPr>
              <w:t xml:space="preserve">）加强环境风险防控和应急管理。开展全市生态隐患和环境风险调查评估，从严实施环境风险防控措施；深化全市范围内涉重金属和危险废物等重点企业环境风险评估，提升风险防控和突发环境事件应急处理处置能力；督促提升应急处置能力；持续推动重点行业、重点企业突发环境事件应急预案备案和修编工作，推进突发环境事件风险评估，完善应急预案体系建设；统筹推进环境应急物资储备库建设。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3.5</w:t>
            </w:r>
            <w:r>
              <w:rPr>
                <w:rFonts w:hint="eastAsia"/>
                <w:color w:val="auto"/>
                <w:lang w:val="en-US" w:eastAsia="zh-CN"/>
              </w:rPr>
              <w:t>）农用地土壤风险防控：强化农用地土壤污染风险管控。推动完成受污染耕地安全利用和结构调整工作，在农用地土壤污染状况详查基础上，完成受污染耕地的质量类别划分，开展受污染耕地成因排查和整改试点工作。</w:t>
            </w:r>
          </w:p>
        </w:tc>
        <w:tc>
          <w:tcPr>
            <w:tcW w:w="1248" w:type="dxa"/>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项目不涉及危险化学品，本项目为可再生塑料利用项目，对土壤影响较小。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20" w:type="dxa"/>
            <w:gridSpan w:val="2"/>
            <w:tcBorders>
              <w:tl2br w:val="nil"/>
              <w:tr2bl w:val="nil"/>
            </w:tcBorders>
            <w:vAlign w:val="center"/>
          </w:tcPr>
          <w:p>
            <w:pPr>
              <w:pStyle w:val="30"/>
              <w:rPr>
                <w:color w:val="auto"/>
              </w:rPr>
            </w:pPr>
          </w:p>
        </w:tc>
        <w:tc>
          <w:tcPr>
            <w:tcW w:w="1108" w:type="dxa"/>
            <w:gridSpan w:val="2"/>
            <w:tcBorders>
              <w:tl2br w:val="nil"/>
              <w:tr2bl w:val="nil"/>
            </w:tcBorders>
            <w:vAlign w:val="center"/>
          </w:tcPr>
          <w:p>
            <w:pPr>
              <w:pStyle w:val="30"/>
              <w:jc w:val="left"/>
              <w:rPr>
                <w:rFonts w:hint="eastAsia"/>
                <w:color w:val="auto"/>
                <w:lang w:val="en-US" w:eastAsia="zh-CN"/>
              </w:rPr>
            </w:pPr>
            <w:r>
              <w:rPr>
                <w:rFonts w:hint="eastAsia"/>
                <w:color w:val="auto"/>
                <w:lang w:val="en-US" w:eastAsia="zh-CN"/>
              </w:rPr>
              <w:t>资源开发效率要求</w:t>
            </w:r>
          </w:p>
        </w:tc>
        <w:tc>
          <w:tcPr>
            <w:tcW w:w="5628" w:type="dxa"/>
            <w:gridSpan w:val="3"/>
            <w:tcBorders>
              <w:tl2br w:val="nil"/>
              <w:tr2bl w:val="nil"/>
            </w:tcBorders>
            <w:vAlign w:val="center"/>
          </w:tcPr>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4.1</w:t>
            </w:r>
            <w:r>
              <w:rPr>
                <w:rFonts w:hint="eastAsia"/>
                <w:color w:val="auto"/>
                <w:lang w:val="en-US" w:eastAsia="zh-CN"/>
              </w:rPr>
              <w:t>）能源：区域内主要消耗的能源种类包括电力、天然气，无煤炭消费，能源消耗预测情况为：</w:t>
            </w:r>
            <w:r>
              <w:rPr>
                <w:rFonts w:hint="default"/>
                <w:color w:val="auto"/>
                <w:lang w:val="en-US" w:eastAsia="zh-CN"/>
              </w:rPr>
              <w:t xml:space="preserve">2020 </w:t>
            </w:r>
            <w:r>
              <w:rPr>
                <w:rFonts w:hint="eastAsia"/>
                <w:color w:val="auto"/>
                <w:lang w:val="en-US" w:eastAsia="zh-CN"/>
              </w:rPr>
              <w:t xml:space="preserve">年区域年综合能耗消费量预测当量值为 </w:t>
            </w:r>
            <w:r>
              <w:rPr>
                <w:rFonts w:hint="default"/>
                <w:color w:val="auto"/>
                <w:lang w:val="en-US" w:eastAsia="zh-CN"/>
              </w:rPr>
              <w:t xml:space="preserve">242500 </w:t>
            </w:r>
            <w:r>
              <w:rPr>
                <w:rFonts w:hint="eastAsia"/>
                <w:color w:val="auto"/>
                <w:lang w:val="en-US" w:eastAsia="zh-CN"/>
              </w:rPr>
              <w:t xml:space="preserve">吨标煤，区域单位 </w:t>
            </w:r>
            <w:r>
              <w:rPr>
                <w:rFonts w:hint="default"/>
                <w:color w:val="auto"/>
                <w:lang w:val="en-US" w:eastAsia="zh-CN"/>
              </w:rPr>
              <w:t xml:space="preserve">GDP </w:t>
            </w:r>
            <w:r>
              <w:rPr>
                <w:rFonts w:hint="eastAsia"/>
                <w:color w:val="auto"/>
                <w:lang w:val="en-US" w:eastAsia="zh-CN"/>
              </w:rPr>
              <w:t xml:space="preserve">能耗预测值为 </w:t>
            </w:r>
            <w:r>
              <w:rPr>
                <w:rFonts w:hint="default"/>
                <w:color w:val="auto"/>
                <w:lang w:val="en-US" w:eastAsia="zh-CN"/>
              </w:rPr>
              <w:t xml:space="preserve">0.1544 </w:t>
            </w:r>
            <w:r>
              <w:rPr>
                <w:rFonts w:hint="eastAsia"/>
                <w:color w:val="auto"/>
                <w:lang w:val="en-US" w:eastAsia="zh-CN"/>
              </w:rPr>
              <w:t>吨标煤</w:t>
            </w:r>
            <w:r>
              <w:rPr>
                <w:rFonts w:hint="default"/>
                <w:color w:val="auto"/>
                <w:lang w:val="en-US" w:eastAsia="zh-CN"/>
              </w:rPr>
              <w:t>/</w:t>
            </w:r>
            <w:r>
              <w:rPr>
                <w:rFonts w:hint="eastAsia"/>
                <w:color w:val="auto"/>
                <w:lang w:val="en-US" w:eastAsia="zh-CN"/>
              </w:rPr>
              <w:t xml:space="preserve">万元，消耗增量当量值控制在 </w:t>
            </w:r>
            <w:r>
              <w:rPr>
                <w:rFonts w:hint="default"/>
                <w:color w:val="auto"/>
                <w:lang w:val="en-US" w:eastAsia="zh-CN"/>
              </w:rPr>
              <w:t xml:space="preserve">34500 </w:t>
            </w:r>
            <w:r>
              <w:rPr>
                <w:rFonts w:hint="eastAsia"/>
                <w:color w:val="auto"/>
                <w:lang w:val="en-US" w:eastAsia="zh-CN"/>
              </w:rPr>
              <w:t>吨标煤；</w:t>
            </w:r>
            <w:r>
              <w:rPr>
                <w:rFonts w:hint="default"/>
                <w:color w:val="auto"/>
                <w:lang w:val="en-US" w:eastAsia="zh-CN"/>
              </w:rPr>
              <w:t xml:space="preserve">2025 </w:t>
            </w:r>
            <w:r>
              <w:rPr>
                <w:rFonts w:hint="eastAsia"/>
                <w:color w:val="auto"/>
                <w:lang w:val="en-US" w:eastAsia="zh-CN"/>
              </w:rPr>
              <w:t xml:space="preserve">年区域年综合能耗消费量预测当量值为 </w:t>
            </w:r>
            <w:r>
              <w:rPr>
                <w:rFonts w:hint="default"/>
                <w:color w:val="auto"/>
                <w:lang w:val="en-US" w:eastAsia="zh-CN"/>
              </w:rPr>
              <w:t xml:space="preserve">429400 </w:t>
            </w:r>
            <w:r>
              <w:rPr>
                <w:rFonts w:hint="eastAsia"/>
                <w:color w:val="auto"/>
                <w:lang w:val="en-US" w:eastAsia="zh-CN"/>
              </w:rPr>
              <w:t xml:space="preserve">吨标煤，区域单位 </w:t>
            </w:r>
            <w:r>
              <w:rPr>
                <w:rFonts w:hint="default"/>
                <w:color w:val="auto"/>
                <w:lang w:val="en-US" w:eastAsia="zh-CN"/>
              </w:rPr>
              <w:t xml:space="preserve">GDP </w:t>
            </w:r>
            <w:r>
              <w:rPr>
                <w:rFonts w:hint="eastAsia"/>
                <w:color w:val="auto"/>
                <w:lang w:val="en-US" w:eastAsia="zh-CN"/>
              </w:rPr>
              <w:t xml:space="preserve">能耗预测值为 </w:t>
            </w:r>
            <w:r>
              <w:rPr>
                <w:rFonts w:hint="default"/>
                <w:color w:val="auto"/>
                <w:lang w:val="en-US" w:eastAsia="zh-CN"/>
              </w:rPr>
              <w:t xml:space="preserve">0.1399 </w:t>
            </w:r>
            <w:r>
              <w:rPr>
                <w:rFonts w:hint="eastAsia"/>
                <w:color w:val="auto"/>
                <w:lang w:val="en-US" w:eastAsia="zh-CN"/>
              </w:rPr>
              <w:t>吨标煤</w:t>
            </w:r>
            <w:r>
              <w:rPr>
                <w:rFonts w:hint="default"/>
                <w:color w:val="auto"/>
                <w:lang w:val="en-US" w:eastAsia="zh-CN"/>
              </w:rPr>
              <w:t>/</w:t>
            </w:r>
            <w:r>
              <w:rPr>
                <w:rFonts w:hint="eastAsia"/>
                <w:color w:val="auto"/>
                <w:lang w:val="en-US" w:eastAsia="zh-CN"/>
              </w:rPr>
              <w:t>万元，</w:t>
            </w:r>
            <w:r>
              <w:rPr>
                <w:rFonts w:hint="default"/>
                <w:color w:val="auto"/>
                <w:lang w:val="en-US" w:eastAsia="zh-CN"/>
              </w:rPr>
              <w:t>“</w:t>
            </w:r>
            <w:r>
              <w:rPr>
                <w:rFonts w:hint="eastAsia"/>
                <w:color w:val="auto"/>
                <w:lang w:val="en-US" w:eastAsia="zh-CN"/>
              </w:rPr>
              <w:t>十四五</w:t>
            </w:r>
            <w:r>
              <w:rPr>
                <w:rFonts w:hint="default"/>
                <w:color w:val="auto"/>
                <w:lang w:val="en-US" w:eastAsia="zh-CN"/>
              </w:rPr>
              <w:t>”</w:t>
            </w:r>
            <w:r>
              <w:rPr>
                <w:rFonts w:hint="eastAsia"/>
                <w:color w:val="auto"/>
                <w:lang w:val="en-US" w:eastAsia="zh-CN"/>
              </w:rPr>
              <w:t xml:space="preserve">时期消耗增量当量值控制在 </w:t>
            </w:r>
            <w:r>
              <w:rPr>
                <w:rFonts w:hint="default"/>
                <w:color w:val="auto"/>
                <w:lang w:val="en-US" w:eastAsia="zh-CN"/>
              </w:rPr>
              <w:t xml:space="preserve">186900 </w:t>
            </w:r>
            <w:r>
              <w:rPr>
                <w:rFonts w:hint="eastAsia"/>
                <w:color w:val="auto"/>
                <w:lang w:val="en-US" w:eastAsia="zh-CN"/>
              </w:rPr>
              <w:t xml:space="preserve">吨标煤。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4.2</w:t>
            </w:r>
            <w:r>
              <w:rPr>
                <w:rFonts w:hint="eastAsia"/>
                <w:color w:val="auto"/>
                <w:lang w:val="en-US" w:eastAsia="zh-CN"/>
              </w:rPr>
              <w:t>）水资源：加强工业节水，重点开展相关工业行业节水技术改造，逐步淘汰高耗水的落后产能，积极推广工业水循环利用，支持引导企业开展水平衡测试，继续推进节水型企业、节水型工业园区建设。</w:t>
            </w:r>
            <w:r>
              <w:rPr>
                <w:rFonts w:hint="default"/>
                <w:color w:val="auto"/>
                <w:lang w:val="en-US" w:eastAsia="zh-CN"/>
              </w:rPr>
              <w:t xml:space="preserve">2020 </w:t>
            </w:r>
            <w:r>
              <w:rPr>
                <w:rFonts w:hint="eastAsia"/>
                <w:color w:val="auto"/>
                <w:lang w:val="en-US" w:eastAsia="zh-CN"/>
              </w:rPr>
              <w:t xml:space="preserve">年，汨罗市万元国内生产总值用水量 </w:t>
            </w:r>
            <w:r>
              <w:rPr>
                <w:rFonts w:hint="default"/>
                <w:color w:val="auto"/>
                <w:lang w:val="en-US" w:eastAsia="zh-CN"/>
              </w:rPr>
              <w:t xml:space="preserve">69 </w:t>
            </w:r>
            <w:r>
              <w:rPr>
                <w:rFonts w:hint="eastAsia"/>
                <w:color w:val="auto"/>
                <w:lang w:val="en-US" w:eastAsia="zh-CN"/>
              </w:rPr>
              <w:t>立方米</w:t>
            </w:r>
            <w:r>
              <w:rPr>
                <w:rFonts w:hint="default"/>
                <w:color w:val="auto"/>
                <w:lang w:val="en-US" w:eastAsia="zh-CN"/>
              </w:rPr>
              <w:t>/</w:t>
            </w:r>
            <w:r>
              <w:rPr>
                <w:rFonts w:hint="eastAsia"/>
                <w:color w:val="auto"/>
                <w:lang w:val="en-US" w:eastAsia="zh-CN"/>
              </w:rPr>
              <w:t xml:space="preserve">万元，万元工业增加值用水量 </w:t>
            </w:r>
            <w:r>
              <w:rPr>
                <w:rFonts w:hint="default"/>
                <w:color w:val="auto"/>
                <w:lang w:val="en-US" w:eastAsia="zh-CN"/>
              </w:rPr>
              <w:t xml:space="preserve">28 </w:t>
            </w:r>
            <w:r>
              <w:rPr>
                <w:rFonts w:hint="eastAsia"/>
                <w:color w:val="auto"/>
                <w:lang w:val="en-US" w:eastAsia="zh-CN"/>
              </w:rPr>
              <w:t>立方米</w:t>
            </w:r>
            <w:r>
              <w:rPr>
                <w:rFonts w:hint="default"/>
                <w:color w:val="auto"/>
                <w:lang w:val="en-US" w:eastAsia="zh-CN"/>
              </w:rPr>
              <w:t>/</w:t>
            </w:r>
            <w:r>
              <w:rPr>
                <w:rFonts w:hint="eastAsia"/>
                <w:color w:val="auto"/>
                <w:lang w:val="en-US" w:eastAsia="zh-CN"/>
              </w:rPr>
              <w:t xml:space="preserve">万元。 </w:t>
            </w:r>
          </w:p>
          <w:p>
            <w:pPr>
              <w:pStyle w:val="30"/>
              <w:jc w:val="left"/>
              <w:rPr>
                <w:rFonts w:hint="eastAsia"/>
                <w:color w:val="auto"/>
                <w:lang w:val="en-US" w:eastAsia="zh-CN"/>
              </w:rPr>
            </w:pPr>
            <w:r>
              <w:rPr>
                <w:rFonts w:hint="eastAsia"/>
                <w:color w:val="auto"/>
                <w:lang w:val="en-US" w:eastAsia="zh-CN"/>
              </w:rPr>
              <w:t>（</w:t>
            </w:r>
            <w:r>
              <w:rPr>
                <w:rFonts w:hint="default"/>
                <w:color w:val="auto"/>
                <w:lang w:val="en-US" w:eastAsia="zh-CN"/>
              </w:rPr>
              <w:t>4.3</w:t>
            </w:r>
            <w:r>
              <w:rPr>
                <w:rFonts w:hint="eastAsia"/>
                <w:color w:val="auto"/>
                <w:lang w:val="en-US" w:eastAsia="zh-CN"/>
              </w:rPr>
              <w:t xml:space="preserve">）土地资源：以国家产业发展政策为导向，合理制定区域产业用地政策，优先保障主导产业发展用地，严禁向禁止类工业项目供地，严格控制限制类工业项目用地，重点支持发展与区域资源环境条件相适应的产业。再生资源利用、智能装备制造业、有色金属延压及加工、电子产品制造投资强度拟定标准分别为 </w:t>
            </w:r>
            <w:r>
              <w:rPr>
                <w:rFonts w:hint="default"/>
                <w:color w:val="auto"/>
                <w:lang w:val="en-US" w:eastAsia="zh-CN"/>
              </w:rPr>
              <w:t xml:space="preserve">130 </w:t>
            </w:r>
            <w:r>
              <w:rPr>
                <w:rFonts w:hint="eastAsia"/>
                <w:color w:val="auto"/>
                <w:lang w:val="en-US" w:eastAsia="zh-CN"/>
              </w:rPr>
              <w:t>万元</w:t>
            </w:r>
            <w:r>
              <w:rPr>
                <w:rFonts w:hint="default"/>
                <w:color w:val="auto"/>
                <w:lang w:val="en-US" w:eastAsia="zh-CN"/>
              </w:rPr>
              <w:t>/</w:t>
            </w:r>
            <w:r>
              <w:rPr>
                <w:rFonts w:hint="eastAsia"/>
                <w:color w:val="auto"/>
                <w:lang w:val="en-US" w:eastAsia="zh-CN"/>
              </w:rPr>
              <w:t>亩、</w:t>
            </w:r>
            <w:r>
              <w:rPr>
                <w:rFonts w:hint="default"/>
                <w:color w:val="auto"/>
                <w:lang w:val="en-US" w:eastAsia="zh-CN"/>
              </w:rPr>
              <w:t xml:space="preserve">220 </w:t>
            </w:r>
            <w:r>
              <w:rPr>
                <w:rFonts w:hint="eastAsia"/>
                <w:color w:val="auto"/>
                <w:lang w:val="en-US" w:eastAsia="zh-CN"/>
              </w:rPr>
              <w:t>万元</w:t>
            </w:r>
            <w:r>
              <w:rPr>
                <w:rFonts w:hint="default"/>
                <w:color w:val="auto"/>
                <w:lang w:val="en-US" w:eastAsia="zh-CN"/>
              </w:rPr>
              <w:t>/</w:t>
            </w:r>
            <w:r>
              <w:rPr>
                <w:rFonts w:hint="eastAsia"/>
                <w:color w:val="auto"/>
                <w:lang w:val="en-US" w:eastAsia="zh-CN"/>
              </w:rPr>
              <w:t>亩、</w:t>
            </w:r>
            <w:r>
              <w:rPr>
                <w:rFonts w:hint="default"/>
                <w:color w:val="auto"/>
                <w:lang w:val="en-US" w:eastAsia="zh-CN"/>
              </w:rPr>
              <w:t xml:space="preserve">220 </w:t>
            </w:r>
            <w:r>
              <w:rPr>
                <w:rFonts w:hint="eastAsia"/>
                <w:color w:val="auto"/>
                <w:lang w:val="en-US" w:eastAsia="zh-CN"/>
              </w:rPr>
              <w:t>万元</w:t>
            </w:r>
            <w:r>
              <w:rPr>
                <w:rFonts w:hint="default"/>
                <w:color w:val="auto"/>
                <w:lang w:val="en-US" w:eastAsia="zh-CN"/>
              </w:rPr>
              <w:t>/</w:t>
            </w:r>
            <w:r>
              <w:rPr>
                <w:rFonts w:hint="eastAsia"/>
                <w:color w:val="auto"/>
                <w:lang w:val="en-US" w:eastAsia="zh-CN"/>
              </w:rPr>
              <w:t>亩、</w:t>
            </w:r>
            <w:r>
              <w:rPr>
                <w:rFonts w:hint="default"/>
                <w:color w:val="auto"/>
                <w:lang w:val="en-US" w:eastAsia="zh-CN"/>
              </w:rPr>
              <w:t xml:space="preserve">280 </w:t>
            </w:r>
            <w:r>
              <w:rPr>
                <w:rFonts w:hint="eastAsia"/>
                <w:color w:val="auto"/>
                <w:lang w:val="en-US" w:eastAsia="zh-CN"/>
              </w:rPr>
              <w:t>万元</w:t>
            </w:r>
            <w:r>
              <w:rPr>
                <w:rFonts w:hint="default"/>
                <w:color w:val="auto"/>
                <w:lang w:val="en-US" w:eastAsia="zh-CN"/>
              </w:rPr>
              <w:t>/</w:t>
            </w:r>
            <w:r>
              <w:rPr>
                <w:rFonts w:hint="eastAsia"/>
                <w:color w:val="auto"/>
                <w:lang w:val="en-US" w:eastAsia="zh-CN"/>
              </w:rPr>
              <w:t>亩。</w:t>
            </w:r>
          </w:p>
        </w:tc>
        <w:tc>
          <w:tcPr>
            <w:tcW w:w="1248" w:type="dxa"/>
            <w:tcBorders>
              <w:tl2br w:val="nil"/>
              <w:tr2bl w:val="nil"/>
            </w:tcBorders>
            <w:vAlign w:val="center"/>
          </w:tcPr>
          <w:p>
            <w:pPr>
              <w:pStyle w:val="30"/>
              <w:rPr>
                <w:rFonts w:hint="default"/>
                <w:color w:val="auto"/>
                <w:lang w:val="en-US" w:eastAsia="zh-CN"/>
              </w:rPr>
            </w:pPr>
            <w:r>
              <w:rPr>
                <w:rFonts w:hint="eastAsia"/>
                <w:color w:val="auto"/>
                <w:lang w:val="en-US" w:eastAsia="zh-CN"/>
              </w:rPr>
              <w:t>项目所使用能源主要为电能，其余均为清洁能源，不属于高能耗产业。</w:t>
            </w:r>
          </w:p>
        </w:tc>
      </w:tr>
    </w:tbl>
    <w:p>
      <w:pPr>
        <w:ind w:firstLine="480"/>
        <w:rPr>
          <w:color w:val="auto"/>
        </w:rPr>
      </w:pPr>
      <w:r>
        <w:rPr>
          <w:color w:val="auto"/>
        </w:rPr>
        <w:t>本项目与《长江经济带发展负面清单指南（试行，2022年版）》相符性分析如下：</w:t>
      </w:r>
    </w:p>
    <w:p>
      <w:pPr>
        <w:pStyle w:val="31"/>
        <w:rPr>
          <w:color w:val="auto"/>
        </w:rPr>
      </w:pPr>
      <w:r>
        <w:rPr>
          <w:color w:val="auto"/>
        </w:rPr>
        <w:t>表1.5-</w:t>
      </w:r>
      <w:r>
        <w:rPr>
          <w:rFonts w:hint="eastAsia"/>
          <w:color w:val="auto"/>
        </w:rPr>
        <w:t>8</w:t>
      </w:r>
      <w:r>
        <w:rPr>
          <w:color w:val="auto"/>
        </w:rPr>
        <w:t xml:space="preserve"> 本项目与《长江经济带发展负面清单指南（试行，2022 年版）》相符性分析</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22"/>
        <w:gridCol w:w="2938"/>
        <w:gridCol w:w="1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trPr>
        <w:tc>
          <w:tcPr>
            <w:tcW w:w="4574" w:type="dxa"/>
            <w:tcBorders>
              <w:tl2br w:val="nil"/>
              <w:tr2bl w:val="nil"/>
            </w:tcBorders>
            <w:vAlign w:val="center"/>
          </w:tcPr>
          <w:p>
            <w:pPr>
              <w:pStyle w:val="30"/>
              <w:rPr>
                <w:color w:val="auto"/>
              </w:rPr>
            </w:pPr>
            <w:r>
              <w:rPr>
                <w:color w:val="auto"/>
              </w:rPr>
              <w:t>相关要求</w:t>
            </w:r>
          </w:p>
        </w:tc>
        <w:tc>
          <w:tcPr>
            <w:tcW w:w="3105" w:type="dxa"/>
            <w:tcBorders>
              <w:tl2br w:val="nil"/>
              <w:tr2bl w:val="nil"/>
            </w:tcBorders>
            <w:vAlign w:val="center"/>
          </w:tcPr>
          <w:p>
            <w:pPr>
              <w:pStyle w:val="30"/>
              <w:rPr>
                <w:color w:val="auto"/>
              </w:rPr>
            </w:pPr>
            <w:r>
              <w:rPr>
                <w:color w:val="auto"/>
              </w:rPr>
              <w:t>本项目情况</w:t>
            </w:r>
          </w:p>
        </w:tc>
        <w:tc>
          <w:tcPr>
            <w:tcW w:w="1325" w:type="dxa"/>
            <w:tcBorders>
              <w:tl2br w:val="nil"/>
              <w:tr2bl w:val="nil"/>
            </w:tcBorders>
            <w:vAlign w:val="center"/>
          </w:tcPr>
          <w:p>
            <w:pPr>
              <w:pStyle w:val="30"/>
              <w:rPr>
                <w:color w:val="auto"/>
              </w:rPr>
            </w:pPr>
            <w:r>
              <w:rPr>
                <w:color w:val="auto"/>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禁止建设不符合全国和省级港口布局规划以及港口总体规划的码头项目，禁止建设不符合《长江干线过江通道布局规划》的过长江通道项目</w:t>
            </w:r>
          </w:p>
        </w:tc>
        <w:tc>
          <w:tcPr>
            <w:tcW w:w="3105" w:type="dxa"/>
            <w:tcBorders>
              <w:tl2br w:val="nil"/>
              <w:tr2bl w:val="nil"/>
            </w:tcBorders>
            <w:vAlign w:val="center"/>
          </w:tcPr>
          <w:p>
            <w:pPr>
              <w:pStyle w:val="30"/>
              <w:rPr>
                <w:color w:val="auto"/>
              </w:rPr>
            </w:pPr>
            <w:r>
              <w:rPr>
                <w:color w:val="auto"/>
              </w:rPr>
              <w:t>本项目不属于码头建设项目</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禁止在自然保护区核心区、缓冲区的岸线和河段 范围内投资建设旅游和生产经营项目。禁止在风 景名胜区核心景区的岸线和河段范围内投资建设 与风景名胜区保护无关的项目</w:t>
            </w:r>
          </w:p>
        </w:tc>
        <w:tc>
          <w:tcPr>
            <w:tcW w:w="3105" w:type="dxa"/>
            <w:tcBorders>
              <w:tl2br w:val="nil"/>
              <w:tr2bl w:val="nil"/>
            </w:tcBorders>
            <w:vAlign w:val="center"/>
          </w:tcPr>
          <w:p>
            <w:pPr>
              <w:pStyle w:val="30"/>
              <w:rPr>
                <w:color w:val="auto"/>
              </w:rPr>
            </w:pPr>
            <w:r>
              <w:rPr>
                <w:color w:val="auto"/>
              </w:rPr>
              <w:t>本项目不在自然保护区及风景名胜区内</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禁止在饮用水水源一级保护区内新建、改建、扩 建与供水设施和保护水源无关的建设项目，以及 网箱养殖、旅游等可能污染饮用水水体的投资建 设项目；禁止在饮用水水源二级保护区的岸线和 河段范围内新建、改建、扩建排放污染物的投资 建设项目</w:t>
            </w:r>
          </w:p>
        </w:tc>
        <w:tc>
          <w:tcPr>
            <w:tcW w:w="3105" w:type="dxa"/>
            <w:tcBorders>
              <w:tl2br w:val="nil"/>
              <w:tr2bl w:val="nil"/>
            </w:tcBorders>
            <w:vAlign w:val="center"/>
          </w:tcPr>
          <w:p>
            <w:pPr>
              <w:pStyle w:val="30"/>
              <w:rPr>
                <w:color w:val="auto"/>
              </w:rPr>
            </w:pPr>
            <w:r>
              <w:rPr>
                <w:color w:val="auto"/>
              </w:rPr>
              <w:t>本项目不在饮用水源保护区</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trPr>
        <w:tc>
          <w:tcPr>
            <w:tcW w:w="4574" w:type="dxa"/>
            <w:tcBorders>
              <w:tl2br w:val="nil"/>
              <w:tr2bl w:val="nil"/>
            </w:tcBorders>
            <w:vAlign w:val="center"/>
          </w:tcPr>
          <w:p>
            <w:pPr>
              <w:pStyle w:val="30"/>
              <w:rPr>
                <w:color w:val="auto"/>
              </w:rPr>
            </w:pPr>
            <w:r>
              <w:rPr>
                <w:color w:val="auto"/>
              </w:rPr>
              <w:t>禁止在水产种质资源保护区的岸线和河段范围内 新建排污口，一级围湖造田、围海造地或围填海 等投资建设项目。禁止在国家湿地公园的岸线和 河段范围内挖砂、采矿以及任何不符合主体功能 定位的投资建设项目</w:t>
            </w:r>
          </w:p>
        </w:tc>
        <w:tc>
          <w:tcPr>
            <w:tcW w:w="3105" w:type="dxa"/>
            <w:tcBorders>
              <w:tl2br w:val="nil"/>
              <w:tr2bl w:val="nil"/>
            </w:tcBorders>
            <w:vAlign w:val="center"/>
          </w:tcPr>
          <w:p>
            <w:pPr>
              <w:pStyle w:val="30"/>
              <w:rPr>
                <w:color w:val="auto"/>
              </w:rPr>
            </w:pPr>
            <w:r>
              <w:rPr>
                <w:color w:val="auto"/>
              </w:rPr>
              <w:t>本项目不在水产种质资源保护区内，不涉及国家湿地公园的岸线和河段范围内挖砂、采矿</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禁止违法利用、占用长江流域河湖岸线。禁止在 《长江岸线保护和开发利用总体规划》划定的岸 线保护区和保留区内投资建设除事关公共安全及公众利益的防洪护岸、河道治理、供水、生态环 境保护、航道整治、国家重要基础设施以外的项目。禁止在《全国重要江河湖泊水功能区划》划 定的河段及湖泊保护区、保留区内投资建设不利于水资源及自然生态保护的项目</w:t>
            </w:r>
          </w:p>
        </w:tc>
        <w:tc>
          <w:tcPr>
            <w:tcW w:w="3105" w:type="dxa"/>
            <w:tcBorders>
              <w:tl2br w:val="nil"/>
              <w:tr2bl w:val="nil"/>
            </w:tcBorders>
            <w:vAlign w:val="center"/>
          </w:tcPr>
          <w:p>
            <w:pPr>
              <w:pStyle w:val="30"/>
              <w:rPr>
                <w:color w:val="auto"/>
              </w:rPr>
            </w:pPr>
            <w:r>
              <w:rPr>
                <w:color w:val="auto"/>
              </w:rPr>
              <w:t>本项目不涉及长江流域河湖岸线</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trPr>
        <w:tc>
          <w:tcPr>
            <w:tcW w:w="4574" w:type="dxa"/>
            <w:tcBorders>
              <w:tl2br w:val="nil"/>
              <w:tr2bl w:val="nil"/>
            </w:tcBorders>
            <w:vAlign w:val="center"/>
          </w:tcPr>
          <w:p>
            <w:pPr>
              <w:pStyle w:val="30"/>
              <w:rPr>
                <w:color w:val="auto"/>
              </w:rPr>
            </w:pPr>
            <w:r>
              <w:rPr>
                <w:color w:val="auto"/>
              </w:rPr>
              <w:t>禁止未经许可在长江干支流及湖泊新设、改设或扩大排污口</w:t>
            </w:r>
          </w:p>
        </w:tc>
        <w:tc>
          <w:tcPr>
            <w:tcW w:w="3105" w:type="dxa"/>
            <w:tcBorders>
              <w:tl2br w:val="nil"/>
              <w:tr2bl w:val="nil"/>
            </w:tcBorders>
            <w:vAlign w:val="center"/>
          </w:tcPr>
          <w:p>
            <w:pPr>
              <w:pStyle w:val="30"/>
              <w:rPr>
                <w:color w:val="auto"/>
              </w:rPr>
            </w:pPr>
            <w:r>
              <w:rPr>
                <w:color w:val="auto"/>
              </w:rPr>
              <w:t>本项目不设置排污口</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禁止在“一江一口两湖七河”和332个水生生物保护区开展生产性捕捞</w:t>
            </w:r>
          </w:p>
        </w:tc>
        <w:tc>
          <w:tcPr>
            <w:tcW w:w="3105" w:type="dxa"/>
            <w:tcBorders>
              <w:tl2br w:val="nil"/>
              <w:tr2bl w:val="nil"/>
            </w:tcBorders>
            <w:vAlign w:val="center"/>
          </w:tcPr>
          <w:p>
            <w:pPr>
              <w:pStyle w:val="30"/>
              <w:rPr>
                <w:color w:val="auto"/>
              </w:rPr>
            </w:pPr>
            <w:r>
              <w:rPr>
                <w:color w:val="auto"/>
              </w:rPr>
              <w:t>本项目不涉及捕捞</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禁止在长江干支流、重要湖泊岸线1公里范围内新建、扩建化工园区和化工项目。禁止在长江干流岸线3公里范围内和重要支流岸线1公里范围内新建、改建、扩建尾矿库、冶炼渣库和磷石膏 库，以提升安全、生态环境保护水平为目的的改建除外</w:t>
            </w:r>
          </w:p>
        </w:tc>
        <w:tc>
          <w:tcPr>
            <w:tcW w:w="3105" w:type="dxa"/>
            <w:tcBorders>
              <w:tl2br w:val="nil"/>
              <w:tr2bl w:val="nil"/>
            </w:tcBorders>
            <w:vAlign w:val="center"/>
          </w:tcPr>
          <w:p>
            <w:pPr>
              <w:pStyle w:val="30"/>
              <w:rPr>
                <w:color w:val="auto"/>
              </w:rPr>
            </w:pPr>
            <w:r>
              <w:rPr>
                <w:color w:val="auto"/>
              </w:rPr>
              <w:t>本项目不在长江干支流、重要湖泊岸线1公里范围内，不属于钢铁、石化、化工、焦化、建材、有色等高污染项目</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禁止在合规园区外新建、扩建钢铁、石化、化工、 焦化、建材、有色、制浆造纸等高污染项目</w:t>
            </w:r>
          </w:p>
        </w:tc>
        <w:tc>
          <w:tcPr>
            <w:tcW w:w="3105" w:type="dxa"/>
            <w:tcBorders>
              <w:tl2br w:val="nil"/>
              <w:tr2bl w:val="nil"/>
            </w:tcBorders>
            <w:vAlign w:val="center"/>
          </w:tcPr>
          <w:p>
            <w:pPr>
              <w:pStyle w:val="30"/>
              <w:rPr>
                <w:color w:val="auto"/>
              </w:rPr>
            </w:pPr>
            <w:r>
              <w:rPr>
                <w:color w:val="auto"/>
              </w:rPr>
              <w:t>本项目不属于钢铁、石化、化工、焦化、建材、有色、制浆 造纸等高污染项目</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禁止新建、扩建不符合国家石化、现代煤化工等产业布局规划的项目</w:t>
            </w:r>
          </w:p>
        </w:tc>
        <w:tc>
          <w:tcPr>
            <w:tcW w:w="3105" w:type="dxa"/>
            <w:tcBorders>
              <w:tl2br w:val="nil"/>
              <w:tr2bl w:val="nil"/>
            </w:tcBorders>
            <w:vAlign w:val="center"/>
          </w:tcPr>
          <w:p>
            <w:pPr>
              <w:pStyle w:val="30"/>
              <w:rPr>
                <w:color w:val="auto"/>
              </w:rPr>
            </w:pPr>
            <w:r>
              <w:rPr>
                <w:rFonts w:hint="eastAsia"/>
                <w:color w:val="auto"/>
              </w:rPr>
              <w:t>本项目不涉及</w:t>
            </w:r>
          </w:p>
        </w:tc>
        <w:tc>
          <w:tcPr>
            <w:tcW w:w="1325" w:type="dxa"/>
            <w:tcBorders>
              <w:tl2br w:val="nil"/>
              <w:tr2bl w:val="nil"/>
            </w:tcBorders>
            <w:vAlign w:val="center"/>
          </w:tcPr>
          <w:p>
            <w:pPr>
              <w:pStyle w:val="30"/>
              <w:rPr>
                <w:color w:val="auto"/>
              </w:rPr>
            </w:pPr>
            <w:r>
              <w:rPr>
                <w:color w:val="auto"/>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74" w:type="dxa"/>
            <w:tcBorders>
              <w:tl2br w:val="nil"/>
              <w:tr2bl w:val="nil"/>
            </w:tcBorders>
            <w:vAlign w:val="center"/>
          </w:tcPr>
          <w:p>
            <w:pPr>
              <w:pStyle w:val="30"/>
              <w:rPr>
                <w:color w:val="auto"/>
              </w:rPr>
            </w:pPr>
            <w:r>
              <w:rPr>
                <w:color w:val="auto"/>
              </w:rPr>
              <w:t>禁止新建、扩建法律法规和相关政策明令禁止的 落后产能项目。禁止新建、扩建不符合国家产能 置换要求的严重过剩产能行业的项目。禁止新建、扩建不符合要求的高耗能高排放项目</w:t>
            </w:r>
          </w:p>
        </w:tc>
        <w:tc>
          <w:tcPr>
            <w:tcW w:w="3105" w:type="dxa"/>
            <w:tcBorders>
              <w:tl2br w:val="nil"/>
              <w:tr2bl w:val="nil"/>
            </w:tcBorders>
            <w:vAlign w:val="center"/>
          </w:tcPr>
          <w:p>
            <w:pPr>
              <w:pStyle w:val="30"/>
              <w:rPr>
                <w:color w:val="auto"/>
              </w:rPr>
            </w:pPr>
            <w:r>
              <w:rPr>
                <w:color w:val="auto"/>
              </w:rPr>
              <w:t>本项目不属于落后产能项目、产能过剩行业，对照湖南省“两高”行业，本项目不属于高耗能高排放行业</w:t>
            </w:r>
          </w:p>
        </w:tc>
        <w:tc>
          <w:tcPr>
            <w:tcW w:w="1325" w:type="dxa"/>
            <w:tcBorders>
              <w:tl2br w:val="nil"/>
              <w:tr2bl w:val="nil"/>
            </w:tcBorders>
            <w:vAlign w:val="center"/>
          </w:tcPr>
          <w:p>
            <w:pPr>
              <w:pStyle w:val="30"/>
              <w:rPr>
                <w:color w:val="auto"/>
              </w:rPr>
            </w:pPr>
            <w:r>
              <w:rPr>
                <w:color w:val="auto"/>
              </w:rPr>
              <w:t>符合</w:t>
            </w:r>
          </w:p>
        </w:tc>
      </w:tr>
    </w:tbl>
    <w:p>
      <w:pPr>
        <w:ind w:firstLine="480"/>
        <w:rPr>
          <w:color w:val="auto"/>
        </w:rPr>
      </w:pPr>
      <w:r>
        <w:rPr>
          <w:color w:val="auto"/>
        </w:rPr>
        <w:t>综上所述，本项目符合《</w:t>
      </w:r>
      <w:r>
        <w:rPr>
          <w:rFonts w:hint="eastAsia"/>
          <w:color w:val="auto"/>
          <w:lang w:val="en-US" w:eastAsia="zh-CN"/>
        </w:rPr>
        <w:t>湖南省“三线一单”生态环境总体管控暨省级以上产业园区生态环境准入清单》</w:t>
      </w:r>
      <w:r>
        <w:rPr>
          <w:color w:val="auto"/>
        </w:rPr>
        <w:t>及《长江经济带发展负面清单指南（试行，2022年版）》的管控要求。</w:t>
      </w:r>
    </w:p>
    <w:p>
      <w:pPr>
        <w:ind w:firstLine="482"/>
        <w:rPr>
          <w:color w:val="auto"/>
          <w:u w:val="single"/>
        </w:rPr>
      </w:pPr>
      <w:r>
        <w:rPr>
          <w:b/>
          <w:bCs/>
          <w:color w:val="auto"/>
          <w:u w:val="single"/>
        </w:rPr>
        <w:t>3、平面布局合理性分析</w:t>
      </w:r>
    </w:p>
    <w:p>
      <w:pPr>
        <w:ind w:firstLine="480"/>
        <w:rPr>
          <w:rFonts w:hint="default"/>
          <w:color w:val="auto"/>
          <w:lang w:val="en-US" w:eastAsia="zh-CN"/>
        </w:rPr>
      </w:pPr>
      <w:bookmarkStart w:id="35" w:name="_Toc6256"/>
      <w:r>
        <w:rPr>
          <w:color w:val="auto"/>
          <w:u w:val="single"/>
        </w:rPr>
        <w:t>本项目利用现有厂房进行建设，项目主入口位于厂区南侧，靠近公路，方便物料运输。办公生活区域位于厂区</w:t>
      </w:r>
      <w:r>
        <w:rPr>
          <w:rFonts w:hint="eastAsia"/>
          <w:color w:val="auto"/>
          <w:u w:val="single"/>
        </w:rPr>
        <w:t>东南</w:t>
      </w:r>
      <w:r>
        <w:rPr>
          <w:color w:val="auto"/>
          <w:u w:val="single"/>
        </w:rPr>
        <w:t>侧，生产区位于厂区</w:t>
      </w:r>
      <w:r>
        <w:rPr>
          <w:rFonts w:hint="eastAsia"/>
          <w:color w:val="auto"/>
          <w:u w:val="single"/>
          <w:lang w:val="en-US" w:eastAsia="zh-CN"/>
        </w:rPr>
        <w:t>南</w:t>
      </w:r>
      <w:r>
        <w:rPr>
          <w:color w:val="auto"/>
          <w:u w:val="single"/>
        </w:rPr>
        <w:t>侧，</w:t>
      </w:r>
      <w:r>
        <w:rPr>
          <w:rFonts w:hint="eastAsia"/>
          <w:color w:val="auto"/>
          <w:u w:val="single"/>
        </w:rPr>
        <w:t>生产区内设置</w:t>
      </w:r>
      <w:r>
        <w:rPr>
          <w:rFonts w:hint="eastAsia"/>
          <w:color w:val="auto"/>
          <w:u w:val="single"/>
          <w:lang w:val="en-US" w:eastAsia="zh-CN"/>
        </w:rPr>
        <w:t>15</w:t>
      </w:r>
      <w:r>
        <w:rPr>
          <w:rFonts w:hint="eastAsia"/>
          <w:color w:val="auto"/>
          <w:u w:val="single"/>
        </w:rPr>
        <w:t>条PE管生产线，</w:t>
      </w:r>
      <w:r>
        <w:rPr>
          <w:rFonts w:hint="eastAsia"/>
          <w:color w:val="auto"/>
          <w:u w:val="single"/>
          <w:lang w:val="en-US" w:eastAsia="zh-CN"/>
        </w:rPr>
        <w:t>厂区西南侧设置一条破碎造粒生产线，共16条生产线。北</w:t>
      </w:r>
      <w:r>
        <w:rPr>
          <w:color w:val="auto"/>
          <w:u w:val="single"/>
        </w:rPr>
        <w:t>侧为原料仓库及成品仓库。</w:t>
      </w:r>
      <w:r>
        <w:rPr>
          <w:rFonts w:hint="eastAsia"/>
          <w:color w:val="auto"/>
          <w:u w:val="single"/>
        </w:rPr>
        <w:t>本项目总图布置根据所处位置及周围情况，按照工艺流程的要求，保证了工艺流程通顺，操作方便，结合现场地形，合理的进行功能分区，采用封闭式管理，做到布置紧凑，统一规划，以利于生产管理和环境保护。工程厂区平面布置既考虑了厂区内生产、生活环境，又兼顾了厂区外附近环境情况，对各污染因素采取了有效的防治措施，较大程度地避免了各污染因素对厂区和厂区附近环境的影响，从环保角度分析是比较合理的。综合考虑，本项目厂区总平面布置是较合理。</w:t>
      </w:r>
      <w:r>
        <w:rPr>
          <w:rFonts w:hint="eastAsia"/>
          <w:color w:val="auto"/>
          <w:u w:val="single"/>
          <w:lang w:val="en-US" w:eastAsia="zh-CN"/>
        </w:rPr>
        <w:t>项目西侧为居民点，项目生产线排气筒和主要生产设施尽量远离西侧，尽量对居民点影响保持到最低。</w:t>
      </w:r>
    </w:p>
    <w:p>
      <w:pPr>
        <w:pStyle w:val="6"/>
        <w:rPr>
          <w:color w:val="auto"/>
        </w:rPr>
      </w:pPr>
      <w:bookmarkStart w:id="36" w:name="_Toc30194"/>
      <w:bookmarkStart w:id="37" w:name="_Toc32225"/>
      <w:r>
        <w:rPr>
          <w:color w:val="auto"/>
        </w:rPr>
        <w:t>1.6关注的主要环境问题及环境影响</w:t>
      </w:r>
      <w:bookmarkEnd w:id="35"/>
      <w:bookmarkEnd w:id="36"/>
      <w:bookmarkEnd w:id="37"/>
    </w:p>
    <w:p>
      <w:pPr>
        <w:ind w:firstLine="480"/>
        <w:rPr>
          <w:color w:val="auto"/>
        </w:rPr>
      </w:pPr>
      <w:r>
        <w:rPr>
          <w:color w:val="auto"/>
        </w:rPr>
        <w:t>本次评价根据建设项目的特点，关注的主要环境问题及环境影响为：</w:t>
      </w:r>
    </w:p>
    <w:p>
      <w:pPr>
        <w:ind w:firstLine="480"/>
        <w:rPr>
          <w:color w:val="auto"/>
        </w:rPr>
      </w:pPr>
      <w:r>
        <w:rPr>
          <w:color w:val="auto"/>
        </w:rPr>
        <w:t>（1）项目建成后，废气源强和处理措施可行性，分析其可能造成的环境影响，明确其环境影响是否在可接受范围内；</w:t>
      </w:r>
    </w:p>
    <w:p>
      <w:pPr>
        <w:ind w:firstLine="480"/>
        <w:rPr>
          <w:color w:val="auto"/>
        </w:rPr>
      </w:pPr>
      <w:r>
        <w:rPr>
          <w:color w:val="auto"/>
        </w:rPr>
        <w:t>（2）项目建成后，产生一般固体废物及危险废物的种类及数量，明确其处置措施的可行性。</w:t>
      </w:r>
    </w:p>
    <w:p>
      <w:pPr>
        <w:pStyle w:val="6"/>
        <w:rPr>
          <w:color w:val="auto"/>
        </w:rPr>
      </w:pPr>
      <w:bookmarkStart w:id="38" w:name="_TOC_250294"/>
      <w:bookmarkEnd w:id="38"/>
      <w:bookmarkStart w:id="39" w:name="_Toc16961"/>
      <w:bookmarkStart w:id="40" w:name="_Toc14778"/>
      <w:bookmarkStart w:id="41" w:name="_Toc29838"/>
      <w:r>
        <w:rPr>
          <w:color w:val="auto"/>
        </w:rPr>
        <w:t>1.7环境影响评价的主要结论</w:t>
      </w:r>
      <w:bookmarkEnd w:id="39"/>
      <w:bookmarkEnd w:id="40"/>
      <w:bookmarkEnd w:id="41"/>
    </w:p>
    <w:p>
      <w:pPr>
        <w:ind w:firstLine="480"/>
        <w:rPr>
          <w:bCs/>
          <w:color w:val="auto"/>
        </w:rPr>
        <w:sectPr>
          <w:footerReference r:id="rId17"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color w:val="auto"/>
        </w:rPr>
        <w:t>湖南博泰管业有限公司</w:t>
      </w:r>
      <w:r>
        <w:rPr>
          <w:rFonts w:hint="eastAsia"/>
          <w:color w:val="auto"/>
          <w:lang w:eastAsia="zh-CN"/>
        </w:rPr>
        <w:t>年产3万吨高分子材料精深制品建设项目</w:t>
      </w:r>
      <w:r>
        <w:rPr>
          <w:color w:val="auto"/>
        </w:rPr>
        <w:t>符合国家产业政策要求。项目平面布局基本合理，采取的环境保护措施和环境风险防范及管理措施可行，造成的环境影响和环境风险在可接受程度内。因此，在全面落实报告书提出的各项污染防治和环境风险防范及管理措施后</w:t>
      </w:r>
      <w:r>
        <w:rPr>
          <w:rFonts w:hint="eastAsia"/>
          <w:color w:val="auto"/>
        </w:rPr>
        <w:t>，本评价认为该建设项目</w:t>
      </w:r>
      <w:r>
        <w:rPr>
          <w:bCs/>
          <w:color w:val="auto"/>
        </w:rPr>
        <w:t>从环境保护角度分析是可行的。</w:t>
      </w:r>
    </w:p>
    <w:p>
      <w:pPr>
        <w:pStyle w:val="5"/>
        <w:rPr>
          <w:color w:val="auto"/>
        </w:rPr>
      </w:pPr>
      <w:bookmarkStart w:id="42" w:name="_Toc7352"/>
      <w:bookmarkStart w:id="43" w:name="_Toc1502"/>
      <w:r>
        <w:rPr>
          <w:rFonts w:hint="eastAsia"/>
          <w:color w:val="auto"/>
        </w:rPr>
        <w:t>第</w:t>
      </w:r>
      <w:r>
        <w:rPr>
          <w:color w:val="auto"/>
        </w:rPr>
        <w:t>2</w:t>
      </w:r>
      <w:r>
        <w:rPr>
          <w:rFonts w:hint="eastAsia"/>
          <w:color w:val="auto"/>
        </w:rPr>
        <w:t xml:space="preserve">章 </w:t>
      </w:r>
      <w:r>
        <w:rPr>
          <w:color w:val="auto"/>
        </w:rPr>
        <w:t xml:space="preserve"> 总则</w:t>
      </w:r>
      <w:bookmarkEnd w:id="42"/>
      <w:bookmarkEnd w:id="43"/>
    </w:p>
    <w:p>
      <w:pPr>
        <w:pStyle w:val="6"/>
        <w:rPr>
          <w:color w:val="auto"/>
        </w:rPr>
      </w:pPr>
      <w:bookmarkStart w:id="44" w:name="_Toc27241"/>
      <w:bookmarkStart w:id="45" w:name="_Toc447114712"/>
      <w:bookmarkStart w:id="46" w:name="_Toc8254"/>
      <w:bookmarkStart w:id="47" w:name="_Toc24234"/>
      <w:r>
        <w:rPr>
          <w:color w:val="auto"/>
        </w:rPr>
        <w:t>2.1编制依据</w:t>
      </w:r>
      <w:bookmarkEnd w:id="44"/>
      <w:bookmarkEnd w:id="45"/>
      <w:bookmarkEnd w:id="46"/>
      <w:bookmarkEnd w:id="47"/>
    </w:p>
    <w:p>
      <w:pPr>
        <w:pStyle w:val="7"/>
        <w:rPr>
          <w:color w:val="auto"/>
        </w:rPr>
      </w:pPr>
      <w:r>
        <w:rPr>
          <w:color w:val="auto"/>
        </w:rPr>
        <w:t>2.1.1有关法律法规及规章</w:t>
      </w:r>
    </w:p>
    <w:p>
      <w:pPr>
        <w:ind w:firstLine="480"/>
        <w:rPr>
          <w:color w:val="auto"/>
        </w:rPr>
      </w:pPr>
      <w:r>
        <w:rPr>
          <w:color w:val="auto"/>
        </w:rPr>
        <w:t>（1）《中华人民共和国环境保护法》，2015年1月1日施行；</w:t>
      </w:r>
    </w:p>
    <w:p>
      <w:pPr>
        <w:ind w:firstLine="480"/>
        <w:rPr>
          <w:color w:val="auto"/>
        </w:rPr>
      </w:pPr>
      <w:r>
        <w:rPr>
          <w:color w:val="auto"/>
        </w:rPr>
        <w:t>（2）《中华人民共和国环境影响评价法》，2018年12月29日修正施行；</w:t>
      </w:r>
    </w:p>
    <w:p>
      <w:pPr>
        <w:ind w:firstLine="480"/>
        <w:rPr>
          <w:color w:val="auto"/>
        </w:rPr>
      </w:pPr>
      <w:r>
        <w:rPr>
          <w:color w:val="auto"/>
        </w:rPr>
        <w:t>（3）《中华人民共和国水污染防治法》，2018年1月1日修正施行；</w:t>
      </w:r>
    </w:p>
    <w:p>
      <w:pPr>
        <w:ind w:firstLine="480"/>
        <w:rPr>
          <w:color w:val="auto"/>
        </w:rPr>
      </w:pPr>
      <w:r>
        <w:rPr>
          <w:color w:val="auto"/>
        </w:rPr>
        <w:t>（4）《中华人民共和国大气污染防治法》，2018年10月26日修正施行；</w:t>
      </w:r>
    </w:p>
    <w:p>
      <w:pPr>
        <w:ind w:firstLine="480"/>
        <w:rPr>
          <w:color w:val="auto"/>
        </w:rPr>
      </w:pPr>
      <w:r>
        <w:rPr>
          <w:color w:val="auto"/>
        </w:rPr>
        <w:t>（5）《中华人民共和国噪声污染防治法》，2021年12月24日修订</w:t>
      </w:r>
      <w:r>
        <w:rPr>
          <w:rFonts w:hint="eastAsia"/>
          <w:color w:val="auto"/>
        </w:rPr>
        <w:t>，2022年6月5日起实施</w:t>
      </w:r>
      <w:r>
        <w:rPr>
          <w:color w:val="auto"/>
        </w:rPr>
        <w:t>；</w:t>
      </w:r>
    </w:p>
    <w:p>
      <w:pPr>
        <w:ind w:firstLine="480"/>
        <w:rPr>
          <w:color w:val="auto"/>
        </w:rPr>
      </w:pPr>
      <w:r>
        <w:rPr>
          <w:color w:val="auto"/>
        </w:rPr>
        <w:t>（6）《中华人民共和国固体废物污染环境防治法》，2020年9月1日修正施行；</w:t>
      </w:r>
    </w:p>
    <w:p>
      <w:pPr>
        <w:ind w:firstLine="480"/>
        <w:rPr>
          <w:color w:val="auto"/>
        </w:rPr>
      </w:pPr>
      <w:r>
        <w:rPr>
          <w:color w:val="auto"/>
        </w:rPr>
        <w:t>（7）《中华人民共和国土壤污染防治法》，2019年1月1日修订实施；</w:t>
      </w:r>
    </w:p>
    <w:p>
      <w:pPr>
        <w:ind w:firstLine="480"/>
        <w:rPr>
          <w:color w:val="auto"/>
        </w:rPr>
      </w:pPr>
      <w:r>
        <w:rPr>
          <w:color w:val="auto"/>
        </w:rPr>
        <w:t>（8）《中华人民共和国长江保护法》，2021年3月1日起实施；</w:t>
      </w:r>
    </w:p>
    <w:p>
      <w:pPr>
        <w:ind w:firstLine="480"/>
        <w:rPr>
          <w:color w:val="auto"/>
        </w:rPr>
      </w:pPr>
      <w:r>
        <w:rPr>
          <w:color w:val="auto"/>
        </w:rPr>
        <w:t>（9）《中华人民共和国环境保护税法》，2018年1月1日起施行；</w:t>
      </w:r>
    </w:p>
    <w:p>
      <w:pPr>
        <w:ind w:firstLine="480"/>
        <w:rPr>
          <w:color w:val="auto"/>
        </w:rPr>
      </w:pPr>
      <w:r>
        <w:rPr>
          <w:color w:val="auto"/>
        </w:rPr>
        <w:t>（1</w:t>
      </w:r>
      <w:r>
        <w:rPr>
          <w:rFonts w:hint="eastAsia"/>
          <w:color w:val="auto"/>
        </w:rPr>
        <w:t>0</w:t>
      </w:r>
      <w:r>
        <w:rPr>
          <w:color w:val="auto"/>
        </w:rPr>
        <w:t>）《中华人民共和国清洁生产促进法》，2012年7月1日修改施行；</w:t>
      </w:r>
    </w:p>
    <w:p>
      <w:pPr>
        <w:ind w:firstLine="480"/>
        <w:rPr>
          <w:color w:val="auto"/>
        </w:rPr>
      </w:pPr>
      <w:r>
        <w:rPr>
          <w:color w:val="auto"/>
        </w:rPr>
        <w:t>（1</w:t>
      </w:r>
      <w:r>
        <w:rPr>
          <w:rFonts w:hint="eastAsia"/>
          <w:color w:val="auto"/>
        </w:rPr>
        <w:t>1</w:t>
      </w:r>
      <w:r>
        <w:rPr>
          <w:color w:val="auto"/>
        </w:rPr>
        <w:t xml:space="preserve">）《中华人民共和国循环经济促进法》 ，2018年10月26日修订施行； </w:t>
      </w:r>
    </w:p>
    <w:p>
      <w:pPr>
        <w:ind w:firstLine="480"/>
        <w:rPr>
          <w:color w:val="auto"/>
        </w:rPr>
      </w:pPr>
      <w:r>
        <w:rPr>
          <w:color w:val="auto"/>
        </w:rPr>
        <w:t>（1</w:t>
      </w:r>
      <w:r>
        <w:rPr>
          <w:rFonts w:hint="eastAsia"/>
          <w:color w:val="auto"/>
          <w:lang w:val="en-US" w:eastAsia="zh-CN"/>
        </w:rPr>
        <w:t>2</w:t>
      </w:r>
      <w:r>
        <w:rPr>
          <w:color w:val="auto"/>
        </w:rPr>
        <w:t>）《建设项目环境保护管理条例》，（国务院令第682号），2017年8月1日修订，2017年10月1日起实施；</w:t>
      </w:r>
    </w:p>
    <w:p>
      <w:pPr>
        <w:ind w:firstLine="480"/>
        <w:rPr>
          <w:color w:val="auto"/>
        </w:rPr>
      </w:pPr>
      <w:r>
        <w:rPr>
          <w:color w:val="auto"/>
        </w:rPr>
        <w:t>（1</w:t>
      </w:r>
      <w:r>
        <w:rPr>
          <w:rFonts w:hint="eastAsia"/>
          <w:color w:val="auto"/>
          <w:lang w:val="en-US" w:eastAsia="zh-CN"/>
        </w:rPr>
        <w:t>3</w:t>
      </w:r>
      <w:r>
        <w:rPr>
          <w:color w:val="auto"/>
        </w:rPr>
        <w:t>）《建设项目环境影响评价分类管理名录》，生态环境部第16号令，2021年1月1日起实施；</w:t>
      </w:r>
    </w:p>
    <w:p>
      <w:pPr>
        <w:ind w:firstLine="480"/>
        <w:rPr>
          <w:color w:val="auto"/>
        </w:rPr>
      </w:pPr>
      <w:r>
        <w:rPr>
          <w:color w:val="auto"/>
        </w:rPr>
        <w:t>（1</w:t>
      </w:r>
      <w:r>
        <w:rPr>
          <w:rFonts w:hint="eastAsia"/>
          <w:color w:val="auto"/>
          <w:lang w:val="en-US" w:eastAsia="zh-CN"/>
        </w:rPr>
        <w:t>4</w:t>
      </w:r>
      <w:r>
        <w:rPr>
          <w:color w:val="auto"/>
        </w:rPr>
        <w:t>）《关于切实加强风险防范严格环境影响评价管理的通知》，环发[2012]98号；</w:t>
      </w:r>
    </w:p>
    <w:p>
      <w:pPr>
        <w:ind w:firstLine="480"/>
        <w:rPr>
          <w:color w:val="auto"/>
        </w:rPr>
      </w:pPr>
      <w:r>
        <w:rPr>
          <w:color w:val="auto"/>
        </w:rPr>
        <w:t>（1</w:t>
      </w:r>
      <w:r>
        <w:rPr>
          <w:rFonts w:hint="eastAsia"/>
          <w:color w:val="auto"/>
          <w:lang w:val="en-US" w:eastAsia="zh-CN"/>
        </w:rPr>
        <w:t>5</w:t>
      </w:r>
      <w:r>
        <w:rPr>
          <w:color w:val="auto"/>
        </w:rPr>
        <w:t>）《关于进一步加强环境影响评价管理防范环境风险的通知》，环发 [2012]77 号，2012年7月3日起实施；</w:t>
      </w:r>
    </w:p>
    <w:p>
      <w:pPr>
        <w:ind w:firstLine="480"/>
        <w:rPr>
          <w:color w:val="auto"/>
        </w:rPr>
      </w:pPr>
      <w:r>
        <w:rPr>
          <w:color w:val="auto"/>
        </w:rPr>
        <w:t>（1</w:t>
      </w:r>
      <w:r>
        <w:rPr>
          <w:rFonts w:hint="eastAsia"/>
          <w:color w:val="auto"/>
          <w:lang w:val="en-US" w:eastAsia="zh-CN"/>
        </w:rPr>
        <w:t>6</w:t>
      </w:r>
      <w:r>
        <w:rPr>
          <w:color w:val="auto"/>
        </w:rPr>
        <w:t>）《产业结构调整指导目录（2019年本）》，2019年10月30日发布，2020年1月1日起实施；2021年12月30日，中华人民共和国国家发展和改革委员会令第49号修订；</w:t>
      </w:r>
    </w:p>
    <w:p>
      <w:pPr>
        <w:ind w:firstLine="480"/>
        <w:rPr>
          <w:color w:val="auto"/>
        </w:rPr>
      </w:pPr>
      <w:r>
        <w:rPr>
          <w:color w:val="auto"/>
        </w:rPr>
        <w:t>（</w:t>
      </w:r>
      <w:r>
        <w:rPr>
          <w:rFonts w:hint="eastAsia"/>
          <w:color w:val="auto"/>
        </w:rPr>
        <w:t>1</w:t>
      </w:r>
      <w:r>
        <w:rPr>
          <w:rFonts w:hint="eastAsia"/>
          <w:color w:val="auto"/>
          <w:lang w:val="en-US" w:eastAsia="zh-CN"/>
        </w:rPr>
        <w:t>7</w:t>
      </w:r>
      <w:r>
        <w:rPr>
          <w:color w:val="auto"/>
        </w:rPr>
        <w:t>）中华人民共和国工业和信息化部《部分工业行业淘汰落后处理工艺装备和产品指导目录（2010年本）》（2010年10月13日起实施）；</w:t>
      </w:r>
    </w:p>
    <w:p>
      <w:pPr>
        <w:ind w:firstLine="480"/>
        <w:rPr>
          <w:color w:val="auto"/>
        </w:rPr>
      </w:pPr>
      <w:r>
        <w:rPr>
          <w:color w:val="auto"/>
        </w:rPr>
        <w:t>（</w:t>
      </w:r>
      <w:r>
        <w:rPr>
          <w:rFonts w:hint="eastAsia"/>
          <w:color w:val="auto"/>
        </w:rPr>
        <w:t>1</w:t>
      </w:r>
      <w:r>
        <w:rPr>
          <w:rFonts w:hint="eastAsia"/>
          <w:color w:val="auto"/>
          <w:lang w:val="en-US" w:eastAsia="zh-CN"/>
        </w:rPr>
        <w:t>8</w:t>
      </w:r>
      <w:r>
        <w:rPr>
          <w:color w:val="auto"/>
        </w:rPr>
        <w:t>）环境保护综合名录（2021年版，2021年10月25日印发）；</w:t>
      </w:r>
    </w:p>
    <w:p>
      <w:pPr>
        <w:ind w:firstLine="480"/>
        <w:rPr>
          <w:color w:val="auto"/>
        </w:rPr>
      </w:pPr>
      <w:r>
        <w:rPr>
          <w:color w:val="auto"/>
        </w:rPr>
        <w:t>（</w:t>
      </w:r>
      <w:r>
        <w:rPr>
          <w:rFonts w:hint="eastAsia"/>
          <w:color w:val="auto"/>
          <w:lang w:val="en-US" w:eastAsia="zh-CN"/>
        </w:rPr>
        <w:t>19</w:t>
      </w:r>
      <w:r>
        <w:rPr>
          <w:color w:val="auto"/>
        </w:rPr>
        <w:t>）国务院关于印发《水污染防治行动计划》的通知（国发〔2015〕17号），2015年4月2日起实施；</w:t>
      </w:r>
    </w:p>
    <w:p>
      <w:pPr>
        <w:ind w:firstLine="480"/>
        <w:rPr>
          <w:color w:val="auto"/>
        </w:rPr>
      </w:pPr>
      <w:r>
        <w:rPr>
          <w:color w:val="auto"/>
        </w:rPr>
        <w:t>（2</w:t>
      </w:r>
      <w:r>
        <w:rPr>
          <w:rFonts w:hint="eastAsia"/>
          <w:color w:val="auto"/>
          <w:lang w:val="en-US" w:eastAsia="zh-CN"/>
        </w:rPr>
        <w:t>0</w:t>
      </w:r>
      <w:r>
        <w:rPr>
          <w:color w:val="auto"/>
        </w:rPr>
        <w:t>）国务院关于印发《大气污染防治行动计划》的通知（国发〔2013〕37号），2013年9月10日起实施；</w:t>
      </w:r>
    </w:p>
    <w:p>
      <w:pPr>
        <w:ind w:firstLine="480"/>
        <w:rPr>
          <w:color w:val="auto"/>
        </w:rPr>
      </w:pPr>
      <w:r>
        <w:rPr>
          <w:color w:val="auto"/>
        </w:rPr>
        <w:t>（2</w:t>
      </w:r>
      <w:r>
        <w:rPr>
          <w:rFonts w:hint="eastAsia"/>
          <w:color w:val="auto"/>
          <w:lang w:val="en-US" w:eastAsia="zh-CN"/>
        </w:rPr>
        <w:t>1</w:t>
      </w:r>
      <w:r>
        <w:rPr>
          <w:color w:val="auto"/>
        </w:rPr>
        <w:t>）《关于实施“三线一单”生态环境分区管控的指导意见（试行）》，环环评[2021]108号，2021年11月19号实施；</w:t>
      </w:r>
    </w:p>
    <w:p>
      <w:pPr>
        <w:ind w:firstLine="480"/>
        <w:rPr>
          <w:color w:val="auto"/>
        </w:rPr>
      </w:pPr>
      <w:r>
        <w:rPr>
          <w:color w:val="auto"/>
        </w:rPr>
        <w:t>（2</w:t>
      </w:r>
      <w:r>
        <w:rPr>
          <w:rFonts w:hint="eastAsia"/>
          <w:color w:val="auto"/>
          <w:lang w:val="en-US" w:eastAsia="zh-CN"/>
        </w:rPr>
        <w:t>2</w:t>
      </w:r>
      <w:r>
        <w:rPr>
          <w:color w:val="auto"/>
        </w:rPr>
        <w:t>）《土壤污染防治行动计划》（国发〔2016〕31号）；</w:t>
      </w:r>
    </w:p>
    <w:p>
      <w:pPr>
        <w:ind w:firstLine="480"/>
        <w:rPr>
          <w:color w:val="auto"/>
        </w:rPr>
      </w:pPr>
      <w:r>
        <w:rPr>
          <w:color w:val="auto"/>
        </w:rPr>
        <w:t>（2</w:t>
      </w:r>
      <w:r>
        <w:rPr>
          <w:rFonts w:hint="eastAsia"/>
          <w:color w:val="auto"/>
          <w:lang w:val="en-US" w:eastAsia="zh-CN"/>
        </w:rPr>
        <w:t>3</w:t>
      </w:r>
      <w:r>
        <w:rPr>
          <w:color w:val="auto"/>
        </w:rPr>
        <w:t>）《挥发性有机物（VOCs）污染防治技术政策》（公告2013年第31号），2013年5月24日起实施；</w:t>
      </w:r>
    </w:p>
    <w:p>
      <w:pPr>
        <w:ind w:firstLine="480"/>
        <w:rPr>
          <w:color w:val="auto"/>
        </w:rPr>
      </w:pPr>
      <w:r>
        <w:rPr>
          <w:color w:val="auto"/>
        </w:rPr>
        <w:t>（2</w:t>
      </w:r>
      <w:r>
        <w:rPr>
          <w:rFonts w:hint="eastAsia"/>
          <w:color w:val="auto"/>
          <w:lang w:val="en-US" w:eastAsia="zh-CN"/>
        </w:rPr>
        <w:t>4</w:t>
      </w:r>
      <w:r>
        <w:rPr>
          <w:color w:val="auto"/>
        </w:rPr>
        <w:t>）关于印发《重点行业挥发性有机物综合治理方案》的通知（环大气[2019]53号），2019年6月26日起实施；</w:t>
      </w:r>
    </w:p>
    <w:p>
      <w:pPr>
        <w:ind w:firstLine="480"/>
        <w:rPr>
          <w:color w:val="auto"/>
        </w:rPr>
      </w:pPr>
      <w:r>
        <w:rPr>
          <w:color w:val="auto"/>
        </w:rPr>
        <w:t>（2</w:t>
      </w:r>
      <w:r>
        <w:rPr>
          <w:rFonts w:hint="eastAsia"/>
          <w:color w:val="auto"/>
          <w:lang w:val="en-US" w:eastAsia="zh-CN"/>
        </w:rPr>
        <w:t>5</w:t>
      </w:r>
      <w:r>
        <w:rPr>
          <w:color w:val="auto"/>
        </w:rPr>
        <w:t>）《挥发性有机物无组织排放控制标准（GB37822-2019）》；</w:t>
      </w:r>
    </w:p>
    <w:p>
      <w:pPr>
        <w:ind w:firstLine="480"/>
        <w:rPr>
          <w:color w:val="auto"/>
        </w:rPr>
      </w:pPr>
      <w:r>
        <w:rPr>
          <w:color w:val="auto"/>
        </w:rPr>
        <w:t>（2</w:t>
      </w:r>
      <w:r>
        <w:rPr>
          <w:rFonts w:hint="eastAsia"/>
          <w:color w:val="auto"/>
          <w:lang w:val="en-US" w:eastAsia="zh-CN"/>
        </w:rPr>
        <w:t>6</w:t>
      </w:r>
      <w:r>
        <w:rPr>
          <w:color w:val="auto"/>
        </w:rPr>
        <w:t>）《长江经济带发展负面清单指南（试行，2022年版）》，长江办[2022]7号，2022年1月19号实施。</w:t>
      </w:r>
    </w:p>
    <w:p>
      <w:pPr>
        <w:ind w:firstLine="480"/>
        <w:rPr>
          <w:color w:val="auto"/>
        </w:rPr>
      </w:pPr>
      <w:r>
        <w:rPr>
          <w:color w:val="auto"/>
        </w:rPr>
        <w:t>（</w:t>
      </w:r>
      <w:r>
        <w:rPr>
          <w:rFonts w:hint="eastAsia"/>
          <w:color w:val="auto"/>
        </w:rPr>
        <w:t>2</w:t>
      </w:r>
      <w:r>
        <w:rPr>
          <w:rFonts w:hint="eastAsia"/>
          <w:color w:val="auto"/>
          <w:lang w:val="en-US" w:eastAsia="zh-CN"/>
        </w:rPr>
        <w:t>7</w:t>
      </w:r>
      <w:r>
        <w:rPr>
          <w:color w:val="auto"/>
        </w:rPr>
        <w:t>）《关于发布计算污染物排放量的排污系数和物料衡算方法的公告》（环境保护部公告2017年</w:t>
      </w:r>
      <w:r>
        <w:rPr>
          <w:rFonts w:hint="eastAsia"/>
          <w:color w:val="auto"/>
        </w:rPr>
        <w:t xml:space="preserve"> </w:t>
      </w:r>
      <w:r>
        <w:rPr>
          <w:color w:val="auto"/>
        </w:rPr>
        <w:t xml:space="preserve">第81号）； </w:t>
      </w:r>
    </w:p>
    <w:p>
      <w:pPr>
        <w:ind w:firstLine="480"/>
        <w:rPr>
          <w:color w:val="auto"/>
        </w:rPr>
      </w:pPr>
      <w:r>
        <w:rPr>
          <w:color w:val="auto"/>
        </w:rPr>
        <w:t>（</w:t>
      </w:r>
      <w:r>
        <w:rPr>
          <w:rFonts w:hint="eastAsia"/>
          <w:color w:val="auto"/>
        </w:rPr>
        <w:t>2</w:t>
      </w:r>
      <w:r>
        <w:rPr>
          <w:rFonts w:hint="eastAsia"/>
          <w:color w:val="auto"/>
          <w:lang w:val="en-US" w:eastAsia="zh-CN"/>
        </w:rPr>
        <w:t>8</w:t>
      </w:r>
      <w:r>
        <w:rPr>
          <w:color w:val="auto"/>
        </w:rPr>
        <w:t>）《环境影响评价公众参与办法》，生态环境部令第4号；</w:t>
      </w:r>
    </w:p>
    <w:p>
      <w:pPr>
        <w:ind w:firstLine="480"/>
        <w:rPr>
          <w:color w:val="auto"/>
        </w:rPr>
      </w:pPr>
      <w:r>
        <w:rPr>
          <w:color w:val="auto"/>
        </w:rPr>
        <w:t>（</w:t>
      </w:r>
      <w:r>
        <w:rPr>
          <w:rFonts w:hint="eastAsia"/>
          <w:color w:val="auto"/>
          <w:lang w:val="en-US" w:eastAsia="zh-CN"/>
        </w:rPr>
        <w:t>29</w:t>
      </w:r>
      <w:r>
        <w:rPr>
          <w:color w:val="auto"/>
        </w:rPr>
        <w:t>）《关于发布《环境空气质量标准》（GB 3095-2012）修改单的公告》（生态环境部公告 2018年 第29号）。</w:t>
      </w:r>
    </w:p>
    <w:p>
      <w:pPr>
        <w:pStyle w:val="7"/>
        <w:rPr>
          <w:color w:val="auto"/>
        </w:rPr>
      </w:pPr>
      <w:r>
        <w:rPr>
          <w:color w:val="auto"/>
        </w:rPr>
        <w:t>2.1.2地方有关法规及相关政策文件</w:t>
      </w:r>
    </w:p>
    <w:p>
      <w:pPr>
        <w:ind w:firstLine="480"/>
        <w:rPr>
          <w:color w:val="auto"/>
        </w:rPr>
      </w:pPr>
      <w:r>
        <w:rPr>
          <w:color w:val="auto"/>
        </w:rPr>
        <w:t>（1）《湖南省环境保护条例》（2019年修订）；</w:t>
      </w:r>
    </w:p>
    <w:p>
      <w:pPr>
        <w:ind w:firstLine="480"/>
        <w:rPr>
          <w:color w:val="auto"/>
        </w:rPr>
      </w:pPr>
      <w:r>
        <w:rPr>
          <w:color w:val="auto"/>
        </w:rPr>
        <w:t>（2）《湖南省“十四五”生态环境保护规划》，湘政办发[2021]61 号，2021年9月30日实施；</w:t>
      </w:r>
    </w:p>
    <w:p>
      <w:pPr>
        <w:ind w:firstLine="480"/>
        <w:rPr>
          <w:color w:val="auto"/>
        </w:rPr>
      </w:pPr>
      <w:r>
        <w:rPr>
          <w:color w:val="auto"/>
        </w:rPr>
        <w:t>（3）《湖南省建设项目环境保护管理办法》（湖南省人民政府第215号令）；</w:t>
      </w:r>
    </w:p>
    <w:p>
      <w:pPr>
        <w:ind w:firstLine="480"/>
        <w:rPr>
          <w:color w:val="auto"/>
        </w:rPr>
      </w:pPr>
      <w:r>
        <w:rPr>
          <w:color w:val="auto"/>
        </w:rPr>
        <w:t>（4）《湖南省污染防治攻坚战三年行动计划（2018—2020年）》（湘政发[2018]17号）；</w:t>
      </w:r>
    </w:p>
    <w:p>
      <w:pPr>
        <w:ind w:firstLine="480"/>
        <w:rPr>
          <w:color w:val="auto"/>
        </w:rPr>
      </w:pPr>
      <w:r>
        <w:rPr>
          <w:color w:val="auto"/>
        </w:rPr>
        <w:t>（5）《湖南省主体功能区规划》；</w:t>
      </w:r>
    </w:p>
    <w:p>
      <w:pPr>
        <w:ind w:firstLine="480"/>
        <w:rPr>
          <w:color w:val="auto"/>
        </w:rPr>
      </w:pPr>
      <w:r>
        <w:rPr>
          <w:color w:val="auto"/>
        </w:rPr>
        <w:t>（6）《湖南省人民政府关于印发《湖南省生态保护红线》的通知》（湘政发〔2018〕20号）；</w:t>
      </w:r>
    </w:p>
    <w:p>
      <w:pPr>
        <w:ind w:firstLine="480"/>
        <w:rPr>
          <w:color w:val="auto"/>
        </w:rPr>
      </w:pPr>
      <w:r>
        <w:rPr>
          <w:color w:val="auto"/>
        </w:rPr>
        <w:t>（7）《湖南省大气污染防治条例》，2017年6月1日起施行；</w:t>
      </w:r>
    </w:p>
    <w:p>
      <w:pPr>
        <w:ind w:firstLine="480"/>
        <w:rPr>
          <w:color w:val="auto"/>
        </w:rPr>
      </w:pPr>
      <w:r>
        <w:rPr>
          <w:color w:val="auto"/>
        </w:rPr>
        <w:t>（8）《湖南省贯彻落实大气污染防治行动计划实施细则》，（湘政办发〔2013〕77号）；</w:t>
      </w:r>
    </w:p>
    <w:p>
      <w:pPr>
        <w:ind w:firstLine="480"/>
        <w:rPr>
          <w:color w:val="auto"/>
        </w:rPr>
      </w:pPr>
      <w:r>
        <w:rPr>
          <w:color w:val="auto"/>
        </w:rPr>
        <w:t>（9）《湖南省贯彻落实水污染防治行动计划实施方案（2016-2020年）》，（湘政发[2015]53号）；</w:t>
      </w:r>
    </w:p>
    <w:p>
      <w:pPr>
        <w:ind w:firstLine="480"/>
        <w:rPr>
          <w:color w:val="auto"/>
        </w:rPr>
      </w:pPr>
      <w:r>
        <w:rPr>
          <w:color w:val="auto"/>
        </w:rPr>
        <w:t>（10）《湖南省人民政府关于公布湖南省县级以上地表水集中式饮用水水源保护区划定方案的通知》（湘政函[2016]176号）；</w:t>
      </w:r>
    </w:p>
    <w:p>
      <w:pPr>
        <w:ind w:firstLine="480"/>
        <w:rPr>
          <w:color w:val="auto"/>
        </w:rPr>
      </w:pPr>
      <w:r>
        <w:rPr>
          <w:color w:val="auto"/>
        </w:rPr>
        <w:t>（11）《湖南省生态环境厅关于执行污染物特别排放限值（第一批）的公告》；</w:t>
      </w:r>
    </w:p>
    <w:p>
      <w:pPr>
        <w:ind w:firstLine="480"/>
        <w:rPr>
          <w:color w:val="auto"/>
        </w:rPr>
      </w:pPr>
      <w:r>
        <w:rPr>
          <w:color w:val="auto"/>
        </w:rPr>
        <w:t>（12）《湖南省长江经济带发展负面清单实施细则（试行）》；</w:t>
      </w:r>
    </w:p>
    <w:p>
      <w:pPr>
        <w:ind w:firstLine="480"/>
        <w:rPr>
          <w:color w:val="auto"/>
        </w:rPr>
      </w:pPr>
      <w:r>
        <w:rPr>
          <w:color w:val="auto"/>
        </w:rPr>
        <w:t>（13）《湖南省“两高”项目管理名录》，湘发改环资[2021]968号，2021年12月16日印发；</w:t>
      </w:r>
    </w:p>
    <w:p>
      <w:pPr>
        <w:ind w:firstLine="480"/>
        <w:rPr>
          <w:color w:val="auto"/>
        </w:rPr>
      </w:pPr>
      <w:r>
        <w:rPr>
          <w:color w:val="auto"/>
        </w:rPr>
        <w:t>（1</w:t>
      </w:r>
      <w:r>
        <w:rPr>
          <w:rFonts w:hint="eastAsia"/>
          <w:color w:val="auto"/>
          <w:lang w:val="en-US" w:eastAsia="zh-CN"/>
        </w:rPr>
        <w:t>4</w:t>
      </w:r>
      <w:r>
        <w:rPr>
          <w:color w:val="auto"/>
        </w:rPr>
        <w:t>）《关于印发＜岳阳市水环境功能区管理规定＞和＜岳阳市水环境功能区划分＞的通知》（岳政发[2010]30 号）；</w:t>
      </w:r>
    </w:p>
    <w:p>
      <w:pPr>
        <w:ind w:firstLine="480"/>
        <w:rPr>
          <w:color w:val="auto"/>
        </w:rPr>
      </w:pPr>
      <w:r>
        <w:rPr>
          <w:color w:val="auto"/>
        </w:rPr>
        <w:t>（1</w:t>
      </w:r>
      <w:r>
        <w:rPr>
          <w:rFonts w:hint="eastAsia"/>
          <w:color w:val="auto"/>
          <w:lang w:val="en-US" w:eastAsia="zh-CN"/>
        </w:rPr>
        <w:t>5</w:t>
      </w:r>
      <w:r>
        <w:rPr>
          <w:color w:val="auto"/>
        </w:rPr>
        <w:t>）《岳阳市人民政府办公室关于印发＜岳阳市重要饮用水水源地名录＞的通知》(岳政办函〔2015〕21号)；</w:t>
      </w:r>
    </w:p>
    <w:p>
      <w:pPr>
        <w:ind w:firstLine="480"/>
        <w:rPr>
          <w:color w:val="auto"/>
        </w:rPr>
      </w:pPr>
      <w:r>
        <w:rPr>
          <w:color w:val="auto"/>
        </w:rPr>
        <w:t>（1</w:t>
      </w:r>
      <w:r>
        <w:rPr>
          <w:rFonts w:hint="eastAsia"/>
          <w:color w:val="auto"/>
          <w:lang w:val="en-US" w:eastAsia="zh-CN"/>
        </w:rPr>
        <w:t>6</w:t>
      </w:r>
      <w:r>
        <w:rPr>
          <w:color w:val="auto"/>
        </w:rPr>
        <w:t>）《岳阳市生态环境保护“十三五”规划》；</w:t>
      </w:r>
    </w:p>
    <w:p>
      <w:pPr>
        <w:ind w:firstLine="480"/>
        <w:rPr>
          <w:color w:val="auto"/>
        </w:rPr>
      </w:pPr>
      <w:r>
        <w:rPr>
          <w:color w:val="auto"/>
        </w:rPr>
        <w:t>（1</w:t>
      </w:r>
      <w:r>
        <w:rPr>
          <w:rFonts w:hint="eastAsia"/>
          <w:color w:val="auto"/>
          <w:lang w:val="en-US" w:eastAsia="zh-CN"/>
        </w:rPr>
        <w:t>7</w:t>
      </w:r>
      <w:r>
        <w:rPr>
          <w:color w:val="auto"/>
        </w:rPr>
        <w:t>）《岳阳市汨罗江水体达标方案》（岳阳市环保局）；</w:t>
      </w:r>
    </w:p>
    <w:p>
      <w:pPr>
        <w:ind w:firstLine="480"/>
        <w:rPr>
          <w:color w:val="auto"/>
        </w:rPr>
      </w:pPr>
      <w:r>
        <w:rPr>
          <w:color w:val="auto"/>
        </w:rPr>
        <w:t>（1</w:t>
      </w:r>
      <w:r>
        <w:rPr>
          <w:rFonts w:hint="eastAsia"/>
          <w:color w:val="auto"/>
          <w:lang w:val="en-US" w:eastAsia="zh-CN"/>
        </w:rPr>
        <w:t>8</w:t>
      </w:r>
      <w:r>
        <w:rPr>
          <w:color w:val="auto"/>
        </w:rPr>
        <w:t>）《汨罗市城市总体规划》（2006～2020）。</w:t>
      </w:r>
    </w:p>
    <w:p>
      <w:pPr>
        <w:pStyle w:val="7"/>
        <w:rPr>
          <w:color w:val="auto"/>
        </w:rPr>
      </w:pPr>
      <w:r>
        <w:rPr>
          <w:color w:val="auto"/>
        </w:rPr>
        <w:t>2.1.3导则及有关技术规范</w:t>
      </w:r>
    </w:p>
    <w:p>
      <w:pPr>
        <w:ind w:firstLine="480"/>
        <w:rPr>
          <w:bCs/>
          <w:color w:val="auto"/>
        </w:rPr>
      </w:pPr>
      <w:r>
        <w:rPr>
          <w:bCs/>
          <w:color w:val="auto"/>
        </w:rPr>
        <w:t>（1）《建设项目环境影响评价技术导则  总纲》（HJ2.1-2016）；</w:t>
      </w:r>
    </w:p>
    <w:p>
      <w:pPr>
        <w:ind w:firstLine="480"/>
        <w:rPr>
          <w:bCs/>
          <w:color w:val="auto"/>
        </w:rPr>
      </w:pPr>
      <w:r>
        <w:rPr>
          <w:bCs/>
          <w:color w:val="auto"/>
        </w:rPr>
        <w:t>（2）《环境影响评价技术导则  大气环境》（HJ2.2-2018）；</w:t>
      </w:r>
    </w:p>
    <w:p>
      <w:pPr>
        <w:ind w:firstLine="480"/>
        <w:rPr>
          <w:bCs/>
          <w:color w:val="auto"/>
        </w:rPr>
      </w:pPr>
      <w:r>
        <w:rPr>
          <w:bCs/>
          <w:color w:val="auto"/>
        </w:rPr>
        <w:t>（3）《环境影响评价技术导则  地表水环境》（HJ2.3-2018）；</w:t>
      </w:r>
    </w:p>
    <w:p>
      <w:pPr>
        <w:ind w:firstLine="480"/>
        <w:rPr>
          <w:bCs/>
          <w:color w:val="auto"/>
        </w:rPr>
      </w:pPr>
      <w:r>
        <w:rPr>
          <w:bCs/>
          <w:color w:val="auto"/>
        </w:rPr>
        <w:t>（4）《环境影响评价技术导则  声环境》（HJ2.4-2021）；</w:t>
      </w:r>
    </w:p>
    <w:p>
      <w:pPr>
        <w:ind w:firstLine="480"/>
        <w:rPr>
          <w:bCs/>
          <w:color w:val="auto"/>
        </w:rPr>
      </w:pPr>
      <w:r>
        <w:rPr>
          <w:bCs/>
          <w:color w:val="auto"/>
        </w:rPr>
        <w:t>（5）《环境影响评价技术导则  地下水环境》（HJ610-2016）；</w:t>
      </w:r>
    </w:p>
    <w:p>
      <w:pPr>
        <w:ind w:firstLine="480"/>
        <w:rPr>
          <w:bCs/>
          <w:color w:val="auto"/>
        </w:rPr>
      </w:pPr>
      <w:r>
        <w:rPr>
          <w:bCs/>
          <w:color w:val="auto"/>
        </w:rPr>
        <w:t>（6）《环境影响评价技术导则  土壤环境（试行）》（HJ964-2018）</w:t>
      </w:r>
    </w:p>
    <w:p>
      <w:pPr>
        <w:ind w:firstLine="480"/>
        <w:rPr>
          <w:bCs/>
          <w:color w:val="auto"/>
        </w:rPr>
      </w:pPr>
      <w:r>
        <w:rPr>
          <w:bCs/>
          <w:color w:val="auto"/>
        </w:rPr>
        <w:t>（7）《环境影响评价技术导则  生态影响》（HJ19-2022）；</w:t>
      </w:r>
    </w:p>
    <w:p>
      <w:pPr>
        <w:ind w:firstLine="480"/>
        <w:rPr>
          <w:bCs/>
          <w:color w:val="auto"/>
        </w:rPr>
      </w:pPr>
      <w:r>
        <w:rPr>
          <w:bCs/>
          <w:color w:val="auto"/>
        </w:rPr>
        <w:t>（8）《建设项目环境风险评价技术导则》（HJ169-2018）；</w:t>
      </w:r>
    </w:p>
    <w:p>
      <w:pPr>
        <w:ind w:firstLine="480"/>
        <w:rPr>
          <w:bCs/>
          <w:color w:val="auto"/>
        </w:rPr>
      </w:pPr>
      <w:r>
        <w:rPr>
          <w:bCs/>
          <w:color w:val="auto"/>
        </w:rPr>
        <w:t>（9）《事故状态下水体污染的预防与控制技术要求》（Q/SY1190-2009）；</w:t>
      </w:r>
    </w:p>
    <w:p>
      <w:pPr>
        <w:ind w:firstLine="480"/>
        <w:rPr>
          <w:bCs/>
          <w:color w:val="auto"/>
        </w:rPr>
      </w:pPr>
      <w:r>
        <w:rPr>
          <w:bCs/>
          <w:color w:val="auto"/>
        </w:rPr>
        <w:t>（10）《国家危险废物名录》（2</w:t>
      </w:r>
      <w:r>
        <w:rPr>
          <w:rFonts w:hint="eastAsia"/>
          <w:bCs/>
          <w:color w:val="auto"/>
          <w:lang w:val="en-US" w:eastAsia="zh-CN"/>
        </w:rPr>
        <w:t>021</w:t>
      </w:r>
      <w:r>
        <w:rPr>
          <w:bCs/>
          <w:color w:val="auto"/>
        </w:rPr>
        <w:t>年版），20</w:t>
      </w:r>
      <w:r>
        <w:rPr>
          <w:rFonts w:hint="eastAsia"/>
          <w:bCs/>
          <w:color w:val="auto"/>
          <w:lang w:val="en-US" w:eastAsia="zh-CN"/>
        </w:rPr>
        <w:t>21</w:t>
      </w:r>
      <w:r>
        <w:rPr>
          <w:bCs/>
          <w:color w:val="auto"/>
        </w:rPr>
        <w:t>年</w:t>
      </w:r>
      <w:r>
        <w:rPr>
          <w:rFonts w:hint="eastAsia"/>
          <w:bCs/>
          <w:color w:val="auto"/>
          <w:lang w:val="en-US" w:eastAsia="zh-CN"/>
        </w:rPr>
        <w:t>1</w:t>
      </w:r>
      <w:r>
        <w:rPr>
          <w:bCs/>
          <w:color w:val="auto"/>
        </w:rPr>
        <w:t>月1日施行；</w:t>
      </w:r>
    </w:p>
    <w:p>
      <w:pPr>
        <w:ind w:firstLine="480"/>
        <w:rPr>
          <w:bCs/>
          <w:color w:val="auto"/>
        </w:rPr>
      </w:pPr>
      <w:r>
        <w:rPr>
          <w:bCs/>
          <w:color w:val="auto"/>
        </w:rPr>
        <w:t>（11）《建设项目危险废物环境影响评价指南》（环保部公告2017年第43号）；</w:t>
      </w:r>
    </w:p>
    <w:p>
      <w:pPr>
        <w:ind w:firstLine="480"/>
        <w:rPr>
          <w:bCs/>
          <w:color w:val="auto"/>
        </w:rPr>
      </w:pPr>
      <w:r>
        <w:rPr>
          <w:bCs/>
          <w:color w:val="auto"/>
        </w:rPr>
        <w:t>（12）《固体废物鉴别标准  通则》（GB34330-2017）；</w:t>
      </w:r>
    </w:p>
    <w:p>
      <w:pPr>
        <w:ind w:firstLine="480"/>
        <w:rPr>
          <w:bCs/>
          <w:color w:val="auto"/>
        </w:rPr>
      </w:pPr>
      <w:r>
        <w:rPr>
          <w:bCs/>
          <w:color w:val="auto"/>
        </w:rPr>
        <w:t>（13）《环境空气质量评价技术规范（试行）》（HJ 663-2013）；</w:t>
      </w:r>
    </w:p>
    <w:p>
      <w:pPr>
        <w:ind w:firstLine="480"/>
        <w:rPr>
          <w:bCs/>
          <w:color w:val="auto"/>
        </w:rPr>
      </w:pPr>
      <w:r>
        <w:rPr>
          <w:bCs/>
          <w:color w:val="auto"/>
        </w:rPr>
        <w:t>（14）《环境空气质量监测点位布设技术规范（试行）》（HJ 664-2013）；</w:t>
      </w:r>
    </w:p>
    <w:p>
      <w:pPr>
        <w:ind w:firstLine="480"/>
        <w:rPr>
          <w:bCs/>
          <w:color w:val="auto"/>
        </w:rPr>
      </w:pPr>
      <w:r>
        <w:rPr>
          <w:bCs/>
          <w:color w:val="auto"/>
        </w:rPr>
        <w:t>（15）《排污单位自行监测技术指南 总则》（HJ 819-2017）；</w:t>
      </w:r>
    </w:p>
    <w:p>
      <w:pPr>
        <w:ind w:firstLine="480"/>
        <w:rPr>
          <w:bCs/>
          <w:color w:val="auto"/>
        </w:rPr>
      </w:pPr>
      <w:r>
        <w:rPr>
          <w:bCs/>
          <w:color w:val="auto"/>
        </w:rPr>
        <w:t>（16）《污染源源强核算技术指南 准则》（HJ884-2018）；</w:t>
      </w:r>
    </w:p>
    <w:p>
      <w:pPr>
        <w:ind w:firstLine="480"/>
        <w:rPr>
          <w:bCs/>
          <w:color w:val="auto"/>
        </w:rPr>
      </w:pPr>
      <w:r>
        <w:rPr>
          <w:bCs/>
          <w:color w:val="auto"/>
        </w:rPr>
        <w:t>（17）《排污许可证申请与核发技术规范 橡胶与塑料制品工业》（HJ1122-2020）；</w:t>
      </w:r>
    </w:p>
    <w:p>
      <w:pPr>
        <w:ind w:firstLine="480"/>
        <w:rPr>
          <w:bCs/>
          <w:color w:val="auto"/>
        </w:rPr>
      </w:pPr>
      <w:r>
        <w:rPr>
          <w:bCs/>
          <w:color w:val="auto"/>
        </w:rPr>
        <w:t>（18）《排污许可证申请与核发技术规范 总则》(HJ942-2018)；</w:t>
      </w:r>
    </w:p>
    <w:p>
      <w:pPr>
        <w:ind w:firstLine="480"/>
        <w:rPr>
          <w:bCs/>
          <w:color w:val="auto"/>
        </w:rPr>
      </w:pPr>
      <w:r>
        <w:rPr>
          <w:bCs/>
          <w:color w:val="auto"/>
        </w:rPr>
        <w:t>（19）《废塑料</w:t>
      </w:r>
      <w:r>
        <w:rPr>
          <w:rFonts w:hint="eastAsia"/>
          <w:bCs/>
          <w:color w:val="auto"/>
        </w:rPr>
        <w:t>污染控制技术规范</w:t>
      </w:r>
      <w:r>
        <w:rPr>
          <w:bCs/>
          <w:color w:val="auto"/>
        </w:rPr>
        <w:t>》（HJ364-20</w:t>
      </w:r>
      <w:r>
        <w:rPr>
          <w:rFonts w:hint="eastAsia"/>
          <w:bCs/>
          <w:color w:val="auto"/>
        </w:rPr>
        <w:t>22</w:t>
      </w:r>
      <w:r>
        <w:rPr>
          <w:bCs/>
          <w:color w:val="auto"/>
        </w:rPr>
        <w:t>）。</w:t>
      </w:r>
    </w:p>
    <w:p>
      <w:pPr>
        <w:pStyle w:val="7"/>
        <w:rPr>
          <w:color w:val="auto"/>
        </w:rPr>
      </w:pPr>
      <w:r>
        <w:rPr>
          <w:color w:val="auto"/>
        </w:rPr>
        <w:t>2.1.4 其他有关技术文件</w:t>
      </w:r>
    </w:p>
    <w:p>
      <w:pPr>
        <w:ind w:firstLine="480"/>
        <w:rPr>
          <w:bCs/>
          <w:color w:val="auto"/>
        </w:rPr>
      </w:pPr>
      <w:r>
        <w:rPr>
          <w:bCs/>
          <w:color w:val="auto"/>
        </w:rPr>
        <w:t>（1）本项目环境影响评价委托书；</w:t>
      </w:r>
    </w:p>
    <w:p>
      <w:pPr>
        <w:ind w:firstLine="480"/>
        <w:rPr>
          <w:bCs/>
          <w:color w:val="auto"/>
        </w:rPr>
      </w:pPr>
      <w:r>
        <w:rPr>
          <w:bCs/>
          <w:color w:val="auto"/>
        </w:rPr>
        <w:t>（</w:t>
      </w:r>
      <w:r>
        <w:rPr>
          <w:rFonts w:hint="eastAsia"/>
          <w:bCs/>
          <w:color w:val="auto"/>
        </w:rPr>
        <w:t>2</w:t>
      </w:r>
      <w:r>
        <w:rPr>
          <w:bCs/>
          <w:color w:val="auto"/>
        </w:rPr>
        <w:t>）本项目环境质量现状监测报告及质保单；</w:t>
      </w:r>
    </w:p>
    <w:p>
      <w:pPr>
        <w:ind w:firstLine="480"/>
        <w:rPr>
          <w:bCs/>
          <w:color w:val="auto"/>
        </w:rPr>
      </w:pPr>
      <w:r>
        <w:rPr>
          <w:bCs/>
          <w:color w:val="auto"/>
        </w:rPr>
        <w:t>（</w:t>
      </w:r>
      <w:r>
        <w:rPr>
          <w:rFonts w:hint="eastAsia"/>
          <w:bCs/>
          <w:color w:val="auto"/>
        </w:rPr>
        <w:t>3</w:t>
      </w:r>
      <w:r>
        <w:rPr>
          <w:bCs/>
          <w:color w:val="auto"/>
        </w:rPr>
        <w:t>）建设单位提供的其它资料。</w:t>
      </w:r>
    </w:p>
    <w:p>
      <w:pPr>
        <w:pStyle w:val="6"/>
        <w:rPr>
          <w:color w:val="auto"/>
        </w:rPr>
      </w:pPr>
      <w:bookmarkStart w:id="48" w:name="_Toc29583"/>
      <w:bookmarkStart w:id="49" w:name="_Toc32729"/>
      <w:bookmarkStart w:id="50" w:name="_Toc3312"/>
      <w:r>
        <w:rPr>
          <w:color w:val="auto"/>
        </w:rPr>
        <w:t>2.2环境影响要素识别和评价因子筛选</w:t>
      </w:r>
      <w:bookmarkEnd w:id="48"/>
      <w:bookmarkEnd w:id="49"/>
      <w:bookmarkEnd w:id="50"/>
    </w:p>
    <w:p>
      <w:pPr>
        <w:pStyle w:val="7"/>
        <w:rPr>
          <w:color w:val="auto"/>
        </w:rPr>
      </w:pPr>
      <w:r>
        <w:rPr>
          <w:color w:val="auto"/>
        </w:rPr>
        <w:t>2.2.1环境影响要素识别</w:t>
      </w:r>
    </w:p>
    <w:p>
      <w:pPr>
        <w:ind w:firstLine="480"/>
        <w:rPr>
          <w:bCs/>
          <w:color w:val="auto"/>
        </w:rPr>
      </w:pPr>
      <w:r>
        <w:rPr>
          <w:bCs/>
          <w:color w:val="auto"/>
        </w:rPr>
        <w:t>（1）施工期环境影响因素识别</w:t>
      </w:r>
    </w:p>
    <w:p>
      <w:pPr>
        <w:ind w:firstLine="480"/>
        <w:rPr>
          <w:bCs/>
          <w:color w:val="auto"/>
        </w:rPr>
      </w:pPr>
      <w:r>
        <w:rPr>
          <w:rFonts w:hint="eastAsia"/>
          <w:bCs/>
          <w:color w:val="auto"/>
          <w:lang w:val="en-US" w:eastAsia="zh-CN"/>
        </w:rPr>
        <w:t>项目厂房已建成，施工期主要进行简单设备安装，无相关土建工程。</w:t>
      </w:r>
      <w:r>
        <w:rPr>
          <w:bCs/>
          <w:color w:val="auto"/>
        </w:rPr>
        <w:t>施工期影响是局部的、短期的。</w:t>
      </w:r>
    </w:p>
    <w:p>
      <w:pPr>
        <w:ind w:firstLine="480"/>
        <w:rPr>
          <w:bCs/>
          <w:color w:val="auto"/>
        </w:rPr>
      </w:pPr>
      <w:r>
        <w:rPr>
          <w:bCs/>
          <w:color w:val="auto"/>
        </w:rPr>
        <w:t>（2）运营期环境影响因素识别</w:t>
      </w:r>
    </w:p>
    <w:p>
      <w:pPr>
        <w:ind w:firstLine="480"/>
        <w:rPr>
          <w:bCs/>
          <w:color w:val="auto"/>
        </w:rPr>
      </w:pPr>
      <w:r>
        <w:rPr>
          <w:bCs/>
          <w:color w:val="auto"/>
        </w:rPr>
        <w:t>经过对项目建设、运行特点的初步分析，结合项目当地的环境特征，对可能受项目开发、运行影响的环境因素进行了识别，确定了项目建设、运营期对各方面环境可能带来的影响，详见下表。</w:t>
      </w:r>
    </w:p>
    <w:p>
      <w:pPr>
        <w:pStyle w:val="31"/>
        <w:rPr>
          <w:color w:val="auto"/>
        </w:rPr>
      </w:pPr>
      <w:r>
        <w:rPr>
          <w:color w:val="auto"/>
        </w:rPr>
        <w:t>表2.2-1  项目环境影响因素识别表</w:t>
      </w:r>
    </w:p>
    <w:tbl>
      <w:tblPr>
        <w:tblStyle w:val="21"/>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1074"/>
        <w:gridCol w:w="946"/>
        <w:gridCol w:w="946"/>
        <w:gridCol w:w="946"/>
        <w:gridCol w:w="946"/>
        <w:gridCol w:w="946"/>
        <w:gridCol w:w="946"/>
        <w:gridCol w:w="9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110" w:type="pct"/>
            <w:gridSpan w:val="2"/>
            <w:vMerge w:val="restart"/>
            <w:tcBorders>
              <w:top w:val="single" w:color="auto" w:sz="12" w:space="0"/>
              <w:bottom w:val="single" w:color="auto" w:sz="4" w:space="0"/>
              <w:tl2br w:val="single" w:color="auto" w:sz="4" w:space="0"/>
            </w:tcBorders>
            <w:vAlign w:val="center"/>
          </w:tcPr>
          <w:p>
            <w:pPr>
              <w:keepNext w:val="0"/>
              <w:keepLines w:val="0"/>
              <w:pageBreakBefore w:val="0"/>
              <w:kinsoku/>
              <w:wordWrap/>
              <w:topLinePunct w:val="0"/>
              <w:bidi w:val="0"/>
              <w:adjustRightInd w:val="0"/>
              <w:snapToGrid w:val="0"/>
              <w:spacing w:line="240" w:lineRule="auto"/>
              <w:ind w:left="0" w:firstLine="0" w:firstLineChars="0"/>
              <w:jc w:val="right"/>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影响因素</w:t>
            </w:r>
          </w:p>
          <w:p>
            <w:pPr>
              <w:keepNext w:val="0"/>
              <w:keepLines w:val="0"/>
              <w:pageBreakBefore w:val="0"/>
              <w:kinsoku/>
              <w:wordWrap/>
              <w:topLinePunct w:val="0"/>
              <w:bidi w:val="0"/>
              <w:adjustRightInd w:val="0"/>
              <w:snapToGrid w:val="0"/>
              <w:spacing w:line="240" w:lineRule="auto"/>
              <w:ind w:left="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类别</w:t>
            </w:r>
          </w:p>
        </w:tc>
        <w:tc>
          <w:tcPr>
            <w:tcW w:w="555" w:type="pct"/>
            <w:vMerge w:val="restar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施工期</w:t>
            </w:r>
          </w:p>
        </w:tc>
        <w:tc>
          <w:tcPr>
            <w:tcW w:w="3333" w:type="pct"/>
            <w:gridSpan w:val="6"/>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运行期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110" w:type="pct"/>
            <w:gridSpan w:val="2"/>
            <w:vMerge w:val="continue"/>
            <w:tcBorders>
              <w:top w:val="single" w:color="auto" w:sz="4" w:space="0"/>
              <w:bottom w:val="single" w:color="auto" w:sz="4" w:space="0"/>
              <w:tl2br w:val="single" w:color="auto" w:sz="4" w:space="0"/>
            </w:tcBorders>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废水</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固废</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噪声</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运输</w:t>
            </w: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效益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restart"/>
            <w:tcBorders>
              <w:top w:val="single" w:color="auto" w:sz="4" w:space="0"/>
            </w:tcBorders>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自然生态环境</w:t>
            </w:r>
          </w:p>
        </w:tc>
        <w:tc>
          <w:tcPr>
            <w:tcW w:w="630" w:type="pct"/>
            <w:tcBorders>
              <w:top w:val="single" w:color="auto" w:sz="4" w:space="0"/>
            </w:tcBorders>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地表水</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地下水</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w:t>
            </w:r>
            <w:r>
              <w:rPr>
                <w:rFonts w:hint="eastAsia"/>
                <w:color w:val="000000" w:themeColor="text1"/>
                <w:sz w:val="21"/>
                <w:szCs w:val="21"/>
                <w:lang w:val="en-US" w:eastAsia="zh-CN"/>
                <w14:textFill>
                  <w14:solidFill>
                    <w14:schemeClr w14:val="tx1"/>
                  </w14:solidFill>
                </w14:textFill>
              </w:rPr>
              <w:t>1</w:t>
            </w:r>
            <w:r>
              <w:rPr>
                <w:color w:val="000000" w:themeColor="text1"/>
                <w:sz w:val="21"/>
                <w:szCs w:val="21"/>
                <w14:textFill>
                  <w14:solidFill>
                    <w14:schemeClr w14:val="tx1"/>
                  </w14:solidFill>
                </w14:textFill>
              </w:rPr>
              <w:t>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地表</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土壤</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植被</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restar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社会经济环境</w:t>
            </w: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工业</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农业</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交通</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公众健康</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生活质量</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+1LP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479" w:type="pct"/>
            <w:vMerge w:val="continue"/>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630"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就业</w:t>
            </w: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5" w:type="pct"/>
            <w:vAlign w:val="center"/>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p>
        </w:tc>
        <w:tc>
          <w:tcPr>
            <w:tcW w:w="556" w:type="pct"/>
          </w:tcPr>
          <w:p>
            <w:pPr>
              <w:keepNext w:val="0"/>
              <w:keepLines w:val="0"/>
              <w:pageBreakBefore w:val="0"/>
              <w:kinsoku/>
              <w:wordWrap/>
              <w:topLinePunct w:val="0"/>
              <w:bidi w:val="0"/>
              <w:adjustRightInd w:val="0"/>
              <w:snapToGrid w:val="0"/>
              <w:spacing w:line="240" w:lineRule="auto"/>
              <w:ind w:left="0"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+2LP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000" w:type="pct"/>
            <w:gridSpan w:val="9"/>
            <w:vAlign w:val="center"/>
          </w:tcPr>
          <w:p>
            <w:pPr>
              <w:keepNext w:val="0"/>
              <w:keepLines w:val="0"/>
              <w:pageBreakBefore w:val="0"/>
              <w:kinsoku/>
              <w:wordWrap/>
              <w:topLinePunct w:val="0"/>
              <w:bidi w:val="0"/>
              <w:adjustRightInd w:val="0"/>
              <w:snapToGrid w:val="0"/>
              <w:spacing w:line="240" w:lineRule="auto"/>
              <w:ind w:left="0" w:firstLine="0" w:firstLineChars="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备注：影响程度：1轻微；2一般；3显著影响时段：S短期；L长期</w:t>
            </w:r>
          </w:p>
          <w:p>
            <w:pPr>
              <w:keepNext w:val="0"/>
              <w:keepLines w:val="0"/>
              <w:pageBreakBefore w:val="0"/>
              <w:kinsoku/>
              <w:wordWrap/>
              <w:topLinePunct w:val="0"/>
              <w:bidi w:val="0"/>
              <w:adjustRightInd w:val="0"/>
              <w:snapToGrid w:val="0"/>
              <w:spacing w:line="240" w:lineRule="auto"/>
              <w:ind w:left="0" w:firstLine="630" w:firstLineChars="3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影响范围：P局部；W大范围影响性质：+有利；-不利</w:t>
            </w:r>
          </w:p>
        </w:tc>
      </w:tr>
    </w:tbl>
    <w:p>
      <w:pPr>
        <w:ind w:firstLine="480"/>
        <w:rPr>
          <w:color w:val="auto"/>
        </w:rPr>
      </w:pPr>
      <w:r>
        <w:rPr>
          <w:color w:val="auto"/>
        </w:rPr>
        <w:t>综合分析认为：</w:t>
      </w:r>
    </w:p>
    <w:p>
      <w:pPr>
        <w:ind w:firstLine="480"/>
        <w:rPr>
          <w:color w:val="auto"/>
        </w:rPr>
      </w:pPr>
      <w:r>
        <w:rPr>
          <w:color w:val="auto"/>
        </w:rPr>
        <w:t>本工程运营后，对区域的劳动就业和经济发展呈有利影响。</w:t>
      </w:r>
    </w:p>
    <w:p>
      <w:pPr>
        <w:ind w:firstLine="480"/>
        <w:rPr>
          <w:color w:val="auto"/>
        </w:rPr>
      </w:pPr>
      <w:r>
        <w:rPr>
          <w:color w:val="auto"/>
        </w:rPr>
        <w:t>本项目利用现有闲置场地进行建设。施工期主要表现在对自然环境要素产生一定程度的负面影响，主要环境影响因素为环境空气、声环境，均随着施工期的结束而消失。</w:t>
      </w:r>
    </w:p>
    <w:p>
      <w:pPr>
        <w:ind w:firstLine="480"/>
        <w:rPr>
          <w:color w:val="auto"/>
        </w:rPr>
      </w:pPr>
      <w:r>
        <w:rPr>
          <w:color w:val="auto"/>
        </w:rPr>
        <w:t>（3）营运期的主要环境影响：废气排放对环境空气质量的影响；生产设备运转等产生的噪声对环境的影响。生产营运过程废气、废水排放，固废堆存对周边环境及居住条件的影响。</w:t>
      </w:r>
    </w:p>
    <w:p>
      <w:pPr>
        <w:ind w:firstLine="480"/>
        <w:rPr>
          <w:color w:val="auto"/>
        </w:rPr>
      </w:pPr>
      <w:r>
        <w:rPr>
          <w:color w:val="auto"/>
        </w:rPr>
        <w:t>根据项目特点，确定本项目营运期主要环境影响是废气排放、固体废物处理及环境风险</w:t>
      </w:r>
      <w:r>
        <w:rPr>
          <w:rFonts w:hint="eastAsia"/>
          <w:color w:val="auto"/>
        </w:rPr>
        <w:t>。</w:t>
      </w:r>
    </w:p>
    <w:p>
      <w:pPr>
        <w:pStyle w:val="7"/>
        <w:rPr>
          <w:color w:val="auto"/>
        </w:rPr>
      </w:pPr>
      <w:r>
        <w:rPr>
          <w:color w:val="auto"/>
        </w:rPr>
        <w:t>2.2.2评价因子筛选</w:t>
      </w:r>
    </w:p>
    <w:p>
      <w:pPr>
        <w:ind w:firstLine="480"/>
        <w:rPr>
          <w:bCs/>
          <w:color w:val="auto"/>
        </w:rPr>
      </w:pPr>
      <w:r>
        <w:rPr>
          <w:bCs/>
          <w:color w:val="auto"/>
        </w:rPr>
        <w:t>根据环境影响要素初步识别结果，结合各生产环节的排污特征，所排放污染物对环境危害的性质，对所识别的环境影响要素作进一步分析，将工程建设对环境的危害相对较大，对环境影响较为突出污染因子作为评价因子。本项目评价因子见下表。</w:t>
      </w:r>
    </w:p>
    <w:p>
      <w:pPr>
        <w:pStyle w:val="31"/>
        <w:rPr>
          <w:color w:val="auto"/>
        </w:rPr>
      </w:pPr>
    </w:p>
    <w:p>
      <w:pPr>
        <w:pStyle w:val="31"/>
        <w:rPr>
          <w:color w:val="auto"/>
        </w:rPr>
      </w:pPr>
    </w:p>
    <w:p>
      <w:pPr>
        <w:pStyle w:val="31"/>
        <w:rPr>
          <w:color w:val="auto"/>
        </w:rPr>
      </w:pPr>
      <w:r>
        <w:rPr>
          <w:color w:val="auto"/>
        </w:rPr>
        <w:t>表2.2-2   项目评价因子表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5"/>
        <w:gridCol w:w="2550"/>
        <w:gridCol w:w="47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89" w:type="pct"/>
            <w:vAlign w:val="center"/>
          </w:tcPr>
          <w:p>
            <w:pPr>
              <w:pStyle w:val="30"/>
              <w:rPr>
                <w:b/>
                <w:bCs/>
                <w:color w:val="auto"/>
              </w:rPr>
            </w:pPr>
            <w:r>
              <w:rPr>
                <w:b/>
                <w:bCs/>
                <w:color w:val="auto"/>
              </w:rPr>
              <w:t>评价要素</w:t>
            </w:r>
          </w:p>
        </w:tc>
        <w:tc>
          <w:tcPr>
            <w:tcW w:w="1496" w:type="pct"/>
            <w:vAlign w:val="center"/>
          </w:tcPr>
          <w:p>
            <w:pPr>
              <w:pStyle w:val="30"/>
              <w:rPr>
                <w:b/>
                <w:bCs/>
                <w:color w:val="auto"/>
              </w:rPr>
            </w:pPr>
            <w:r>
              <w:rPr>
                <w:b/>
                <w:bCs/>
                <w:color w:val="auto"/>
              </w:rPr>
              <w:t>评价类型</w:t>
            </w:r>
          </w:p>
        </w:tc>
        <w:tc>
          <w:tcPr>
            <w:tcW w:w="2814" w:type="pct"/>
            <w:vAlign w:val="center"/>
          </w:tcPr>
          <w:p>
            <w:pPr>
              <w:pStyle w:val="30"/>
              <w:rPr>
                <w:b/>
                <w:bCs/>
                <w:color w:val="auto"/>
              </w:rPr>
            </w:pPr>
            <w:r>
              <w:rPr>
                <w:b/>
                <w:bCs/>
                <w:color w:val="auto"/>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大气</w:t>
            </w:r>
          </w:p>
        </w:tc>
        <w:tc>
          <w:tcPr>
            <w:tcW w:w="1496" w:type="pct"/>
            <w:vAlign w:val="center"/>
          </w:tcPr>
          <w:p>
            <w:pPr>
              <w:pStyle w:val="30"/>
              <w:rPr>
                <w:color w:val="auto"/>
              </w:rPr>
            </w:pPr>
            <w:r>
              <w:rPr>
                <w:color w:val="auto"/>
              </w:rPr>
              <w:t>区域环境质量评价因子</w:t>
            </w:r>
          </w:p>
        </w:tc>
        <w:tc>
          <w:tcPr>
            <w:tcW w:w="2814" w:type="pct"/>
            <w:vAlign w:val="center"/>
          </w:tcPr>
          <w:p>
            <w:pPr>
              <w:pStyle w:val="30"/>
              <w:rPr>
                <w:color w:val="auto"/>
                <w:vertAlign w:val="subscript"/>
              </w:rPr>
            </w:pPr>
            <w:r>
              <w:rPr>
                <w:color w:val="auto"/>
              </w:rPr>
              <w:t>常规因子：SO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p>
          <w:p>
            <w:pPr>
              <w:pStyle w:val="30"/>
              <w:rPr>
                <w:color w:val="auto"/>
              </w:rPr>
            </w:pPr>
            <w:r>
              <w:rPr>
                <w:color w:val="auto"/>
              </w:rPr>
              <w:t>其他因子：</w:t>
            </w:r>
            <w:r>
              <w:rPr>
                <w:rFonts w:hint="eastAsia"/>
                <w:color w:val="auto"/>
              </w:rPr>
              <w:t>TSP、T</w:t>
            </w:r>
            <w:r>
              <w:rPr>
                <w:color w:val="auto"/>
              </w:rPr>
              <w:t>VOC</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污染源评价因子</w:t>
            </w:r>
          </w:p>
        </w:tc>
        <w:tc>
          <w:tcPr>
            <w:tcW w:w="2814" w:type="pct"/>
            <w:vAlign w:val="center"/>
          </w:tcPr>
          <w:p>
            <w:pPr>
              <w:pStyle w:val="30"/>
              <w:rPr>
                <w:color w:val="auto"/>
              </w:rPr>
            </w:pPr>
            <w:r>
              <w:rPr>
                <w:color w:val="auto"/>
              </w:rPr>
              <w:t>颗粒物（以TSP计）、非甲烷总烃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预测因子</w:t>
            </w:r>
          </w:p>
        </w:tc>
        <w:tc>
          <w:tcPr>
            <w:tcW w:w="2814" w:type="pct"/>
            <w:vAlign w:val="center"/>
          </w:tcPr>
          <w:p>
            <w:pPr>
              <w:pStyle w:val="30"/>
              <w:rPr>
                <w:color w:val="auto"/>
              </w:rPr>
            </w:pPr>
            <w:r>
              <w:rPr>
                <w:color w:val="auto"/>
              </w:rPr>
              <w:t>颗粒物（以TSP计）、非甲烷总烃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地表水</w:t>
            </w:r>
          </w:p>
        </w:tc>
        <w:tc>
          <w:tcPr>
            <w:tcW w:w="1496" w:type="pct"/>
            <w:vAlign w:val="center"/>
          </w:tcPr>
          <w:p>
            <w:pPr>
              <w:pStyle w:val="30"/>
              <w:rPr>
                <w:color w:val="auto"/>
              </w:rPr>
            </w:pPr>
            <w:r>
              <w:rPr>
                <w:color w:val="auto"/>
              </w:rPr>
              <w:t>区域环境质量评价因子</w:t>
            </w:r>
          </w:p>
        </w:tc>
        <w:tc>
          <w:tcPr>
            <w:tcW w:w="2814" w:type="pct"/>
            <w:vAlign w:val="center"/>
          </w:tcPr>
          <w:p>
            <w:pPr>
              <w:pStyle w:val="30"/>
              <w:rPr>
                <w:color w:val="auto"/>
                <w:lang w:val="pt-BR"/>
              </w:rPr>
            </w:pPr>
            <w:r>
              <w:rPr>
                <w:color w:val="auto"/>
                <w:lang w:val="pt-BR"/>
              </w:rPr>
              <w:t>pH、COD、BOD</w:t>
            </w:r>
            <w:r>
              <w:rPr>
                <w:color w:val="auto"/>
                <w:vertAlign w:val="subscript"/>
                <w:lang w:val="pt-BR"/>
              </w:rPr>
              <w:t>5</w:t>
            </w:r>
            <w:r>
              <w:rPr>
                <w:color w:val="auto"/>
                <w:lang w:val="pt-BR"/>
              </w:rPr>
              <w:t>、氨氮、总磷、阴离子表面活性剂、石油类、挥发酚、氟化物、砷、汞、六价铬、铅、镉、锌、铜、粪大肠菌群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污染源评价因子</w:t>
            </w:r>
          </w:p>
        </w:tc>
        <w:tc>
          <w:tcPr>
            <w:tcW w:w="2814" w:type="pct"/>
            <w:vAlign w:val="center"/>
          </w:tcPr>
          <w:p>
            <w:pPr>
              <w:pStyle w:val="30"/>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预测因子</w:t>
            </w:r>
          </w:p>
        </w:tc>
        <w:tc>
          <w:tcPr>
            <w:tcW w:w="2814" w:type="pc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地下水</w:t>
            </w:r>
          </w:p>
        </w:tc>
        <w:tc>
          <w:tcPr>
            <w:tcW w:w="1496" w:type="pct"/>
            <w:vAlign w:val="center"/>
          </w:tcPr>
          <w:p>
            <w:pPr>
              <w:pStyle w:val="30"/>
              <w:rPr>
                <w:color w:val="auto"/>
              </w:rPr>
            </w:pPr>
            <w:r>
              <w:rPr>
                <w:color w:val="auto"/>
              </w:rPr>
              <w:t>区域环境质量评价因子</w:t>
            </w:r>
          </w:p>
        </w:tc>
        <w:tc>
          <w:tcPr>
            <w:tcW w:w="2814" w:type="pct"/>
            <w:vAlign w:val="center"/>
          </w:tcPr>
          <w:p>
            <w:pPr>
              <w:pStyle w:val="30"/>
              <w:rPr>
                <w:color w:val="auto"/>
              </w:rPr>
            </w:pPr>
            <w:r>
              <w:rPr>
                <w:color w:val="auto"/>
              </w:rPr>
              <w:t>pH、K</w:t>
            </w:r>
            <w:r>
              <w:rPr>
                <w:color w:val="auto"/>
                <w:vertAlign w:val="superscript"/>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、氨氮、硝酸盐、亚硝酸盐、挥发性酚类、氰化物、砷、汞、铬（六价）、总硬度、铅、氟、镉、铁、锰、溶解性总固体、高锰酸盐指数、</w:t>
            </w:r>
            <w:r>
              <w:rPr>
                <w:rFonts w:hint="eastAsia"/>
                <w:color w:val="auto"/>
              </w:rPr>
              <w:t>硫酸盐</w:t>
            </w:r>
            <w:r>
              <w:rPr>
                <w:color w:val="auto"/>
              </w:rPr>
              <w:t>、氯化物、总大肠菌群、菌落总数</w:t>
            </w:r>
            <w:r>
              <w:rPr>
                <w:rFonts w:hint="eastAsia"/>
                <w:color w:val="auto"/>
              </w:rPr>
              <w:t>、镍、</w:t>
            </w:r>
            <w:r>
              <w:rPr>
                <w:color w:val="auto"/>
              </w:rPr>
              <w:t>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污染源评价因子</w:t>
            </w:r>
          </w:p>
        </w:tc>
        <w:tc>
          <w:tcPr>
            <w:tcW w:w="2814" w:type="pc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预测因子</w:t>
            </w:r>
          </w:p>
        </w:tc>
        <w:tc>
          <w:tcPr>
            <w:tcW w:w="2814" w:type="pc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声环境</w:t>
            </w:r>
          </w:p>
        </w:tc>
        <w:tc>
          <w:tcPr>
            <w:tcW w:w="1496" w:type="pct"/>
            <w:vAlign w:val="center"/>
          </w:tcPr>
          <w:p>
            <w:pPr>
              <w:pStyle w:val="30"/>
              <w:rPr>
                <w:color w:val="auto"/>
              </w:rPr>
            </w:pPr>
            <w:r>
              <w:rPr>
                <w:color w:val="auto"/>
              </w:rPr>
              <w:t>区域环境质量评价因子</w:t>
            </w:r>
          </w:p>
        </w:tc>
        <w:tc>
          <w:tcPr>
            <w:tcW w:w="2814" w:type="pct"/>
            <w:vAlign w:val="center"/>
          </w:tcPr>
          <w:p>
            <w:pPr>
              <w:pStyle w:val="30"/>
              <w:rPr>
                <w:color w:val="auto"/>
              </w:rPr>
            </w:pPr>
            <w:r>
              <w:rPr>
                <w:color w:val="auto"/>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污染源评价因子</w:t>
            </w:r>
          </w:p>
        </w:tc>
        <w:tc>
          <w:tcPr>
            <w:tcW w:w="2814" w:type="pct"/>
            <w:vAlign w:val="center"/>
          </w:tcPr>
          <w:p>
            <w:pPr>
              <w:pStyle w:val="30"/>
              <w:rPr>
                <w:color w:val="auto"/>
              </w:rPr>
            </w:pPr>
            <w:r>
              <w:rPr>
                <w:color w:val="auto"/>
              </w:rPr>
              <w:t>连续等效A声级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预测因子</w:t>
            </w:r>
          </w:p>
        </w:tc>
        <w:tc>
          <w:tcPr>
            <w:tcW w:w="2814" w:type="pct"/>
            <w:vAlign w:val="center"/>
          </w:tcPr>
          <w:p>
            <w:pPr>
              <w:pStyle w:val="30"/>
              <w:rPr>
                <w:color w:val="auto"/>
              </w:rPr>
            </w:pPr>
            <w:r>
              <w:rPr>
                <w:color w:val="auto"/>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固体废物</w:t>
            </w:r>
          </w:p>
        </w:tc>
        <w:tc>
          <w:tcPr>
            <w:tcW w:w="1496" w:type="pct"/>
            <w:vAlign w:val="center"/>
          </w:tcPr>
          <w:p>
            <w:pPr>
              <w:pStyle w:val="30"/>
              <w:rPr>
                <w:color w:val="auto"/>
              </w:rPr>
            </w:pPr>
            <w:r>
              <w:rPr>
                <w:color w:val="auto"/>
              </w:rPr>
              <w:t>产生因子</w:t>
            </w:r>
          </w:p>
        </w:tc>
        <w:tc>
          <w:tcPr>
            <w:tcW w:w="2814" w:type="pct"/>
            <w:vAlign w:val="center"/>
          </w:tcPr>
          <w:p>
            <w:pPr>
              <w:pStyle w:val="30"/>
              <w:rPr>
                <w:color w:val="auto"/>
              </w:rPr>
            </w:pPr>
            <w:r>
              <w:rPr>
                <w:color w:val="auto"/>
              </w:rPr>
              <w:t>一般工业固废、危险废物、生活垃圾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评价因子</w:t>
            </w:r>
          </w:p>
        </w:tc>
        <w:tc>
          <w:tcPr>
            <w:tcW w:w="2814" w:type="pct"/>
            <w:vAlign w:val="center"/>
          </w:tcPr>
          <w:p>
            <w:pPr>
              <w:pStyle w:val="30"/>
              <w:rPr>
                <w:color w:val="auto"/>
              </w:rPr>
            </w:pPr>
            <w:r>
              <w:rPr>
                <w:color w:val="auto"/>
              </w:rPr>
              <w:t>一般工业固废、危险废物、生活垃圾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restart"/>
            <w:vAlign w:val="center"/>
          </w:tcPr>
          <w:p>
            <w:pPr>
              <w:pStyle w:val="30"/>
              <w:rPr>
                <w:color w:val="auto"/>
              </w:rPr>
            </w:pPr>
            <w:r>
              <w:rPr>
                <w:color w:val="auto"/>
              </w:rPr>
              <w:t>环境风险</w:t>
            </w:r>
          </w:p>
        </w:tc>
        <w:tc>
          <w:tcPr>
            <w:tcW w:w="1496" w:type="pct"/>
            <w:vAlign w:val="center"/>
          </w:tcPr>
          <w:p>
            <w:pPr>
              <w:pStyle w:val="30"/>
              <w:rPr>
                <w:color w:val="auto"/>
              </w:rPr>
            </w:pPr>
            <w:r>
              <w:rPr>
                <w:color w:val="auto"/>
              </w:rPr>
              <w:t>风险源</w:t>
            </w:r>
          </w:p>
        </w:tc>
        <w:tc>
          <w:tcPr>
            <w:tcW w:w="2814" w:type="pct"/>
            <w:vAlign w:val="center"/>
          </w:tcPr>
          <w:p>
            <w:pPr>
              <w:pStyle w:val="30"/>
              <w:rPr>
                <w:color w:val="auto"/>
              </w:rPr>
            </w:pPr>
            <w:r>
              <w:rPr>
                <w:color w:val="auto"/>
              </w:rPr>
              <w:t>车间原料堆放、成品堆放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89" w:type="pct"/>
            <w:vMerge w:val="continue"/>
            <w:vAlign w:val="center"/>
          </w:tcPr>
          <w:p>
            <w:pPr>
              <w:pStyle w:val="30"/>
              <w:rPr>
                <w:color w:val="auto"/>
              </w:rPr>
            </w:pPr>
          </w:p>
        </w:tc>
        <w:tc>
          <w:tcPr>
            <w:tcW w:w="1496" w:type="pct"/>
            <w:vAlign w:val="center"/>
          </w:tcPr>
          <w:p>
            <w:pPr>
              <w:pStyle w:val="30"/>
              <w:rPr>
                <w:color w:val="auto"/>
              </w:rPr>
            </w:pPr>
            <w:r>
              <w:rPr>
                <w:color w:val="auto"/>
              </w:rPr>
              <w:t>风险类型</w:t>
            </w:r>
          </w:p>
        </w:tc>
        <w:tc>
          <w:tcPr>
            <w:tcW w:w="2814" w:type="pct"/>
            <w:vAlign w:val="center"/>
          </w:tcPr>
          <w:p>
            <w:pPr>
              <w:pStyle w:val="30"/>
              <w:rPr>
                <w:color w:val="auto"/>
                <w:lang w:val="pt-BR"/>
              </w:rPr>
            </w:pPr>
            <w:r>
              <w:rPr>
                <w:color w:val="auto"/>
              </w:rPr>
              <w:t>火灾引发伴生污染物排放</w:t>
            </w:r>
          </w:p>
        </w:tc>
      </w:tr>
    </w:tbl>
    <w:p>
      <w:pPr>
        <w:pStyle w:val="6"/>
        <w:rPr>
          <w:color w:val="auto"/>
        </w:rPr>
      </w:pPr>
      <w:bookmarkStart w:id="51" w:name="_Toc447114713"/>
      <w:bookmarkStart w:id="52" w:name="_Toc31630"/>
      <w:bookmarkStart w:id="53" w:name="_Toc16059"/>
      <w:bookmarkStart w:id="54" w:name="_Toc31156"/>
      <w:r>
        <w:rPr>
          <w:color w:val="auto"/>
        </w:rPr>
        <w:t>2.3环境功能区</w:t>
      </w:r>
      <w:bookmarkEnd w:id="51"/>
      <w:r>
        <w:rPr>
          <w:color w:val="auto"/>
        </w:rPr>
        <w:t>划</w:t>
      </w:r>
      <w:bookmarkEnd w:id="52"/>
      <w:bookmarkEnd w:id="53"/>
      <w:bookmarkEnd w:id="54"/>
    </w:p>
    <w:p>
      <w:pPr>
        <w:ind w:firstLine="480"/>
        <w:rPr>
          <w:bCs/>
          <w:color w:val="auto"/>
          <w:u w:val="single"/>
        </w:rPr>
      </w:pPr>
      <w:r>
        <w:rPr>
          <w:bCs/>
          <w:color w:val="auto"/>
        </w:rPr>
        <w:t>本项目位于</w:t>
      </w:r>
      <w:r>
        <w:rPr>
          <w:rFonts w:hint="eastAsia"/>
          <w:bCs/>
          <w:color w:val="auto"/>
        </w:rPr>
        <w:t>汨罗市新市镇汨罗循环经济产业园G536与青春大道交界处107国道以东</w:t>
      </w:r>
      <w:r>
        <w:rPr>
          <w:bCs/>
          <w:color w:val="auto"/>
        </w:rPr>
        <w:t>。本项目环境功能区划如下：</w:t>
      </w:r>
    </w:p>
    <w:p>
      <w:pPr>
        <w:pStyle w:val="7"/>
        <w:rPr>
          <w:color w:val="auto"/>
        </w:rPr>
      </w:pPr>
      <w:bookmarkStart w:id="55" w:name="_Toc420928127"/>
      <w:r>
        <w:rPr>
          <w:color w:val="auto"/>
        </w:rPr>
        <w:t>2.3.1环境空气功能区划</w:t>
      </w:r>
      <w:bookmarkEnd w:id="55"/>
    </w:p>
    <w:p>
      <w:pPr>
        <w:ind w:firstLine="480"/>
        <w:rPr>
          <w:bCs/>
          <w:color w:val="auto"/>
        </w:rPr>
      </w:pPr>
      <w:r>
        <w:rPr>
          <w:bCs/>
          <w:color w:val="auto"/>
        </w:rPr>
        <w:t>根据《环境空气质量标准》（GB3095-2012）及其修改单，项目所在地为二类区。</w:t>
      </w:r>
    </w:p>
    <w:p>
      <w:pPr>
        <w:pStyle w:val="7"/>
        <w:rPr>
          <w:color w:val="auto"/>
        </w:rPr>
      </w:pPr>
      <w:bookmarkStart w:id="56" w:name="_Toc420928128"/>
      <w:r>
        <w:rPr>
          <w:color w:val="auto"/>
        </w:rPr>
        <w:t>2.3.2地表水功能区划</w:t>
      </w:r>
      <w:bookmarkEnd w:id="56"/>
    </w:p>
    <w:p>
      <w:pPr>
        <w:pStyle w:val="7"/>
        <w:keepNext/>
        <w:keepLines/>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heme="minorBidi"/>
          <w:b w:val="0"/>
          <w:bCs/>
          <w:color w:val="auto"/>
          <w:kern w:val="2"/>
          <w:sz w:val="24"/>
          <w:szCs w:val="22"/>
          <w:lang w:val="en-US" w:eastAsia="zh-CN" w:bidi="ar-SA"/>
        </w:rPr>
      </w:pPr>
      <w:bookmarkStart w:id="57" w:name="_Toc420928129"/>
      <w:r>
        <w:rPr>
          <w:rFonts w:hint="eastAsia" w:ascii="Times New Roman" w:hAnsi="Times New Roman" w:eastAsia="宋体" w:cstheme="minorBidi"/>
          <w:b w:val="0"/>
          <w:bCs/>
          <w:color w:val="auto"/>
          <w:kern w:val="2"/>
          <w:sz w:val="24"/>
          <w:szCs w:val="22"/>
          <w:lang w:val="en-US" w:eastAsia="zh-CN" w:bidi="ar-SA"/>
        </w:rPr>
        <w:t>项目区域地表水执行《地表水环境质量标准》（GB3838-2002)Ⅲ类标准。</w:t>
      </w:r>
    </w:p>
    <w:p>
      <w:pPr>
        <w:pStyle w:val="7"/>
        <w:rPr>
          <w:color w:val="auto"/>
        </w:rPr>
      </w:pPr>
      <w:r>
        <w:rPr>
          <w:color w:val="auto"/>
        </w:rPr>
        <w:t>2.3.3地下水环境功能区划</w:t>
      </w:r>
      <w:bookmarkEnd w:id="57"/>
    </w:p>
    <w:p>
      <w:pPr>
        <w:ind w:firstLine="480"/>
        <w:rPr>
          <w:bCs/>
          <w:color w:val="auto"/>
        </w:rPr>
      </w:pPr>
      <w:r>
        <w:rPr>
          <w:bCs/>
          <w:color w:val="auto"/>
        </w:rPr>
        <w:t>项目所在区域地下水化学成分含量中等，主要为工农业用水。</w:t>
      </w:r>
    </w:p>
    <w:p>
      <w:pPr>
        <w:pStyle w:val="7"/>
        <w:rPr>
          <w:color w:val="auto"/>
        </w:rPr>
      </w:pPr>
      <w:bookmarkStart w:id="58" w:name="_Toc420928130"/>
      <w:r>
        <w:rPr>
          <w:color w:val="auto"/>
        </w:rPr>
        <w:t>2.3.4声环境功能区划</w:t>
      </w:r>
      <w:bookmarkEnd w:id="58"/>
    </w:p>
    <w:p>
      <w:pPr>
        <w:ind w:firstLine="480"/>
        <w:rPr>
          <w:bCs/>
          <w:color w:val="auto"/>
        </w:rPr>
      </w:pPr>
      <w:r>
        <w:rPr>
          <w:bCs/>
          <w:color w:val="auto"/>
        </w:rPr>
        <w:t>本项目位于</w:t>
      </w:r>
      <w:r>
        <w:rPr>
          <w:rFonts w:hint="eastAsia"/>
          <w:bCs/>
          <w:color w:val="auto"/>
        </w:rPr>
        <w:t>汨罗市新市镇汨罗循环经济产业园G536与青春大道交界处107国道以东</w:t>
      </w:r>
      <w:r>
        <w:rPr>
          <w:bCs/>
          <w:color w:val="auto"/>
        </w:rPr>
        <w:t>，属</w:t>
      </w:r>
      <w:r>
        <w:rPr>
          <w:rFonts w:hint="eastAsia"/>
          <w:bCs/>
          <w:color w:val="auto"/>
        </w:rPr>
        <w:t>3</w:t>
      </w:r>
      <w:r>
        <w:rPr>
          <w:bCs/>
          <w:color w:val="auto"/>
        </w:rPr>
        <w:t>类区。</w:t>
      </w:r>
    </w:p>
    <w:p>
      <w:pPr>
        <w:pStyle w:val="7"/>
        <w:rPr>
          <w:color w:val="auto"/>
        </w:rPr>
      </w:pPr>
      <w:r>
        <w:rPr>
          <w:color w:val="auto"/>
        </w:rPr>
        <w:t>2.3.5土壤环境功能区划</w:t>
      </w:r>
    </w:p>
    <w:p>
      <w:pPr>
        <w:ind w:firstLine="480"/>
        <w:rPr>
          <w:bCs/>
          <w:color w:val="auto"/>
        </w:rPr>
      </w:pPr>
      <w:r>
        <w:rPr>
          <w:bCs/>
          <w:color w:val="auto"/>
        </w:rPr>
        <w:t>项目用地为建设用地</w:t>
      </w:r>
      <w:r>
        <w:rPr>
          <w:rFonts w:hint="eastAsia"/>
          <w:bCs/>
          <w:color w:val="auto"/>
        </w:rPr>
        <w:t>。</w:t>
      </w:r>
    </w:p>
    <w:p>
      <w:pPr>
        <w:ind w:firstLine="480"/>
        <w:rPr>
          <w:bCs/>
          <w:color w:val="auto"/>
        </w:rPr>
      </w:pPr>
      <w:r>
        <w:rPr>
          <w:bCs/>
          <w:color w:val="auto"/>
        </w:rPr>
        <w:t>项目区各环境功能属性见下表。</w:t>
      </w:r>
    </w:p>
    <w:p>
      <w:pPr>
        <w:pStyle w:val="31"/>
        <w:rPr>
          <w:color w:val="auto"/>
        </w:rPr>
      </w:pPr>
      <w:r>
        <w:rPr>
          <w:color w:val="auto"/>
        </w:rPr>
        <w:t>表2.3-1  项目所在区域环境功能属性一览表</w:t>
      </w:r>
    </w:p>
    <w:tbl>
      <w:tblPr>
        <w:tblStyle w:val="21"/>
        <w:tblW w:w="885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9"/>
        <w:gridCol w:w="2577"/>
        <w:gridCol w:w="1513"/>
        <w:gridCol w:w="41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59" w:type="dxa"/>
            <w:vAlign w:val="center"/>
          </w:tcPr>
          <w:p>
            <w:pPr>
              <w:pStyle w:val="30"/>
              <w:rPr>
                <w:b/>
                <w:bCs/>
                <w:color w:val="auto"/>
              </w:rPr>
            </w:pPr>
            <w:r>
              <w:rPr>
                <w:b/>
                <w:bCs/>
                <w:color w:val="auto"/>
              </w:rPr>
              <w:t>编号</w:t>
            </w:r>
          </w:p>
        </w:tc>
        <w:tc>
          <w:tcPr>
            <w:tcW w:w="2577" w:type="dxa"/>
            <w:vAlign w:val="center"/>
          </w:tcPr>
          <w:p>
            <w:pPr>
              <w:pStyle w:val="30"/>
              <w:rPr>
                <w:b/>
                <w:bCs/>
                <w:color w:val="auto"/>
              </w:rPr>
            </w:pPr>
            <w:r>
              <w:rPr>
                <w:b/>
                <w:bCs/>
                <w:color w:val="auto"/>
              </w:rPr>
              <w:t>项目</w:t>
            </w:r>
          </w:p>
        </w:tc>
        <w:tc>
          <w:tcPr>
            <w:tcW w:w="5619" w:type="dxa"/>
            <w:gridSpan w:val="2"/>
            <w:vAlign w:val="center"/>
          </w:tcPr>
          <w:p>
            <w:pPr>
              <w:pStyle w:val="30"/>
              <w:rPr>
                <w:b/>
                <w:bCs/>
                <w:color w:val="auto"/>
              </w:rPr>
            </w:pPr>
            <w:r>
              <w:rPr>
                <w:b/>
                <w:bCs/>
                <w:color w:val="auto"/>
              </w:rPr>
              <w:t>功能属性及执行标准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659" w:type="dxa"/>
            <w:vMerge w:val="restart"/>
            <w:vAlign w:val="center"/>
          </w:tcPr>
          <w:p>
            <w:pPr>
              <w:pStyle w:val="30"/>
              <w:rPr>
                <w:color w:val="auto"/>
              </w:rPr>
            </w:pPr>
            <w:r>
              <w:rPr>
                <w:rFonts w:hint="eastAsia"/>
                <w:color w:val="auto"/>
              </w:rPr>
              <w:t>1</w:t>
            </w:r>
          </w:p>
        </w:tc>
        <w:tc>
          <w:tcPr>
            <w:tcW w:w="2577" w:type="dxa"/>
            <w:vAlign w:val="center"/>
          </w:tcPr>
          <w:p>
            <w:pPr>
              <w:pStyle w:val="30"/>
              <w:rPr>
                <w:color w:val="auto"/>
              </w:rPr>
            </w:pPr>
            <w:r>
              <w:rPr>
                <w:rFonts w:hint="eastAsia"/>
                <w:color w:val="auto"/>
              </w:rPr>
              <w:t>地表水环境功能区</w:t>
            </w:r>
          </w:p>
        </w:tc>
        <w:tc>
          <w:tcPr>
            <w:tcW w:w="1513" w:type="dxa"/>
            <w:vAlign w:val="center"/>
          </w:tcPr>
          <w:p>
            <w:pPr>
              <w:pStyle w:val="30"/>
              <w:rPr>
                <w:color w:val="auto"/>
              </w:rPr>
            </w:pPr>
            <w:r>
              <w:rPr>
                <w:rFonts w:hint="eastAsia"/>
                <w:color w:val="auto"/>
              </w:rPr>
              <w:t>车对河</w:t>
            </w:r>
          </w:p>
        </w:tc>
        <w:tc>
          <w:tcPr>
            <w:tcW w:w="4106" w:type="dxa"/>
            <w:vAlign w:val="center"/>
          </w:tcPr>
          <w:p>
            <w:pPr>
              <w:pStyle w:val="30"/>
              <w:rPr>
                <w:color w:val="auto"/>
              </w:rPr>
            </w:pPr>
            <w:r>
              <w:rPr>
                <w:color w:val="auto"/>
              </w:rPr>
              <w:t>执行《地表水环境质量标准》(GB3838-2002)中 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Merge w:val="continue"/>
            <w:vAlign w:val="center"/>
          </w:tcPr>
          <w:p>
            <w:pPr>
              <w:pStyle w:val="30"/>
              <w:rPr>
                <w:color w:val="auto"/>
              </w:rPr>
            </w:pPr>
          </w:p>
        </w:tc>
        <w:tc>
          <w:tcPr>
            <w:tcW w:w="2577" w:type="dxa"/>
            <w:vAlign w:val="center"/>
          </w:tcPr>
          <w:p>
            <w:pPr>
              <w:pStyle w:val="30"/>
              <w:rPr>
                <w:color w:val="auto"/>
              </w:rPr>
            </w:pPr>
            <w:r>
              <w:rPr>
                <w:color w:val="auto"/>
              </w:rPr>
              <w:t>地下水环境功能区</w:t>
            </w:r>
          </w:p>
        </w:tc>
        <w:tc>
          <w:tcPr>
            <w:tcW w:w="1513" w:type="dxa"/>
            <w:vAlign w:val="center"/>
          </w:tcPr>
          <w:p>
            <w:pPr>
              <w:pStyle w:val="30"/>
              <w:rPr>
                <w:color w:val="auto"/>
              </w:rPr>
            </w:pPr>
            <w:r>
              <w:rPr>
                <w:color w:val="auto"/>
              </w:rPr>
              <w:t>地下水</w:t>
            </w:r>
          </w:p>
        </w:tc>
        <w:tc>
          <w:tcPr>
            <w:tcW w:w="4106" w:type="dxa"/>
            <w:vAlign w:val="center"/>
          </w:tcPr>
          <w:p>
            <w:pPr>
              <w:pStyle w:val="30"/>
              <w:rPr>
                <w:color w:val="auto"/>
              </w:rPr>
            </w:pPr>
            <w:r>
              <w:rPr>
                <w:color w:val="auto"/>
              </w:rPr>
              <w:t>《地下水质量标准》（GB/T14848-2017）Ⅲ类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2</w:t>
            </w:r>
          </w:p>
        </w:tc>
        <w:tc>
          <w:tcPr>
            <w:tcW w:w="2577" w:type="dxa"/>
            <w:vAlign w:val="center"/>
          </w:tcPr>
          <w:p>
            <w:pPr>
              <w:pStyle w:val="30"/>
              <w:rPr>
                <w:color w:val="auto"/>
              </w:rPr>
            </w:pPr>
            <w:r>
              <w:rPr>
                <w:color w:val="auto"/>
              </w:rPr>
              <w:t>环境空气质量功能区</w:t>
            </w:r>
          </w:p>
        </w:tc>
        <w:tc>
          <w:tcPr>
            <w:tcW w:w="5619" w:type="dxa"/>
            <w:gridSpan w:val="2"/>
            <w:vAlign w:val="center"/>
          </w:tcPr>
          <w:p>
            <w:pPr>
              <w:pStyle w:val="30"/>
              <w:rPr>
                <w:color w:val="auto"/>
              </w:rPr>
            </w:pPr>
            <w:r>
              <w:rPr>
                <w:color w:val="auto"/>
              </w:rPr>
              <w:t>二类区，执行《环境空气质量标准》（GB3095-2012）及其修改单中的二级标准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3</w:t>
            </w:r>
          </w:p>
        </w:tc>
        <w:tc>
          <w:tcPr>
            <w:tcW w:w="2577" w:type="dxa"/>
            <w:vAlign w:val="center"/>
          </w:tcPr>
          <w:p>
            <w:pPr>
              <w:pStyle w:val="30"/>
              <w:rPr>
                <w:color w:val="auto"/>
              </w:rPr>
            </w:pPr>
            <w:r>
              <w:rPr>
                <w:color w:val="auto"/>
              </w:rPr>
              <w:t>声环境功能区</w:t>
            </w:r>
          </w:p>
        </w:tc>
        <w:tc>
          <w:tcPr>
            <w:tcW w:w="5619" w:type="dxa"/>
            <w:gridSpan w:val="2"/>
            <w:vAlign w:val="center"/>
          </w:tcPr>
          <w:p>
            <w:pPr>
              <w:pStyle w:val="30"/>
              <w:rPr>
                <w:color w:val="auto"/>
              </w:rPr>
            </w:pPr>
            <w:r>
              <w:rPr>
                <w:rFonts w:hint="eastAsia"/>
                <w:color w:val="auto"/>
              </w:rPr>
              <w:t>3</w:t>
            </w:r>
            <w:r>
              <w:rPr>
                <w:color w:val="auto"/>
              </w:rPr>
              <w:t xml:space="preserve">类，执行《声环境质量标准》(GB3096-2008) </w:t>
            </w:r>
            <w:r>
              <w:rPr>
                <w:rFonts w:hint="eastAsia"/>
                <w:color w:val="auto"/>
              </w:rPr>
              <w:t>3</w:t>
            </w:r>
            <w:r>
              <w:rPr>
                <w:color w:val="auto"/>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4</w:t>
            </w:r>
          </w:p>
        </w:tc>
        <w:tc>
          <w:tcPr>
            <w:tcW w:w="2577" w:type="dxa"/>
            <w:vAlign w:val="center"/>
          </w:tcPr>
          <w:p>
            <w:pPr>
              <w:pStyle w:val="30"/>
              <w:rPr>
                <w:color w:val="auto"/>
              </w:rPr>
            </w:pPr>
            <w:r>
              <w:rPr>
                <w:color w:val="auto"/>
              </w:rPr>
              <w:t>土壤环境功能区</w:t>
            </w:r>
          </w:p>
        </w:tc>
        <w:tc>
          <w:tcPr>
            <w:tcW w:w="5619" w:type="dxa"/>
            <w:gridSpan w:val="2"/>
            <w:vAlign w:val="center"/>
          </w:tcPr>
          <w:p>
            <w:pPr>
              <w:pStyle w:val="30"/>
              <w:rPr>
                <w:color w:val="auto"/>
              </w:rPr>
            </w:pPr>
            <w:r>
              <w:rPr>
                <w:color w:val="auto"/>
              </w:rPr>
              <w:t>建设用地，执行《土壤环境质量 建设用地土壤污染风险管控标准（试行）》（GB36600-2018）中第二类用地的筛选值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5</w:t>
            </w:r>
          </w:p>
        </w:tc>
        <w:tc>
          <w:tcPr>
            <w:tcW w:w="2577" w:type="dxa"/>
            <w:vAlign w:val="center"/>
          </w:tcPr>
          <w:p>
            <w:pPr>
              <w:pStyle w:val="30"/>
              <w:rPr>
                <w:color w:val="auto"/>
              </w:rPr>
            </w:pPr>
            <w:r>
              <w:rPr>
                <w:color w:val="auto"/>
              </w:rPr>
              <w:t>是否基本农田保护区</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6</w:t>
            </w:r>
          </w:p>
        </w:tc>
        <w:tc>
          <w:tcPr>
            <w:tcW w:w="2577" w:type="dxa"/>
            <w:vAlign w:val="center"/>
          </w:tcPr>
          <w:p>
            <w:pPr>
              <w:pStyle w:val="30"/>
              <w:rPr>
                <w:color w:val="auto"/>
              </w:rPr>
            </w:pPr>
            <w:r>
              <w:rPr>
                <w:color w:val="auto"/>
              </w:rPr>
              <w:t>是否生态功能保护区</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7</w:t>
            </w:r>
          </w:p>
        </w:tc>
        <w:tc>
          <w:tcPr>
            <w:tcW w:w="2577" w:type="dxa"/>
            <w:vAlign w:val="center"/>
          </w:tcPr>
          <w:p>
            <w:pPr>
              <w:pStyle w:val="30"/>
              <w:rPr>
                <w:color w:val="auto"/>
              </w:rPr>
            </w:pPr>
            <w:r>
              <w:rPr>
                <w:color w:val="auto"/>
              </w:rPr>
              <w:t>是否三河、三湖、两控区</w:t>
            </w:r>
          </w:p>
        </w:tc>
        <w:tc>
          <w:tcPr>
            <w:tcW w:w="5619" w:type="dxa"/>
            <w:gridSpan w:val="2"/>
            <w:vAlign w:val="center"/>
          </w:tcPr>
          <w:p>
            <w:pPr>
              <w:pStyle w:val="30"/>
              <w:rPr>
                <w:color w:val="auto"/>
              </w:rPr>
            </w:pPr>
            <w:r>
              <w:rPr>
                <w:color w:val="auto"/>
              </w:rPr>
              <w:t>是（两控区）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8</w:t>
            </w:r>
          </w:p>
        </w:tc>
        <w:tc>
          <w:tcPr>
            <w:tcW w:w="2577" w:type="dxa"/>
            <w:vAlign w:val="center"/>
          </w:tcPr>
          <w:p>
            <w:pPr>
              <w:pStyle w:val="30"/>
              <w:rPr>
                <w:color w:val="auto"/>
              </w:rPr>
            </w:pPr>
            <w:r>
              <w:rPr>
                <w:color w:val="auto"/>
              </w:rPr>
              <w:t>是否属于饮用水源保护区</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9</w:t>
            </w:r>
          </w:p>
        </w:tc>
        <w:tc>
          <w:tcPr>
            <w:tcW w:w="2577" w:type="dxa"/>
            <w:vAlign w:val="center"/>
          </w:tcPr>
          <w:p>
            <w:pPr>
              <w:pStyle w:val="30"/>
              <w:rPr>
                <w:color w:val="auto"/>
              </w:rPr>
            </w:pPr>
            <w:r>
              <w:rPr>
                <w:color w:val="auto"/>
              </w:rPr>
              <w:t>是否污水处理厂集水范围</w:t>
            </w:r>
          </w:p>
        </w:tc>
        <w:tc>
          <w:tcPr>
            <w:tcW w:w="5619" w:type="dxa"/>
            <w:gridSpan w:val="2"/>
            <w:vAlign w:val="center"/>
          </w:tcPr>
          <w:p>
            <w:pPr>
              <w:pStyle w:val="30"/>
              <w:rPr>
                <w:color w:val="auto"/>
              </w:rPr>
            </w:pPr>
            <w:r>
              <w:rPr>
                <w:rFonts w:hint="eastAsia"/>
                <w:color w:val="auto"/>
              </w:rPr>
              <w:t>是</w:t>
            </w:r>
            <w:r>
              <w:rPr>
                <w:color w:val="auto"/>
              </w:rPr>
              <w:t>（汨罗市城市污水处理厂）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10</w:t>
            </w:r>
          </w:p>
        </w:tc>
        <w:tc>
          <w:tcPr>
            <w:tcW w:w="2577" w:type="dxa"/>
            <w:vAlign w:val="center"/>
          </w:tcPr>
          <w:p>
            <w:pPr>
              <w:pStyle w:val="30"/>
              <w:rPr>
                <w:color w:val="auto"/>
              </w:rPr>
            </w:pPr>
            <w:r>
              <w:rPr>
                <w:color w:val="auto"/>
              </w:rPr>
              <w:t>是否水土流失重点防治区</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11</w:t>
            </w:r>
          </w:p>
        </w:tc>
        <w:tc>
          <w:tcPr>
            <w:tcW w:w="2577" w:type="dxa"/>
            <w:vAlign w:val="center"/>
          </w:tcPr>
          <w:p>
            <w:pPr>
              <w:pStyle w:val="30"/>
              <w:rPr>
                <w:color w:val="auto"/>
              </w:rPr>
            </w:pPr>
            <w:r>
              <w:rPr>
                <w:color w:val="auto"/>
              </w:rPr>
              <w:t>是否重点文物保护单位</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12</w:t>
            </w:r>
          </w:p>
        </w:tc>
        <w:tc>
          <w:tcPr>
            <w:tcW w:w="2577" w:type="dxa"/>
            <w:vAlign w:val="center"/>
          </w:tcPr>
          <w:p>
            <w:pPr>
              <w:pStyle w:val="30"/>
              <w:rPr>
                <w:color w:val="auto"/>
              </w:rPr>
            </w:pPr>
            <w:r>
              <w:rPr>
                <w:color w:val="auto"/>
              </w:rPr>
              <w:t>是否森林、公园</w:t>
            </w:r>
          </w:p>
        </w:tc>
        <w:tc>
          <w:tcPr>
            <w:tcW w:w="5619" w:type="dxa"/>
            <w:gridSpan w:val="2"/>
            <w:vAlign w:val="center"/>
          </w:tcPr>
          <w:p>
            <w:pPr>
              <w:pStyle w:val="30"/>
              <w:rPr>
                <w:color w:val="auto"/>
              </w:rPr>
            </w:pPr>
            <w:r>
              <w:rPr>
                <w:color w:val="auto"/>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59" w:type="dxa"/>
            <w:vAlign w:val="center"/>
          </w:tcPr>
          <w:p>
            <w:pPr>
              <w:pStyle w:val="30"/>
              <w:rPr>
                <w:color w:val="auto"/>
              </w:rPr>
            </w:pPr>
            <w:r>
              <w:rPr>
                <w:color w:val="auto"/>
              </w:rPr>
              <w:t>13</w:t>
            </w:r>
          </w:p>
        </w:tc>
        <w:tc>
          <w:tcPr>
            <w:tcW w:w="2577" w:type="dxa"/>
            <w:vAlign w:val="center"/>
          </w:tcPr>
          <w:p>
            <w:pPr>
              <w:pStyle w:val="30"/>
              <w:rPr>
                <w:color w:val="auto"/>
              </w:rPr>
            </w:pPr>
            <w:r>
              <w:rPr>
                <w:color w:val="auto"/>
              </w:rPr>
              <w:t>是否属于生态敏感与脆弱区</w:t>
            </w:r>
          </w:p>
        </w:tc>
        <w:tc>
          <w:tcPr>
            <w:tcW w:w="5619" w:type="dxa"/>
            <w:gridSpan w:val="2"/>
            <w:vAlign w:val="center"/>
          </w:tcPr>
          <w:p>
            <w:pPr>
              <w:pStyle w:val="30"/>
              <w:rPr>
                <w:color w:val="auto"/>
              </w:rPr>
            </w:pPr>
            <w:r>
              <w:rPr>
                <w:color w:val="auto"/>
              </w:rPr>
              <w:t>否</w:t>
            </w:r>
          </w:p>
        </w:tc>
      </w:tr>
    </w:tbl>
    <w:p>
      <w:pPr>
        <w:pStyle w:val="6"/>
        <w:rPr>
          <w:color w:val="auto"/>
        </w:rPr>
      </w:pPr>
      <w:bookmarkStart w:id="59" w:name="_Toc18573"/>
      <w:bookmarkStart w:id="60" w:name="_Toc13587"/>
      <w:bookmarkStart w:id="61" w:name="_Toc31889"/>
      <w:bookmarkStart w:id="62" w:name="_Toc447114714"/>
      <w:r>
        <w:rPr>
          <w:color w:val="auto"/>
        </w:rPr>
        <w:t>2.4评价标准</w:t>
      </w:r>
      <w:bookmarkEnd w:id="59"/>
      <w:bookmarkEnd w:id="60"/>
      <w:bookmarkEnd w:id="61"/>
      <w:bookmarkEnd w:id="62"/>
    </w:p>
    <w:p>
      <w:pPr>
        <w:ind w:firstLine="480"/>
        <w:rPr>
          <w:bCs/>
          <w:color w:val="auto"/>
        </w:rPr>
      </w:pPr>
      <w:r>
        <w:rPr>
          <w:bCs/>
          <w:color w:val="auto"/>
        </w:rPr>
        <w:t xml:space="preserve">根据项目区域环境功能区划和岳阳市生态环境局汨罗分局对本项目执行标准的函，本次环评采用以下标准进行评价。 </w:t>
      </w:r>
    </w:p>
    <w:p>
      <w:pPr>
        <w:pStyle w:val="7"/>
        <w:rPr>
          <w:color w:val="auto"/>
        </w:rPr>
      </w:pPr>
      <w:r>
        <w:rPr>
          <w:color w:val="auto"/>
        </w:rPr>
        <w:t>2.4.1环境质量标准</w:t>
      </w:r>
    </w:p>
    <w:p>
      <w:pPr>
        <w:ind w:firstLine="482"/>
        <w:rPr>
          <w:b/>
          <w:bCs/>
          <w:color w:val="auto"/>
        </w:rPr>
      </w:pPr>
      <w:r>
        <w:rPr>
          <w:b/>
          <w:bCs/>
          <w:color w:val="auto"/>
        </w:rPr>
        <w:t>1、环境空气</w:t>
      </w:r>
    </w:p>
    <w:p>
      <w:pPr>
        <w:ind w:firstLine="480"/>
        <w:rPr>
          <w:bCs/>
          <w:color w:val="auto"/>
        </w:rPr>
      </w:pPr>
      <w:r>
        <w:rPr>
          <w:bCs/>
          <w:color w:val="auto"/>
        </w:rPr>
        <w:t>项目区环境空气基本污染物SO</w:t>
      </w:r>
      <w:r>
        <w:rPr>
          <w:bCs/>
          <w:color w:val="auto"/>
          <w:vertAlign w:val="subscript"/>
        </w:rPr>
        <w:t>2</w:t>
      </w:r>
      <w:r>
        <w:rPr>
          <w:bCs/>
          <w:color w:val="auto"/>
        </w:rPr>
        <w:t>、NO</w:t>
      </w:r>
      <w:r>
        <w:rPr>
          <w:bCs/>
          <w:color w:val="auto"/>
          <w:vertAlign w:val="subscript"/>
        </w:rPr>
        <w:t>2</w:t>
      </w:r>
      <w:r>
        <w:rPr>
          <w:bCs/>
          <w:color w:val="auto"/>
        </w:rPr>
        <w:t>、PM</w:t>
      </w:r>
      <w:r>
        <w:rPr>
          <w:bCs/>
          <w:color w:val="auto"/>
          <w:vertAlign w:val="subscript"/>
        </w:rPr>
        <w:t>10</w:t>
      </w:r>
      <w:r>
        <w:rPr>
          <w:bCs/>
          <w:color w:val="auto"/>
        </w:rPr>
        <w:t>、PM</w:t>
      </w:r>
      <w:r>
        <w:rPr>
          <w:bCs/>
          <w:color w:val="auto"/>
          <w:vertAlign w:val="subscript"/>
        </w:rPr>
        <w:t>2.5</w:t>
      </w:r>
      <w:r>
        <w:rPr>
          <w:bCs/>
          <w:color w:val="auto"/>
        </w:rPr>
        <w:t>、CO、O</w:t>
      </w:r>
      <w:r>
        <w:rPr>
          <w:bCs/>
          <w:color w:val="auto"/>
          <w:vertAlign w:val="subscript"/>
        </w:rPr>
        <w:t>3</w:t>
      </w:r>
      <w:r>
        <w:rPr>
          <w:rFonts w:hint="eastAsia"/>
          <w:bCs/>
          <w:color w:val="auto"/>
          <w:vertAlign w:val="baseline"/>
          <w:lang w:eastAsia="zh-CN"/>
        </w:rPr>
        <w:t>、</w:t>
      </w:r>
      <w:r>
        <w:rPr>
          <w:bCs/>
          <w:color w:val="auto"/>
        </w:rPr>
        <w:t>TSP执行《环境空气质量标准》（GB3095-2012）及其修改单中的二级标准，</w:t>
      </w:r>
      <w:r>
        <w:rPr>
          <w:rFonts w:hint="eastAsia"/>
          <w:bCs/>
          <w:color w:val="auto"/>
          <w:lang w:val="en-US" w:eastAsia="zh-CN"/>
        </w:rPr>
        <w:t>TVOC</w:t>
      </w:r>
      <w:r>
        <w:rPr>
          <w:rFonts w:hint="eastAsia" w:ascii="Times New Roman" w:hAnsi="Times New Roman" w:eastAsia="宋体"/>
          <w:bCs/>
          <w:color w:val="auto"/>
          <w:lang w:val="en-US" w:eastAsia="zh-CN"/>
        </w:rPr>
        <w:t>执行</w:t>
      </w:r>
      <w:r>
        <w:rPr>
          <w:rFonts w:hint="default" w:ascii="Times New Roman" w:hAnsi="Times New Roman" w:eastAsia="宋体"/>
          <w:bCs/>
          <w:color w:val="auto"/>
          <w:lang w:val="en-US" w:eastAsia="zh-CN"/>
        </w:rPr>
        <w:t>《环境影响评价技术导则 大气环境》（HJ2.2-2018）附录D标准要求</w:t>
      </w:r>
      <w:r>
        <w:rPr>
          <w:rFonts w:hint="eastAsia"/>
          <w:bCs/>
          <w:color w:val="auto"/>
          <w:lang w:val="en-US" w:eastAsia="zh-CN"/>
        </w:rPr>
        <w:t>，非甲烷总烃参照执行《大气污染物综合排放标准详解》中标准要求</w:t>
      </w:r>
      <w:r>
        <w:rPr>
          <w:rFonts w:hint="eastAsia" w:ascii="Times New Roman" w:hAnsi="Times New Roman" w:eastAsia="宋体"/>
          <w:bCs/>
          <w:color w:val="auto"/>
          <w:lang w:val="en-US" w:eastAsia="zh-CN"/>
        </w:rPr>
        <w:t>。具体标准限值见下表：</w:t>
      </w:r>
    </w:p>
    <w:p>
      <w:pPr>
        <w:pStyle w:val="31"/>
        <w:rPr>
          <w:color w:val="auto"/>
        </w:rPr>
      </w:pPr>
      <w:r>
        <w:rPr>
          <w:color w:val="auto"/>
        </w:rPr>
        <w:t>表2.4-1   环境空气质量标准</w:t>
      </w:r>
    </w:p>
    <w:tbl>
      <w:tblPr>
        <w:tblStyle w:val="21"/>
        <w:tblW w:w="853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26"/>
        <w:gridCol w:w="2268"/>
        <w:gridCol w:w="1927"/>
        <w:gridCol w:w="26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726" w:type="dxa"/>
            <w:vAlign w:val="center"/>
          </w:tcPr>
          <w:p>
            <w:pPr>
              <w:pStyle w:val="30"/>
              <w:rPr>
                <w:b/>
                <w:bCs/>
                <w:color w:val="auto"/>
              </w:rPr>
            </w:pPr>
            <w:r>
              <w:rPr>
                <w:b/>
                <w:bCs/>
                <w:color w:val="auto"/>
              </w:rPr>
              <w:t>污染物项目</w:t>
            </w:r>
          </w:p>
        </w:tc>
        <w:tc>
          <w:tcPr>
            <w:tcW w:w="2268" w:type="dxa"/>
            <w:vAlign w:val="center"/>
          </w:tcPr>
          <w:p>
            <w:pPr>
              <w:pStyle w:val="30"/>
              <w:rPr>
                <w:b/>
                <w:bCs/>
                <w:color w:val="auto"/>
              </w:rPr>
            </w:pPr>
            <w:r>
              <w:rPr>
                <w:b/>
                <w:bCs/>
                <w:color w:val="auto"/>
              </w:rPr>
              <w:t>平均时间</w:t>
            </w:r>
          </w:p>
        </w:tc>
        <w:tc>
          <w:tcPr>
            <w:tcW w:w="1927" w:type="dxa"/>
            <w:vAlign w:val="center"/>
          </w:tcPr>
          <w:p>
            <w:pPr>
              <w:pStyle w:val="30"/>
              <w:rPr>
                <w:b/>
                <w:bCs/>
                <w:color w:val="auto"/>
              </w:rPr>
            </w:pPr>
            <w:r>
              <w:rPr>
                <w:b/>
                <w:bCs/>
                <w:color w:val="auto"/>
              </w:rPr>
              <w:t>浓度限值</w:t>
            </w:r>
          </w:p>
        </w:tc>
        <w:tc>
          <w:tcPr>
            <w:tcW w:w="2609" w:type="dxa"/>
            <w:vAlign w:val="center"/>
          </w:tcPr>
          <w:p>
            <w:pPr>
              <w:pStyle w:val="30"/>
              <w:rPr>
                <w:b/>
                <w:bCs/>
                <w:color w:val="auto"/>
              </w:rPr>
            </w:pPr>
            <w:r>
              <w:rPr>
                <w:b/>
                <w:bCs/>
                <w:color w:val="auto"/>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26" w:type="dxa"/>
            <w:vAlign w:val="center"/>
          </w:tcPr>
          <w:p>
            <w:pPr>
              <w:pStyle w:val="30"/>
              <w:rPr>
                <w:color w:val="auto"/>
              </w:rPr>
            </w:pPr>
            <w:r>
              <w:rPr>
                <w:color w:val="auto"/>
              </w:rPr>
              <w:t>SO</w:t>
            </w:r>
            <w:r>
              <w:rPr>
                <w:color w:val="auto"/>
                <w:vertAlign w:val="subscript"/>
              </w:rPr>
              <w:t>2</w:t>
            </w:r>
          </w:p>
        </w:tc>
        <w:tc>
          <w:tcPr>
            <w:tcW w:w="2268" w:type="dxa"/>
            <w:vAlign w:val="center"/>
          </w:tcPr>
          <w:p>
            <w:pPr>
              <w:pStyle w:val="30"/>
              <w:rPr>
                <w:color w:val="auto"/>
              </w:rPr>
            </w:pPr>
            <w:r>
              <w:rPr>
                <w:color w:val="auto"/>
              </w:rPr>
              <w:t>年平均</w:t>
            </w:r>
          </w:p>
          <w:p>
            <w:pPr>
              <w:pStyle w:val="30"/>
              <w:rPr>
                <w:color w:val="auto"/>
              </w:rPr>
            </w:pPr>
            <w:r>
              <w:rPr>
                <w:color w:val="auto"/>
              </w:rPr>
              <w:t>24小时平均</w:t>
            </w:r>
          </w:p>
          <w:p>
            <w:pPr>
              <w:pStyle w:val="30"/>
              <w:rPr>
                <w:color w:val="auto"/>
              </w:rPr>
            </w:pPr>
            <w:r>
              <w:rPr>
                <w:color w:val="auto"/>
              </w:rPr>
              <w:t>1小时平均</w:t>
            </w:r>
          </w:p>
        </w:tc>
        <w:tc>
          <w:tcPr>
            <w:tcW w:w="1927" w:type="dxa"/>
            <w:vAlign w:val="center"/>
          </w:tcPr>
          <w:p>
            <w:pPr>
              <w:pStyle w:val="30"/>
              <w:rPr>
                <w:color w:val="auto"/>
              </w:rPr>
            </w:pPr>
            <w:r>
              <w:rPr>
                <w:color w:val="auto"/>
              </w:rPr>
              <w:t>60μg/m</w:t>
            </w:r>
            <w:r>
              <w:rPr>
                <w:color w:val="auto"/>
                <w:vertAlign w:val="superscript"/>
              </w:rPr>
              <w:t>3</w:t>
            </w:r>
          </w:p>
          <w:p>
            <w:pPr>
              <w:pStyle w:val="30"/>
              <w:rPr>
                <w:color w:val="auto"/>
              </w:rPr>
            </w:pPr>
            <w:r>
              <w:rPr>
                <w:color w:val="auto"/>
              </w:rPr>
              <w:t>150μg/m</w:t>
            </w:r>
            <w:r>
              <w:rPr>
                <w:color w:val="auto"/>
                <w:vertAlign w:val="superscript"/>
              </w:rPr>
              <w:t>3</w:t>
            </w:r>
          </w:p>
          <w:p>
            <w:pPr>
              <w:pStyle w:val="30"/>
              <w:rPr>
                <w:color w:val="auto"/>
              </w:rPr>
            </w:pPr>
            <w:r>
              <w:rPr>
                <w:color w:val="auto"/>
              </w:rPr>
              <w:t>500μg/m</w:t>
            </w:r>
            <w:r>
              <w:rPr>
                <w:color w:val="auto"/>
                <w:vertAlign w:val="superscript"/>
              </w:rPr>
              <w:t>3</w:t>
            </w:r>
          </w:p>
        </w:tc>
        <w:tc>
          <w:tcPr>
            <w:tcW w:w="2609" w:type="dxa"/>
            <w:vMerge w:val="restart"/>
            <w:vAlign w:val="center"/>
          </w:tcPr>
          <w:p>
            <w:pPr>
              <w:pStyle w:val="30"/>
              <w:rPr>
                <w:color w:val="auto"/>
              </w:rPr>
            </w:pPr>
            <w:r>
              <w:rPr>
                <w:color w:val="auto"/>
              </w:rPr>
              <w:t>《环境空气质量标准》（GB3095-2012）及其修改单中的二级标准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26" w:type="dxa"/>
            <w:vAlign w:val="center"/>
          </w:tcPr>
          <w:p>
            <w:pPr>
              <w:pStyle w:val="30"/>
              <w:rPr>
                <w:color w:val="auto"/>
              </w:rPr>
            </w:pPr>
            <w:r>
              <w:rPr>
                <w:color w:val="auto"/>
              </w:rPr>
              <w:t>NO</w:t>
            </w:r>
            <w:r>
              <w:rPr>
                <w:color w:val="auto"/>
                <w:vertAlign w:val="subscript"/>
              </w:rPr>
              <w:t>2</w:t>
            </w:r>
          </w:p>
        </w:tc>
        <w:tc>
          <w:tcPr>
            <w:tcW w:w="2268" w:type="dxa"/>
            <w:vAlign w:val="center"/>
          </w:tcPr>
          <w:p>
            <w:pPr>
              <w:pStyle w:val="30"/>
              <w:rPr>
                <w:color w:val="auto"/>
              </w:rPr>
            </w:pPr>
            <w:r>
              <w:rPr>
                <w:color w:val="auto"/>
              </w:rPr>
              <w:t>年平均</w:t>
            </w:r>
          </w:p>
          <w:p>
            <w:pPr>
              <w:pStyle w:val="30"/>
              <w:rPr>
                <w:color w:val="auto"/>
              </w:rPr>
            </w:pPr>
            <w:r>
              <w:rPr>
                <w:color w:val="auto"/>
              </w:rPr>
              <w:t>24小时平均</w:t>
            </w:r>
          </w:p>
          <w:p>
            <w:pPr>
              <w:pStyle w:val="30"/>
              <w:rPr>
                <w:color w:val="auto"/>
              </w:rPr>
            </w:pPr>
            <w:r>
              <w:rPr>
                <w:color w:val="auto"/>
              </w:rPr>
              <w:t>1小时平均</w:t>
            </w:r>
          </w:p>
        </w:tc>
        <w:tc>
          <w:tcPr>
            <w:tcW w:w="1927" w:type="dxa"/>
            <w:vAlign w:val="center"/>
          </w:tcPr>
          <w:p>
            <w:pPr>
              <w:pStyle w:val="30"/>
              <w:rPr>
                <w:color w:val="auto"/>
              </w:rPr>
            </w:pPr>
            <w:r>
              <w:rPr>
                <w:color w:val="auto"/>
              </w:rPr>
              <w:t>40μg/m</w:t>
            </w:r>
            <w:r>
              <w:rPr>
                <w:color w:val="auto"/>
                <w:vertAlign w:val="superscript"/>
              </w:rPr>
              <w:t>3</w:t>
            </w:r>
          </w:p>
          <w:p>
            <w:pPr>
              <w:pStyle w:val="30"/>
              <w:rPr>
                <w:color w:val="auto"/>
              </w:rPr>
            </w:pPr>
            <w:r>
              <w:rPr>
                <w:color w:val="auto"/>
              </w:rPr>
              <w:t>80μg/m</w:t>
            </w:r>
            <w:r>
              <w:rPr>
                <w:color w:val="auto"/>
                <w:vertAlign w:val="superscript"/>
              </w:rPr>
              <w:t>3</w:t>
            </w:r>
          </w:p>
          <w:p>
            <w:pPr>
              <w:pStyle w:val="30"/>
              <w:rPr>
                <w:color w:val="auto"/>
              </w:rPr>
            </w:pPr>
            <w:r>
              <w:rPr>
                <w:color w:val="auto"/>
              </w:rPr>
              <w:t>200μg/m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26" w:type="dxa"/>
            <w:vAlign w:val="center"/>
          </w:tcPr>
          <w:p>
            <w:pPr>
              <w:pStyle w:val="30"/>
              <w:rPr>
                <w:color w:val="auto"/>
              </w:rPr>
            </w:pPr>
            <w:r>
              <w:rPr>
                <w:color w:val="auto"/>
              </w:rPr>
              <w:t>PM</w:t>
            </w:r>
            <w:r>
              <w:rPr>
                <w:color w:val="auto"/>
                <w:vertAlign w:val="subscript"/>
              </w:rPr>
              <w:t>10</w:t>
            </w:r>
          </w:p>
        </w:tc>
        <w:tc>
          <w:tcPr>
            <w:tcW w:w="2268" w:type="dxa"/>
            <w:vAlign w:val="center"/>
          </w:tcPr>
          <w:p>
            <w:pPr>
              <w:pStyle w:val="30"/>
              <w:rPr>
                <w:color w:val="auto"/>
              </w:rPr>
            </w:pPr>
            <w:r>
              <w:rPr>
                <w:color w:val="auto"/>
              </w:rPr>
              <w:t>年平均</w:t>
            </w:r>
          </w:p>
          <w:p>
            <w:pPr>
              <w:pStyle w:val="30"/>
              <w:rPr>
                <w:color w:val="auto"/>
              </w:rPr>
            </w:pPr>
            <w:r>
              <w:rPr>
                <w:color w:val="auto"/>
              </w:rPr>
              <w:t>24小时平均</w:t>
            </w:r>
          </w:p>
        </w:tc>
        <w:tc>
          <w:tcPr>
            <w:tcW w:w="1927" w:type="dxa"/>
            <w:vAlign w:val="center"/>
          </w:tcPr>
          <w:p>
            <w:pPr>
              <w:pStyle w:val="30"/>
              <w:rPr>
                <w:color w:val="auto"/>
              </w:rPr>
            </w:pPr>
            <w:r>
              <w:rPr>
                <w:color w:val="auto"/>
              </w:rPr>
              <w:t>70μg/m</w:t>
            </w:r>
            <w:r>
              <w:rPr>
                <w:color w:val="auto"/>
                <w:vertAlign w:val="superscript"/>
              </w:rPr>
              <w:t>3</w:t>
            </w:r>
          </w:p>
          <w:p>
            <w:pPr>
              <w:pStyle w:val="30"/>
              <w:rPr>
                <w:color w:val="auto"/>
              </w:rPr>
            </w:pPr>
            <w:r>
              <w:rPr>
                <w:color w:val="auto"/>
              </w:rPr>
              <w:t>150μg/m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26" w:type="dxa"/>
            <w:vAlign w:val="center"/>
          </w:tcPr>
          <w:p>
            <w:pPr>
              <w:pStyle w:val="30"/>
              <w:rPr>
                <w:color w:val="auto"/>
              </w:rPr>
            </w:pPr>
            <w:r>
              <w:rPr>
                <w:color w:val="auto"/>
              </w:rPr>
              <w:t>PM</w:t>
            </w:r>
            <w:r>
              <w:rPr>
                <w:color w:val="auto"/>
                <w:vertAlign w:val="subscript"/>
              </w:rPr>
              <w:t>2.5</w:t>
            </w:r>
          </w:p>
        </w:tc>
        <w:tc>
          <w:tcPr>
            <w:tcW w:w="2268" w:type="dxa"/>
            <w:vAlign w:val="center"/>
          </w:tcPr>
          <w:p>
            <w:pPr>
              <w:pStyle w:val="30"/>
              <w:rPr>
                <w:color w:val="auto"/>
              </w:rPr>
            </w:pPr>
            <w:r>
              <w:rPr>
                <w:color w:val="auto"/>
              </w:rPr>
              <w:t>年平均</w:t>
            </w:r>
          </w:p>
          <w:p>
            <w:pPr>
              <w:pStyle w:val="30"/>
              <w:rPr>
                <w:color w:val="auto"/>
              </w:rPr>
            </w:pPr>
            <w:r>
              <w:rPr>
                <w:color w:val="auto"/>
              </w:rPr>
              <w:t>24小时平均</w:t>
            </w:r>
          </w:p>
        </w:tc>
        <w:tc>
          <w:tcPr>
            <w:tcW w:w="1927" w:type="dxa"/>
            <w:vAlign w:val="center"/>
          </w:tcPr>
          <w:p>
            <w:pPr>
              <w:pStyle w:val="30"/>
              <w:rPr>
                <w:color w:val="auto"/>
              </w:rPr>
            </w:pPr>
            <w:r>
              <w:rPr>
                <w:color w:val="auto"/>
              </w:rPr>
              <w:t>35μg/m</w:t>
            </w:r>
            <w:r>
              <w:rPr>
                <w:color w:val="auto"/>
                <w:vertAlign w:val="superscript"/>
              </w:rPr>
              <w:t>3</w:t>
            </w:r>
          </w:p>
          <w:p>
            <w:pPr>
              <w:pStyle w:val="30"/>
              <w:rPr>
                <w:color w:val="auto"/>
              </w:rPr>
            </w:pPr>
            <w:r>
              <w:rPr>
                <w:color w:val="auto"/>
              </w:rPr>
              <w:t>75μg/m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1726" w:type="dxa"/>
            <w:vAlign w:val="center"/>
          </w:tcPr>
          <w:p>
            <w:pPr>
              <w:pStyle w:val="30"/>
              <w:rPr>
                <w:color w:val="auto"/>
              </w:rPr>
            </w:pPr>
            <w:r>
              <w:rPr>
                <w:color w:val="auto"/>
              </w:rPr>
              <w:t>一氧化碳（CO）</w:t>
            </w:r>
          </w:p>
        </w:tc>
        <w:tc>
          <w:tcPr>
            <w:tcW w:w="2268" w:type="dxa"/>
            <w:vAlign w:val="center"/>
          </w:tcPr>
          <w:p>
            <w:pPr>
              <w:pStyle w:val="30"/>
              <w:rPr>
                <w:color w:val="auto"/>
              </w:rPr>
            </w:pPr>
            <w:r>
              <w:rPr>
                <w:color w:val="auto"/>
              </w:rPr>
              <w:t>24小时平均</w:t>
            </w:r>
          </w:p>
          <w:p>
            <w:pPr>
              <w:pStyle w:val="30"/>
              <w:rPr>
                <w:color w:val="auto"/>
              </w:rPr>
            </w:pPr>
            <w:r>
              <w:rPr>
                <w:color w:val="auto"/>
              </w:rPr>
              <w:t>1小时平均</w:t>
            </w:r>
          </w:p>
        </w:tc>
        <w:tc>
          <w:tcPr>
            <w:tcW w:w="1927" w:type="dxa"/>
            <w:vAlign w:val="center"/>
          </w:tcPr>
          <w:p>
            <w:pPr>
              <w:pStyle w:val="30"/>
              <w:rPr>
                <w:color w:val="auto"/>
              </w:rPr>
            </w:pPr>
            <w:r>
              <w:rPr>
                <w:color w:val="auto"/>
              </w:rPr>
              <w:t>4mg/m</w:t>
            </w:r>
            <w:r>
              <w:rPr>
                <w:color w:val="auto"/>
                <w:vertAlign w:val="superscript"/>
              </w:rPr>
              <w:t>3</w:t>
            </w:r>
          </w:p>
          <w:p>
            <w:pPr>
              <w:pStyle w:val="30"/>
              <w:rPr>
                <w:color w:val="auto"/>
              </w:rPr>
            </w:pPr>
            <w:r>
              <w:rPr>
                <w:color w:val="auto"/>
              </w:rPr>
              <w:t>10mg/m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1" w:hRule="atLeast"/>
          <w:jc w:val="center"/>
        </w:trPr>
        <w:tc>
          <w:tcPr>
            <w:tcW w:w="1726" w:type="dxa"/>
            <w:vAlign w:val="center"/>
          </w:tcPr>
          <w:p>
            <w:pPr>
              <w:pStyle w:val="30"/>
              <w:rPr>
                <w:color w:val="auto"/>
              </w:rPr>
            </w:pPr>
            <w:r>
              <w:rPr>
                <w:color w:val="auto"/>
              </w:rPr>
              <w:t>臭氧（O</w:t>
            </w:r>
            <w:r>
              <w:rPr>
                <w:color w:val="auto"/>
                <w:vertAlign w:val="subscript"/>
              </w:rPr>
              <w:t>3</w:t>
            </w:r>
            <w:r>
              <w:rPr>
                <w:color w:val="auto"/>
              </w:rPr>
              <w:t>）</w:t>
            </w:r>
          </w:p>
        </w:tc>
        <w:tc>
          <w:tcPr>
            <w:tcW w:w="2268" w:type="dxa"/>
            <w:vAlign w:val="center"/>
          </w:tcPr>
          <w:p>
            <w:pPr>
              <w:pStyle w:val="30"/>
              <w:rPr>
                <w:color w:val="auto"/>
              </w:rPr>
            </w:pPr>
            <w:r>
              <w:rPr>
                <w:color w:val="auto"/>
              </w:rPr>
              <w:t>日最大8小时平均</w:t>
            </w:r>
          </w:p>
          <w:p>
            <w:pPr>
              <w:pStyle w:val="30"/>
              <w:rPr>
                <w:color w:val="auto"/>
              </w:rPr>
            </w:pPr>
            <w:r>
              <w:rPr>
                <w:color w:val="auto"/>
              </w:rPr>
              <w:t>1小时平均</w:t>
            </w:r>
          </w:p>
        </w:tc>
        <w:tc>
          <w:tcPr>
            <w:tcW w:w="1927" w:type="dxa"/>
            <w:vAlign w:val="center"/>
          </w:tcPr>
          <w:p>
            <w:pPr>
              <w:pStyle w:val="30"/>
              <w:rPr>
                <w:color w:val="auto"/>
              </w:rPr>
            </w:pPr>
            <w:r>
              <w:rPr>
                <w:color w:val="auto"/>
              </w:rPr>
              <w:t>160μg/m</w:t>
            </w:r>
            <w:r>
              <w:rPr>
                <w:color w:val="auto"/>
                <w:vertAlign w:val="superscript"/>
              </w:rPr>
              <w:t>3</w:t>
            </w:r>
          </w:p>
          <w:p>
            <w:pPr>
              <w:pStyle w:val="30"/>
              <w:rPr>
                <w:color w:val="auto"/>
              </w:rPr>
            </w:pPr>
            <w:r>
              <w:rPr>
                <w:color w:val="auto"/>
              </w:rPr>
              <w:t>200μg/m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726" w:type="dxa"/>
            <w:vAlign w:val="center"/>
          </w:tcPr>
          <w:p>
            <w:pPr>
              <w:pStyle w:val="30"/>
              <w:rPr>
                <w:color w:val="auto"/>
              </w:rPr>
            </w:pPr>
            <w:r>
              <w:rPr>
                <w:rFonts w:hint="eastAsia"/>
                <w:color w:val="auto"/>
              </w:rPr>
              <w:t>TSP</w:t>
            </w:r>
          </w:p>
        </w:tc>
        <w:tc>
          <w:tcPr>
            <w:tcW w:w="2268" w:type="dxa"/>
            <w:vAlign w:val="center"/>
          </w:tcPr>
          <w:p>
            <w:pPr>
              <w:pStyle w:val="30"/>
              <w:rPr>
                <w:color w:val="auto"/>
              </w:rPr>
            </w:pPr>
            <w:r>
              <w:rPr>
                <w:rFonts w:hint="eastAsia"/>
                <w:color w:val="auto"/>
              </w:rPr>
              <w:t>日均值</w:t>
            </w:r>
          </w:p>
          <w:p>
            <w:pPr>
              <w:pStyle w:val="30"/>
              <w:rPr>
                <w:color w:val="auto"/>
              </w:rPr>
            </w:pPr>
            <w:r>
              <w:rPr>
                <w:rFonts w:hint="eastAsia"/>
                <w:color w:val="auto"/>
              </w:rPr>
              <w:t>年均值</w:t>
            </w:r>
          </w:p>
        </w:tc>
        <w:tc>
          <w:tcPr>
            <w:tcW w:w="1927" w:type="dxa"/>
            <w:vAlign w:val="center"/>
          </w:tcPr>
          <w:p>
            <w:pPr>
              <w:pStyle w:val="30"/>
              <w:rPr>
                <w:color w:val="auto"/>
              </w:rPr>
            </w:pPr>
            <w:r>
              <w:rPr>
                <w:rFonts w:hint="eastAsia"/>
                <w:color w:val="auto"/>
              </w:rPr>
              <w:t>300</w:t>
            </w:r>
            <w:r>
              <w:rPr>
                <w:color w:val="auto"/>
              </w:rPr>
              <w:t>μg/m</w:t>
            </w:r>
            <w:r>
              <w:rPr>
                <w:color w:val="auto"/>
                <w:vertAlign w:val="superscript"/>
              </w:rPr>
              <w:t>3</w:t>
            </w:r>
          </w:p>
          <w:p>
            <w:pPr>
              <w:pStyle w:val="30"/>
              <w:rPr>
                <w:color w:val="auto"/>
              </w:rPr>
            </w:pPr>
            <w:r>
              <w:rPr>
                <w:color w:val="auto"/>
              </w:rPr>
              <w:t>200μg/m</w:t>
            </w:r>
            <w:r>
              <w:rPr>
                <w:color w:val="auto"/>
                <w:vertAlign w:val="superscript"/>
              </w:rPr>
              <w:t>3</w:t>
            </w:r>
          </w:p>
        </w:tc>
        <w:tc>
          <w:tcPr>
            <w:tcW w:w="260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4" w:hRule="atLeast"/>
          <w:jc w:val="center"/>
        </w:trPr>
        <w:tc>
          <w:tcPr>
            <w:tcW w:w="1726" w:type="dxa"/>
            <w:vAlign w:val="center"/>
          </w:tcPr>
          <w:p>
            <w:pPr>
              <w:pStyle w:val="30"/>
              <w:rPr>
                <w:rFonts w:hint="default" w:eastAsia="宋体"/>
                <w:color w:val="auto"/>
                <w:lang w:val="en-US" w:eastAsia="zh-CN"/>
              </w:rPr>
            </w:pPr>
            <w:r>
              <w:rPr>
                <w:rFonts w:hint="eastAsia"/>
                <w:color w:val="auto"/>
                <w:lang w:val="en-US" w:eastAsia="zh-CN"/>
              </w:rPr>
              <w:t>TVOC</w:t>
            </w:r>
          </w:p>
        </w:tc>
        <w:tc>
          <w:tcPr>
            <w:tcW w:w="2268" w:type="dxa"/>
            <w:vAlign w:val="center"/>
          </w:tcPr>
          <w:p>
            <w:pPr>
              <w:pStyle w:val="30"/>
              <w:rPr>
                <w:color w:val="auto"/>
              </w:rPr>
            </w:pPr>
            <w:r>
              <w:rPr>
                <w:rFonts w:hint="eastAsia"/>
                <w:color w:val="auto"/>
                <w:lang w:val="en-US" w:eastAsia="zh-CN"/>
              </w:rPr>
              <w:t>8</w:t>
            </w:r>
            <w:r>
              <w:rPr>
                <w:color w:val="auto"/>
              </w:rPr>
              <w:t>小时平均</w:t>
            </w:r>
          </w:p>
        </w:tc>
        <w:tc>
          <w:tcPr>
            <w:tcW w:w="1927" w:type="dxa"/>
            <w:vAlign w:val="center"/>
          </w:tcPr>
          <w:p>
            <w:pPr>
              <w:pStyle w:val="30"/>
              <w:rPr>
                <w:color w:val="auto"/>
              </w:rPr>
            </w:pPr>
            <w:r>
              <w:rPr>
                <w:rFonts w:hint="eastAsia"/>
                <w:color w:val="auto"/>
                <w:lang w:val="en-US" w:eastAsia="zh-CN"/>
              </w:rPr>
              <w:t>600</w:t>
            </w:r>
            <w:r>
              <w:rPr>
                <w:color w:val="auto"/>
              </w:rPr>
              <w:t>μg/m</w:t>
            </w:r>
            <w:r>
              <w:rPr>
                <w:color w:val="auto"/>
                <w:vertAlign w:val="superscript"/>
              </w:rPr>
              <w:t>3</w:t>
            </w:r>
          </w:p>
        </w:tc>
        <w:tc>
          <w:tcPr>
            <w:tcW w:w="2609" w:type="dxa"/>
            <w:vAlign w:val="center"/>
          </w:tcPr>
          <w:p>
            <w:pPr>
              <w:pStyle w:val="30"/>
              <w:rPr>
                <w:color w:val="auto"/>
              </w:rPr>
            </w:pPr>
            <w:r>
              <w:rPr>
                <w:rFonts w:hint="default" w:ascii="Times New Roman" w:hAnsi="Times New Roman" w:eastAsia="宋体"/>
                <w:bCs/>
                <w:color w:val="auto"/>
                <w:lang w:val="en-US" w:eastAsia="zh-CN"/>
              </w:rPr>
              <w:t>《环境影响评价技术导则 大气环境》（HJ2.2-2018）附录D标准要求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84" w:hRule="atLeast"/>
          <w:jc w:val="center"/>
        </w:trPr>
        <w:tc>
          <w:tcPr>
            <w:tcW w:w="1726" w:type="dxa"/>
            <w:vAlign w:val="center"/>
          </w:tcPr>
          <w:p>
            <w:pPr>
              <w:pStyle w:val="30"/>
              <w:rPr>
                <w:rFonts w:hint="default"/>
                <w:color w:val="auto"/>
                <w:lang w:val="en-US" w:eastAsia="zh-CN"/>
              </w:rPr>
            </w:pPr>
            <w:r>
              <w:rPr>
                <w:rFonts w:hint="eastAsia"/>
                <w:color w:val="auto"/>
                <w:lang w:val="en-US" w:eastAsia="zh-CN"/>
              </w:rPr>
              <w:t>非甲烷总烃</w:t>
            </w:r>
          </w:p>
        </w:tc>
        <w:tc>
          <w:tcPr>
            <w:tcW w:w="2268" w:type="dxa"/>
            <w:vAlign w:val="center"/>
          </w:tcPr>
          <w:p>
            <w:pPr>
              <w:pStyle w:val="30"/>
              <w:rPr>
                <w:rFonts w:hint="default"/>
                <w:color w:val="auto"/>
                <w:lang w:val="en-US" w:eastAsia="zh-CN"/>
              </w:rPr>
            </w:pPr>
            <w:r>
              <w:rPr>
                <w:rFonts w:hint="eastAsia"/>
                <w:color w:val="auto"/>
                <w:lang w:val="en-US" w:eastAsia="zh-CN"/>
              </w:rPr>
              <w:t>1小时平均</w:t>
            </w:r>
          </w:p>
        </w:tc>
        <w:tc>
          <w:tcPr>
            <w:tcW w:w="1927" w:type="dxa"/>
            <w:vAlign w:val="center"/>
          </w:tcPr>
          <w:p>
            <w:pPr>
              <w:pStyle w:val="30"/>
              <w:rPr>
                <w:rFonts w:hint="default"/>
                <w:color w:val="auto"/>
                <w:lang w:val="en-US" w:eastAsia="zh-CN"/>
              </w:rPr>
            </w:pPr>
            <w:r>
              <w:rPr>
                <w:rFonts w:hint="eastAsia"/>
                <w:color w:val="auto"/>
                <w:lang w:val="en-US" w:eastAsia="zh-CN"/>
              </w:rPr>
              <w:t>2000ug/m</w:t>
            </w:r>
            <w:r>
              <w:rPr>
                <w:rFonts w:hint="eastAsia"/>
                <w:color w:val="auto"/>
                <w:vertAlign w:val="superscript"/>
                <w:lang w:val="en-US" w:eastAsia="zh-CN"/>
              </w:rPr>
              <w:t>3</w:t>
            </w:r>
          </w:p>
        </w:tc>
        <w:tc>
          <w:tcPr>
            <w:tcW w:w="2609" w:type="dxa"/>
            <w:vAlign w:val="center"/>
          </w:tcPr>
          <w:p>
            <w:pPr>
              <w:pStyle w:val="30"/>
              <w:rPr>
                <w:rFonts w:hint="default" w:ascii="Times New Roman" w:hAnsi="Times New Roman" w:eastAsia="宋体"/>
                <w:bCs/>
                <w:color w:val="auto"/>
                <w:lang w:val="en-US" w:eastAsia="zh-CN"/>
              </w:rPr>
            </w:pPr>
            <w:r>
              <w:rPr>
                <w:rFonts w:hint="eastAsia"/>
                <w:bCs/>
                <w:color w:val="auto"/>
                <w:lang w:val="en-US" w:eastAsia="zh-CN"/>
              </w:rPr>
              <w:t>《大气污染物综合排放标准详解》</w:t>
            </w:r>
          </w:p>
        </w:tc>
      </w:tr>
    </w:tbl>
    <w:p>
      <w:pPr>
        <w:ind w:firstLine="482"/>
        <w:rPr>
          <w:b/>
          <w:bCs/>
          <w:color w:val="auto"/>
        </w:rPr>
      </w:pPr>
      <w:r>
        <w:rPr>
          <w:b/>
          <w:bCs/>
          <w:color w:val="auto"/>
        </w:rPr>
        <w:t>2、地表水</w:t>
      </w:r>
    </w:p>
    <w:p>
      <w:pPr>
        <w:ind w:firstLine="480"/>
        <w:rPr>
          <w:bCs/>
          <w:color w:val="auto"/>
        </w:rPr>
      </w:pPr>
      <w:r>
        <w:rPr>
          <w:rFonts w:hint="eastAsia"/>
          <w:bCs/>
          <w:color w:val="auto"/>
          <w:lang w:val="en-US" w:eastAsia="zh-CN"/>
        </w:rPr>
        <w:t>项目区域</w:t>
      </w:r>
      <w:r>
        <w:rPr>
          <w:bCs/>
          <w:color w:val="auto"/>
        </w:rPr>
        <w:t>地表水环境质量执行《地表水环境质量标准》（GB3838-2002）中Ⅲ类。</w:t>
      </w:r>
    </w:p>
    <w:p>
      <w:pPr>
        <w:pStyle w:val="31"/>
        <w:rPr>
          <w:color w:val="auto"/>
        </w:rPr>
      </w:pPr>
      <w:r>
        <w:rPr>
          <w:color w:val="auto"/>
        </w:rPr>
        <w:t>表2.</w:t>
      </w:r>
      <w:r>
        <w:rPr>
          <w:rFonts w:hint="eastAsia"/>
          <w:color w:val="auto"/>
        </w:rPr>
        <w:t>4</w:t>
      </w:r>
      <w:r>
        <w:rPr>
          <w:color w:val="auto"/>
        </w:rPr>
        <w:t>-2地表水环境质量标准（单位：mg/L，除pH、粪大肠菌群外）</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37"/>
        <w:gridCol w:w="3926"/>
        <w:gridCol w:w="32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b/>
                <w:bCs/>
                <w:color w:val="auto"/>
              </w:rPr>
            </w:pPr>
            <w:r>
              <w:rPr>
                <w:b/>
                <w:bCs/>
                <w:color w:val="auto"/>
              </w:rPr>
              <w:t>序号</w:t>
            </w:r>
          </w:p>
        </w:tc>
        <w:tc>
          <w:tcPr>
            <w:tcW w:w="2891" w:type="dxa"/>
            <w:vAlign w:val="center"/>
          </w:tcPr>
          <w:p>
            <w:pPr>
              <w:pStyle w:val="30"/>
              <w:rPr>
                <w:b/>
                <w:bCs/>
                <w:color w:val="auto"/>
              </w:rPr>
            </w:pPr>
            <w:r>
              <w:rPr>
                <w:b/>
                <w:bCs/>
                <w:color w:val="auto"/>
              </w:rPr>
              <w:t>项目</w:t>
            </w:r>
          </w:p>
        </w:tc>
        <w:tc>
          <w:tcPr>
            <w:tcW w:w="2388" w:type="dxa"/>
            <w:vAlign w:val="center"/>
          </w:tcPr>
          <w:p>
            <w:pPr>
              <w:pStyle w:val="30"/>
              <w:rPr>
                <w:b/>
                <w:bCs/>
                <w:color w:val="auto"/>
              </w:rPr>
            </w:pPr>
            <w:r>
              <w:rPr>
                <w:b/>
                <w:bCs/>
                <w:color w:val="auto"/>
              </w:rPr>
              <w:t>Ⅲ类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1</w:t>
            </w:r>
          </w:p>
        </w:tc>
        <w:tc>
          <w:tcPr>
            <w:tcW w:w="2891" w:type="dxa"/>
            <w:vAlign w:val="center"/>
          </w:tcPr>
          <w:p>
            <w:pPr>
              <w:pStyle w:val="30"/>
              <w:rPr>
                <w:color w:val="auto"/>
              </w:rPr>
            </w:pPr>
            <w:r>
              <w:rPr>
                <w:color w:val="auto"/>
              </w:rPr>
              <w:t>pH（无量纲）</w:t>
            </w:r>
          </w:p>
        </w:tc>
        <w:tc>
          <w:tcPr>
            <w:tcW w:w="2388" w:type="dxa"/>
            <w:vAlign w:val="center"/>
          </w:tcPr>
          <w:p>
            <w:pPr>
              <w:pStyle w:val="30"/>
              <w:rPr>
                <w:color w:val="auto"/>
              </w:rPr>
            </w:pPr>
            <w:r>
              <w:rPr>
                <w:color w:val="auto"/>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2</w:t>
            </w:r>
          </w:p>
        </w:tc>
        <w:tc>
          <w:tcPr>
            <w:tcW w:w="2891" w:type="dxa"/>
            <w:vAlign w:val="center"/>
          </w:tcPr>
          <w:p>
            <w:pPr>
              <w:pStyle w:val="30"/>
              <w:rPr>
                <w:color w:val="auto"/>
              </w:rPr>
            </w:pPr>
            <w:r>
              <w:rPr>
                <w:color w:val="auto"/>
              </w:rPr>
              <w:t>化学需氧量</w:t>
            </w:r>
          </w:p>
        </w:tc>
        <w:tc>
          <w:tcPr>
            <w:tcW w:w="2388" w:type="dxa"/>
            <w:vAlign w:val="center"/>
          </w:tcPr>
          <w:p>
            <w:pPr>
              <w:pStyle w:val="30"/>
              <w:rPr>
                <w:color w:val="auto"/>
              </w:rPr>
            </w:pPr>
            <w:r>
              <w:rPr>
                <w:color w:val="auto"/>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3</w:t>
            </w:r>
          </w:p>
        </w:tc>
        <w:tc>
          <w:tcPr>
            <w:tcW w:w="2891" w:type="dxa"/>
            <w:vAlign w:val="center"/>
          </w:tcPr>
          <w:p>
            <w:pPr>
              <w:pStyle w:val="30"/>
              <w:rPr>
                <w:color w:val="auto"/>
              </w:rPr>
            </w:pPr>
            <w:r>
              <w:rPr>
                <w:color w:val="auto"/>
              </w:rPr>
              <w:t>五日生化需氧量</w:t>
            </w:r>
          </w:p>
        </w:tc>
        <w:tc>
          <w:tcPr>
            <w:tcW w:w="2388" w:type="dxa"/>
            <w:vAlign w:val="center"/>
          </w:tcPr>
          <w:p>
            <w:pPr>
              <w:pStyle w:val="30"/>
              <w:rPr>
                <w:color w:val="auto"/>
              </w:rPr>
            </w:pPr>
            <w:r>
              <w:rPr>
                <w:color w:val="auto"/>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4</w:t>
            </w:r>
          </w:p>
        </w:tc>
        <w:tc>
          <w:tcPr>
            <w:tcW w:w="2891" w:type="dxa"/>
            <w:vAlign w:val="center"/>
          </w:tcPr>
          <w:p>
            <w:pPr>
              <w:pStyle w:val="30"/>
              <w:rPr>
                <w:color w:val="auto"/>
              </w:rPr>
            </w:pPr>
            <w:r>
              <w:rPr>
                <w:color w:val="auto"/>
              </w:rPr>
              <w:t>氨氮</w:t>
            </w:r>
          </w:p>
        </w:tc>
        <w:tc>
          <w:tcPr>
            <w:tcW w:w="2388" w:type="dxa"/>
            <w:vAlign w:val="center"/>
          </w:tcPr>
          <w:p>
            <w:pPr>
              <w:pStyle w:val="3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5</w:t>
            </w:r>
          </w:p>
        </w:tc>
        <w:tc>
          <w:tcPr>
            <w:tcW w:w="2891" w:type="dxa"/>
            <w:vAlign w:val="center"/>
          </w:tcPr>
          <w:p>
            <w:pPr>
              <w:pStyle w:val="30"/>
              <w:rPr>
                <w:color w:val="auto"/>
              </w:rPr>
            </w:pPr>
            <w:r>
              <w:rPr>
                <w:color w:val="auto"/>
              </w:rPr>
              <w:t>氯化物</w:t>
            </w:r>
          </w:p>
        </w:tc>
        <w:tc>
          <w:tcPr>
            <w:tcW w:w="2388" w:type="dxa"/>
            <w:vAlign w:val="center"/>
          </w:tcPr>
          <w:p>
            <w:pPr>
              <w:pStyle w:val="30"/>
              <w:rPr>
                <w:color w:val="auto"/>
              </w:rPr>
            </w:pPr>
            <w:r>
              <w:rPr>
                <w:color w:val="auto"/>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6</w:t>
            </w:r>
          </w:p>
        </w:tc>
        <w:tc>
          <w:tcPr>
            <w:tcW w:w="2891" w:type="dxa"/>
            <w:vAlign w:val="center"/>
          </w:tcPr>
          <w:p>
            <w:pPr>
              <w:pStyle w:val="30"/>
              <w:rPr>
                <w:color w:val="auto"/>
              </w:rPr>
            </w:pPr>
            <w:r>
              <w:rPr>
                <w:color w:val="auto"/>
              </w:rPr>
              <w:t>石油类</w:t>
            </w:r>
          </w:p>
        </w:tc>
        <w:tc>
          <w:tcPr>
            <w:tcW w:w="2388" w:type="dxa"/>
            <w:vAlign w:val="center"/>
          </w:tcPr>
          <w:p>
            <w:pPr>
              <w:pStyle w:val="30"/>
              <w:rPr>
                <w:color w:val="auto"/>
              </w:rPr>
            </w:pPr>
            <w:r>
              <w:rPr>
                <w:color w:val="auto"/>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7</w:t>
            </w:r>
          </w:p>
        </w:tc>
        <w:tc>
          <w:tcPr>
            <w:tcW w:w="2891" w:type="dxa"/>
            <w:vAlign w:val="center"/>
          </w:tcPr>
          <w:p>
            <w:pPr>
              <w:pStyle w:val="30"/>
              <w:rPr>
                <w:color w:val="auto"/>
              </w:rPr>
            </w:pPr>
            <w:r>
              <w:rPr>
                <w:color w:val="auto"/>
              </w:rPr>
              <w:t>总磷</w:t>
            </w:r>
          </w:p>
        </w:tc>
        <w:tc>
          <w:tcPr>
            <w:tcW w:w="2388" w:type="dxa"/>
            <w:vAlign w:val="center"/>
          </w:tcPr>
          <w:p>
            <w:pPr>
              <w:pStyle w:val="30"/>
              <w:rPr>
                <w:color w:val="auto"/>
              </w:rPr>
            </w:pPr>
            <w:r>
              <w:rPr>
                <w:color w:val="auto"/>
              </w:rPr>
              <w:t>≤0.2（湖、库0.05）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8</w:t>
            </w:r>
          </w:p>
        </w:tc>
        <w:tc>
          <w:tcPr>
            <w:tcW w:w="2891" w:type="dxa"/>
            <w:vAlign w:val="center"/>
          </w:tcPr>
          <w:p>
            <w:pPr>
              <w:pStyle w:val="30"/>
              <w:rPr>
                <w:color w:val="auto"/>
              </w:rPr>
            </w:pPr>
            <w:r>
              <w:rPr>
                <w:color w:val="auto"/>
              </w:rPr>
              <w:t>阴离子表面活性剂</w:t>
            </w:r>
          </w:p>
        </w:tc>
        <w:tc>
          <w:tcPr>
            <w:tcW w:w="2388" w:type="dxa"/>
            <w:vAlign w:val="center"/>
          </w:tcPr>
          <w:p>
            <w:pPr>
              <w:pStyle w:val="30"/>
              <w:rPr>
                <w:color w:val="auto"/>
              </w:rPr>
            </w:pPr>
            <w:r>
              <w:rPr>
                <w:color w:val="auto"/>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9</w:t>
            </w:r>
          </w:p>
        </w:tc>
        <w:tc>
          <w:tcPr>
            <w:tcW w:w="2891" w:type="dxa"/>
            <w:vAlign w:val="center"/>
          </w:tcPr>
          <w:p>
            <w:pPr>
              <w:pStyle w:val="30"/>
              <w:rPr>
                <w:color w:val="auto"/>
              </w:rPr>
            </w:pPr>
            <w:r>
              <w:rPr>
                <w:color w:val="auto"/>
              </w:rPr>
              <w:t>溶解氧</w:t>
            </w:r>
          </w:p>
        </w:tc>
        <w:tc>
          <w:tcPr>
            <w:tcW w:w="2388" w:type="dxa"/>
            <w:vAlign w:val="center"/>
          </w:tcPr>
          <w:p>
            <w:pPr>
              <w:pStyle w:val="30"/>
              <w:rPr>
                <w:color w:val="auto"/>
              </w:rPr>
            </w:pPr>
            <w:r>
              <w:rPr>
                <w:color w:val="auto"/>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838" w:type="dxa"/>
            <w:vAlign w:val="center"/>
          </w:tcPr>
          <w:p>
            <w:pPr>
              <w:pStyle w:val="30"/>
              <w:rPr>
                <w:color w:val="auto"/>
              </w:rPr>
            </w:pPr>
            <w:r>
              <w:rPr>
                <w:color w:val="auto"/>
              </w:rPr>
              <w:t>10</w:t>
            </w:r>
          </w:p>
        </w:tc>
        <w:tc>
          <w:tcPr>
            <w:tcW w:w="2891" w:type="dxa"/>
            <w:vAlign w:val="center"/>
          </w:tcPr>
          <w:p>
            <w:pPr>
              <w:pStyle w:val="30"/>
              <w:rPr>
                <w:color w:val="auto"/>
              </w:rPr>
            </w:pPr>
            <w:r>
              <w:rPr>
                <w:color w:val="auto"/>
              </w:rPr>
              <w:t>粪大肠菌群（个/L）</w:t>
            </w:r>
          </w:p>
        </w:tc>
        <w:tc>
          <w:tcPr>
            <w:tcW w:w="2388" w:type="dxa"/>
            <w:vAlign w:val="center"/>
          </w:tcPr>
          <w:p>
            <w:pPr>
              <w:pStyle w:val="30"/>
              <w:rPr>
                <w:color w:val="auto"/>
              </w:rPr>
            </w:pPr>
            <w:r>
              <w:rPr>
                <w:color w:val="auto"/>
              </w:rPr>
              <w:t>≤10000</w:t>
            </w:r>
          </w:p>
        </w:tc>
      </w:tr>
    </w:tbl>
    <w:p>
      <w:pPr>
        <w:ind w:firstLine="482"/>
        <w:rPr>
          <w:b/>
          <w:bCs/>
          <w:color w:val="auto"/>
        </w:rPr>
      </w:pPr>
      <w:r>
        <w:rPr>
          <w:b/>
          <w:bCs/>
          <w:color w:val="auto"/>
        </w:rPr>
        <w:t>3、地下水环境</w:t>
      </w:r>
    </w:p>
    <w:p>
      <w:pPr>
        <w:ind w:firstLine="480"/>
        <w:rPr>
          <w:bCs/>
          <w:color w:val="auto"/>
        </w:rPr>
      </w:pPr>
      <w:r>
        <w:rPr>
          <w:bCs/>
          <w:color w:val="auto"/>
        </w:rPr>
        <w:t>项目所在区域地下水执行《地下水质量标准》（GB/T14848-2017）中Ⅲ类标准，具体标准值见下表。</w:t>
      </w:r>
    </w:p>
    <w:p>
      <w:pPr>
        <w:pStyle w:val="31"/>
        <w:rPr>
          <w:color w:val="auto"/>
        </w:rPr>
      </w:pPr>
      <w:r>
        <w:rPr>
          <w:color w:val="auto"/>
        </w:rPr>
        <w:t>表2.4-3   地下水环境质量标准 单位：mg/L，pH值无量纲</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796"/>
        <w:gridCol w:w="1713"/>
        <w:gridCol w:w="1782"/>
        <w:gridCol w:w="804"/>
        <w:gridCol w:w="1824"/>
        <w:gridCol w:w="13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1" w:hRule="exact"/>
          <w:jc w:val="center"/>
        </w:trPr>
        <w:tc>
          <w:tcPr>
            <w:tcW w:w="479" w:type="pct"/>
            <w:vAlign w:val="center"/>
          </w:tcPr>
          <w:p>
            <w:pPr>
              <w:pStyle w:val="30"/>
              <w:rPr>
                <w:b/>
                <w:bCs/>
                <w:color w:val="auto"/>
              </w:rPr>
            </w:pPr>
            <w:r>
              <w:rPr>
                <w:b/>
                <w:bCs/>
                <w:color w:val="auto"/>
              </w:rPr>
              <w:t>序号</w:t>
            </w:r>
          </w:p>
        </w:tc>
        <w:tc>
          <w:tcPr>
            <w:tcW w:w="1031" w:type="pct"/>
            <w:vAlign w:val="center"/>
          </w:tcPr>
          <w:p>
            <w:pPr>
              <w:pStyle w:val="30"/>
              <w:rPr>
                <w:b/>
                <w:bCs/>
                <w:color w:val="auto"/>
              </w:rPr>
            </w:pPr>
            <w:r>
              <w:rPr>
                <w:b/>
                <w:bCs/>
                <w:color w:val="auto"/>
              </w:rPr>
              <w:t>指标</w:t>
            </w:r>
          </w:p>
        </w:tc>
        <w:tc>
          <w:tcPr>
            <w:tcW w:w="1073" w:type="pct"/>
            <w:vAlign w:val="center"/>
          </w:tcPr>
          <w:p>
            <w:pPr>
              <w:pStyle w:val="30"/>
              <w:rPr>
                <w:b/>
                <w:bCs/>
                <w:color w:val="auto"/>
              </w:rPr>
            </w:pPr>
            <w:r>
              <w:rPr>
                <w:b/>
                <w:bCs/>
                <w:color w:val="auto"/>
              </w:rPr>
              <w:t>Ⅲ类标准</w:t>
            </w:r>
          </w:p>
        </w:tc>
        <w:tc>
          <w:tcPr>
            <w:tcW w:w="484" w:type="pct"/>
            <w:vAlign w:val="center"/>
          </w:tcPr>
          <w:p>
            <w:pPr>
              <w:pStyle w:val="30"/>
              <w:rPr>
                <w:b/>
                <w:bCs/>
                <w:color w:val="auto"/>
              </w:rPr>
            </w:pPr>
            <w:r>
              <w:rPr>
                <w:b/>
                <w:bCs/>
                <w:color w:val="auto"/>
              </w:rPr>
              <w:t>序号</w:t>
            </w:r>
          </w:p>
        </w:tc>
        <w:tc>
          <w:tcPr>
            <w:tcW w:w="1098" w:type="pct"/>
            <w:vAlign w:val="center"/>
          </w:tcPr>
          <w:p>
            <w:pPr>
              <w:pStyle w:val="30"/>
              <w:rPr>
                <w:b/>
                <w:bCs/>
                <w:color w:val="auto"/>
              </w:rPr>
            </w:pPr>
            <w:r>
              <w:rPr>
                <w:b/>
                <w:bCs/>
                <w:color w:val="auto"/>
              </w:rPr>
              <w:t>指标</w:t>
            </w:r>
          </w:p>
        </w:tc>
        <w:tc>
          <w:tcPr>
            <w:tcW w:w="835" w:type="pct"/>
            <w:vAlign w:val="center"/>
          </w:tcPr>
          <w:p>
            <w:pPr>
              <w:pStyle w:val="30"/>
              <w:rPr>
                <w:b/>
                <w:bCs/>
                <w:color w:val="auto"/>
              </w:rPr>
            </w:pPr>
            <w:r>
              <w:rPr>
                <w:b/>
                <w:bCs/>
                <w:color w:val="auto"/>
              </w:rPr>
              <w:t>Ⅲ类标准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exact"/>
          <w:jc w:val="center"/>
        </w:trPr>
        <w:tc>
          <w:tcPr>
            <w:tcW w:w="479" w:type="pct"/>
            <w:vAlign w:val="center"/>
          </w:tcPr>
          <w:p>
            <w:pPr>
              <w:pStyle w:val="30"/>
              <w:rPr>
                <w:color w:val="auto"/>
              </w:rPr>
            </w:pPr>
            <w:r>
              <w:rPr>
                <w:color w:val="auto"/>
              </w:rPr>
              <w:t>1</w:t>
            </w:r>
          </w:p>
        </w:tc>
        <w:tc>
          <w:tcPr>
            <w:tcW w:w="1031" w:type="pct"/>
            <w:vAlign w:val="center"/>
          </w:tcPr>
          <w:p>
            <w:pPr>
              <w:pStyle w:val="30"/>
              <w:rPr>
                <w:color w:val="auto"/>
              </w:rPr>
            </w:pPr>
            <w:r>
              <w:rPr>
                <w:color w:val="auto"/>
              </w:rPr>
              <w:t>pH</w:t>
            </w:r>
          </w:p>
        </w:tc>
        <w:tc>
          <w:tcPr>
            <w:tcW w:w="1073" w:type="pct"/>
            <w:vAlign w:val="center"/>
          </w:tcPr>
          <w:p>
            <w:pPr>
              <w:pStyle w:val="30"/>
              <w:rPr>
                <w:color w:val="auto"/>
              </w:rPr>
            </w:pPr>
            <w:r>
              <w:rPr>
                <w:color w:val="auto"/>
              </w:rPr>
              <w:t>6.5～8.5</w:t>
            </w:r>
          </w:p>
        </w:tc>
        <w:tc>
          <w:tcPr>
            <w:tcW w:w="484" w:type="pct"/>
            <w:vAlign w:val="center"/>
          </w:tcPr>
          <w:p>
            <w:pPr>
              <w:pStyle w:val="30"/>
              <w:rPr>
                <w:color w:val="auto"/>
              </w:rPr>
            </w:pPr>
            <w:r>
              <w:rPr>
                <w:color w:val="auto"/>
              </w:rPr>
              <w:t>13</w:t>
            </w:r>
          </w:p>
        </w:tc>
        <w:tc>
          <w:tcPr>
            <w:tcW w:w="1098" w:type="pct"/>
            <w:vAlign w:val="center"/>
          </w:tcPr>
          <w:p>
            <w:pPr>
              <w:pStyle w:val="30"/>
              <w:rPr>
                <w:color w:val="auto"/>
              </w:rPr>
            </w:pPr>
            <w:r>
              <w:rPr>
                <w:color w:val="auto"/>
              </w:rPr>
              <w:t>六价铬</w:t>
            </w:r>
          </w:p>
        </w:tc>
        <w:tc>
          <w:tcPr>
            <w:tcW w:w="835" w:type="pct"/>
            <w:vAlign w:val="center"/>
          </w:tcPr>
          <w:p>
            <w:pPr>
              <w:pStyle w:val="30"/>
              <w:rPr>
                <w:color w:val="auto"/>
              </w:rPr>
            </w:pPr>
            <w:r>
              <w:rPr>
                <w:color w:val="auto"/>
              </w:rPr>
              <w:t>≤0.05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68" w:hRule="exact"/>
          <w:jc w:val="center"/>
        </w:trPr>
        <w:tc>
          <w:tcPr>
            <w:tcW w:w="479" w:type="pct"/>
            <w:vAlign w:val="center"/>
          </w:tcPr>
          <w:p>
            <w:pPr>
              <w:pStyle w:val="30"/>
              <w:rPr>
                <w:color w:val="auto"/>
              </w:rPr>
            </w:pPr>
            <w:r>
              <w:rPr>
                <w:color w:val="auto"/>
              </w:rPr>
              <w:t>2</w:t>
            </w:r>
          </w:p>
        </w:tc>
        <w:tc>
          <w:tcPr>
            <w:tcW w:w="1031" w:type="pct"/>
            <w:vAlign w:val="center"/>
          </w:tcPr>
          <w:p>
            <w:pPr>
              <w:pStyle w:val="30"/>
              <w:rPr>
                <w:color w:val="auto"/>
              </w:rPr>
            </w:pPr>
            <w:r>
              <w:rPr>
                <w:color w:val="auto"/>
              </w:rPr>
              <w:t>氨氮</w:t>
            </w:r>
          </w:p>
        </w:tc>
        <w:tc>
          <w:tcPr>
            <w:tcW w:w="1073" w:type="pct"/>
            <w:vAlign w:val="center"/>
          </w:tcPr>
          <w:p>
            <w:pPr>
              <w:pStyle w:val="30"/>
              <w:rPr>
                <w:color w:val="auto"/>
              </w:rPr>
            </w:pPr>
            <w:r>
              <w:rPr>
                <w:color w:val="auto"/>
              </w:rPr>
              <w:t>≤0.5</w:t>
            </w:r>
          </w:p>
        </w:tc>
        <w:tc>
          <w:tcPr>
            <w:tcW w:w="484" w:type="pct"/>
            <w:vAlign w:val="center"/>
          </w:tcPr>
          <w:p>
            <w:pPr>
              <w:pStyle w:val="30"/>
              <w:rPr>
                <w:color w:val="auto"/>
              </w:rPr>
            </w:pPr>
            <w:r>
              <w:rPr>
                <w:color w:val="auto"/>
              </w:rPr>
              <w:t>14</w:t>
            </w:r>
          </w:p>
        </w:tc>
        <w:tc>
          <w:tcPr>
            <w:tcW w:w="1098" w:type="pct"/>
            <w:vAlign w:val="center"/>
          </w:tcPr>
          <w:p>
            <w:pPr>
              <w:pStyle w:val="30"/>
              <w:rPr>
                <w:color w:val="auto"/>
              </w:rPr>
            </w:pPr>
            <w:r>
              <w:rPr>
                <w:color w:val="auto"/>
              </w:rPr>
              <w:t>铅</w:t>
            </w:r>
          </w:p>
        </w:tc>
        <w:tc>
          <w:tcPr>
            <w:tcW w:w="835" w:type="pct"/>
            <w:vAlign w:val="center"/>
          </w:tcPr>
          <w:p>
            <w:pPr>
              <w:pStyle w:val="30"/>
              <w:rPr>
                <w:color w:val="auto"/>
              </w:rPr>
            </w:pPr>
            <w:r>
              <w:rPr>
                <w:color w:val="auto"/>
              </w:rPr>
              <w:t>≤0.01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exact"/>
          <w:jc w:val="center"/>
        </w:trPr>
        <w:tc>
          <w:tcPr>
            <w:tcW w:w="479" w:type="pct"/>
            <w:vAlign w:val="center"/>
          </w:tcPr>
          <w:p>
            <w:pPr>
              <w:pStyle w:val="30"/>
              <w:rPr>
                <w:color w:val="auto"/>
              </w:rPr>
            </w:pPr>
            <w:r>
              <w:rPr>
                <w:color w:val="auto"/>
              </w:rPr>
              <w:t>3</w:t>
            </w:r>
          </w:p>
        </w:tc>
        <w:tc>
          <w:tcPr>
            <w:tcW w:w="1031" w:type="pct"/>
            <w:vAlign w:val="center"/>
          </w:tcPr>
          <w:p>
            <w:pPr>
              <w:pStyle w:val="30"/>
              <w:rPr>
                <w:color w:val="auto"/>
              </w:rPr>
            </w:pPr>
            <w:r>
              <w:rPr>
                <w:color w:val="auto"/>
              </w:rPr>
              <w:t>总硬度</w:t>
            </w:r>
          </w:p>
        </w:tc>
        <w:tc>
          <w:tcPr>
            <w:tcW w:w="1073" w:type="pct"/>
            <w:vAlign w:val="center"/>
          </w:tcPr>
          <w:p>
            <w:pPr>
              <w:pStyle w:val="30"/>
              <w:rPr>
                <w:color w:val="auto"/>
              </w:rPr>
            </w:pPr>
            <w:r>
              <w:rPr>
                <w:color w:val="auto"/>
              </w:rPr>
              <w:t>450</w:t>
            </w:r>
          </w:p>
        </w:tc>
        <w:tc>
          <w:tcPr>
            <w:tcW w:w="484" w:type="pct"/>
            <w:vAlign w:val="center"/>
          </w:tcPr>
          <w:p>
            <w:pPr>
              <w:pStyle w:val="30"/>
              <w:rPr>
                <w:color w:val="auto"/>
              </w:rPr>
            </w:pPr>
            <w:r>
              <w:rPr>
                <w:color w:val="auto"/>
              </w:rPr>
              <w:t>15</w:t>
            </w:r>
          </w:p>
        </w:tc>
        <w:tc>
          <w:tcPr>
            <w:tcW w:w="1098" w:type="pct"/>
            <w:vAlign w:val="center"/>
          </w:tcPr>
          <w:p>
            <w:pPr>
              <w:pStyle w:val="30"/>
              <w:rPr>
                <w:color w:val="auto"/>
              </w:rPr>
            </w:pPr>
            <w:r>
              <w:rPr>
                <w:color w:val="auto"/>
              </w:rPr>
              <w:t>氟化物</w:t>
            </w:r>
          </w:p>
        </w:tc>
        <w:tc>
          <w:tcPr>
            <w:tcW w:w="835" w:type="pct"/>
            <w:vAlign w:val="center"/>
          </w:tcPr>
          <w:p>
            <w:pPr>
              <w:pStyle w:val="30"/>
              <w:rPr>
                <w:color w:val="auto"/>
              </w:rPr>
            </w:pPr>
            <w:r>
              <w:rPr>
                <w:color w:val="auto"/>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exact"/>
          <w:jc w:val="center"/>
        </w:trPr>
        <w:tc>
          <w:tcPr>
            <w:tcW w:w="479" w:type="pct"/>
            <w:vAlign w:val="center"/>
          </w:tcPr>
          <w:p>
            <w:pPr>
              <w:pStyle w:val="30"/>
              <w:rPr>
                <w:color w:val="auto"/>
              </w:rPr>
            </w:pPr>
            <w:r>
              <w:rPr>
                <w:color w:val="auto"/>
              </w:rPr>
              <w:t>4</w:t>
            </w:r>
          </w:p>
        </w:tc>
        <w:tc>
          <w:tcPr>
            <w:tcW w:w="1031" w:type="pct"/>
            <w:vAlign w:val="center"/>
          </w:tcPr>
          <w:p>
            <w:pPr>
              <w:pStyle w:val="30"/>
              <w:rPr>
                <w:color w:val="auto"/>
              </w:rPr>
            </w:pPr>
            <w:r>
              <w:rPr>
                <w:color w:val="auto"/>
              </w:rPr>
              <w:t>硝酸盐</w:t>
            </w:r>
          </w:p>
        </w:tc>
        <w:tc>
          <w:tcPr>
            <w:tcW w:w="1073" w:type="pct"/>
            <w:vAlign w:val="center"/>
          </w:tcPr>
          <w:p>
            <w:pPr>
              <w:pStyle w:val="30"/>
              <w:rPr>
                <w:color w:val="auto"/>
              </w:rPr>
            </w:pPr>
            <w:r>
              <w:rPr>
                <w:color w:val="auto"/>
              </w:rPr>
              <w:t>≤20</w:t>
            </w:r>
          </w:p>
        </w:tc>
        <w:tc>
          <w:tcPr>
            <w:tcW w:w="484" w:type="pct"/>
            <w:vAlign w:val="center"/>
          </w:tcPr>
          <w:p>
            <w:pPr>
              <w:pStyle w:val="30"/>
              <w:rPr>
                <w:color w:val="auto"/>
              </w:rPr>
            </w:pPr>
            <w:r>
              <w:rPr>
                <w:color w:val="auto"/>
              </w:rPr>
              <w:t>16</w:t>
            </w:r>
          </w:p>
        </w:tc>
        <w:tc>
          <w:tcPr>
            <w:tcW w:w="1098" w:type="pct"/>
            <w:vAlign w:val="center"/>
          </w:tcPr>
          <w:p>
            <w:pPr>
              <w:pStyle w:val="30"/>
              <w:rPr>
                <w:color w:val="auto"/>
              </w:rPr>
            </w:pPr>
            <w:r>
              <w:rPr>
                <w:color w:val="auto"/>
              </w:rPr>
              <w:t>镉</w:t>
            </w:r>
          </w:p>
        </w:tc>
        <w:tc>
          <w:tcPr>
            <w:tcW w:w="835" w:type="pct"/>
            <w:vAlign w:val="center"/>
          </w:tcPr>
          <w:p>
            <w:pPr>
              <w:pStyle w:val="30"/>
              <w:rPr>
                <w:color w:val="auto"/>
              </w:rPr>
            </w:pPr>
            <w:r>
              <w:rPr>
                <w:color w:val="auto"/>
              </w:rPr>
              <w:t>≤0.005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exact"/>
          <w:jc w:val="center"/>
        </w:trPr>
        <w:tc>
          <w:tcPr>
            <w:tcW w:w="479" w:type="pct"/>
            <w:vAlign w:val="center"/>
          </w:tcPr>
          <w:p>
            <w:pPr>
              <w:pStyle w:val="30"/>
              <w:rPr>
                <w:color w:val="auto"/>
              </w:rPr>
            </w:pPr>
            <w:r>
              <w:rPr>
                <w:color w:val="auto"/>
              </w:rPr>
              <w:t>5</w:t>
            </w:r>
          </w:p>
        </w:tc>
        <w:tc>
          <w:tcPr>
            <w:tcW w:w="1031" w:type="pct"/>
            <w:vAlign w:val="center"/>
          </w:tcPr>
          <w:p>
            <w:pPr>
              <w:pStyle w:val="30"/>
              <w:rPr>
                <w:color w:val="auto"/>
              </w:rPr>
            </w:pPr>
            <w:r>
              <w:rPr>
                <w:color w:val="auto"/>
              </w:rPr>
              <w:t>亚硝酸盐</w:t>
            </w:r>
          </w:p>
        </w:tc>
        <w:tc>
          <w:tcPr>
            <w:tcW w:w="1073" w:type="pct"/>
            <w:vAlign w:val="center"/>
          </w:tcPr>
          <w:p>
            <w:pPr>
              <w:pStyle w:val="30"/>
              <w:rPr>
                <w:color w:val="auto"/>
              </w:rPr>
            </w:pPr>
            <w:r>
              <w:rPr>
                <w:color w:val="auto"/>
              </w:rPr>
              <w:t>≤1.0</w:t>
            </w:r>
          </w:p>
        </w:tc>
        <w:tc>
          <w:tcPr>
            <w:tcW w:w="484" w:type="pct"/>
            <w:vAlign w:val="center"/>
          </w:tcPr>
          <w:p>
            <w:pPr>
              <w:pStyle w:val="30"/>
              <w:rPr>
                <w:color w:val="auto"/>
              </w:rPr>
            </w:pPr>
            <w:r>
              <w:rPr>
                <w:color w:val="auto"/>
              </w:rPr>
              <w:t>17</w:t>
            </w:r>
          </w:p>
        </w:tc>
        <w:tc>
          <w:tcPr>
            <w:tcW w:w="1098" w:type="pct"/>
            <w:vAlign w:val="center"/>
          </w:tcPr>
          <w:p>
            <w:pPr>
              <w:pStyle w:val="30"/>
              <w:rPr>
                <w:color w:val="auto"/>
              </w:rPr>
            </w:pPr>
            <w:r>
              <w:rPr>
                <w:color w:val="auto"/>
              </w:rPr>
              <w:t>铁</w:t>
            </w:r>
          </w:p>
        </w:tc>
        <w:tc>
          <w:tcPr>
            <w:tcW w:w="835" w:type="pct"/>
            <w:vAlign w:val="center"/>
          </w:tcPr>
          <w:p>
            <w:pPr>
              <w:pStyle w:val="30"/>
              <w:rPr>
                <w:color w:val="auto"/>
              </w:rPr>
            </w:pPr>
            <w:r>
              <w:rPr>
                <w:color w:val="auto"/>
              </w:rPr>
              <w:t>≤0.3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71" w:hRule="exact"/>
          <w:jc w:val="center"/>
        </w:trPr>
        <w:tc>
          <w:tcPr>
            <w:tcW w:w="479" w:type="pct"/>
            <w:vAlign w:val="center"/>
          </w:tcPr>
          <w:p>
            <w:pPr>
              <w:pStyle w:val="30"/>
              <w:rPr>
                <w:color w:val="auto"/>
              </w:rPr>
            </w:pPr>
            <w:r>
              <w:rPr>
                <w:color w:val="auto"/>
              </w:rPr>
              <w:t>6</w:t>
            </w:r>
          </w:p>
        </w:tc>
        <w:tc>
          <w:tcPr>
            <w:tcW w:w="1031" w:type="pct"/>
            <w:vAlign w:val="center"/>
          </w:tcPr>
          <w:p>
            <w:pPr>
              <w:pStyle w:val="30"/>
              <w:rPr>
                <w:color w:val="auto"/>
              </w:rPr>
            </w:pPr>
            <w:r>
              <w:rPr>
                <w:color w:val="auto"/>
              </w:rPr>
              <w:t>氯化物</w:t>
            </w:r>
          </w:p>
        </w:tc>
        <w:tc>
          <w:tcPr>
            <w:tcW w:w="1073" w:type="pct"/>
            <w:vAlign w:val="center"/>
          </w:tcPr>
          <w:p>
            <w:pPr>
              <w:pStyle w:val="30"/>
              <w:rPr>
                <w:color w:val="auto"/>
              </w:rPr>
            </w:pPr>
            <w:r>
              <w:rPr>
                <w:color w:val="auto"/>
              </w:rPr>
              <w:t>≤250</w:t>
            </w:r>
          </w:p>
        </w:tc>
        <w:tc>
          <w:tcPr>
            <w:tcW w:w="484" w:type="pct"/>
            <w:vAlign w:val="center"/>
          </w:tcPr>
          <w:p>
            <w:pPr>
              <w:pStyle w:val="30"/>
              <w:rPr>
                <w:color w:val="auto"/>
              </w:rPr>
            </w:pPr>
            <w:r>
              <w:rPr>
                <w:color w:val="auto"/>
              </w:rPr>
              <w:t>18</w:t>
            </w:r>
          </w:p>
        </w:tc>
        <w:tc>
          <w:tcPr>
            <w:tcW w:w="1098" w:type="pct"/>
            <w:vAlign w:val="center"/>
          </w:tcPr>
          <w:p>
            <w:pPr>
              <w:pStyle w:val="30"/>
              <w:rPr>
                <w:color w:val="auto"/>
              </w:rPr>
            </w:pPr>
            <w:r>
              <w:rPr>
                <w:color w:val="auto"/>
              </w:rPr>
              <w:t>锰</w:t>
            </w:r>
          </w:p>
        </w:tc>
        <w:tc>
          <w:tcPr>
            <w:tcW w:w="835" w:type="pct"/>
            <w:vAlign w:val="center"/>
          </w:tcPr>
          <w:p>
            <w:pPr>
              <w:pStyle w:val="30"/>
              <w:rPr>
                <w:color w:val="auto"/>
              </w:rPr>
            </w:pPr>
            <w:r>
              <w:rPr>
                <w:color w:val="auto"/>
              </w:rPr>
              <w:t>≤0.1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1" w:hRule="exact"/>
          <w:jc w:val="center"/>
        </w:trPr>
        <w:tc>
          <w:tcPr>
            <w:tcW w:w="479" w:type="pct"/>
            <w:vAlign w:val="center"/>
          </w:tcPr>
          <w:p>
            <w:pPr>
              <w:pStyle w:val="30"/>
              <w:rPr>
                <w:color w:val="auto"/>
              </w:rPr>
            </w:pPr>
            <w:r>
              <w:rPr>
                <w:color w:val="auto"/>
              </w:rPr>
              <w:t>7</w:t>
            </w:r>
          </w:p>
        </w:tc>
        <w:tc>
          <w:tcPr>
            <w:tcW w:w="1031" w:type="pct"/>
            <w:vAlign w:val="center"/>
          </w:tcPr>
          <w:p>
            <w:pPr>
              <w:pStyle w:val="30"/>
              <w:rPr>
                <w:color w:val="auto"/>
              </w:rPr>
            </w:pPr>
            <w:r>
              <w:rPr>
                <w:color w:val="auto"/>
              </w:rPr>
              <w:t>硫酸盐</w:t>
            </w:r>
          </w:p>
        </w:tc>
        <w:tc>
          <w:tcPr>
            <w:tcW w:w="1073" w:type="pct"/>
            <w:vAlign w:val="center"/>
          </w:tcPr>
          <w:p>
            <w:pPr>
              <w:pStyle w:val="30"/>
              <w:rPr>
                <w:color w:val="auto"/>
              </w:rPr>
            </w:pPr>
            <w:r>
              <w:rPr>
                <w:color w:val="auto"/>
              </w:rPr>
              <w:t>≤250</w:t>
            </w:r>
          </w:p>
        </w:tc>
        <w:tc>
          <w:tcPr>
            <w:tcW w:w="484" w:type="pct"/>
            <w:vAlign w:val="center"/>
          </w:tcPr>
          <w:p>
            <w:pPr>
              <w:pStyle w:val="30"/>
              <w:rPr>
                <w:color w:val="auto"/>
              </w:rPr>
            </w:pPr>
            <w:r>
              <w:rPr>
                <w:color w:val="auto"/>
              </w:rPr>
              <w:t>19</w:t>
            </w:r>
          </w:p>
        </w:tc>
        <w:tc>
          <w:tcPr>
            <w:tcW w:w="1098" w:type="pct"/>
            <w:vAlign w:val="center"/>
          </w:tcPr>
          <w:p>
            <w:pPr>
              <w:pStyle w:val="30"/>
              <w:rPr>
                <w:color w:val="auto"/>
              </w:rPr>
            </w:pPr>
            <w:r>
              <w:rPr>
                <w:color w:val="auto"/>
              </w:rPr>
              <w:t>溶解性总固体</w:t>
            </w:r>
          </w:p>
        </w:tc>
        <w:tc>
          <w:tcPr>
            <w:tcW w:w="835" w:type="pct"/>
            <w:vAlign w:val="center"/>
          </w:tcPr>
          <w:p>
            <w:pPr>
              <w:pStyle w:val="30"/>
              <w:rPr>
                <w:color w:val="auto"/>
              </w:rPr>
            </w:pPr>
            <w:r>
              <w:rPr>
                <w:color w:val="auto"/>
              </w:rPr>
              <w:t>≤1000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81" w:hRule="exact"/>
          <w:jc w:val="center"/>
        </w:trPr>
        <w:tc>
          <w:tcPr>
            <w:tcW w:w="479" w:type="pct"/>
            <w:vAlign w:val="center"/>
          </w:tcPr>
          <w:p>
            <w:pPr>
              <w:pStyle w:val="30"/>
              <w:rPr>
                <w:color w:val="auto"/>
              </w:rPr>
            </w:pPr>
            <w:r>
              <w:rPr>
                <w:color w:val="auto"/>
              </w:rPr>
              <w:t>8</w:t>
            </w:r>
          </w:p>
        </w:tc>
        <w:tc>
          <w:tcPr>
            <w:tcW w:w="1031" w:type="pct"/>
            <w:vAlign w:val="center"/>
          </w:tcPr>
          <w:p>
            <w:pPr>
              <w:pStyle w:val="30"/>
              <w:rPr>
                <w:color w:val="auto"/>
              </w:rPr>
            </w:pPr>
            <w:r>
              <w:rPr>
                <w:color w:val="auto"/>
              </w:rPr>
              <w:t>挥发酚</w:t>
            </w:r>
          </w:p>
        </w:tc>
        <w:tc>
          <w:tcPr>
            <w:tcW w:w="1073" w:type="pct"/>
            <w:vAlign w:val="center"/>
          </w:tcPr>
          <w:p>
            <w:pPr>
              <w:pStyle w:val="30"/>
              <w:rPr>
                <w:color w:val="auto"/>
              </w:rPr>
            </w:pPr>
            <w:r>
              <w:rPr>
                <w:color w:val="auto"/>
              </w:rPr>
              <w:t>≤0.002</w:t>
            </w:r>
          </w:p>
        </w:tc>
        <w:tc>
          <w:tcPr>
            <w:tcW w:w="484" w:type="pct"/>
            <w:vAlign w:val="center"/>
          </w:tcPr>
          <w:p>
            <w:pPr>
              <w:pStyle w:val="30"/>
              <w:rPr>
                <w:color w:val="auto"/>
              </w:rPr>
            </w:pPr>
            <w:r>
              <w:rPr>
                <w:color w:val="auto"/>
              </w:rPr>
              <w:t>20</w:t>
            </w:r>
          </w:p>
        </w:tc>
        <w:tc>
          <w:tcPr>
            <w:tcW w:w="1098" w:type="pct"/>
            <w:vAlign w:val="center"/>
          </w:tcPr>
          <w:p>
            <w:pPr>
              <w:pStyle w:val="30"/>
              <w:rPr>
                <w:color w:val="auto"/>
              </w:rPr>
            </w:pPr>
            <w:r>
              <w:rPr>
                <w:color w:val="auto"/>
              </w:rPr>
              <w:t>耗氧量</w:t>
            </w:r>
          </w:p>
        </w:tc>
        <w:tc>
          <w:tcPr>
            <w:tcW w:w="835" w:type="pct"/>
            <w:vAlign w:val="center"/>
          </w:tcPr>
          <w:p>
            <w:pPr>
              <w:pStyle w:val="30"/>
              <w:rPr>
                <w:color w:val="auto"/>
              </w:rPr>
            </w:pPr>
            <w:r>
              <w:rPr>
                <w:color w:val="auto"/>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09" w:hRule="exact"/>
          <w:jc w:val="center"/>
        </w:trPr>
        <w:tc>
          <w:tcPr>
            <w:tcW w:w="479" w:type="pct"/>
            <w:vAlign w:val="center"/>
          </w:tcPr>
          <w:p>
            <w:pPr>
              <w:pStyle w:val="30"/>
              <w:rPr>
                <w:color w:val="auto"/>
              </w:rPr>
            </w:pPr>
            <w:r>
              <w:rPr>
                <w:color w:val="auto"/>
              </w:rPr>
              <w:t>9</w:t>
            </w:r>
          </w:p>
        </w:tc>
        <w:tc>
          <w:tcPr>
            <w:tcW w:w="1031" w:type="pct"/>
            <w:vAlign w:val="center"/>
          </w:tcPr>
          <w:p>
            <w:pPr>
              <w:pStyle w:val="30"/>
              <w:rPr>
                <w:color w:val="auto"/>
              </w:rPr>
            </w:pPr>
            <w:r>
              <w:rPr>
                <w:color w:val="auto"/>
              </w:rPr>
              <w:t>氰化物</w:t>
            </w:r>
          </w:p>
        </w:tc>
        <w:tc>
          <w:tcPr>
            <w:tcW w:w="1073" w:type="pct"/>
            <w:vAlign w:val="center"/>
          </w:tcPr>
          <w:p>
            <w:pPr>
              <w:pStyle w:val="30"/>
              <w:rPr>
                <w:color w:val="auto"/>
              </w:rPr>
            </w:pPr>
            <w:r>
              <w:rPr>
                <w:color w:val="auto"/>
              </w:rPr>
              <w:t>≤0.05</w:t>
            </w:r>
          </w:p>
        </w:tc>
        <w:tc>
          <w:tcPr>
            <w:tcW w:w="484" w:type="pct"/>
            <w:vAlign w:val="center"/>
          </w:tcPr>
          <w:p>
            <w:pPr>
              <w:pStyle w:val="30"/>
              <w:rPr>
                <w:color w:val="auto"/>
              </w:rPr>
            </w:pPr>
            <w:r>
              <w:rPr>
                <w:color w:val="auto"/>
              </w:rPr>
              <w:t>21</w:t>
            </w:r>
          </w:p>
        </w:tc>
        <w:tc>
          <w:tcPr>
            <w:tcW w:w="1098" w:type="pct"/>
            <w:vAlign w:val="center"/>
          </w:tcPr>
          <w:p>
            <w:pPr>
              <w:pStyle w:val="30"/>
              <w:rPr>
                <w:color w:val="auto"/>
              </w:rPr>
            </w:pPr>
            <w:r>
              <w:rPr>
                <w:color w:val="auto"/>
              </w:rPr>
              <w:t>总大肠菌群</w:t>
            </w:r>
          </w:p>
          <w:p>
            <w:pPr>
              <w:pStyle w:val="30"/>
              <w:rPr>
                <w:color w:val="auto"/>
              </w:rPr>
            </w:pPr>
            <w:r>
              <w:rPr>
                <w:color w:val="auto"/>
              </w:rPr>
              <w:t>（MPN/L）</w:t>
            </w:r>
          </w:p>
        </w:tc>
        <w:tc>
          <w:tcPr>
            <w:tcW w:w="835" w:type="pct"/>
            <w:vAlign w:val="center"/>
          </w:tcPr>
          <w:p>
            <w:pPr>
              <w:pStyle w:val="30"/>
              <w:rPr>
                <w:color w:val="auto"/>
              </w:rPr>
            </w:pPr>
            <w:r>
              <w:rPr>
                <w:color w:val="auto"/>
              </w:rPr>
              <w:t>≤3.0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54" w:hRule="exact"/>
          <w:jc w:val="center"/>
        </w:trPr>
        <w:tc>
          <w:tcPr>
            <w:tcW w:w="479" w:type="pct"/>
            <w:vAlign w:val="center"/>
          </w:tcPr>
          <w:p>
            <w:pPr>
              <w:pStyle w:val="30"/>
              <w:rPr>
                <w:color w:val="auto"/>
              </w:rPr>
            </w:pPr>
            <w:r>
              <w:rPr>
                <w:color w:val="auto"/>
              </w:rPr>
              <w:t>10</w:t>
            </w:r>
          </w:p>
        </w:tc>
        <w:tc>
          <w:tcPr>
            <w:tcW w:w="1031" w:type="pct"/>
            <w:vAlign w:val="center"/>
          </w:tcPr>
          <w:p>
            <w:pPr>
              <w:pStyle w:val="30"/>
              <w:rPr>
                <w:color w:val="auto"/>
              </w:rPr>
            </w:pPr>
            <w:r>
              <w:rPr>
                <w:color w:val="auto"/>
              </w:rPr>
              <w:t>砷</w:t>
            </w:r>
          </w:p>
        </w:tc>
        <w:tc>
          <w:tcPr>
            <w:tcW w:w="1073" w:type="pct"/>
            <w:vAlign w:val="center"/>
          </w:tcPr>
          <w:p>
            <w:pPr>
              <w:pStyle w:val="30"/>
              <w:rPr>
                <w:color w:val="auto"/>
              </w:rPr>
            </w:pPr>
            <w:r>
              <w:rPr>
                <w:color w:val="auto"/>
              </w:rPr>
              <w:t>≤0.01</w:t>
            </w:r>
          </w:p>
        </w:tc>
        <w:tc>
          <w:tcPr>
            <w:tcW w:w="484" w:type="pct"/>
            <w:vAlign w:val="center"/>
          </w:tcPr>
          <w:p>
            <w:pPr>
              <w:pStyle w:val="30"/>
              <w:rPr>
                <w:color w:val="auto"/>
              </w:rPr>
            </w:pPr>
            <w:r>
              <w:rPr>
                <w:color w:val="auto"/>
              </w:rPr>
              <w:t>22</w:t>
            </w:r>
          </w:p>
        </w:tc>
        <w:tc>
          <w:tcPr>
            <w:tcW w:w="1098" w:type="pct"/>
            <w:vAlign w:val="center"/>
          </w:tcPr>
          <w:p>
            <w:pPr>
              <w:pStyle w:val="30"/>
              <w:rPr>
                <w:color w:val="auto"/>
              </w:rPr>
            </w:pPr>
            <w:r>
              <w:rPr>
                <w:color w:val="auto"/>
              </w:rPr>
              <w:t>菌落总数</w:t>
            </w:r>
          </w:p>
          <w:p>
            <w:pPr>
              <w:pStyle w:val="30"/>
              <w:rPr>
                <w:color w:val="auto"/>
              </w:rPr>
            </w:pPr>
            <w:r>
              <w:rPr>
                <w:color w:val="auto"/>
              </w:rPr>
              <w:t>（CFU/mL）</w:t>
            </w:r>
          </w:p>
        </w:tc>
        <w:tc>
          <w:tcPr>
            <w:tcW w:w="835" w:type="pct"/>
            <w:vAlign w:val="center"/>
          </w:tcPr>
          <w:p>
            <w:pPr>
              <w:pStyle w:val="30"/>
              <w:rPr>
                <w:color w:val="auto"/>
              </w:rPr>
            </w:pPr>
            <w:r>
              <w:rPr>
                <w:color w:val="auto"/>
              </w:rPr>
              <w:t>≤100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479" w:type="pct"/>
            <w:vAlign w:val="center"/>
          </w:tcPr>
          <w:p>
            <w:pPr>
              <w:pStyle w:val="30"/>
              <w:rPr>
                <w:color w:val="auto"/>
              </w:rPr>
            </w:pPr>
            <w:r>
              <w:rPr>
                <w:color w:val="auto"/>
              </w:rPr>
              <w:t>11</w:t>
            </w:r>
          </w:p>
        </w:tc>
        <w:tc>
          <w:tcPr>
            <w:tcW w:w="1031" w:type="pct"/>
            <w:vAlign w:val="center"/>
          </w:tcPr>
          <w:p>
            <w:pPr>
              <w:pStyle w:val="30"/>
              <w:rPr>
                <w:color w:val="auto"/>
              </w:rPr>
            </w:pPr>
            <w:r>
              <w:rPr>
                <w:color w:val="auto"/>
              </w:rPr>
              <w:t>汞</w:t>
            </w:r>
          </w:p>
        </w:tc>
        <w:tc>
          <w:tcPr>
            <w:tcW w:w="1073" w:type="pct"/>
            <w:vAlign w:val="center"/>
          </w:tcPr>
          <w:p>
            <w:pPr>
              <w:pStyle w:val="30"/>
              <w:rPr>
                <w:color w:val="auto"/>
              </w:rPr>
            </w:pPr>
            <w:r>
              <w:rPr>
                <w:color w:val="auto"/>
              </w:rPr>
              <w:t>≤0.001</w:t>
            </w:r>
          </w:p>
        </w:tc>
        <w:tc>
          <w:tcPr>
            <w:tcW w:w="484" w:type="pct"/>
            <w:vAlign w:val="center"/>
          </w:tcPr>
          <w:p>
            <w:pPr>
              <w:pStyle w:val="30"/>
              <w:rPr>
                <w:color w:val="auto"/>
              </w:rPr>
            </w:pPr>
            <w:r>
              <w:rPr>
                <w:rFonts w:hint="eastAsia"/>
                <w:color w:val="auto"/>
              </w:rPr>
              <w:t>23</w:t>
            </w:r>
          </w:p>
        </w:tc>
        <w:tc>
          <w:tcPr>
            <w:tcW w:w="1098" w:type="pct"/>
            <w:vAlign w:val="center"/>
          </w:tcPr>
          <w:p>
            <w:pPr>
              <w:pStyle w:val="30"/>
              <w:rPr>
                <w:color w:val="auto"/>
              </w:rPr>
            </w:pPr>
            <w:r>
              <w:rPr>
                <w:color w:val="auto"/>
              </w:rPr>
              <w:t>钠</w:t>
            </w:r>
          </w:p>
        </w:tc>
        <w:tc>
          <w:tcPr>
            <w:tcW w:w="835" w:type="pct"/>
            <w:vAlign w:val="center"/>
          </w:tcPr>
          <w:p>
            <w:pPr>
              <w:pStyle w:val="30"/>
              <w:rPr>
                <w:color w:val="auto"/>
              </w:rPr>
            </w:pPr>
            <w:r>
              <w:rPr>
                <w:color w:val="auto"/>
              </w:rPr>
              <w:t>≤200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62" w:hRule="exact"/>
          <w:jc w:val="center"/>
        </w:trPr>
        <w:tc>
          <w:tcPr>
            <w:tcW w:w="479" w:type="pct"/>
            <w:vAlign w:val="center"/>
          </w:tcPr>
          <w:p>
            <w:pPr>
              <w:pStyle w:val="30"/>
              <w:rPr>
                <w:color w:val="auto"/>
              </w:rPr>
            </w:pPr>
            <w:r>
              <w:rPr>
                <w:color w:val="auto"/>
              </w:rPr>
              <w:t>12</w:t>
            </w:r>
          </w:p>
        </w:tc>
        <w:tc>
          <w:tcPr>
            <w:tcW w:w="1031" w:type="pct"/>
            <w:vAlign w:val="center"/>
          </w:tcPr>
          <w:p>
            <w:pPr>
              <w:pStyle w:val="30"/>
              <w:rPr>
                <w:color w:val="auto"/>
              </w:rPr>
            </w:pPr>
            <w:r>
              <w:rPr>
                <w:rFonts w:hint="eastAsia"/>
                <w:color w:val="auto"/>
              </w:rPr>
              <w:t>镍</w:t>
            </w:r>
          </w:p>
        </w:tc>
        <w:tc>
          <w:tcPr>
            <w:tcW w:w="1073" w:type="pct"/>
            <w:vAlign w:val="center"/>
          </w:tcPr>
          <w:p>
            <w:pPr>
              <w:pStyle w:val="30"/>
              <w:rPr>
                <w:color w:val="auto"/>
              </w:rPr>
            </w:pPr>
            <w:r>
              <w:rPr>
                <w:color w:val="auto"/>
              </w:rPr>
              <w:t>≤</w:t>
            </w:r>
            <w:r>
              <w:rPr>
                <w:rFonts w:hint="eastAsia"/>
                <w:color w:val="auto"/>
              </w:rPr>
              <w:t>0.02</w:t>
            </w:r>
          </w:p>
        </w:tc>
        <w:tc>
          <w:tcPr>
            <w:tcW w:w="484" w:type="pct"/>
            <w:vAlign w:val="center"/>
          </w:tcPr>
          <w:p>
            <w:pPr>
              <w:pStyle w:val="30"/>
              <w:rPr>
                <w:color w:val="auto"/>
              </w:rPr>
            </w:pPr>
            <w:r>
              <w:rPr>
                <w:rFonts w:hint="eastAsia"/>
                <w:color w:val="auto"/>
              </w:rPr>
              <w:t>24</w:t>
            </w:r>
          </w:p>
        </w:tc>
        <w:tc>
          <w:tcPr>
            <w:tcW w:w="1098" w:type="pct"/>
            <w:vAlign w:val="center"/>
          </w:tcPr>
          <w:p>
            <w:pPr>
              <w:pStyle w:val="30"/>
              <w:rPr>
                <w:color w:val="auto"/>
              </w:rPr>
            </w:pPr>
            <w:r>
              <w:rPr>
                <w:color w:val="auto"/>
              </w:rPr>
              <w:t>≤</w:t>
            </w:r>
            <w:r>
              <w:rPr>
                <w:rFonts w:hint="eastAsia"/>
                <w:color w:val="auto"/>
              </w:rPr>
              <w:t>钴</w:t>
            </w:r>
          </w:p>
        </w:tc>
        <w:tc>
          <w:tcPr>
            <w:tcW w:w="835" w:type="pct"/>
            <w:vAlign w:val="center"/>
          </w:tcPr>
          <w:p>
            <w:pPr>
              <w:pStyle w:val="30"/>
              <w:rPr>
                <w:color w:val="auto"/>
              </w:rPr>
            </w:pPr>
            <w:r>
              <w:rPr>
                <w:rFonts w:hint="eastAsia"/>
                <w:color w:val="auto"/>
              </w:rPr>
              <w:t>0.05</w:t>
            </w:r>
          </w:p>
        </w:tc>
      </w:tr>
    </w:tbl>
    <w:p>
      <w:pPr>
        <w:ind w:firstLine="482"/>
        <w:rPr>
          <w:b/>
          <w:bCs/>
          <w:color w:val="auto"/>
        </w:rPr>
      </w:pPr>
      <w:r>
        <w:rPr>
          <w:b/>
          <w:bCs/>
          <w:color w:val="auto"/>
        </w:rPr>
        <w:t>4、声环境</w:t>
      </w:r>
    </w:p>
    <w:p>
      <w:pPr>
        <w:ind w:firstLine="480"/>
        <w:rPr>
          <w:color w:val="auto"/>
          <w:spacing w:val="6"/>
        </w:rPr>
      </w:pPr>
      <w:r>
        <w:rPr>
          <w:rFonts w:hint="eastAsia"/>
          <w:color w:val="auto"/>
        </w:rPr>
        <w:t>项目位于工业集中区，东、</w:t>
      </w:r>
      <w:r>
        <w:rPr>
          <w:rFonts w:hint="eastAsia"/>
          <w:color w:val="auto"/>
          <w:lang w:val="en-US" w:eastAsia="zh-CN"/>
        </w:rPr>
        <w:t>南、</w:t>
      </w:r>
      <w:r>
        <w:rPr>
          <w:rFonts w:hint="eastAsia"/>
          <w:color w:val="auto"/>
        </w:rPr>
        <w:t>西、北厂界执行《声环境质量标准》（GB3096-2008）表1中的3类标准，</w:t>
      </w:r>
      <w:r>
        <w:rPr>
          <w:color w:val="auto"/>
        </w:rPr>
        <w:t>项目周边居民点执行《声环境质量标准》(GB 3096-2008)中</w:t>
      </w:r>
      <w:r>
        <w:rPr>
          <w:rFonts w:hint="eastAsia"/>
          <w:color w:val="auto"/>
          <w:lang w:val="en-US" w:eastAsia="zh-CN"/>
        </w:rPr>
        <w:t>4a</w:t>
      </w:r>
      <w:r>
        <w:rPr>
          <w:color w:val="auto"/>
        </w:rPr>
        <w:t>类标准。</w:t>
      </w:r>
      <w:r>
        <w:rPr>
          <w:snapToGrid w:val="0"/>
          <w:color w:val="auto"/>
        </w:rPr>
        <w:t>具体噪声标准值见下表</w:t>
      </w:r>
      <w:r>
        <w:rPr>
          <w:color w:val="auto"/>
          <w:spacing w:val="6"/>
        </w:rPr>
        <w:t>：</w:t>
      </w:r>
    </w:p>
    <w:p>
      <w:pPr>
        <w:pStyle w:val="31"/>
        <w:rPr>
          <w:color w:val="auto"/>
        </w:rPr>
      </w:pPr>
      <w:r>
        <w:rPr>
          <w:color w:val="auto"/>
        </w:rPr>
        <w:t>表2.4-4   声环境质量标准  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506"/>
        <w:gridCol w:w="3008"/>
        <w:gridCol w:w="300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0" w:type="pct"/>
            <w:vAlign w:val="center"/>
          </w:tcPr>
          <w:p>
            <w:pPr>
              <w:pStyle w:val="30"/>
              <w:rPr>
                <w:b/>
                <w:bCs/>
                <w:color w:val="auto"/>
              </w:rPr>
            </w:pPr>
            <w:r>
              <w:rPr>
                <w:b/>
                <w:bCs/>
                <w:color w:val="auto"/>
              </w:rPr>
              <w:t>类  别</w:t>
            </w:r>
          </w:p>
        </w:tc>
        <w:tc>
          <w:tcPr>
            <w:tcW w:w="1764" w:type="pct"/>
            <w:vAlign w:val="center"/>
          </w:tcPr>
          <w:p>
            <w:pPr>
              <w:pStyle w:val="30"/>
              <w:rPr>
                <w:b/>
                <w:bCs/>
                <w:color w:val="auto"/>
              </w:rPr>
            </w:pPr>
            <w:r>
              <w:rPr>
                <w:b/>
                <w:bCs/>
                <w:color w:val="auto"/>
              </w:rPr>
              <w:t>昼  夜</w:t>
            </w:r>
          </w:p>
        </w:tc>
        <w:tc>
          <w:tcPr>
            <w:tcW w:w="1764" w:type="pct"/>
            <w:vAlign w:val="center"/>
          </w:tcPr>
          <w:p>
            <w:pPr>
              <w:pStyle w:val="30"/>
              <w:rPr>
                <w:b/>
                <w:bCs/>
                <w:color w:val="auto"/>
              </w:rPr>
            </w:pPr>
            <w:r>
              <w:rPr>
                <w:b/>
                <w:bCs/>
                <w:color w:val="auto"/>
              </w:rPr>
              <w:t>夜  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0" w:type="pct"/>
            <w:vAlign w:val="center"/>
          </w:tcPr>
          <w:p>
            <w:pPr>
              <w:pStyle w:val="30"/>
              <w:rPr>
                <w:color w:val="auto"/>
              </w:rPr>
            </w:pPr>
            <w:r>
              <w:rPr>
                <w:rFonts w:hint="eastAsia"/>
                <w:color w:val="auto"/>
              </w:rPr>
              <w:t>3</w:t>
            </w:r>
            <w:r>
              <w:rPr>
                <w:color w:val="auto"/>
              </w:rPr>
              <w:t>类</w:t>
            </w:r>
          </w:p>
        </w:tc>
        <w:tc>
          <w:tcPr>
            <w:tcW w:w="1764" w:type="pct"/>
            <w:vAlign w:val="center"/>
          </w:tcPr>
          <w:p>
            <w:pPr>
              <w:pStyle w:val="30"/>
              <w:rPr>
                <w:color w:val="auto"/>
              </w:rPr>
            </w:pPr>
            <w:r>
              <w:rPr>
                <w:rFonts w:hint="eastAsia"/>
                <w:color w:val="auto"/>
              </w:rPr>
              <w:t>65</w:t>
            </w:r>
          </w:p>
        </w:tc>
        <w:tc>
          <w:tcPr>
            <w:tcW w:w="1764" w:type="pct"/>
            <w:vAlign w:val="center"/>
          </w:tcPr>
          <w:p>
            <w:pPr>
              <w:pStyle w:val="30"/>
              <w:rPr>
                <w:color w:val="auto"/>
              </w:rPr>
            </w:pPr>
            <w:r>
              <w:rPr>
                <w:color w:val="auto"/>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70" w:type="pct"/>
            <w:vAlign w:val="center"/>
          </w:tcPr>
          <w:p>
            <w:pPr>
              <w:pStyle w:val="30"/>
              <w:rPr>
                <w:color w:val="auto"/>
              </w:rPr>
            </w:pPr>
            <w:r>
              <w:rPr>
                <w:rFonts w:hint="eastAsia"/>
                <w:color w:val="auto"/>
              </w:rPr>
              <w:t>4a</w:t>
            </w:r>
            <w:r>
              <w:rPr>
                <w:color w:val="auto"/>
              </w:rPr>
              <w:t>类</w:t>
            </w:r>
          </w:p>
        </w:tc>
        <w:tc>
          <w:tcPr>
            <w:tcW w:w="1764" w:type="pct"/>
            <w:vAlign w:val="center"/>
          </w:tcPr>
          <w:p>
            <w:pPr>
              <w:pStyle w:val="30"/>
              <w:rPr>
                <w:color w:val="auto"/>
              </w:rPr>
            </w:pPr>
            <w:r>
              <w:rPr>
                <w:rFonts w:hint="eastAsia"/>
                <w:color w:val="auto"/>
              </w:rPr>
              <w:t>70</w:t>
            </w:r>
          </w:p>
        </w:tc>
        <w:tc>
          <w:tcPr>
            <w:tcW w:w="1764" w:type="pct"/>
            <w:vAlign w:val="center"/>
          </w:tcPr>
          <w:p>
            <w:pPr>
              <w:pStyle w:val="30"/>
              <w:rPr>
                <w:color w:val="auto"/>
              </w:rPr>
            </w:pPr>
            <w:r>
              <w:rPr>
                <w:rFonts w:hint="eastAsia"/>
                <w:color w:val="auto"/>
              </w:rPr>
              <w:t>55</w:t>
            </w:r>
          </w:p>
        </w:tc>
      </w:tr>
    </w:tbl>
    <w:p>
      <w:pPr>
        <w:ind w:firstLine="482"/>
        <w:rPr>
          <w:b/>
          <w:bCs/>
          <w:color w:val="auto"/>
        </w:rPr>
      </w:pPr>
      <w:r>
        <w:rPr>
          <w:b/>
          <w:bCs/>
          <w:color w:val="auto"/>
        </w:rPr>
        <w:t>5、土壤环境</w:t>
      </w:r>
    </w:p>
    <w:p>
      <w:pPr>
        <w:ind w:firstLine="480"/>
        <w:rPr>
          <w:bCs/>
          <w:color w:val="auto"/>
        </w:rPr>
      </w:pPr>
      <w:r>
        <w:rPr>
          <w:bCs/>
          <w:color w:val="auto"/>
        </w:rPr>
        <w:t>项目</w:t>
      </w:r>
      <w:r>
        <w:rPr>
          <w:rFonts w:hint="eastAsia"/>
          <w:bCs/>
          <w:color w:val="auto"/>
        </w:rPr>
        <w:t>评价区域内建设用地</w:t>
      </w:r>
      <w:r>
        <w:rPr>
          <w:bCs/>
          <w:color w:val="auto"/>
        </w:rPr>
        <w:t>土壤质量执行《土壤环境质量 建设用地土壤污染风险管控标准(试行)》(GB36600-2018)标准中第二类用地风险筛选值要求，农用地执行《土壤环境质量</w:t>
      </w:r>
      <w:r>
        <w:rPr>
          <w:rFonts w:hint="eastAsia"/>
          <w:bCs/>
          <w:color w:val="auto"/>
        </w:rPr>
        <w:t xml:space="preserve"> </w:t>
      </w:r>
      <w:r>
        <w:rPr>
          <w:bCs/>
          <w:color w:val="auto"/>
        </w:rPr>
        <w:t>农用地土壤污染风险管控标准</w:t>
      </w:r>
      <w:r>
        <w:rPr>
          <w:rFonts w:hint="eastAsia"/>
          <w:bCs/>
          <w:color w:val="auto"/>
        </w:rPr>
        <w:t>（试行）</w:t>
      </w:r>
      <w:r>
        <w:rPr>
          <w:bCs/>
          <w:color w:val="auto"/>
        </w:rPr>
        <w:t>》(GB15618-2018)中风险筛选值。</w:t>
      </w:r>
    </w:p>
    <w:p>
      <w:pPr>
        <w:pStyle w:val="31"/>
        <w:rPr>
          <w:color w:val="auto"/>
        </w:rPr>
      </w:pPr>
      <w:r>
        <w:rPr>
          <w:color w:val="auto"/>
        </w:rPr>
        <w:t>表2.</w:t>
      </w:r>
      <w:r>
        <w:rPr>
          <w:rFonts w:hint="eastAsia"/>
          <w:color w:val="auto"/>
        </w:rPr>
        <w:t>4</w:t>
      </w:r>
      <w:r>
        <w:rPr>
          <w:color w:val="auto"/>
        </w:rPr>
        <w:t>-</w:t>
      </w:r>
      <w:r>
        <w:rPr>
          <w:rFonts w:hint="eastAsia"/>
          <w:color w:val="auto"/>
        </w:rPr>
        <w:t>5</w:t>
      </w:r>
      <w:r>
        <w:rPr>
          <w:color w:val="auto"/>
        </w:rPr>
        <w:t xml:space="preserve">  土壤环境质量标准（摘录），单位：mg/kg</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1"/>
        <w:gridCol w:w="1300"/>
        <w:gridCol w:w="1130"/>
        <w:gridCol w:w="998"/>
        <w:gridCol w:w="1073"/>
        <w:gridCol w:w="1051"/>
        <w:gridCol w:w="1069"/>
        <w:gridCol w:w="10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Align w:val="center"/>
          </w:tcPr>
          <w:p>
            <w:pPr>
              <w:pStyle w:val="30"/>
              <w:rPr>
                <w:b/>
                <w:bCs/>
                <w:color w:val="auto"/>
              </w:rPr>
            </w:pPr>
            <w:r>
              <w:rPr>
                <w:b/>
                <w:bCs/>
                <w:color w:val="auto"/>
              </w:rPr>
              <w:t>项目</w:t>
            </w:r>
          </w:p>
        </w:tc>
        <w:tc>
          <w:tcPr>
            <w:tcW w:w="1300" w:type="dxa"/>
            <w:vAlign w:val="center"/>
          </w:tcPr>
          <w:p>
            <w:pPr>
              <w:pStyle w:val="30"/>
              <w:rPr>
                <w:b/>
                <w:bCs/>
                <w:color w:val="auto"/>
              </w:rPr>
            </w:pPr>
            <w:r>
              <w:rPr>
                <w:b/>
                <w:bCs/>
                <w:color w:val="auto"/>
              </w:rPr>
              <w:t>砷</w:t>
            </w:r>
          </w:p>
        </w:tc>
        <w:tc>
          <w:tcPr>
            <w:tcW w:w="1130" w:type="dxa"/>
            <w:vAlign w:val="center"/>
          </w:tcPr>
          <w:p>
            <w:pPr>
              <w:pStyle w:val="30"/>
              <w:rPr>
                <w:b/>
                <w:bCs/>
                <w:color w:val="auto"/>
              </w:rPr>
            </w:pPr>
            <w:r>
              <w:rPr>
                <w:b/>
                <w:bCs/>
                <w:color w:val="auto"/>
              </w:rPr>
              <w:t>镉</w:t>
            </w:r>
          </w:p>
        </w:tc>
        <w:tc>
          <w:tcPr>
            <w:tcW w:w="998" w:type="dxa"/>
            <w:vAlign w:val="center"/>
          </w:tcPr>
          <w:p>
            <w:pPr>
              <w:pStyle w:val="30"/>
              <w:rPr>
                <w:b/>
                <w:bCs/>
                <w:color w:val="auto"/>
              </w:rPr>
            </w:pPr>
            <w:r>
              <w:rPr>
                <w:b/>
                <w:bCs/>
                <w:color w:val="auto"/>
              </w:rPr>
              <w:t>六价铬</w:t>
            </w:r>
          </w:p>
        </w:tc>
        <w:tc>
          <w:tcPr>
            <w:tcW w:w="1073" w:type="dxa"/>
            <w:vAlign w:val="center"/>
          </w:tcPr>
          <w:p>
            <w:pPr>
              <w:pStyle w:val="30"/>
              <w:rPr>
                <w:b/>
                <w:bCs/>
                <w:color w:val="auto"/>
              </w:rPr>
            </w:pPr>
            <w:r>
              <w:rPr>
                <w:b/>
                <w:bCs/>
                <w:color w:val="auto"/>
              </w:rPr>
              <w:t>铜</w:t>
            </w:r>
          </w:p>
        </w:tc>
        <w:tc>
          <w:tcPr>
            <w:tcW w:w="1051" w:type="dxa"/>
            <w:vAlign w:val="center"/>
          </w:tcPr>
          <w:p>
            <w:pPr>
              <w:pStyle w:val="30"/>
              <w:rPr>
                <w:b/>
                <w:bCs/>
                <w:color w:val="auto"/>
              </w:rPr>
            </w:pPr>
            <w:r>
              <w:rPr>
                <w:b/>
                <w:bCs/>
                <w:color w:val="auto"/>
              </w:rPr>
              <w:t>铅</w:t>
            </w:r>
          </w:p>
        </w:tc>
        <w:tc>
          <w:tcPr>
            <w:tcW w:w="1069" w:type="dxa"/>
            <w:vAlign w:val="center"/>
          </w:tcPr>
          <w:p>
            <w:pPr>
              <w:pStyle w:val="30"/>
              <w:rPr>
                <w:b/>
                <w:bCs/>
                <w:color w:val="auto"/>
              </w:rPr>
            </w:pPr>
            <w:r>
              <w:rPr>
                <w:b/>
                <w:bCs/>
                <w:color w:val="auto"/>
              </w:rPr>
              <w:t>汞</w:t>
            </w:r>
          </w:p>
        </w:tc>
        <w:tc>
          <w:tcPr>
            <w:tcW w:w="1062" w:type="dxa"/>
            <w:vAlign w:val="center"/>
          </w:tcPr>
          <w:p>
            <w:pPr>
              <w:pStyle w:val="30"/>
              <w:rPr>
                <w:b/>
                <w:bCs/>
                <w:color w:val="auto"/>
              </w:rPr>
            </w:pPr>
            <w:r>
              <w:rPr>
                <w:b/>
                <w:bCs/>
                <w:color w:val="auto"/>
              </w:rPr>
              <w:t>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restart"/>
            <w:vAlign w:val="center"/>
          </w:tcPr>
          <w:p>
            <w:pPr>
              <w:pStyle w:val="30"/>
              <w:rPr>
                <w:color w:val="auto"/>
              </w:rPr>
            </w:pPr>
            <w:r>
              <w:rPr>
                <w:color w:val="auto"/>
              </w:rPr>
              <w:t>（GB36600-2018）表1及表2中第二类用地筛选值</w:t>
            </w:r>
          </w:p>
        </w:tc>
        <w:tc>
          <w:tcPr>
            <w:tcW w:w="1300" w:type="dxa"/>
            <w:vAlign w:val="center"/>
          </w:tcPr>
          <w:p>
            <w:pPr>
              <w:pStyle w:val="30"/>
              <w:rPr>
                <w:color w:val="auto"/>
              </w:rPr>
            </w:pPr>
            <w:r>
              <w:rPr>
                <w:color w:val="auto"/>
              </w:rPr>
              <w:t>≤60</w:t>
            </w:r>
          </w:p>
        </w:tc>
        <w:tc>
          <w:tcPr>
            <w:tcW w:w="1130" w:type="dxa"/>
            <w:vAlign w:val="center"/>
          </w:tcPr>
          <w:p>
            <w:pPr>
              <w:pStyle w:val="30"/>
              <w:rPr>
                <w:color w:val="auto"/>
              </w:rPr>
            </w:pPr>
            <w:r>
              <w:rPr>
                <w:color w:val="auto"/>
              </w:rPr>
              <w:t>≤65</w:t>
            </w:r>
          </w:p>
        </w:tc>
        <w:tc>
          <w:tcPr>
            <w:tcW w:w="998" w:type="dxa"/>
            <w:vAlign w:val="center"/>
          </w:tcPr>
          <w:p>
            <w:pPr>
              <w:pStyle w:val="30"/>
              <w:rPr>
                <w:color w:val="auto"/>
              </w:rPr>
            </w:pPr>
            <w:r>
              <w:rPr>
                <w:color w:val="auto"/>
              </w:rPr>
              <w:t>≤5.7</w:t>
            </w:r>
          </w:p>
        </w:tc>
        <w:tc>
          <w:tcPr>
            <w:tcW w:w="1073" w:type="dxa"/>
            <w:vAlign w:val="center"/>
          </w:tcPr>
          <w:p>
            <w:pPr>
              <w:pStyle w:val="30"/>
              <w:rPr>
                <w:color w:val="auto"/>
              </w:rPr>
            </w:pPr>
            <w:r>
              <w:rPr>
                <w:color w:val="auto"/>
              </w:rPr>
              <w:t>≤18000</w:t>
            </w:r>
          </w:p>
        </w:tc>
        <w:tc>
          <w:tcPr>
            <w:tcW w:w="1051" w:type="dxa"/>
            <w:vAlign w:val="center"/>
          </w:tcPr>
          <w:p>
            <w:pPr>
              <w:pStyle w:val="30"/>
              <w:rPr>
                <w:color w:val="auto"/>
              </w:rPr>
            </w:pPr>
            <w:r>
              <w:rPr>
                <w:color w:val="auto"/>
              </w:rPr>
              <w:t>≤800</w:t>
            </w:r>
          </w:p>
        </w:tc>
        <w:tc>
          <w:tcPr>
            <w:tcW w:w="1069" w:type="dxa"/>
            <w:vAlign w:val="center"/>
          </w:tcPr>
          <w:p>
            <w:pPr>
              <w:pStyle w:val="30"/>
              <w:rPr>
                <w:color w:val="auto"/>
              </w:rPr>
            </w:pPr>
            <w:r>
              <w:rPr>
                <w:color w:val="auto"/>
              </w:rPr>
              <w:t>≤38</w:t>
            </w:r>
          </w:p>
        </w:tc>
        <w:tc>
          <w:tcPr>
            <w:tcW w:w="1062" w:type="dxa"/>
            <w:vAlign w:val="center"/>
          </w:tcPr>
          <w:p>
            <w:pPr>
              <w:pStyle w:val="30"/>
              <w:rPr>
                <w:color w:val="auto"/>
              </w:rPr>
            </w:pPr>
            <w:r>
              <w:rPr>
                <w:color w:val="auto"/>
              </w:rPr>
              <w:t>≤900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b/>
                <w:bCs/>
                <w:color w:val="auto"/>
              </w:rPr>
            </w:pPr>
            <w:r>
              <w:rPr>
                <w:b/>
                <w:bCs/>
                <w:color w:val="auto"/>
              </w:rPr>
              <w:t>四氯化碳</w:t>
            </w:r>
          </w:p>
        </w:tc>
        <w:tc>
          <w:tcPr>
            <w:tcW w:w="1130" w:type="dxa"/>
            <w:vAlign w:val="center"/>
          </w:tcPr>
          <w:p>
            <w:pPr>
              <w:pStyle w:val="30"/>
              <w:rPr>
                <w:b/>
                <w:bCs/>
                <w:color w:val="auto"/>
              </w:rPr>
            </w:pPr>
            <w:r>
              <w:rPr>
                <w:b/>
                <w:bCs/>
                <w:color w:val="auto"/>
              </w:rPr>
              <w:t>氯仿</w:t>
            </w:r>
          </w:p>
        </w:tc>
        <w:tc>
          <w:tcPr>
            <w:tcW w:w="998" w:type="dxa"/>
            <w:vAlign w:val="center"/>
          </w:tcPr>
          <w:p>
            <w:pPr>
              <w:pStyle w:val="30"/>
              <w:rPr>
                <w:b/>
                <w:bCs/>
                <w:color w:val="auto"/>
              </w:rPr>
            </w:pPr>
            <w:r>
              <w:rPr>
                <w:b/>
                <w:bCs/>
                <w:color w:val="auto"/>
              </w:rPr>
              <w:t>氯甲烷</w:t>
            </w:r>
          </w:p>
        </w:tc>
        <w:tc>
          <w:tcPr>
            <w:tcW w:w="1073" w:type="dxa"/>
            <w:vAlign w:val="center"/>
          </w:tcPr>
          <w:p>
            <w:pPr>
              <w:pStyle w:val="30"/>
              <w:rPr>
                <w:b/>
                <w:bCs/>
                <w:color w:val="auto"/>
              </w:rPr>
            </w:pPr>
            <w:r>
              <w:rPr>
                <w:b/>
                <w:bCs/>
                <w:color w:val="auto"/>
              </w:rPr>
              <w:t>1,1-二氯乙烷</w:t>
            </w:r>
          </w:p>
        </w:tc>
        <w:tc>
          <w:tcPr>
            <w:tcW w:w="1051" w:type="dxa"/>
            <w:vAlign w:val="center"/>
          </w:tcPr>
          <w:p>
            <w:pPr>
              <w:pStyle w:val="30"/>
              <w:rPr>
                <w:b/>
                <w:bCs/>
                <w:color w:val="auto"/>
              </w:rPr>
            </w:pPr>
            <w:r>
              <w:rPr>
                <w:b/>
                <w:bCs/>
                <w:color w:val="auto"/>
              </w:rPr>
              <w:t>1,2-二氯乙烷</w:t>
            </w:r>
          </w:p>
        </w:tc>
        <w:tc>
          <w:tcPr>
            <w:tcW w:w="1069" w:type="dxa"/>
            <w:vAlign w:val="center"/>
          </w:tcPr>
          <w:p>
            <w:pPr>
              <w:pStyle w:val="30"/>
              <w:rPr>
                <w:b/>
                <w:bCs/>
                <w:color w:val="auto"/>
              </w:rPr>
            </w:pPr>
            <w:r>
              <w:rPr>
                <w:b/>
                <w:bCs/>
                <w:color w:val="auto"/>
              </w:rPr>
              <w:t>1,1-二氯乙烯</w:t>
            </w:r>
          </w:p>
        </w:tc>
        <w:tc>
          <w:tcPr>
            <w:tcW w:w="1062" w:type="dxa"/>
            <w:vAlign w:val="center"/>
          </w:tcPr>
          <w:p>
            <w:pPr>
              <w:pStyle w:val="30"/>
              <w:rPr>
                <w:b/>
                <w:bCs/>
                <w:color w:val="auto"/>
              </w:rPr>
            </w:pPr>
            <w:r>
              <w:rPr>
                <w:b/>
                <w:bCs/>
                <w:color w:val="auto"/>
              </w:rPr>
              <w:t>顺-1,2-二氯乙烯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color w:val="auto"/>
              </w:rPr>
            </w:pPr>
            <w:r>
              <w:rPr>
                <w:color w:val="auto"/>
              </w:rPr>
              <w:t>≤2.8</w:t>
            </w:r>
          </w:p>
        </w:tc>
        <w:tc>
          <w:tcPr>
            <w:tcW w:w="1130" w:type="dxa"/>
            <w:vAlign w:val="center"/>
          </w:tcPr>
          <w:p>
            <w:pPr>
              <w:pStyle w:val="30"/>
              <w:rPr>
                <w:color w:val="auto"/>
              </w:rPr>
            </w:pPr>
            <w:r>
              <w:rPr>
                <w:color w:val="auto"/>
              </w:rPr>
              <w:t>≤0.9</w:t>
            </w:r>
          </w:p>
        </w:tc>
        <w:tc>
          <w:tcPr>
            <w:tcW w:w="998" w:type="dxa"/>
            <w:vAlign w:val="center"/>
          </w:tcPr>
          <w:p>
            <w:pPr>
              <w:pStyle w:val="30"/>
              <w:rPr>
                <w:color w:val="auto"/>
              </w:rPr>
            </w:pPr>
            <w:r>
              <w:rPr>
                <w:color w:val="auto"/>
              </w:rPr>
              <w:t>≤37</w:t>
            </w:r>
          </w:p>
        </w:tc>
        <w:tc>
          <w:tcPr>
            <w:tcW w:w="1073" w:type="dxa"/>
            <w:vAlign w:val="center"/>
          </w:tcPr>
          <w:p>
            <w:pPr>
              <w:pStyle w:val="30"/>
              <w:rPr>
                <w:color w:val="auto"/>
              </w:rPr>
            </w:pPr>
            <w:r>
              <w:rPr>
                <w:color w:val="auto"/>
              </w:rPr>
              <w:t>≤9</w:t>
            </w:r>
          </w:p>
        </w:tc>
        <w:tc>
          <w:tcPr>
            <w:tcW w:w="1051" w:type="dxa"/>
            <w:vAlign w:val="center"/>
          </w:tcPr>
          <w:p>
            <w:pPr>
              <w:pStyle w:val="30"/>
              <w:rPr>
                <w:color w:val="auto"/>
              </w:rPr>
            </w:pPr>
            <w:r>
              <w:rPr>
                <w:color w:val="auto"/>
              </w:rPr>
              <w:t>≤5</w:t>
            </w:r>
          </w:p>
        </w:tc>
        <w:tc>
          <w:tcPr>
            <w:tcW w:w="1069" w:type="dxa"/>
            <w:vAlign w:val="center"/>
          </w:tcPr>
          <w:p>
            <w:pPr>
              <w:pStyle w:val="30"/>
              <w:rPr>
                <w:color w:val="auto"/>
              </w:rPr>
            </w:pPr>
            <w:r>
              <w:rPr>
                <w:color w:val="auto"/>
              </w:rPr>
              <w:t>≤66</w:t>
            </w:r>
          </w:p>
        </w:tc>
        <w:tc>
          <w:tcPr>
            <w:tcW w:w="1062" w:type="dxa"/>
            <w:vAlign w:val="center"/>
          </w:tcPr>
          <w:p>
            <w:pPr>
              <w:pStyle w:val="30"/>
              <w:rPr>
                <w:color w:val="auto"/>
              </w:rPr>
            </w:pPr>
            <w:r>
              <w:rPr>
                <w:color w:val="auto"/>
              </w:rPr>
              <w:t>≤596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b/>
                <w:bCs/>
                <w:color w:val="auto"/>
              </w:rPr>
            </w:pPr>
            <w:r>
              <w:rPr>
                <w:b/>
                <w:bCs/>
                <w:color w:val="auto"/>
              </w:rPr>
              <w:t>反-1,2-二氯乙烯</w:t>
            </w:r>
          </w:p>
        </w:tc>
        <w:tc>
          <w:tcPr>
            <w:tcW w:w="1130" w:type="dxa"/>
            <w:vAlign w:val="center"/>
          </w:tcPr>
          <w:p>
            <w:pPr>
              <w:pStyle w:val="30"/>
              <w:rPr>
                <w:b/>
                <w:bCs/>
                <w:color w:val="auto"/>
              </w:rPr>
            </w:pPr>
            <w:r>
              <w:rPr>
                <w:b/>
                <w:bCs/>
                <w:color w:val="auto"/>
              </w:rPr>
              <w:t>二氯甲烷</w:t>
            </w:r>
          </w:p>
        </w:tc>
        <w:tc>
          <w:tcPr>
            <w:tcW w:w="998" w:type="dxa"/>
            <w:vAlign w:val="center"/>
          </w:tcPr>
          <w:p>
            <w:pPr>
              <w:pStyle w:val="30"/>
              <w:rPr>
                <w:b/>
                <w:bCs/>
                <w:color w:val="auto"/>
              </w:rPr>
            </w:pPr>
            <w:r>
              <w:rPr>
                <w:b/>
                <w:bCs/>
                <w:color w:val="auto"/>
              </w:rPr>
              <w:t>1,2-二氯丙烷</w:t>
            </w:r>
          </w:p>
        </w:tc>
        <w:tc>
          <w:tcPr>
            <w:tcW w:w="1073" w:type="dxa"/>
            <w:vAlign w:val="center"/>
          </w:tcPr>
          <w:p>
            <w:pPr>
              <w:pStyle w:val="30"/>
              <w:rPr>
                <w:b/>
                <w:bCs/>
                <w:color w:val="auto"/>
              </w:rPr>
            </w:pPr>
            <w:r>
              <w:rPr>
                <w:b/>
                <w:bCs/>
                <w:color w:val="auto"/>
              </w:rPr>
              <w:t>1,1,1,2-四氯乙烷</w:t>
            </w:r>
          </w:p>
        </w:tc>
        <w:tc>
          <w:tcPr>
            <w:tcW w:w="1051" w:type="dxa"/>
            <w:vAlign w:val="center"/>
          </w:tcPr>
          <w:p>
            <w:pPr>
              <w:pStyle w:val="30"/>
              <w:rPr>
                <w:b/>
                <w:bCs/>
                <w:color w:val="auto"/>
              </w:rPr>
            </w:pPr>
            <w:r>
              <w:rPr>
                <w:b/>
                <w:bCs/>
                <w:color w:val="auto"/>
              </w:rPr>
              <w:t>1,1,2,2-四氯乙烷</w:t>
            </w:r>
          </w:p>
        </w:tc>
        <w:tc>
          <w:tcPr>
            <w:tcW w:w="1069" w:type="dxa"/>
            <w:vAlign w:val="center"/>
          </w:tcPr>
          <w:p>
            <w:pPr>
              <w:pStyle w:val="30"/>
              <w:rPr>
                <w:b/>
                <w:bCs/>
                <w:color w:val="auto"/>
              </w:rPr>
            </w:pPr>
            <w:r>
              <w:rPr>
                <w:b/>
                <w:bCs/>
                <w:color w:val="auto"/>
              </w:rPr>
              <w:t>四氯乙烯</w:t>
            </w:r>
          </w:p>
        </w:tc>
        <w:tc>
          <w:tcPr>
            <w:tcW w:w="1062" w:type="dxa"/>
            <w:vAlign w:val="center"/>
          </w:tcPr>
          <w:p>
            <w:pPr>
              <w:pStyle w:val="30"/>
              <w:rPr>
                <w:b/>
                <w:bCs/>
                <w:color w:val="auto"/>
              </w:rPr>
            </w:pPr>
            <w:r>
              <w:rPr>
                <w:b/>
                <w:bCs/>
                <w:color w:val="auto"/>
              </w:rPr>
              <w:t>1,1,1-三氯乙烷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color w:val="auto"/>
              </w:rPr>
            </w:pPr>
            <w:r>
              <w:rPr>
                <w:color w:val="auto"/>
              </w:rPr>
              <w:t>≤54</w:t>
            </w:r>
          </w:p>
        </w:tc>
        <w:tc>
          <w:tcPr>
            <w:tcW w:w="1130" w:type="dxa"/>
            <w:vAlign w:val="center"/>
          </w:tcPr>
          <w:p>
            <w:pPr>
              <w:pStyle w:val="30"/>
              <w:rPr>
                <w:color w:val="auto"/>
              </w:rPr>
            </w:pPr>
            <w:r>
              <w:rPr>
                <w:color w:val="auto"/>
              </w:rPr>
              <w:t>≤616</w:t>
            </w:r>
          </w:p>
        </w:tc>
        <w:tc>
          <w:tcPr>
            <w:tcW w:w="998" w:type="dxa"/>
            <w:vAlign w:val="center"/>
          </w:tcPr>
          <w:p>
            <w:pPr>
              <w:pStyle w:val="30"/>
              <w:rPr>
                <w:color w:val="auto"/>
              </w:rPr>
            </w:pPr>
            <w:r>
              <w:rPr>
                <w:color w:val="auto"/>
              </w:rPr>
              <w:t>≤5</w:t>
            </w:r>
          </w:p>
        </w:tc>
        <w:tc>
          <w:tcPr>
            <w:tcW w:w="1073" w:type="dxa"/>
            <w:vAlign w:val="center"/>
          </w:tcPr>
          <w:p>
            <w:pPr>
              <w:pStyle w:val="30"/>
              <w:rPr>
                <w:color w:val="auto"/>
              </w:rPr>
            </w:pPr>
            <w:r>
              <w:rPr>
                <w:color w:val="auto"/>
              </w:rPr>
              <w:t>≤10</w:t>
            </w:r>
          </w:p>
        </w:tc>
        <w:tc>
          <w:tcPr>
            <w:tcW w:w="1051" w:type="dxa"/>
            <w:vAlign w:val="center"/>
          </w:tcPr>
          <w:p>
            <w:pPr>
              <w:pStyle w:val="30"/>
              <w:rPr>
                <w:color w:val="auto"/>
              </w:rPr>
            </w:pPr>
            <w:r>
              <w:rPr>
                <w:color w:val="auto"/>
              </w:rPr>
              <w:t>≤6.8</w:t>
            </w:r>
          </w:p>
        </w:tc>
        <w:tc>
          <w:tcPr>
            <w:tcW w:w="1069" w:type="dxa"/>
            <w:vAlign w:val="center"/>
          </w:tcPr>
          <w:p>
            <w:pPr>
              <w:pStyle w:val="30"/>
              <w:rPr>
                <w:color w:val="auto"/>
              </w:rPr>
            </w:pPr>
            <w:r>
              <w:rPr>
                <w:color w:val="auto"/>
              </w:rPr>
              <w:t>≤53</w:t>
            </w:r>
          </w:p>
        </w:tc>
        <w:tc>
          <w:tcPr>
            <w:tcW w:w="1062" w:type="dxa"/>
            <w:vAlign w:val="center"/>
          </w:tcPr>
          <w:p>
            <w:pPr>
              <w:pStyle w:val="30"/>
              <w:rPr>
                <w:color w:val="auto"/>
              </w:rPr>
            </w:pPr>
            <w:r>
              <w:rPr>
                <w:color w:val="auto"/>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b/>
                <w:bCs/>
                <w:color w:val="auto"/>
              </w:rPr>
            </w:pPr>
            <w:r>
              <w:rPr>
                <w:b/>
                <w:bCs/>
                <w:color w:val="auto"/>
              </w:rPr>
              <w:t>1,1,2-三氯乙烷</w:t>
            </w:r>
          </w:p>
        </w:tc>
        <w:tc>
          <w:tcPr>
            <w:tcW w:w="1130" w:type="dxa"/>
            <w:vAlign w:val="center"/>
          </w:tcPr>
          <w:p>
            <w:pPr>
              <w:pStyle w:val="30"/>
              <w:rPr>
                <w:b/>
                <w:bCs/>
                <w:color w:val="auto"/>
              </w:rPr>
            </w:pPr>
            <w:r>
              <w:rPr>
                <w:b/>
                <w:bCs/>
                <w:color w:val="auto"/>
              </w:rPr>
              <w:t>三氯乙烯</w:t>
            </w:r>
          </w:p>
        </w:tc>
        <w:tc>
          <w:tcPr>
            <w:tcW w:w="998" w:type="dxa"/>
            <w:vAlign w:val="center"/>
          </w:tcPr>
          <w:p>
            <w:pPr>
              <w:pStyle w:val="30"/>
              <w:rPr>
                <w:b/>
                <w:bCs/>
                <w:color w:val="auto"/>
              </w:rPr>
            </w:pPr>
            <w:r>
              <w:rPr>
                <w:b/>
                <w:bCs/>
                <w:color w:val="auto"/>
              </w:rPr>
              <w:t>1,2,3-三氯丙烷</w:t>
            </w:r>
          </w:p>
        </w:tc>
        <w:tc>
          <w:tcPr>
            <w:tcW w:w="1073" w:type="dxa"/>
            <w:vAlign w:val="center"/>
          </w:tcPr>
          <w:p>
            <w:pPr>
              <w:pStyle w:val="30"/>
              <w:rPr>
                <w:b/>
                <w:bCs/>
                <w:color w:val="auto"/>
              </w:rPr>
            </w:pPr>
            <w:r>
              <w:rPr>
                <w:b/>
                <w:bCs/>
                <w:color w:val="auto"/>
              </w:rPr>
              <w:t>氯乙烯</w:t>
            </w:r>
          </w:p>
        </w:tc>
        <w:tc>
          <w:tcPr>
            <w:tcW w:w="1051" w:type="dxa"/>
            <w:vAlign w:val="center"/>
          </w:tcPr>
          <w:p>
            <w:pPr>
              <w:pStyle w:val="30"/>
              <w:rPr>
                <w:b/>
                <w:bCs/>
                <w:color w:val="auto"/>
              </w:rPr>
            </w:pPr>
            <w:r>
              <w:rPr>
                <w:b/>
                <w:bCs/>
                <w:color w:val="auto"/>
              </w:rPr>
              <w:t>苯</w:t>
            </w:r>
          </w:p>
        </w:tc>
        <w:tc>
          <w:tcPr>
            <w:tcW w:w="1069" w:type="dxa"/>
            <w:vAlign w:val="center"/>
          </w:tcPr>
          <w:p>
            <w:pPr>
              <w:pStyle w:val="30"/>
              <w:rPr>
                <w:b/>
                <w:bCs/>
                <w:color w:val="auto"/>
              </w:rPr>
            </w:pPr>
            <w:r>
              <w:rPr>
                <w:b/>
                <w:bCs/>
                <w:color w:val="auto"/>
              </w:rPr>
              <w:t>氯苯</w:t>
            </w:r>
          </w:p>
        </w:tc>
        <w:tc>
          <w:tcPr>
            <w:tcW w:w="1062" w:type="dxa"/>
            <w:vAlign w:val="center"/>
          </w:tcPr>
          <w:p>
            <w:pPr>
              <w:pStyle w:val="30"/>
              <w:rPr>
                <w:b/>
                <w:bCs/>
                <w:color w:val="auto"/>
              </w:rPr>
            </w:pPr>
            <w:r>
              <w:rPr>
                <w:b/>
                <w:bCs/>
                <w:color w:val="auto"/>
              </w:rPr>
              <w:t>1,2-二氯苯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color w:val="auto"/>
              </w:rPr>
            </w:pPr>
            <w:r>
              <w:rPr>
                <w:color w:val="auto"/>
              </w:rPr>
              <w:t>≤2.8</w:t>
            </w:r>
          </w:p>
        </w:tc>
        <w:tc>
          <w:tcPr>
            <w:tcW w:w="1130" w:type="dxa"/>
            <w:vAlign w:val="center"/>
          </w:tcPr>
          <w:p>
            <w:pPr>
              <w:pStyle w:val="30"/>
              <w:rPr>
                <w:color w:val="auto"/>
              </w:rPr>
            </w:pPr>
            <w:r>
              <w:rPr>
                <w:color w:val="auto"/>
              </w:rPr>
              <w:t>≤2.8</w:t>
            </w:r>
          </w:p>
        </w:tc>
        <w:tc>
          <w:tcPr>
            <w:tcW w:w="998" w:type="dxa"/>
            <w:vAlign w:val="center"/>
          </w:tcPr>
          <w:p>
            <w:pPr>
              <w:pStyle w:val="30"/>
              <w:rPr>
                <w:color w:val="auto"/>
              </w:rPr>
            </w:pPr>
            <w:r>
              <w:rPr>
                <w:color w:val="auto"/>
              </w:rPr>
              <w:t>≤0.5</w:t>
            </w:r>
          </w:p>
        </w:tc>
        <w:tc>
          <w:tcPr>
            <w:tcW w:w="1073" w:type="dxa"/>
            <w:vAlign w:val="center"/>
          </w:tcPr>
          <w:p>
            <w:pPr>
              <w:pStyle w:val="30"/>
              <w:rPr>
                <w:color w:val="auto"/>
              </w:rPr>
            </w:pPr>
            <w:r>
              <w:rPr>
                <w:color w:val="auto"/>
              </w:rPr>
              <w:t>≤0.43</w:t>
            </w:r>
          </w:p>
        </w:tc>
        <w:tc>
          <w:tcPr>
            <w:tcW w:w="1051" w:type="dxa"/>
            <w:vAlign w:val="center"/>
          </w:tcPr>
          <w:p>
            <w:pPr>
              <w:pStyle w:val="30"/>
              <w:rPr>
                <w:color w:val="auto"/>
              </w:rPr>
            </w:pPr>
            <w:r>
              <w:rPr>
                <w:color w:val="auto"/>
              </w:rPr>
              <w:t>≤4</w:t>
            </w:r>
          </w:p>
        </w:tc>
        <w:tc>
          <w:tcPr>
            <w:tcW w:w="1069" w:type="dxa"/>
            <w:vAlign w:val="center"/>
          </w:tcPr>
          <w:p>
            <w:pPr>
              <w:pStyle w:val="30"/>
              <w:rPr>
                <w:color w:val="auto"/>
              </w:rPr>
            </w:pPr>
            <w:r>
              <w:rPr>
                <w:color w:val="auto"/>
              </w:rPr>
              <w:t>≤270</w:t>
            </w:r>
          </w:p>
        </w:tc>
        <w:tc>
          <w:tcPr>
            <w:tcW w:w="1062" w:type="dxa"/>
            <w:vAlign w:val="center"/>
          </w:tcPr>
          <w:p>
            <w:pPr>
              <w:pStyle w:val="30"/>
              <w:rPr>
                <w:color w:val="auto"/>
              </w:rPr>
            </w:pPr>
            <w:r>
              <w:rPr>
                <w:color w:val="auto"/>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b/>
                <w:bCs/>
                <w:color w:val="auto"/>
              </w:rPr>
            </w:pPr>
            <w:r>
              <w:rPr>
                <w:b/>
                <w:bCs/>
                <w:color w:val="auto"/>
              </w:rPr>
              <w:t>1,4-二氯苯</w:t>
            </w:r>
          </w:p>
        </w:tc>
        <w:tc>
          <w:tcPr>
            <w:tcW w:w="1130" w:type="dxa"/>
            <w:vAlign w:val="center"/>
          </w:tcPr>
          <w:p>
            <w:pPr>
              <w:pStyle w:val="30"/>
              <w:rPr>
                <w:b/>
                <w:bCs/>
                <w:color w:val="auto"/>
              </w:rPr>
            </w:pPr>
            <w:r>
              <w:rPr>
                <w:b/>
                <w:bCs/>
                <w:color w:val="auto"/>
              </w:rPr>
              <w:t>乙苯</w:t>
            </w:r>
          </w:p>
        </w:tc>
        <w:tc>
          <w:tcPr>
            <w:tcW w:w="998" w:type="dxa"/>
            <w:vAlign w:val="center"/>
          </w:tcPr>
          <w:p>
            <w:pPr>
              <w:pStyle w:val="30"/>
              <w:rPr>
                <w:b/>
                <w:bCs/>
                <w:color w:val="auto"/>
              </w:rPr>
            </w:pPr>
            <w:r>
              <w:rPr>
                <w:b/>
                <w:bCs/>
                <w:color w:val="auto"/>
              </w:rPr>
              <w:t>苯乙烯</w:t>
            </w:r>
          </w:p>
        </w:tc>
        <w:tc>
          <w:tcPr>
            <w:tcW w:w="1073" w:type="dxa"/>
            <w:vAlign w:val="center"/>
          </w:tcPr>
          <w:p>
            <w:pPr>
              <w:pStyle w:val="30"/>
              <w:rPr>
                <w:b/>
                <w:bCs/>
                <w:color w:val="auto"/>
              </w:rPr>
            </w:pPr>
            <w:r>
              <w:rPr>
                <w:b/>
                <w:bCs/>
                <w:color w:val="auto"/>
              </w:rPr>
              <w:t>甲苯</w:t>
            </w:r>
          </w:p>
        </w:tc>
        <w:tc>
          <w:tcPr>
            <w:tcW w:w="1051" w:type="dxa"/>
            <w:vAlign w:val="center"/>
          </w:tcPr>
          <w:p>
            <w:pPr>
              <w:pStyle w:val="30"/>
              <w:rPr>
                <w:b/>
                <w:bCs/>
                <w:color w:val="auto"/>
              </w:rPr>
            </w:pPr>
            <w:r>
              <w:rPr>
                <w:b/>
                <w:bCs/>
                <w:color w:val="auto"/>
              </w:rPr>
              <w:t>间二甲苯+对二甲苯</w:t>
            </w:r>
          </w:p>
        </w:tc>
        <w:tc>
          <w:tcPr>
            <w:tcW w:w="1069" w:type="dxa"/>
            <w:vAlign w:val="center"/>
          </w:tcPr>
          <w:p>
            <w:pPr>
              <w:pStyle w:val="30"/>
              <w:rPr>
                <w:b/>
                <w:bCs/>
                <w:color w:val="auto"/>
              </w:rPr>
            </w:pPr>
            <w:r>
              <w:rPr>
                <w:b/>
                <w:bCs/>
                <w:color w:val="auto"/>
              </w:rPr>
              <w:t>邻二甲苯</w:t>
            </w:r>
          </w:p>
        </w:tc>
        <w:tc>
          <w:tcPr>
            <w:tcW w:w="1062" w:type="dxa"/>
            <w:vAlign w:val="center"/>
          </w:tcPr>
          <w:p>
            <w:pPr>
              <w:pStyle w:val="30"/>
              <w:rPr>
                <w:b/>
                <w:bCs/>
                <w:color w:val="auto"/>
              </w:rPr>
            </w:pPr>
            <w:r>
              <w:rPr>
                <w:b/>
                <w:bCs/>
                <w:color w:val="auto"/>
              </w:rPr>
              <w:t>硝基苯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color w:val="auto"/>
              </w:rPr>
            </w:pPr>
            <w:r>
              <w:rPr>
                <w:color w:val="auto"/>
              </w:rPr>
              <w:t>≤20</w:t>
            </w:r>
          </w:p>
        </w:tc>
        <w:tc>
          <w:tcPr>
            <w:tcW w:w="1130" w:type="dxa"/>
            <w:vAlign w:val="center"/>
          </w:tcPr>
          <w:p>
            <w:pPr>
              <w:pStyle w:val="30"/>
              <w:rPr>
                <w:color w:val="auto"/>
              </w:rPr>
            </w:pPr>
            <w:r>
              <w:rPr>
                <w:color w:val="auto"/>
              </w:rPr>
              <w:t>≤28</w:t>
            </w:r>
          </w:p>
        </w:tc>
        <w:tc>
          <w:tcPr>
            <w:tcW w:w="998" w:type="dxa"/>
            <w:vAlign w:val="center"/>
          </w:tcPr>
          <w:p>
            <w:pPr>
              <w:pStyle w:val="30"/>
              <w:rPr>
                <w:color w:val="auto"/>
              </w:rPr>
            </w:pPr>
            <w:r>
              <w:rPr>
                <w:color w:val="auto"/>
              </w:rPr>
              <w:t>≤1290</w:t>
            </w:r>
          </w:p>
        </w:tc>
        <w:tc>
          <w:tcPr>
            <w:tcW w:w="1073" w:type="dxa"/>
            <w:vAlign w:val="center"/>
          </w:tcPr>
          <w:p>
            <w:pPr>
              <w:pStyle w:val="30"/>
              <w:rPr>
                <w:color w:val="auto"/>
              </w:rPr>
            </w:pPr>
            <w:r>
              <w:rPr>
                <w:color w:val="auto"/>
              </w:rPr>
              <w:t>≤1200</w:t>
            </w:r>
          </w:p>
        </w:tc>
        <w:tc>
          <w:tcPr>
            <w:tcW w:w="1051" w:type="dxa"/>
            <w:vAlign w:val="center"/>
          </w:tcPr>
          <w:p>
            <w:pPr>
              <w:pStyle w:val="30"/>
              <w:rPr>
                <w:color w:val="auto"/>
              </w:rPr>
            </w:pPr>
            <w:r>
              <w:rPr>
                <w:color w:val="auto"/>
              </w:rPr>
              <w:t>≤570</w:t>
            </w:r>
          </w:p>
        </w:tc>
        <w:tc>
          <w:tcPr>
            <w:tcW w:w="1069" w:type="dxa"/>
            <w:vAlign w:val="center"/>
          </w:tcPr>
          <w:p>
            <w:pPr>
              <w:pStyle w:val="30"/>
              <w:rPr>
                <w:color w:val="auto"/>
              </w:rPr>
            </w:pPr>
            <w:r>
              <w:rPr>
                <w:color w:val="auto"/>
              </w:rPr>
              <w:t>≤640</w:t>
            </w:r>
          </w:p>
        </w:tc>
        <w:tc>
          <w:tcPr>
            <w:tcW w:w="1062" w:type="dxa"/>
            <w:vAlign w:val="center"/>
          </w:tcPr>
          <w:p>
            <w:pPr>
              <w:pStyle w:val="30"/>
              <w:rPr>
                <w:color w:val="auto"/>
              </w:rPr>
            </w:pPr>
            <w:r>
              <w:rPr>
                <w:color w:val="auto"/>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b/>
                <w:bCs/>
                <w:color w:val="auto"/>
              </w:rPr>
            </w:pPr>
            <w:r>
              <w:rPr>
                <w:b/>
                <w:bCs/>
                <w:color w:val="auto"/>
              </w:rPr>
              <w:t>苯胺</w:t>
            </w:r>
          </w:p>
        </w:tc>
        <w:tc>
          <w:tcPr>
            <w:tcW w:w="1130" w:type="dxa"/>
            <w:vAlign w:val="center"/>
          </w:tcPr>
          <w:p>
            <w:pPr>
              <w:pStyle w:val="30"/>
              <w:rPr>
                <w:b/>
                <w:bCs/>
                <w:color w:val="auto"/>
              </w:rPr>
            </w:pPr>
            <w:r>
              <w:rPr>
                <w:b/>
                <w:bCs/>
                <w:color w:val="auto"/>
              </w:rPr>
              <w:t>2-氯酚</w:t>
            </w:r>
          </w:p>
        </w:tc>
        <w:tc>
          <w:tcPr>
            <w:tcW w:w="998" w:type="dxa"/>
            <w:vAlign w:val="center"/>
          </w:tcPr>
          <w:p>
            <w:pPr>
              <w:pStyle w:val="30"/>
              <w:rPr>
                <w:b/>
                <w:bCs/>
                <w:color w:val="auto"/>
              </w:rPr>
            </w:pPr>
            <w:r>
              <w:rPr>
                <w:b/>
                <w:bCs/>
                <w:color w:val="auto"/>
              </w:rPr>
              <w:t>苯并﹝a﹞蒽</w:t>
            </w:r>
          </w:p>
        </w:tc>
        <w:tc>
          <w:tcPr>
            <w:tcW w:w="1073" w:type="dxa"/>
            <w:vAlign w:val="center"/>
          </w:tcPr>
          <w:p>
            <w:pPr>
              <w:pStyle w:val="30"/>
              <w:rPr>
                <w:b/>
                <w:bCs/>
                <w:color w:val="auto"/>
              </w:rPr>
            </w:pPr>
            <w:r>
              <w:rPr>
                <w:b/>
                <w:bCs/>
                <w:color w:val="auto"/>
              </w:rPr>
              <w:t>苯并﹝a﹞芘</w:t>
            </w:r>
          </w:p>
        </w:tc>
        <w:tc>
          <w:tcPr>
            <w:tcW w:w="1051" w:type="dxa"/>
            <w:vAlign w:val="center"/>
          </w:tcPr>
          <w:p>
            <w:pPr>
              <w:pStyle w:val="30"/>
              <w:rPr>
                <w:b/>
                <w:bCs/>
                <w:color w:val="auto"/>
              </w:rPr>
            </w:pPr>
            <w:r>
              <w:rPr>
                <w:b/>
                <w:bCs/>
                <w:color w:val="auto"/>
              </w:rPr>
              <w:t>苯并﹝b﹞荧蒽</w:t>
            </w:r>
          </w:p>
        </w:tc>
        <w:tc>
          <w:tcPr>
            <w:tcW w:w="1069" w:type="dxa"/>
            <w:vAlign w:val="center"/>
          </w:tcPr>
          <w:p>
            <w:pPr>
              <w:pStyle w:val="30"/>
              <w:rPr>
                <w:b/>
                <w:bCs/>
                <w:color w:val="auto"/>
              </w:rPr>
            </w:pPr>
            <w:r>
              <w:rPr>
                <w:b/>
                <w:bCs/>
                <w:color w:val="auto"/>
              </w:rPr>
              <w:t>苯并﹝k﹞荧蒽</w:t>
            </w:r>
          </w:p>
        </w:tc>
        <w:tc>
          <w:tcPr>
            <w:tcW w:w="1062" w:type="dxa"/>
            <w:vAlign w:val="center"/>
          </w:tcPr>
          <w:p>
            <w:pPr>
              <w:pStyle w:val="30"/>
              <w:rPr>
                <w:b/>
                <w:bCs/>
                <w:color w:val="auto"/>
              </w:rPr>
            </w:pPr>
            <w:r>
              <w:rPr>
                <w:b/>
                <w:bCs/>
                <w:color w:val="auto"/>
              </w:rPr>
              <w:t>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1300" w:type="dxa"/>
            <w:vAlign w:val="center"/>
          </w:tcPr>
          <w:p>
            <w:pPr>
              <w:pStyle w:val="30"/>
              <w:rPr>
                <w:color w:val="auto"/>
              </w:rPr>
            </w:pPr>
            <w:r>
              <w:rPr>
                <w:color w:val="auto"/>
              </w:rPr>
              <w:t>≤260</w:t>
            </w:r>
          </w:p>
        </w:tc>
        <w:tc>
          <w:tcPr>
            <w:tcW w:w="1130" w:type="dxa"/>
            <w:vAlign w:val="center"/>
          </w:tcPr>
          <w:p>
            <w:pPr>
              <w:pStyle w:val="30"/>
              <w:rPr>
                <w:color w:val="auto"/>
              </w:rPr>
            </w:pPr>
            <w:r>
              <w:rPr>
                <w:color w:val="auto"/>
              </w:rPr>
              <w:t>≤2256</w:t>
            </w:r>
          </w:p>
        </w:tc>
        <w:tc>
          <w:tcPr>
            <w:tcW w:w="998" w:type="dxa"/>
            <w:vAlign w:val="center"/>
          </w:tcPr>
          <w:p>
            <w:pPr>
              <w:pStyle w:val="30"/>
              <w:rPr>
                <w:color w:val="auto"/>
              </w:rPr>
            </w:pPr>
            <w:r>
              <w:rPr>
                <w:color w:val="auto"/>
              </w:rPr>
              <w:t>≤15</w:t>
            </w:r>
          </w:p>
        </w:tc>
        <w:tc>
          <w:tcPr>
            <w:tcW w:w="1073" w:type="dxa"/>
            <w:vAlign w:val="center"/>
          </w:tcPr>
          <w:p>
            <w:pPr>
              <w:pStyle w:val="30"/>
              <w:rPr>
                <w:color w:val="auto"/>
              </w:rPr>
            </w:pPr>
            <w:r>
              <w:rPr>
                <w:color w:val="auto"/>
              </w:rPr>
              <w:t>≤1.5</w:t>
            </w:r>
          </w:p>
        </w:tc>
        <w:tc>
          <w:tcPr>
            <w:tcW w:w="1051" w:type="dxa"/>
            <w:vAlign w:val="center"/>
          </w:tcPr>
          <w:p>
            <w:pPr>
              <w:pStyle w:val="30"/>
              <w:rPr>
                <w:color w:val="auto"/>
              </w:rPr>
            </w:pPr>
            <w:r>
              <w:rPr>
                <w:color w:val="auto"/>
              </w:rPr>
              <w:t>≤1.5</w:t>
            </w:r>
          </w:p>
        </w:tc>
        <w:tc>
          <w:tcPr>
            <w:tcW w:w="1069" w:type="dxa"/>
            <w:vAlign w:val="center"/>
          </w:tcPr>
          <w:p>
            <w:pPr>
              <w:pStyle w:val="30"/>
              <w:rPr>
                <w:color w:val="auto"/>
              </w:rPr>
            </w:pPr>
            <w:r>
              <w:rPr>
                <w:color w:val="auto"/>
              </w:rPr>
              <w:t>≤151</w:t>
            </w:r>
          </w:p>
        </w:tc>
        <w:tc>
          <w:tcPr>
            <w:tcW w:w="1062" w:type="dxa"/>
            <w:vAlign w:val="center"/>
          </w:tcPr>
          <w:p>
            <w:pPr>
              <w:pStyle w:val="30"/>
              <w:rPr>
                <w:color w:val="auto"/>
              </w:rPr>
            </w:pPr>
            <w:r>
              <w:rPr>
                <w:color w:val="auto"/>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2430" w:type="dxa"/>
            <w:gridSpan w:val="2"/>
            <w:vAlign w:val="center"/>
          </w:tcPr>
          <w:p>
            <w:pPr>
              <w:pStyle w:val="30"/>
              <w:rPr>
                <w:b/>
                <w:bCs/>
                <w:color w:val="auto"/>
              </w:rPr>
            </w:pPr>
            <w:r>
              <w:rPr>
                <w:b/>
                <w:bCs/>
                <w:color w:val="auto"/>
              </w:rPr>
              <w:t>二苯并﹝a，h﹞蒽</w:t>
            </w:r>
          </w:p>
        </w:tc>
        <w:tc>
          <w:tcPr>
            <w:tcW w:w="998" w:type="dxa"/>
            <w:vAlign w:val="center"/>
          </w:tcPr>
          <w:p>
            <w:pPr>
              <w:pStyle w:val="30"/>
              <w:rPr>
                <w:b/>
                <w:bCs/>
                <w:color w:val="auto"/>
              </w:rPr>
            </w:pPr>
            <w:r>
              <w:rPr>
                <w:b/>
                <w:bCs/>
                <w:color w:val="auto"/>
              </w:rPr>
              <w:t>萘</w:t>
            </w:r>
          </w:p>
        </w:tc>
        <w:tc>
          <w:tcPr>
            <w:tcW w:w="2124" w:type="dxa"/>
            <w:gridSpan w:val="2"/>
            <w:vAlign w:val="center"/>
          </w:tcPr>
          <w:p>
            <w:pPr>
              <w:pStyle w:val="30"/>
              <w:rPr>
                <w:b/>
                <w:bCs/>
                <w:color w:val="auto"/>
              </w:rPr>
            </w:pPr>
            <w:r>
              <w:rPr>
                <w:b/>
                <w:bCs/>
                <w:color w:val="auto"/>
              </w:rPr>
              <w:t>茚并﹝1,2,3-cd﹞芘</w:t>
            </w:r>
          </w:p>
        </w:tc>
        <w:tc>
          <w:tcPr>
            <w:tcW w:w="2131" w:type="dxa"/>
            <w:gridSpan w:val="2"/>
            <w:vAlign w:val="center"/>
          </w:tcPr>
          <w:p>
            <w:pPr>
              <w:pStyle w:val="30"/>
              <w:rPr>
                <w:b/>
                <w:bCs/>
                <w:color w:val="auto"/>
              </w:rPr>
            </w:pPr>
            <w:r>
              <w:rPr>
                <w:b/>
                <w:bCs/>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1" w:type="dxa"/>
            <w:vMerge w:val="continue"/>
            <w:vAlign w:val="center"/>
          </w:tcPr>
          <w:p>
            <w:pPr>
              <w:pStyle w:val="30"/>
              <w:rPr>
                <w:color w:val="auto"/>
              </w:rPr>
            </w:pPr>
          </w:p>
        </w:tc>
        <w:tc>
          <w:tcPr>
            <w:tcW w:w="2430" w:type="dxa"/>
            <w:gridSpan w:val="2"/>
            <w:vAlign w:val="center"/>
          </w:tcPr>
          <w:p>
            <w:pPr>
              <w:pStyle w:val="30"/>
              <w:rPr>
                <w:color w:val="auto"/>
              </w:rPr>
            </w:pPr>
            <w:r>
              <w:rPr>
                <w:color w:val="auto"/>
              </w:rPr>
              <w:t>≤1.5</w:t>
            </w:r>
          </w:p>
        </w:tc>
        <w:tc>
          <w:tcPr>
            <w:tcW w:w="998" w:type="dxa"/>
            <w:vAlign w:val="center"/>
          </w:tcPr>
          <w:p>
            <w:pPr>
              <w:pStyle w:val="30"/>
              <w:rPr>
                <w:color w:val="auto"/>
              </w:rPr>
            </w:pPr>
            <w:r>
              <w:rPr>
                <w:color w:val="auto"/>
              </w:rPr>
              <w:t>≤70</w:t>
            </w:r>
          </w:p>
        </w:tc>
        <w:tc>
          <w:tcPr>
            <w:tcW w:w="2124" w:type="dxa"/>
            <w:gridSpan w:val="2"/>
            <w:vAlign w:val="center"/>
          </w:tcPr>
          <w:p>
            <w:pPr>
              <w:pStyle w:val="30"/>
              <w:rPr>
                <w:color w:val="auto"/>
              </w:rPr>
            </w:pPr>
            <w:r>
              <w:rPr>
                <w:color w:val="auto"/>
              </w:rPr>
              <w:t>≤15</w:t>
            </w:r>
          </w:p>
        </w:tc>
        <w:tc>
          <w:tcPr>
            <w:tcW w:w="2131" w:type="dxa"/>
            <w:gridSpan w:val="2"/>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9" w:type="dxa"/>
            <w:gridSpan w:val="4"/>
            <w:vAlign w:val="center"/>
          </w:tcPr>
          <w:p>
            <w:pPr>
              <w:pStyle w:val="30"/>
              <w:rPr>
                <w:b/>
                <w:bCs/>
                <w:color w:val="auto"/>
              </w:rPr>
            </w:pPr>
            <w:r>
              <w:rPr>
                <w:b/>
                <w:bCs/>
                <w:color w:val="auto"/>
              </w:rPr>
              <w:t>项目</w:t>
            </w:r>
          </w:p>
        </w:tc>
        <w:tc>
          <w:tcPr>
            <w:tcW w:w="1073" w:type="dxa"/>
            <w:vAlign w:val="center"/>
          </w:tcPr>
          <w:p>
            <w:pPr>
              <w:pStyle w:val="30"/>
              <w:rPr>
                <w:b/>
                <w:bCs/>
                <w:color w:val="auto"/>
              </w:rPr>
            </w:pPr>
            <w:r>
              <w:rPr>
                <w:b/>
                <w:bCs/>
                <w:color w:val="auto"/>
              </w:rPr>
              <w:t>铜</w:t>
            </w:r>
          </w:p>
        </w:tc>
        <w:tc>
          <w:tcPr>
            <w:tcW w:w="1051" w:type="dxa"/>
            <w:vAlign w:val="center"/>
          </w:tcPr>
          <w:p>
            <w:pPr>
              <w:pStyle w:val="30"/>
              <w:rPr>
                <w:b/>
                <w:bCs/>
                <w:color w:val="auto"/>
              </w:rPr>
            </w:pPr>
            <w:r>
              <w:rPr>
                <w:b/>
                <w:bCs/>
                <w:color w:val="auto"/>
              </w:rPr>
              <w:t>铅</w:t>
            </w:r>
          </w:p>
        </w:tc>
        <w:tc>
          <w:tcPr>
            <w:tcW w:w="1069" w:type="dxa"/>
            <w:vAlign w:val="center"/>
          </w:tcPr>
          <w:p>
            <w:pPr>
              <w:pStyle w:val="30"/>
              <w:rPr>
                <w:b/>
                <w:bCs/>
                <w:color w:val="auto"/>
              </w:rPr>
            </w:pPr>
            <w:r>
              <w:rPr>
                <w:b/>
                <w:bCs/>
                <w:color w:val="auto"/>
              </w:rPr>
              <w:t>汞</w:t>
            </w:r>
          </w:p>
        </w:tc>
        <w:tc>
          <w:tcPr>
            <w:tcW w:w="1062" w:type="dxa"/>
            <w:vAlign w:val="center"/>
          </w:tcPr>
          <w:p>
            <w:pPr>
              <w:pStyle w:val="30"/>
              <w:rPr>
                <w:b/>
                <w:bCs/>
                <w:color w:val="auto"/>
              </w:rPr>
            </w:pPr>
            <w:r>
              <w:rPr>
                <w:b/>
                <w:bCs/>
                <w:color w:val="auto"/>
              </w:rPr>
              <w:t>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9" w:type="dxa"/>
            <w:gridSpan w:val="4"/>
            <w:vMerge w:val="restart"/>
            <w:vAlign w:val="center"/>
          </w:tcPr>
          <w:p>
            <w:pPr>
              <w:pStyle w:val="30"/>
              <w:rPr>
                <w:color w:val="auto"/>
              </w:rPr>
            </w:pPr>
            <w:r>
              <w:rPr>
                <w:color w:val="auto"/>
              </w:rPr>
              <w:t>《土壤环境质量农用地土壤污染风险管控标准(试行)》（GB15618-2018）中筛选值</w:t>
            </w:r>
          </w:p>
        </w:tc>
        <w:tc>
          <w:tcPr>
            <w:tcW w:w="1073" w:type="dxa"/>
            <w:vAlign w:val="center"/>
          </w:tcPr>
          <w:p>
            <w:pPr>
              <w:pStyle w:val="30"/>
              <w:rPr>
                <w:color w:val="auto"/>
              </w:rPr>
            </w:pPr>
            <w:r>
              <w:rPr>
                <w:color w:val="auto"/>
              </w:rPr>
              <w:t>≤50</w:t>
            </w:r>
          </w:p>
        </w:tc>
        <w:tc>
          <w:tcPr>
            <w:tcW w:w="1051" w:type="dxa"/>
            <w:vAlign w:val="center"/>
          </w:tcPr>
          <w:p>
            <w:pPr>
              <w:pStyle w:val="30"/>
              <w:rPr>
                <w:color w:val="auto"/>
              </w:rPr>
            </w:pPr>
            <w:r>
              <w:rPr>
                <w:color w:val="auto"/>
              </w:rPr>
              <w:t>≤90</w:t>
            </w:r>
          </w:p>
        </w:tc>
        <w:tc>
          <w:tcPr>
            <w:tcW w:w="1069" w:type="dxa"/>
            <w:vAlign w:val="center"/>
          </w:tcPr>
          <w:p>
            <w:pPr>
              <w:pStyle w:val="30"/>
              <w:rPr>
                <w:color w:val="auto"/>
              </w:rPr>
            </w:pPr>
            <w:r>
              <w:rPr>
                <w:color w:val="auto"/>
              </w:rPr>
              <w:t>≤1.8</w:t>
            </w:r>
          </w:p>
        </w:tc>
        <w:tc>
          <w:tcPr>
            <w:tcW w:w="1062" w:type="dxa"/>
            <w:vAlign w:val="center"/>
          </w:tcPr>
          <w:p>
            <w:pPr>
              <w:pStyle w:val="30"/>
              <w:rPr>
                <w:color w:val="auto"/>
              </w:rPr>
            </w:pPr>
            <w:r>
              <w:rPr>
                <w:color w:val="auto"/>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9" w:type="dxa"/>
            <w:gridSpan w:val="4"/>
            <w:vMerge w:val="continue"/>
            <w:vAlign w:val="center"/>
          </w:tcPr>
          <w:p>
            <w:pPr>
              <w:pStyle w:val="30"/>
              <w:rPr>
                <w:color w:val="auto"/>
              </w:rPr>
            </w:pPr>
          </w:p>
        </w:tc>
        <w:tc>
          <w:tcPr>
            <w:tcW w:w="1073" w:type="dxa"/>
            <w:vAlign w:val="center"/>
          </w:tcPr>
          <w:p>
            <w:pPr>
              <w:pStyle w:val="30"/>
              <w:rPr>
                <w:b/>
                <w:bCs/>
                <w:color w:val="auto"/>
              </w:rPr>
            </w:pPr>
            <w:r>
              <w:rPr>
                <w:b/>
                <w:bCs/>
                <w:color w:val="auto"/>
              </w:rPr>
              <w:t>锌</w:t>
            </w:r>
          </w:p>
        </w:tc>
        <w:tc>
          <w:tcPr>
            <w:tcW w:w="1051" w:type="dxa"/>
            <w:vAlign w:val="center"/>
          </w:tcPr>
          <w:p>
            <w:pPr>
              <w:pStyle w:val="30"/>
              <w:rPr>
                <w:b/>
                <w:bCs/>
                <w:color w:val="auto"/>
              </w:rPr>
            </w:pPr>
            <w:r>
              <w:rPr>
                <w:b/>
                <w:bCs/>
                <w:color w:val="auto"/>
              </w:rPr>
              <w:t>砷</w:t>
            </w:r>
          </w:p>
        </w:tc>
        <w:tc>
          <w:tcPr>
            <w:tcW w:w="1069" w:type="dxa"/>
            <w:vAlign w:val="center"/>
          </w:tcPr>
          <w:p>
            <w:pPr>
              <w:pStyle w:val="30"/>
              <w:rPr>
                <w:b/>
                <w:bCs/>
                <w:color w:val="auto"/>
              </w:rPr>
            </w:pPr>
            <w:r>
              <w:rPr>
                <w:b/>
                <w:bCs/>
                <w:color w:val="auto"/>
              </w:rPr>
              <w:t>镉</w:t>
            </w:r>
          </w:p>
        </w:tc>
        <w:tc>
          <w:tcPr>
            <w:tcW w:w="1062" w:type="dxa"/>
            <w:vAlign w:val="center"/>
          </w:tcPr>
          <w:p>
            <w:pPr>
              <w:pStyle w:val="30"/>
              <w:rPr>
                <w:b/>
                <w:bCs/>
                <w:color w:val="auto"/>
              </w:rPr>
            </w:pPr>
            <w:r>
              <w:rPr>
                <w:b/>
                <w:bCs/>
                <w:color w:val="auto"/>
              </w:rPr>
              <w:t>铬</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249" w:type="dxa"/>
            <w:gridSpan w:val="4"/>
            <w:vMerge w:val="continue"/>
            <w:vAlign w:val="center"/>
          </w:tcPr>
          <w:p>
            <w:pPr>
              <w:pStyle w:val="30"/>
              <w:rPr>
                <w:color w:val="auto"/>
              </w:rPr>
            </w:pPr>
          </w:p>
        </w:tc>
        <w:tc>
          <w:tcPr>
            <w:tcW w:w="1073" w:type="dxa"/>
            <w:vAlign w:val="center"/>
          </w:tcPr>
          <w:p>
            <w:pPr>
              <w:pStyle w:val="30"/>
              <w:rPr>
                <w:color w:val="auto"/>
              </w:rPr>
            </w:pPr>
            <w:r>
              <w:rPr>
                <w:color w:val="auto"/>
              </w:rPr>
              <w:t>≤200</w:t>
            </w:r>
          </w:p>
        </w:tc>
        <w:tc>
          <w:tcPr>
            <w:tcW w:w="1051" w:type="dxa"/>
            <w:vAlign w:val="center"/>
          </w:tcPr>
          <w:p>
            <w:pPr>
              <w:pStyle w:val="30"/>
              <w:rPr>
                <w:color w:val="auto"/>
              </w:rPr>
            </w:pPr>
            <w:r>
              <w:rPr>
                <w:color w:val="auto"/>
              </w:rPr>
              <w:t>≤40</w:t>
            </w:r>
          </w:p>
        </w:tc>
        <w:tc>
          <w:tcPr>
            <w:tcW w:w="1069" w:type="dxa"/>
            <w:vAlign w:val="center"/>
          </w:tcPr>
          <w:p>
            <w:pPr>
              <w:pStyle w:val="30"/>
              <w:rPr>
                <w:color w:val="auto"/>
              </w:rPr>
            </w:pPr>
            <w:r>
              <w:rPr>
                <w:color w:val="auto"/>
              </w:rPr>
              <w:t>≤0.3</w:t>
            </w:r>
          </w:p>
        </w:tc>
        <w:tc>
          <w:tcPr>
            <w:tcW w:w="1062" w:type="dxa"/>
            <w:vAlign w:val="center"/>
          </w:tcPr>
          <w:p>
            <w:pPr>
              <w:pStyle w:val="30"/>
              <w:rPr>
                <w:color w:val="auto"/>
              </w:rPr>
            </w:pPr>
            <w:r>
              <w:rPr>
                <w:color w:val="auto"/>
              </w:rPr>
              <w:t>≤150</w:t>
            </w:r>
          </w:p>
        </w:tc>
      </w:tr>
    </w:tbl>
    <w:p>
      <w:pPr>
        <w:pStyle w:val="7"/>
        <w:rPr>
          <w:color w:val="auto"/>
        </w:rPr>
      </w:pPr>
      <w:r>
        <w:rPr>
          <w:color w:val="auto"/>
        </w:rPr>
        <w:t>2.4.2污染物排放标准</w:t>
      </w:r>
    </w:p>
    <w:p>
      <w:pPr>
        <w:ind w:firstLine="482"/>
        <w:rPr>
          <w:b/>
          <w:bCs/>
          <w:color w:val="auto"/>
        </w:rPr>
      </w:pPr>
      <w:r>
        <w:rPr>
          <w:b/>
          <w:bCs/>
          <w:color w:val="auto"/>
        </w:rPr>
        <w:t>1、废气排放标准</w:t>
      </w:r>
    </w:p>
    <w:p>
      <w:pPr>
        <w:ind w:firstLine="480"/>
        <w:rPr>
          <w:color w:val="auto"/>
        </w:rPr>
      </w:pPr>
      <w:r>
        <w:rPr>
          <w:color w:val="auto"/>
        </w:rPr>
        <w:t>有组织废气：非甲烷总烃、颗粒物执行《合成树脂工业污染物排放标准》（GB31572-2015）表4中的排放限值，臭气浓度执行《恶臭污染物排放标准》（GB14554-93）表2排放限值。</w:t>
      </w:r>
    </w:p>
    <w:p>
      <w:pPr>
        <w:ind w:firstLine="480"/>
        <w:rPr>
          <w:color w:val="auto"/>
        </w:rPr>
      </w:pPr>
      <w:r>
        <w:rPr>
          <w:color w:val="auto"/>
        </w:rPr>
        <w:t>厂界无组织废气：非甲烷总烃、颗粒物执行《合成树脂工业污染物排放标准》（GB31572-2015）表9排放限值，臭气浓度执行《恶臭污染物排放标准》（GB14554-93）表1排放限值。</w:t>
      </w:r>
    </w:p>
    <w:p>
      <w:pPr>
        <w:ind w:firstLine="480"/>
        <w:rPr>
          <w:color w:val="auto"/>
        </w:rPr>
      </w:pPr>
      <w:r>
        <w:rPr>
          <w:color w:val="auto"/>
        </w:rPr>
        <w:t>厂区内无组织废气：厂区内无组织排放监控点非甲烷总烃执行《挥发性有机物无组织排放控制标准》（GB37822-2019）附录A表A.1排放浓度限值要求。</w:t>
      </w:r>
    </w:p>
    <w:p>
      <w:pPr>
        <w:pStyle w:val="31"/>
        <w:rPr>
          <w:color w:val="auto"/>
        </w:rPr>
      </w:pPr>
      <w:r>
        <w:rPr>
          <w:color w:val="auto"/>
        </w:rPr>
        <w:t>表2.4-6  《合成树脂工业污染物排放标准》（GB31572-2015）</w:t>
      </w:r>
      <w:r>
        <w:rPr>
          <w:rFonts w:hint="eastAsia"/>
          <w:color w:val="auto"/>
        </w:rPr>
        <w:t>（单位：mg/m</w:t>
      </w:r>
      <w:r>
        <w:rPr>
          <w:rFonts w:hint="eastAsia"/>
          <w:color w:val="auto"/>
          <w:vertAlign w:val="superscript"/>
        </w:rPr>
        <w:t>3</w:t>
      </w:r>
      <w:r>
        <w:rPr>
          <w:rFonts w:hint="eastAsia"/>
          <w:color w:val="auto"/>
        </w:rPr>
        <w:t>）</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0"/>
        <w:gridCol w:w="1703"/>
        <w:gridCol w:w="1703"/>
        <w:gridCol w:w="34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998" w:type="pct"/>
            <w:vAlign w:val="center"/>
          </w:tcPr>
          <w:p>
            <w:pPr>
              <w:pStyle w:val="30"/>
              <w:rPr>
                <w:b/>
                <w:bCs/>
                <w:color w:val="auto"/>
              </w:rPr>
            </w:pPr>
            <w:r>
              <w:rPr>
                <w:rFonts w:hint="eastAsia"/>
                <w:b/>
                <w:bCs/>
                <w:color w:val="auto"/>
              </w:rPr>
              <w:t>污染物</w:t>
            </w:r>
          </w:p>
        </w:tc>
        <w:tc>
          <w:tcPr>
            <w:tcW w:w="999" w:type="pct"/>
            <w:vAlign w:val="center"/>
          </w:tcPr>
          <w:p>
            <w:pPr>
              <w:pStyle w:val="30"/>
              <w:rPr>
                <w:b/>
                <w:bCs/>
                <w:color w:val="auto"/>
              </w:rPr>
            </w:pPr>
            <w:r>
              <w:rPr>
                <w:rFonts w:hint="eastAsia"/>
                <w:b/>
                <w:bCs/>
                <w:color w:val="auto"/>
              </w:rPr>
              <w:t>排放限值</w:t>
            </w:r>
          </w:p>
        </w:tc>
        <w:tc>
          <w:tcPr>
            <w:tcW w:w="999" w:type="pct"/>
            <w:vAlign w:val="center"/>
          </w:tcPr>
          <w:p>
            <w:pPr>
              <w:pStyle w:val="30"/>
              <w:rPr>
                <w:b/>
                <w:bCs/>
                <w:color w:val="auto"/>
              </w:rPr>
            </w:pPr>
            <w:r>
              <w:rPr>
                <w:rFonts w:hint="eastAsia"/>
                <w:b/>
                <w:bCs/>
                <w:color w:val="auto"/>
              </w:rPr>
              <w:t>排放方式</w:t>
            </w:r>
          </w:p>
        </w:tc>
        <w:tc>
          <w:tcPr>
            <w:tcW w:w="2005" w:type="pct"/>
            <w:vAlign w:val="center"/>
          </w:tcPr>
          <w:p>
            <w:pPr>
              <w:pStyle w:val="30"/>
              <w:rPr>
                <w:b/>
                <w:bCs/>
                <w:color w:val="auto"/>
              </w:rPr>
            </w:pPr>
            <w:r>
              <w:rPr>
                <w:b/>
                <w:bCs/>
                <w:color w:val="auto"/>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998" w:type="pct"/>
            <w:vAlign w:val="center"/>
          </w:tcPr>
          <w:p>
            <w:pPr>
              <w:pStyle w:val="30"/>
              <w:rPr>
                <w:color w:val="auto"/>
              </w:rPr>
            </w:pPr>
            <w:r>
              <w:rPr>
                <w:rFonts w:hint="eastAsia"/>
                <w:color w:val="auto"/>
              </w:rPr>
              <w:t>非甲烷总烃</w:t>
            </w:r>
          </w:p>
        </w:tc>
        <w:tc>
          <w:tcPr>
            <w:tcW w:w="999" w:type="pct"/>
            <w:vAlign w:val="center"/>
          </w:tcPr>
          <w:p>
            <w:pPr>
              <w:pStyle w:val="30"/>
              <w:rPr>
                <w:color w:val="auto"/>
              </w:rPr>
            </w:pPr>
            <w:r>
              <w:rPr>
                <w:rFonts w:hint="eastAsia"/>
                <w:color w:val="auto"/>
              </w:rPr>
              <w:t>100</w:t>
            </w:r>
          </w:p>
        </w:tc>
        <w:tc>
          <w:tcPr>
            <w:tcW w:w="999" w:type="pct"/>
            <w:vMerge w:val="restart"/>
            <w:vAlign w:val="center"/>
          </w:tcPr>
          <w:p>
            <w:pPr>
              <w:pStyle w:val="30"/>
              <w:rPr>
                <w:color w:val="auto"/>
              </w:rPr>
            </w:pPr>
            <w:r>
              <w:rPr>
                <w:rFonts w:hint="eastAsia"/>
                <w:color w:val="auto"/>
              </w:rPr>
              <w:t>有组织</w:t>
            </w:r>
          </w:p>
        </w:tc>
        <w:tc>
          <w:tcPr>
            <w:tcW w:w="2005" w:type="pct"/>
            <w:vMerge w:val="restart"/>
            <w:vAlign w:val="center"/>
          </w:tcPr>
          <w:p>
            <w:pPr>
              <w:pStyle w:val="30"/>
              <w:rPr>
                <w:color w:val="auto"/>
              </w:rPr>
            </w:pPr>
            <w:r>
              <w:rPr>
                <w:rFonts w:hint="eastAsia"/>
                <w:color w:val="auto"/>
              </w:rPr>
              <w:t>表4 大气污染物排放限值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998" w:type="pct"/>
            <w:vAlign w:val="center"/>
          </w:tcPr>
          <w:p>
            <w:pPr>
              <w:pStyle w:val="30"/>
              <w:rPr>
                <w:color w:val="auto"/>
              </w:rPr>
            </w:pPr>
            <w:r>
              <w:rPr>
                <w:rFonts w:hint="eastAsia"/>
                <w:color w:val="auto"/>
              </w:rPr>
              <w:t>颗粒物</w:t>
            </w:r>
          </w:p>
        </w:tc>
        <w:tc>
          <w:tcPr>
            <w:tcW w:w="999" w:type="pct"/>
            <w:vAlign w:val="center"/>
          </w:tcPr>
          <w:p>
            <w:pPr>
              <w:pStyle w:val="30"/>
              <w:rPr>
                <w:color w:val="auto"/>
              </w:rPr>
            </w:pPr>
            <w:r>
              <w:rPr>
                <w:rFonts w:hint="eastAsia"/>
                <w:color w:val="auto"/>
              </w:rPr>
              <w:t>30</w:t>
            </w:r>
          </w:p>
        </w:tc>
        <w:tc>
          <w:tcPr>
            <w:tcW w:w="999" w:type="pct"/>
            <w:vMerge w:val="continue"/>
            <w:vAlign w:val="center"/>
          </w:tcPr>
          <w:p>
            <w:pPr>
              <w:pStyle w:val="30"/>
              <w:rPr>
                <w:color w:val="auto"/>
              </w:rPr>
            </w:pPr>
          </w:p>
        </w:tc>
        <w:tc>
          <w:tcPr>
            <w:tcW w:w="2005"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998" w:type="pct"/>
            <w:vAlign w:val="center"/>
          </w:tcPr>
          <w:p>
            <w:pPr>
              <w:pStyle w:val="30"/>
              <w:rPr>
                <w:color w:val="auto"/>
              </w:rPr>
            </w:pPr>
            <w:r>
              <w:rPr>
                <w:rFonts w:hint="eastAsia"/>
                <w:color w:val="auto"/>
              </w:rPr>
              <w:t>非甲烷总烃</w:t>
            </w:r>
          </w:p>
        </w:tc>
        <w:tc>
          <w:tcPr>
            <w:tcW w:w="999" w:type="pct"/>
            <w:vAlign w:val="center"/>
          </w:tcPr>
          <w:p>
            <w:pPr>
              <w:pStyle w:val="30"/>
              <w:rPr>
                <w:color w:val="auto"/>
              </w:rPr>
            </w:pPr>
            <w:r>
              <w:rPr>
                <w:rFonts w:hint="eastAsia"/>
                <w:color w:val="auto"/>
              </w:rPr>
              <w:t>4.0</w:t>
            </w:r>
          </w:p>
        </w:tc>
        <w:tc>
          <w:tcPr>
            <w:tcW w:w="999" w:type="pct"/>
            <w:vMerge w:val="restart"/>
            <w:vAlign w:val="center"/>
          </w:tcPr>
          <w:p>
            <w:pPr>
              <w:pStyle w:val="30"/>
              <w:rPr>
                <w:color w:val="auto"/>
              </w:rPr>
            </w:pPr>
            <w:r>
              <w:rPr>
                <w:rFonts w:hint="eastAsia"/>
                <w:color w:val="auto"/>
              </w:rPr>
              <w:t>无组织</w:t>
            </w:r>
          </w:p>
        </w:tc>
        <w:tc>
          <w:tcPr>
            <w:tcW w:w="2005" w:type="pct"/>
            <w:vMerge w:val="restart"/>
            <w:vAlign w:val="center"/>
          </w:tcPr>
          <w:p>
            <w:pPr>
              <w:pStyle w:val="30"/>
              <w:rPr>
                <w:color w:val="auto"/>
              </w:rPr>
            </w:pPr>
            <w:r>
              <w:rPr>
                <w:rFonts w:hint="eastAsia"/>
                <w:color w:val="auto"/>
              </w:rPr>
              <w:t>表9 企业边界大气污染物浓度限值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998" w:type="pct"/>
            <w:vAlign w:val="center"/>
          </w:tcPr>
          <w:p>
            <w:pPr>
              <w:pStyle w:val="30"/>
              <w:rPr>
                <w:color w:val="auto"/>
              </w:rPr>
            </w:pPr>
            <w:r>
              <w:rPr>
                <w:rFonts w:hint="eastAsia"/>
                <w:color w:val="auto"/>
              </w:rPr>
              <w:t>颗粒物</w:t>
            </w:r>
          </w:p>
        </w:tc>
        <w:tc>
          <w:tcPr>
            <w:tcW w:w="999" w:type="pct"/>
            <w:vAlign w:val="center"/>
          </w:tcPr>
          <w:p>
            <w:pPr>
              <w:pStyle w:val="30"/>
              <w:rPr>
                <w:color w:val="auto"/>
              </w:rPr>
            </w:pPr>
            <w:r>
              <w:rPr>
                <w:rFonts w:hint="eastAsia"/>
                <w:color w:val="auto"/>
              </w:rPr>
              <w:t>1.0</w:t>
            </w:r>
          </w:p>
        </w:tc>
        <w:tc>
          <w:tcPr>
            <w:tcW w:w="999" w:type="pct"/>
            <w:vMerge w:val="continue"/>
            <w:vAlign w:val="center"/>
          </w:tcPr>
          <w:p>
            <w:pPr>
              <w:pStyle w:val="30"/>
              <w:rPr>
                <w:color w:val="auto"/>
                <w:u w:val="single"/>
              </w:rPr>
            </w:pPr>
          </w:p>
        </w:tc>
        <w:tc>
          <w:tcPr>
            <w:tcW w:w="2005" w:type="pct"/>
            <w:vMerge w:val="continue"/>
            <w:vAlign w:val="center"/>
          </w:tcPr>
          <w:p>
            <w:pPr>
              <w:pStyle w:val="30"/>
              <w:rPr>
                <w:color w:val="auto"/>
                <w:u w:val="single"/>
              </w:rPr>
            </w:pPr>
          </w:p>
        </w:tc>
      </w:tr>
    </w:tbl>
    <w:p>
      <w:pPr>
        <w:pStyle w:val="31"/>
        <w:rPr>
          <w:color w:val="auto"/>
        </w:rPr>
      </w:pPr>
    </w:p>
    <w:p>
      <w:pPr>
        <w:pStyle w:val="31"/>
        <w:rPr>
          <w:color w:val="auto"/>
        </w:rPr>
      </w:pPr>
      <w:r>
        <w:rPr>
          <w:color w:val="auto"/>
        </w:rPr>
        <w:t>表2.4-</w:t>
      </w:r>
      <w:r>
        <w:rPr>
          <w:rFonts w:hint="eastAsia"/>
          <w:color w:val="auto"/>
        </w:rPr>
        <w:t>7</w:t>
      </w:r>
      <w:r>
        <w:rPr>
          <w:color w:val="auto"/>
        </w:rPr>
        <w:t xml:space="preserve">  《挥发性有机物无组织排放控制标准》（GB37822-2019）</w:t>
      </w:r>
      <w:r>
        <w:rPr>
          <w:rFonts w:hint="eastAsia"/>
          <w:color w:val="auto"/>
        </w:rPr>
        <w:t>（单位：mg/m</w:t>
      </w:r>
      <w:r>
        <w:rPr>
          <w:rFonts w:hint="eastAsia"/>
          <w:color w:val="auto"/>
          <w:vertAlign w:val="superscript"/>
        </w:rPr>
        <w:t>3</w:t>
      </w:r>
      <w:r>
        <w:rPr>
          <w:rFonts w:hint="eastAsia"/>
          <w:color w:val="auto"/>
        </w:rPr>
        <w:t>）</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1"/>
        <w:gridCol w:w="1662"/>
        <w:gridCol w:w="2911"/>
        <w:gridCol w:w="27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699" w:type="pct"/>
            <w:vAlign w:val="center"/>
          </w:tcPr>
          <w:p>
            <w:pPr>
              <w:pStyle w:val="30"/>
              <w:rPr>
                <w:b/>
                <w:bCs/>
                <w:color w:val="auto"/>
              </w:rPr>
            </w:pPr>
            <w:r>
              <w:rPr>
                <w:b/>
                <w:bCs/>
                <w:color w:val="auto"/>
              </w:rPr>
              <w:t>污染物</w:t>
            </w:r>
          </w:p>
        </w:tc>
        <w:tc>
          <w:tcPr>
            <w:tcW w:w="975" w:type="pct"/>
            <w:vAlign w:val="center"/>
          </w:tcPr>
          <w:p>
            <w:pPr>
              <w:pStyle w:val="30"/>
              <w:rPr>
                <w:b/>
                <w:bCs/>
                <w:color w:val="auto"/>
              </w:rPr>
            </w:pPr>
            <w:r>
              <w:rPr>
                <w:b/>
                <w:bCs/>
                <w:color w:val="auto"/>
              </w:rPr>
              <w:t>排放限值</w:t>
            </w:r>
          </w:p>
        </w:tc>
        <w:tc>
          <w:tcPr>
            <w:tcW w:w="1708" w:type="pct"/>
            <w:vAlign w:val="center"/>
          </w:tcPr>
          <w:p>
            <w:pPr>
              <w:pStyle w:val="30"/>
              <w:rPr>
                <w:b/>
                <w:bCs/>
                <w:color w:val="auto"/>
              </w:rPr>
            </w:pPr>
            <w:r>
              <w:rPr>
                <w:b/>
                <w:bCs/>
                <w:color w:val="auto"/>
              </w:rPr>
              <w:t>限值含义</w:t>
            </w:r>
          </w:p>
        </w:tc>
        <w:tc>
          <w:tcPr>
            <w:tcW w:w="1619" w:type="pct"/>
            <w:vAlign w:val="center"/>
          </w:tcPr>
          <w:p>
            <w:pPr>
              <w:pStyle w:val="30"/>
              <w:rPr>
                <w:b/>
                <w:bCs/>
                <w:color w:val="auto"/>
              </w:rPr>
            </w:pPr>
            <w:r>
              <w:rPr>
                <w:b/>
                <w:bCs/>
                <w:color w:val="auto"/>
              </w:rPr>
              <w:t>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699" w:type="pct"/>
            <w:vMerge w:val="restart"/>
            <w:vAlign w:val="center"/>
          </w:tcPr>
          <w:p>
            <w:pPr>
              <w:pStyle w:val="30"/>
              <w:rPr>
                <w:color w:val="auto"/>
              </w:rPr>
            </w:pPr>
            <w:r>
              <w:rPr>
                <w:color w:val="auto"/>
              </w:rPr>
              <w:t>NMHC</w:t>
            </w:r>
          </w:p>
        </w:tc>
        <w:tc>
          <w:tcPr>
            <w:tcW w:w="975" w:type="pct"/>
            <w:vAlign w:val="center"/>
          </w:tcPr>
          <w:p>
            <w:pPr>
              <w:pStyle w:val="30"/>
              <w:rPr>
                <w:color w:val="auto"/>
              </w:rPr>
            </w:pPr>
            <w:r>
              <w:rPr>
                <w:color w:val="auto"/>
              </w:rPr>
              <w:t>10</w:t>
            </w:r>
          </w:p>
        </w:tc>
        <w:tc>
          <w:tcPr>
            <w:tcW w:w="1708" w:type="pct"/>
            <w:vAlign w:val="center"/>
          </w:tcPr>
          <w:p>
            <w:pPr>
              <w:pStyle w:val="30"/>
              <w:rPr>
                <w:color w:val="auto"/>
              </w:rPr>
            </w:pPr>
            <w:r>
              <w:rPr>
                <w:color w:val="auto"/>
              </w:rPr>
              <w:t>监控点处1h平均浓度值</w:t>
            </w:r>
          </w:p>
        </w:tc>
        <w:tc>
          <w:tcPr>
            <w:tcW w:w="1619" w:type="pct"/>
            <w:vMerge w:val="restart"/>
            <w:vAlign w:val="center"/>
          </w:tcPr>
          <w:p>
            <w:pPr>
              <w:pStyle w:val="30"/>
              <w:rPr>
                <w:color w:val="auto"/>
              </w:rPr>
            </w:pPr>
            <w:r>
              <w:rPr>
                <w:color w:val="auto"/>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699" w:type="pct"/>
            <w:vMerge w:val="continue"/>
            <w:vAlign w:val="center"/>
          </w:tcPr>
          <w:p>
            <w:pPr>
              <w:pStyle w:val="30"/>
              <w:rPr>
                <w:color w:val="auto"/>
              </w:rPr>
            </w:pPr>
          </w:p>
        </w:tc>
        <w:tc>
          <w:tcPr>
            <w:tcW w:w="975" w:type="pct"/>
            <w:vAlign w:val="center"/>
          </w:tcPr>
          <w:p>
            <w:pPr>
              <w:pStyle w:val="30"/>
              <w:rPr>
                <w:color w:val="auto"/>
              </w:rPr>
            </w:pPr>
            <w:r>
              <w:rPr>
                <w:color w:val="auto"/>
              </w:rPr>
              <w:t>30</w:t>
            </w:r>
          </w:p>
        </w:tc>
        <w:tc>
          <w:tcPr>
            <w:tcW w:w="1708" w:type="pct"/>
            <w:vAlign w:val="center"/>
          </w:tcPr>
          <w:p>
            <w:pPr>
              <w:pStyle w:val="30"/>
              <w:rPr>
                <w:color w:val="auto"/>
              </w:rPr>
            </w:pPr>
            <w:r>
              <w:rPr>
                <w:color w:val="auto"/>
              </w:rPr>
              <w:t>监控点处任意一次浓度值</w:t>
            </w:r>
          </w:p>
        </w:tc>
        <w:tc>
          <w:tcPr>
            <w:tcW w:w="1619" w:type="pct"/>
            <w:vMerge w:val="continue"/>
            <w:vAlign w:val="center"/>
          </w:tcPr>
          <w:p>
            <w:pPr>
              <w:pStyle w:val="30"/>
              <w:rPr>
                <w:color w:val="auto"/>
              </w:rPr>
            </w:pPr>
          </w:p>
        </w:tc>
      </w:tr>
    </w:tbl>
    <w:p>
      <w:pPr>
        <w:pStyle w:val="31"/>
        <w:rPr>
          <w:color w:val="auto"/>
        </w:rPr>
      </w:pPr>
      <w:r>
        <w:rPr>
          <w:color w:val="auto"/>
        </w:rPr>
        <w:t>表2.4-</w:t>
      </w:r>
      <w:r>
        <w:rPr>
          <w:rFonts w:hint="eastAsia"/>
          <w:color w:val="auto"/>
        </w:rPr>
        <w:t>8</w:t>
      </w:r>
      <w:r>
        <w:rPr>
          <w:color w:val="auto"/>
        </w:rPr>
        <w:t xml:space="preserve">  《恶臭污染物排放标准》（GB14554-93）</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1790"/>
        <w:gridCol w:w="1561"/>
        <w:gridCol w:w="1607"/>
        <w:gridCol w:w="2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841" w:type="pct"/>
            <w:vMerge w:val="restart"/>
            <w:vAlign w:val="center"/>
          </w:tcPr>
          <w:p>
            <w:pPr>
              <w:pStyle w:val="30"/>
              <w:rPr>
                <w:b/>
                <w:bCs/>
                <w:color w:val="auto"/>
              </w:rPr>
            </w:pPr>
            <w:r>
              <w:rPr>
                <w:b/>
                <w:bCs/>
                <w:color w:val="auto"/>
              </w:rPr>
              <w:t>污染物</w:t>
            </w:r>
          </w:p>
        </w:tc>
        <w:tc>
          <w:tcPr>
            <w:tcW w:w="1966" w:type="pct"/>
            <w:gridSpan w:val="2"/>
            <w:vAlign w:val="center"/>
          </w:tcPr>
          <w:p>
            <w:pPr>
              <w:pStyle w:val="30"/>
              <w:rPr>
                <w:b/>
                <w:bCs/>
                <w:color w:val="auto"/>
              </w:rPr>
            </w:pPr>
            <w:r>
              <w:rPr>
                <w:b/>
                <w:bCs/>
                <w:color w:val="auto"/>
              </w:rPr>
              <w:t>最高允许排放速率（无量纲）</w:t>
            </w:r>
          </w:p>
        </w:tc>
        <w:tc>
          <w:tcPr>
            <w:tcW w:w="2193" w:type="pct"/>
            <w:gridSpan w:val="2"/>
            <w:vAlign w:val="center"/>
          </w:tcPr>
          <w:p>
            <w:pPr>
              <w:pStyle w:val="30"/>
              <w:rPr>
                <w:b/>
                <w:bCs/>
                <w:color w:val="auto"/>
              </w:rPr>
            </w:pPr>
            <w:r>
              <w:rPr>
                <w:b/>
                <w:bCs/>
                <w:color w:val="auto"/>
              </w:rPr>
              <w:t>无组织排放监控限值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841" w:type="pct"/>
            <w:vMerge w:val="continue"/>
            <w:vAlign w:val="center"/>
          </w:tcPr>
          <w:p>
            <w:pPr>
              <w:pStyle w:val="30"/>
              <w:rPr>
                <w:b/>
                <w:bCs/>
                <w:color w:val="auto"/>
              </w:rPr>
            </w:pPr>
          </w:p>
        </w:tc>
        <w:tc>
          <w:tcPr>
            <w:tcW w:w="1050" w:type="pct"/>
            <w:vAlign w:val="center"/>
          </w:tcPr>
          <w:p>
            <w:pPr>
              <w:pStyle w:val="30"/>
              <w:rPr>
                <w:b/>
                <w:bCs/>
                <w:color w:val="auto"/>
              </w:rPr>
            </w:pPr>
            <w:r>
              <w:rPr>
                <w:b/>
                <w:bCs/>
                <w:color w:val="auto"/>
              </w:rPr>
              <w:t>排气筒高度（m）</w:t>
            </w:r>
          </w:p>
        </w:tc>
        <w:tc>
          <w:tcPr>
            <w:tcW w:w="916" w:type="pct"/>
            <w:vAlign w:val="center"/>
          </w:tcPr>
          <w:p>
            <w:pPr>
              <w:pStyle w:val="30"/>
              <w:rPr>
                <w:b/>
                <w:bCs/>
                <w:color w:val="auto"/>
              </w:rPr>
            </w:pPr>
            <w:r>
              <w:rPr>
                <w:b/>
                <w:bCs/>
                <w:color w:val="auto"/>
              </w:rPr>
              <w:t>二级</w:t>
            </w:r>
          </w:p>
        </w:tc>
        <w:tc>
          <w:tcPr>
            <w:tcW w:w="943" w:type="pct"/>
            <w:vAlign w:val="center"/>
          </w:tcPr>
          <w:p>
            <w:pPr>
              <w:pStyle w:val="30"/>
              <w:rPr>
                <w:b/>
                <w:bCs/>
                <w:color w:val="auto"/>
              </w:rPr>
            </w:pPr>
            <w:r>
              <w:rPr>
                <w:b/>
                <w:bCs/>
                <w:color w:val="auto"/>
              </w:rPr>
              <w:t>监控点</w:t>
            </w:r>
          </w:p>
        </w:tc>
        <w:tc>
          <w:tcPr>
            <w:tcW w:w="1250" w:type="pct"/>
            <w:vAlign w:val="center"/>
          </w:tcPr>
          <w:p>
            <w:pPr>
              <w:pStyle w:val="30"/>
              <w:rPr>
                <w:b/>
                <w:bCs/>
                <w:color w:val="auto"/>
              </w:rPr>
            </w:pPr>
            <w:r>
              <w:rPr>
                <w:b/>
                <w:bCs/>
                <w:color w:val="auto"/>
              </w:rPr>
              <w:t>浓度（无量纲）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841" w:type="pct"/>
            <w:vAlign w:val="center"/>
          </w:tcPr>
          <w:p>
            <w:pPr>
              <w:pStyle w:val="30"/>
              <w:rPr>
                <w:color w:val="auto"/>
              </w:rPr>
            </w:pPr>
            <w:r>
              <w:rPr>
                <w:color w:val="auto"/>
              </w:rPr>
              <w:t>臭气浓度</w:t>
            </w:r>
          </w:p>
        </w:tc>
        <w:tc>
          <w:tcPr>
            <w:tcW w:w="1050" w:type="pct"/>
            <w:vAlign w:val="center"/>
          </w:tcPr>
          <w:p>
            <w:pPr>
              <w:pStyle w:val="30"/>
              <w:rPr>
                <w:color w:val="auto"/>
              </w:rPr>
            </w:pPr>
            <w:r>
              <w:rPr>
                <w:color w:val="auto"/>
              </w:rPr>
              <w:t>15</w:t>
            </w:r>
          </w:p>
        </w:tc>
        <w:tc>
          <w:tcPr>
            <w:tcW w:w="916" w:type="pct"/>
            <w:vAlign w:val="center"/>
          </w:tcPr>
          <w:p>
            <w:pPr>
              <w:pStyle w:val="30"/>
              <w:rPr>
                <w:color w:val="auto"/>
              </w:rPr>
            </w:pPr>
            <w:r>
              <w:rPr>
                <w:color w:val="auto"/>
              </w:rPr>
              <w:t>2000</w:t>
            </w:r>
          </w:p>
        </w:tc>
        <w:tc>
          <w:tcPr>
            <w:tcW w:w="943" w:type="pct"/>
            <w:vAlign w:val="center"/>
          </w:tcPr>
          <w:p>
            <w:pPr>
              <w:pStyle w:val="30"/>
              <w:rPr>
                <w:color w:val="auto"/>
              </w:rPr>
            </w:pPr>
            <w:r>
              <w:rPr>
                <w:color w:val="auto"/>
              </w:rPr>
              <w:t>厂界</w:t>
            </w:r>
          </w:p>
        </w:tc>
        <w:tc>
          <w:tcPr>
            <w:tcW w:w="1250" w:type="pct"/>
            <w:vAlign w:val="center"/>
          </w:tcPr>
          <w:p>
            <w:pPr>
              <w:pStyle w:val="30"/>
              <w:rPr>
                <w:color w:val="auto"/>
              </w:rPr>
            </w:pPr>
            <w:r>
              <w:rPr>
                <w:color w:val="auto"/>
              </w:rPr>
              <w:t>20</w:t>
            </w:r>
          </w:p>
        </w:tc>
      </w:tr>
    </w:tbl>
    <w:p>
      <w:pPr>
        <w:ind w:firstLine="482"/>
        <w:rPr>
          <w:b/>
          <w:bCs/>
          <w:color w:val="auto"/>
          <w:u w:val="single"/>
        </w:rPr>
      </w:pPr>
      <w:r>
        <w:rPr>
          <w:b/>
          <w:bCs/>
          <w:color w:val="auto"/>
          <w:u w:val="single"/>
        </w:rPr>
        <w:t>2、废水排放标准</w:t>
      </w:r>
    </w:p>
    <w:p>
      <w:pPr>
        <w:ind w:firstLine="480"/>
        <w:rPr>
          <w:color w:val="auto"/>
          <w:u w:val="single"/>
        </w:rPr>
      </w:pPr>
      <w:r>
        <w:rPr>
          <w:color w:val="auto"/>
          <w:u w:val="single"/>
        </w:rPr>
        <w:t>本项目</w:t>
      </w:r>
      <w:r>
        <w:rPr>
          <w:rFonts w:hint="eastAsia"/>
          <w:color w:val="auto"/>
          <w:u w:val="single"/>
        </w:rPr>
        <w:t>直接</w:t>
      </w:r>
      <w:r>
        <w:rPr>
          <w:color w:val="auto"/>
          <w:u w:val="single"/>
        </w:rPr>
        <w:t>冷却水循环使用，不外排。生活污水执行《污水综合排放标准》（GB8978-1996）中三级标准及汨罗市城市污水处理厂接管标准的较严值。</w:t>
      </w:r>
    </w:p>
    <w:p>
      <w:pPr>
        <w:pStyle w:val="31"/>
        <w:rPr>
          <w:color w:val="auto"/>
          <w:u w:val="single"/>
        </w:rPr>
      </w:pPr>
      <w:r>
        <w:rPr>
          <w:color w:val="auto"/>
          <w:u w:val="single"/>
        </w:rPr>
        <w:t>表2.2-</w:t>
      </w:r>
      <w:r>
        <w:rPr>
          <w:rFonts w:hint="eastAsia"/>
          <w:color w:val="auto"/>
          <w:u w:val="single"/>
        </w:rPr>
        <w:t>9</w:t>
      </w:r>
      <w:r>
        <w:rPr>
          <w:color w:val="auto"/>
          <w:u w:val="single"/>
        </w:rPr>
        <w:t xml:space="preserve">  项目生活污水排放执行标准 单位：mg/L(pH除外)</w:t>
      </w:r>
    </w:p>
    <w:tbl>
      <w:tblPr>
        <w:tblStyle w:val="2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1432"/>
        <w:gridCol w:w="1108"/>
        <w:gridCol w:w="2090"/>
        <w:gridCol w:w="1836"/>
        <w:gridCol w:w="183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Align w:val="center"/>
          </w:tcPr>
          <w:p>
            <w:pPr>
              <w:pStyle w:val="30"/>
              <w:rPr>
                <w:b/>
                <w:bCs/>
                <w:color w:val="auto"/>
                <w:u w:val="single"/>
              </w:rPr>
            </w:pPr>
            <w:r>
              <w:rPr>
                <w:b/>
                <w:bCs/>
                <w:color w:val="auto"/>
                <w:u w:val="single"/>
              </w:rPr>
              <w:t>废水种类</w:t>
            </w:r>
          </w:p>
        </w:tc>
        <w:tc>
          <w:tcPr>
            <w:tcW w:w="667" w:type="pct"/>
            <w:vAlign w:val="center"/>
          </w:tcPr>
          <w:p>
            <w:pPr>
              <w:pStyle w:val="30"/>
              <w:rPr>
                <w:b/>
                <w:bCs/>
                <w:color w:val="auto"/>
                <w:u w:val="single"/>
              </w:rPr>
            </w:pPr>
            <w:r>
              <w:rPr>
                <w:b/>
                <w:bCs/>
                <w:color w:val="auto"/>
                <w:u w:val="single"/>
              </w:rPr>
              <w:t>污染物</w:t>
            </w:r>
          </w:p>
        </w:tc>
        <w:tc>
          <w:tcPr>
            <w:tcW w:w="1258" w:type="pct"/>
            <w:vAlign w:val="center"/>
          </w:tcPr>
          <w:p>
            <w:pPr>
              <w:pStyle w:val="30"/>
              <w:rPr>
                <w:b/>
                <w:bCs/>
                <w:color w:val="auto"/>
                <w:u w:val="single"/>
              </w:rPr>
            </w:pPr>
            <w:r>
              <w:rPr>
                <w:b/>
                <w:bCs/>
                <w:color w:val="auto"/>
                <w:u w:val="single"/>
              </w:rPr>
              <w:t>污水厂接纳标准限值</w:t>
            </w:r>
          </w:p>
        </w:tc>
        <w:tc>
          <w:tcPr>
            <w:tcW w:w="1105" w:type="pct"/>
            <w:vAlign w:val="center"/>
          </w:tcPr>
          <w:p>
            <w:pPr>
              <w:pStyle w:val="30"/>
              <w:rPr>
                <w:rFonts w:hint="default" w:eastAsia="宋体"/>
                <w:b/>
                <w:bCs/>
                <w:color w:val="auto"/>
                <w:u w:val="single"/>
                <w:lang w:val="en-US" w:eastAsia="zh-CN"/>
              </w:rPr>
            </w:pPr>
            <w:r>
              <w:rPr>
                <w:rFonts w:hint="eastAsia"/>
                <w:b/>
                <w:bCs/>
                <w:color w:val="auto"/>
                <w:u w:val="single"/>
                <w:lang w:val="en-US" w:eastAsia="zh-CN"/>
              </w:rPr>
              <w:t>污水综合排放标准</w:t>
            </w:r>
          </w:p>
        </w:tc>
        <w:tc>
          <w:tcPr>
            <w:tcW w:w="1105" w:type="pct"/>
            <w:vAlign w:val="center"/>
          </w:tcPr>
          <w:p>
            <w:pPr>
              <w:pStyle w:val="30"/>
              <w:rPr>
                <w:b/>
                <w:bCs/>
                <w:color w:val="auto"/>
                <w:u w:val="single"/>
              </w:rPr>
            </w:pPr>
            <w:r>
              <w:rPr>
                <w:b/>
                <w:bCs/>
                <w:color w:val="auto"/>
                <w:u w:val="single"/>
              </w:rPr>
              <w:t>本项目废水排放标准限值</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restart"/>
            <w:vAlign w:val="center"/>
          </w:tcPr>
          <w:p>
            <w:pPr>
              <w:pStyle w:val="30"/>
              <w:rPr>
                <w:color w:val="auto"/>
                <w:u w:val="single"/>
              </w:rPr>
            </w:pPr>
            <w:r>
              <w:rPr>
                <w:color w:val="auto"/>
                <w:u w:val="single"/>
              </w:rPr>
              <w:t>生活污水</w:t>
            </w:r>
          </w:p>
        </w:tc>
        <w:tc>
          <w:tcPr>
            <w:tcW w:w="667" w:type="pct"/>
            <w:vAlign w:val="center"/>
          </w:tcPr>
          <w:p>
            <w:pPr>
              <w:pStyle w:val="30"/>
              <w:rPr>
                <w:color w:val="auto"/>
                <w:u w:val="single"/>
              </w:rPr>
            </w:pPr>
            <w:r>
              <w:rPr>
                <w:color w:val="auto"/>
                <w:u w:val="single"/>
              </w:rPr>
              <w:t>pH</w:t>
            </w:r>
          </w:p>
        </w:tc>
        <w:tc>
          <w:tcPr>
            <w:tcW w:w="1258" w:type="pct"/>
            <w:vAlign w:val="center"/>
          </w:tcPr>
          <w:p>
            <w:pPr>
              <w:pStyle w:val="30"/>
              <w:rPr>
                <w:color w:val="auto"/>
                <w:u w:val="single"/>
              </w:rPr>
            </w:pPr>
            <w:r>
              <w:rPr>
                <w:color w:val="auto"/>
                <w:u w:val="single"/>
              </w:rPr>
              <w:t>6～9</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6~9</w:t>
            </w:r>
          </w:p>
        </w:tc>
        <w:tc>
          <w:tcPr>
            <w:tcW w:w="1105" w:type="pct"/>
            <w:vAlign w:val="center"/>
          </w:tcPr>
          <w:p>
            <w:pPr>
              <w:pStyle w:val="30"/>
              <w:rPr>
                <w:color w:val="auto"/>
                <w:u w:val="single"/>
              </w:rPr>
            </w:pPr>
            <w:r>
              <w:rPr>
                <w:color w:val="auto"/>
                <w:u w:val="single"/>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continue"/>
            <w:vAlign w:val="center"/>
          </w:tcPr>
          <w:p>
            <w:pPr>
              <w:pStyle w:val="30"/>
              <w:rPr>
                <w:color w:val="auto"/>
                <w:u w:val="single"/>
              </w:rPr>
            </w:pPr>
          </w:p>
        </w:tc>
        <w:tc>
          <w:tcPr>
            <w:tcW w:w="667" w:type="pct"/>
            <w:vAlign w:val="center"/>
          </w:tcPr>
          <w:p>
            <w:pPr>
              <w:pStyle w:val="30"/>
              <w:rPr>
                <w:color w:val="auto"/>
                <w:u w:val="single"/>
              </w:rPr>
            </w:pPr>
            <w:r>
              <w:rPr>
                <w:color w:val="auto"/>
                <w:u w:val="single"/>
              </w:rPr>
              <w:t>COD</w:t>
            </w:r>
            <w:r>
              <w:rPr>
                <w:color w:val="auto"/>
                <w:u w:val="single"/>
                <w:vertAlign w:val="subscript"/>
              </w:rPr>
              <w:t>Cr</w:t>
            </w:r>
          </w:p>
        </w:tc>
        <w:tc>
          <w:tcPr>
            <w:tcW w:w="1258" w:type="pct"/>
            <w:vAlign w:val="center"/>
          </w:tcPr>
          <w:p>
            <w:pPr>
              <w:pStyle w:val="30"/>
              <w:rPr>
                <w:color w:val="auto"/>
                <w:u w:val="single"/>
              </w:rPr>
            </w:pPr>
            <w:r>
              <w:rPr>
                <w:color w:val="auto"/>
                <w:u w:val="single"/>
              </w:rPr>
              <w:t>320</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500</w:t>
            </w:r>
          </w:p>
        </w:tc>
        <w:tc>
          <w:tcPr>
            <w:tcW w:w="1105" w:type="pct"/>
            <w:vAlign w:val="center"/>
          </w:tcPr>
          <w:p>
            <w:pPr>
              <w:pStyle w:val="30"/>
              <w:rPr>
                <w:color w:val="auto"/>
                <w:u w:val="single"/>
              </w:rPr>
            </w:pPr>
            <w:r>
              <w:rPr>
                <w:color w:val="auto"/>
                <w:u w:val="single"/>
              </w:rPr>
              <w:t>320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continue"/>
            <w:vAlign w:val="center"/>
          </w:tcPr>
          <w:p>
            <w:pPr>
              <w:pStyle w:val="30"/>
              <w:rPr>
                <w:color w:val="auto"/>
                <w:u w:val="single"/>
              </w:rPr>
            </w:pPr>
          </w:p>
        </w:tc>
        <w:tc>
          <w:tcPr>
            <w:tcW w:w="667" w:type="pct"/>
            <w:vAlign w:val="center"/>
          </w:tcPr>
          <w:p>
            <w:pPr>
              <w:pStyle w:val="30"/>
              <w:rPr>
                <w:color w:val="auto"/>
                <w:u w:val="single"/>
              </w:rPr>
            </w:pPr>
            <w:r>
              <w:rPr>
                <w:color w:val="auto"/>
                <w:u w:val="single"/>
              </w:rPr>
              <w:t>BOD</w:t>
            </w:r>
            <w:r>
              <w:rPr>
                <w:color w:val="auto"/>
                <w:u w:val="single"/>
                <w:vertAlign w:val="subscript"/>
              </w:rPr>
              <w:t>5</w:t>
            </w:r>
          </w:p>
        </w:tc>
        <w:tc>
          <w:tcPr>
            <w:tcW w:w="1258" w:type="pct"/>
            <w:vAlign w:val="center"/>
          </w:tcPr>
          <w:p>
            <w:pPr>
              <w:pStyle w:val="30"/>
              <w:rPr>
                <w:color w:val="auto"/>
                <w:u w:val="single"/>
              </w:rPr>
            </w:pPr>
            <w:r>
              <w:rPr>
                <w:color w:val="auto"/>
                <w:u w:val="single"/>
              </w:rPr>
              <w:t>160</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300</w:t>
            </w:r>
          </w:p>
        </w:tc>
        <w:tc>
          <w:tcPr>
            <w:tcW w:w="1105" w:type="pct"/>
            <w:vAlign w:val="center"/>
          </w:tcPr>
          <w:p>
            <w:pPr>
              <w:pStyle w:val="30"/>
              <w:rPr>
                <w:color w:val="auto"/>
                <w:u w:val="single"/>
              </w:rPr>
            </w:pPr>
            <w:r>
              <w:rPr>
                <w:color w:val="auto"/>
                <w:u w:val="single"/>
              </w:rPr>
              <w:t>160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continue"/>
            <w:vAlign w:val="center"/>
          </w:tcPr>
          <w:p>
            <w:pPr>
              <w:pStyle w:val="30"/>
              <w:rPr>
                <w:color w:val="auto"/>
                <w:u w:val="single"/>
              </w:rPr>
            </w:pPr>
          </w:p>
        </w:tc>
        <w:tc>
          <w:tcPr>
            <w:tcW w:w="667" w:type="pct"/>
            <w:vAlign w:val="center"/>
          </w:tcPr>
          <w:p>
            <w:pPr>
              <w:pStyle w:val="30"/>
              <w:rPr>
                <w:color w:val="auto"/>
                <w:u w:val="single"/>
              </w:rPr>
            </w:pPr>
            <w:r>
              <w:rPr>
                <w:color w:val="auto"/>
                <w:u w:val="single"/>
              </w:rPr>
              <w:t>氨氮</w:t>
            </w:r>
          </w:p>
        </w:tc>
        <w:tc>
          <w:tcPr>
            <w:tcW w:w="1258" w:type="pct"/>
            <w:vAlign w:val="center"/>
          </w:tcPr>
          <w:p>
            <w:pPr>
              <w:pStyle w:val="30"/>
              <w:rPr>
                <w:color w:val="auto"/>
                <w:u w:val="single"/>
              </w:rPr>
            </w:pPr>
            <w:r>
              <w:rPr>
                <w:color w:val="auto"/>
                <w:u w:val="single"/>
              </w:rPr>
              <w:t>25</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w:t>
            </w:r>
          </w:p>
        </w:tc>
        <w:tc>
          <w:tcPr>
            <w:tcW w:w="1105" w:type="pct"/>
            <w:vAlign w:val="center"/>
          </w:tcPr>
          <w:p>
            <w:pPr>
              <w:pStyle w:val="30"/>
              <w:rPr>
                <w:color w:val="auto"/>
                <w:u w:val="single"/>
              </w:rPr>
            </w:pPr>
            <w:r>
              <w:rPr>
                <w:color w:val="auto"/>
                <w:u w:val="single"/>
              </w:rPr>
              <w:t>25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continue"/>
            <w:vAlign w:val="center"/>
          </w:tcPr>
          <w:p>
            <w:pPr>
              <w:pStyle w:val="30"/>
              <w:rPr>
                <w:color w:val="auto"/>
                <w:u w:val="single"/>
              </w:rPr>
            </w:pPr>
          </w:p>
        </w:tc>
        <w:tc>
          <w:tcPr>
            <w:tcW w:w="667" w:type="pct"/>
            <w:vAlign w:val="center"/>
          </w:tcPr>
          <w:p>
            <w:pPr>
              <w:pStyle w:val="30"/>
              <w:rPr>
                <w:color w:val="auto"/>
                <w:u w:val="single"/>
              </w:rPr>
            </w:pPr>
            <w:r>
              <w:rPr>
                <w:color w:val="auto"/>
                <w:u w:val="single"/>
              </w:rPr>
              <w:t>SS</w:t>
            </w:r>
          </w:p>
        </w:tc>
        <w:tc>
          <w:tcPr>
            <w:tcW w:w="1258" w:type="pct"/>
            <w:vAlign w:val="center"/>
          </w:tcPr>
          <w:p>
            <w:pPr>
              <w:pStyle w:val="30"/>
              <w:rPr>
                <w:color w:val="auto"/>
                <w:u w:val="single"/>
              </w:rPr>
            </w:pPr>
            <w:r>
              <w:rPr>
                <w:color w:val="auto"/>
                <w:u w:val="single"/>
              </w:rPr>
              <w:t>180</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400</w:t>
            </w:r>
          </w:p>
        </w:tc>
        <w:tc>
          <w:tcPr>
            <w:tcW w:w="1105" w:type="pct"/>
            <w:vAlign w:val="center"/>
          </w:tcPr>
          <w:p>
            <w:pPr>
              <w:pStyle w:val="30"/>
              <w:rPr>
                <w:color w:val="auto"/>
                <w:u w:val="single"/>
              </w:rPr>
            </w:pPr>
            <w:r>
              <w:rPr>
                <w:color w:val="auto"/>
                <w:u w:val="single"/>
              </w:rPr>
              <w:t>180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62" w:type="pct"/>
            <w:vMerge w:val="continue"/>
            <w:vAlign w:val="center"/>
          </w:tcPr>
          <w:p>
            <w:pPr>
              <w:pStyle w:val="30"/>
              <w:rPr>
                <w:color w:val="auto"/>
                <w:u w:val="single"/>
              </w:rPr>
            </w:pPr>
          </w:p>
        </w:tc>
        <w:tc>
          <w:tcPr>
            <w:tcW w:w="667" w:type="pct"/>
            <w:vAlign w:val="center"/>
          </w:tcPr>
          <w:p>
            <w:pPr>
              <w:pStyle w:val="30"/>
              <w:rPr>
                <w:color w:val="auto"/>
                <w:u w:val="single"/>
              </w:rPr>
            </w:pPr>
            <w:r>
              <w:rPr>
                <w:color w:val="auto"/>
                <w:u w:val="single"/>
              </w:rPr>
              <w:t>动植物油</w:t>
            </w:r>
          </w:p>
        </w:tc>
        <w:tc>
          <w:tcPr>
            <w:tcW w:w="1258" w:type="pct"/>
            <w:vAlign w:val="center"/>
          </w:tcPr>
          <w:p>
            <w:pPr>
              <w:pStyle w:val="30"/>
              <w:rPr>
                <w:color w:val="auto"/>
                <w:u w:val="single"/>
              </w:rPr>
            </w:pPr>
            <w:r>
              <w:rPr>
                <w:color w:val="auto"/>
                <w:u w:val="single"/>
              </w:rPr>
              <w:t>100</w:t>
            </w:r>
          </w:p>
        </w:tc>
        <w:tc>
          <w:tcPr>
            <w:tcW w:w="1105" w:type="pct"/>
            <w:vAlign w:val="center"/>
          </w:tcPr>
          <w:p>
            <w:pPr>
              <w:pStyle w:val="30"/>
              <w:rPr>
                <w:rFonts w:hint="default" w:eastAsia="宋体"/>
                <w:color w:val="auto"/>
                <w:u w:val="single"/>
                <w:lang w:val="en-US" w:eastAsia="zh-CN"/>
              </w:rPr>
            </w:pPr>
            <w:r>
              <w:rPr>
                <w:rFonts w:hint="eastAsia"/>
                <w:color w:val="auto"/>
                <w:u w:val="single"/>
                <w:lang w:val="en-US" w:eastAsia="zh-CN"/>
              </w:rPr>
              <w:t>100</w:t>
            </w:r>
          </w:p>
        </w:tc>
        <w:tc>
          <w:tcPr>
            <w:tcW w:w="1105" w:type="pct"/>
            <w:vAlign w:val="center"/>
          </w:tcPr>
          <w:p>
            <w:pPr>
              <w:pStyle w:val="30"/>
              <w:rPr>
                <w:color w:val="auto"/>
                <w:u w:val="single"/>
              </w:rPr>
            </w:pPr>
            <w:r>
              <w:rPr>
                <w:color w:val="auto"/>
                <w:u w:val="single"/>
              </w:rPr>
              <w:t>100</w:t>
            </w:r>
          </w:p>
        </w:tc>
      </w:tr>
    </w:tbl>
    <w:p>
      <w:pPr>
        <w:ind w:firstLine="482"/>
        <w:rPr>
          <w:b/>
          <w:bCs/>
          <w:color w:val="auto"/>
        </w:rPr>
      </w:pPr>
      <w:r>
        <w:rPr>
          <w:b/>
          <w:bCs/>
          <w:color w:val="auto"/>
        </w:rPr>
        <w:t>3、噪声排放标准</w:t>
      </w:r>
    </w:p>
    <w:p>
      <w:pPr>
        <w:ind w:firstLine="480"/>
        <w:rPr>
          <w:bCs/>
          <w:color w:val="auto"/>
        </w:rPr>
      </w:pPr>
      <w:r>
        <w:rPr>
          <w:rFonts w:hint="eastAsia"/>
          <w:bCs/>
          <w:color w:val="auto"/>
        </w:rPr>
        <w:t>项目营运期东、</w:t>
      </w:r>
      <w:r>
        <w:rPr>
          <w:rFonts w:hint="eastAsia"/>
          <w:bCs/>
          <w:color w:val="auto"/>
          <w:lang w:val="en-US" w:eastAsia="zh-CN"/>
        </w:rPr>
        <w:t>南、</w:t>
      </w:r>
      <w:r>
        <w:rPr>
          <w:rFonts w:hint="eastAsia"/>
          <w:bCs/>
          <w:color w:val="auto"/>
        </w:rPr>
        <w:t>西、北侧执行《工业企业厂界环境噪声排放标准》（GB12348-2008）中的3类标准</w:t>
      </w:r>
      <w:r>
        <w:rPr>
          <w:rFonts w:hint="eastAsia"/>
          <w:bCs/>
          <w:color w:val="auto"/>
          <w:lang w:val="en-US" w:eastAsia="zh-CN"/>
        </w:rPr>
        <w:t>限值</w:t>
      </w:r>
      <w:r>
        <w:rPr>
          <w:rFonts w:hint="eastAsia"/>
          <w:bCs/>
          <w:color w:val="auto"/>
        </w:rPr>
        <w:t>。</w:t>
      </w:r>
    </w:p>
    <w:p>
      <w:pPr>
        <w:pStyle w:val="31"/>
        <w:rPr>
          <w:color w:val="auto"/>
        </w:rPr>
      </w:pPr>
      <w:r>
        <w:rPr>
          <w:color w:val="auto"/>
        </w:rPr>
        <w:t>表2.2-</w:t>
      </w:r>
      <w:r>
        <w:rPr>
          <w:rFonts w:hint="eastAsia"/>
          <w:color w:val="auto"/>
        </w:rPr>
        <w:t>10</w:t>
      </w:r>
      <w:r>
        <w:rPr>
          <w:color w:val="auto"/>
        </w:rPr>
        <w:t xml:space="preserve">  工业企业厂界环境噪声排放标准限值 单位：dB（A）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639"/>
        <w:gridCol w:w="2880"/>
        <w:gridCol w:w="30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3" w:hRule="atLeast"/>
          <w:jc w:val="center"/>
        </w:trPr>
        <w:tc>
          <w:tcPr>
            <w:tcW w:w="1548" w:type="pct"/>
            <w:vAlign w:val="center"/>
          </w:tcPr>
          <w:p>
            <w:pPr>
              <w:pStyle w:val="30"/>
              <w:rPr>
                <w:b/>
                <w:bCs/>
                <w:color w:val="auto"/>
              </w:rPr>
            </w:pPr>
            <w:r>
              <w:rPr>
                <w:b/>
                <w:bCs/>
                <w:color w:val="auto"/>
              </w:rPr>
              <w:t>时段</w:t>
            </w:r>
          </w:p>
          <w:p>
            <w:pPr>
              <w:pStyle w:val="30"/>
              <w:rPr>
                <w:b/>
                <w:bCs/>
                <w:color w:val="auto"/>
              </w:rPr>
            </w:pPr>
            <w:r>
              <w:rPr>
                <w:b/>
                <w:bCs/>
                <w:color w:val="auto"/>
              </w:rPr>
              <w:t>声环境功能类别</w:t>
            </w:r>
          </w:p>
        </w:tc>
        <w:tc>
          <w:tcPr>
            <w:tcW w:w="1689" w:type="pct"/>
            <w:vAlign w:val="center"/>
          </w:tcPr>
          <w:p>
            <w:pPr>
              <w:pStyle w:val="30"/>
              <w:rPr>
                <w:b/>
                <w:bCs/>
                <w:color w:val="auto"/>
              </w:rPr>
            </w:pPr>
            <w:r>
              <w:rPr>
                <w:b/>
                <w:bCs/>
                <w:color w:val="auto"/>
              </w:rPr>
              <w:t>昼间</w:t>
            </w:r>
          </w:p>
        </w:tc>
        <w:tc>
          <w:tcPr>
            <w:tcW w:w="1761" w:type="pct"/>
            <w:vAlign w:val="center"/>
          </w:tcPr>
          <w:p>
            <w:pPr>
              <w:pStyle w:val="30"/>
              <w:rPr>
                <w:b/>
                <w:bCs/>
                <w:color w:val="auto"/>
              </w:rPr>
            </w:pPr>
            <w:r>
              <w:rPr>
                <w:b/>
                <w:bCs/>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48" w:type="pct"/>
            <w:vAlign w:val="center"/>
          </w:tcPr>
          <w:p>
            <w:pPr>
              <w:pStyle w:val="30"/>
              <w:rPr>
                <w:color w:val="auto"/>
              </w:rPr>
            </w:pPr>
            <w:r>
              <w:rPr>
                <w:color w:val="auto"/>
              </w:rPr>
              <w:t>3类</w:t>
            </w:r>
          </w:p>
        </w:tc>
        <w:tc>
          <w:tcPr>
            <w:tcW w:w="1689" w:type="pct"/>
            <w:vAlign w:val="center"/>
          </w:tcPr>
          <w:p>
            <w:pPr>
              <w:pStyle w:val="30"/>
              <w:rPr>
                <w:color w:val="auto"/>
              </w:rPr>
            </w:pPr>
            <w:r>
              <w:rPr>
                <w:color w:val="auto"/>
              </w:rPr>
              <w:t>65</w:t>
            </w:r>
          </w:p>
        </w:tc>
        <w:tc>
          <w:tcPr>
            <w:tcW w:w="1761" w:type="pct"/>
            <w:vAlign w:val="center"/>
          </w:tcPr>
          <w:p>
            <w:pPr>
              <w:pStyle w:val="30"/>
              <w:rPr>
                <w:color w:val="auto"/>
              </w:rPr>
            </w:pPr>
            <w:r>
              <w:rPr>
                <w:color w:val="auto"/>
              </w:rPr>
              <w:t>55</w:t>
            </w:r>
          </w:p>
        </w:tc>
      </w:tr>
    </w:tbl>
    <w:p>
      <w:pPr>
        <w:ind w:firstLine="482"/>
        <w:rPr>
          <w:b/>
          <w:bCs/>
          <w:color w:val="auto"/>
        </w:rPr>
      </w:pPr>
      <w:r>
        <w:rPr>
          <w:b/>
          <w:bCs/>
          <w:color w:val="auto"/>
        </w:rPr>
        <w:t>4、固体废物</w:t>
      </w:r>
    </w:p>
    <w:p>
      <w:pPr>
        <w:ind w:firstLine="480"/>
        <w:rPr>
          <w:b/>
          <w:bCs/>
          <w:color w:val="auto"/>
        </w:rPr>
      </w:pPr>
      <w:r>
        <w:rPr>
          <w:bCs/>
          <w:color w:val="auto"/>
        </w:rPr>
        <w:t>一般工业固体废物贮存执行《一般工业固体废物贮存和填埋污染控制标准》（GB18599-2020）。</w:t>
      </w:r>
      <w:bookmarkStart w:id="63" w:name="_Toc408780368"/>
      <w:r>
        <w:rPr>
          <w:bCs/>
          <w:color w:val="auto"/>
        </w:rPr>
        <w:t>危险废物执行《危险废物贮存污染控制标准》（</w:t>
      </w:r>
      <w:r>
        <w:rPr>
          <w:rFonts w:hint="eastAsia"/>
          <w:bCs/>
          <w:color w:val="auto"/>
          <w:lang w:eastAsia="zh-CN"/>
        </w:rPr>
        <w:t>GB18597-2023</w:t>
      </w:r>
      <w:r>
        <w:rPr>
          <w:bCs/>
          <w:color w:val="auto"/>
        </w:rPr>
        <w:t>）要求。</w:t>
      </w:r>
    </w:p>
    <w:p>
      <w:pPr>
        <w:pStyle w:val="6"/>
        <w:rPr>
          <w:color w:val="auto"/>
          <w:u w:val="single"/>
        </w:rPr>
      </w:pPr>
      <w:bookmarkStart w:id="64" w:name="_Toc19332"/>
      <w:bookmarkStart w:id="65" w:name="_Toc25432"/>
      <w:bookmarkStart w:id="66" w:name="_Toc13156"/>
      <w:bookmarkStart w:id="67" w:name="_Toc447114716"/>
      <w:r>
        <w:rPr>
          <w:color w:val="auto"/>
          <w:u w:val="single"/>
        </w:rPr>
        <w:t>2.5评价工作等级及评价范围</w:t>
      </w:r>
      <w:bookmarkEnd w:id="63"/>
      <w:bookmarkEnd w:id="64"/>
      <w:bookmarkEnd w:id="65"/>
      <w:bookmarkEnd w:id="66"/>
      <w:bookmarkEnd w:id="67"/>
    </w:p>
    <w:p>
      <w:pPr>
        <w:pStyle w:val="7"/>
        <w:rPr>
          <w:color w:val="auto"/>
          <w:u w:val="single"/>
        </w:rPr>
      </w:pPr>
      <w:r>
        <w:rPr>
          <w:color w:val="auto"/>
          <w:u w:val="single"/>
        </w:rPr>
        <w:t>2.5.1大气评价工作等级及评价范围</w:t>
      </w:r>
    </w:p>
    <w:p>
      <w:pPr>
        <w:ind w:firstLine="482"/>
        <w:rPr>
          <w:b/>
          <w:color w:val="auto"/>
          <w:u w:val="single"/>
        </w:rPr>
      </w:pPr>
      <w:r>
        <w:rPr>
          <w:b/>
          <w:color w:val="auto"/>
          <w:u w:val="single"/>
        </w:rPr>
        <w:t>1、评价工作等级</w:t>
      </w:r>
    </w:p>
    <w:p>
      <w:pPr>
        <w:ind w:firstLine="480"/>
        <w:rPr>
          <w:bCs/>
          <w:color w:val="auto"/>
          <w:u w:val="single"/>
        </w:rPr>
      </w:pPr>
      <w:r>
        <w:rPr>
          <w:bCs/>
          <w:color w:val="auto"/>
          <w:u w:val="single"/>
        </w:rPr>
        <w:t>根据《环境影响评价技术导则 大气环境》（HJ2.2-2018）的规定，选择项目污染源正常排放的主要污染物及排放参数，采用附录A推荐模型中的估算模型AERSCREEN分别计算项目污染源的最大环境影响，然后按评价工作分级判据进行分级。</w:t>
      </w:r>
    </w:p>
    <w:p>
      <w:pPr>
        <w:ind w:firstLine="480"/>
        <w:rPr>
          <w:bCs/>
          <w:color w:val="auto"/>
          <w:u w:val="single"/>
        </w:rPr>
      </w:pPr>
      <w:r>
        <w:rPr>
          <w:bCs/>
          <w:color w:val="auto"/>
          <w:u w:val="single"/>
        </w:rPr>
        <w:t>根据项目污染源初步调查结果，分别计算项目排放的主要污染物的最大地面空气质量浓度占标率P</w:t>
      </w:r>
      <w:r>
        <w:rPr>
          <w:bCs/>
          <w:color w:val="auto"/>
          <w:u w:val="single"/>
          <w:vertAlign w:val="subscript"/>
        </w:rPr>
        <w:t>i</w:t>
      </w:r>
      <w:r>
        <w:rPr>
          <w:bCs/>
          <w:color w:val="auto"/>
          <w:u w:val="single"/>
        </w:rPr>
        <w:t>及第i个污染物的地面空气质量浓度达到标准值的10%时所对应的最远距离D</w:t>
      </w:r>
      <w:r>
        <w:rPr>
          <w:bCs/>
          <w:color w:val="auto"/>
          <w:u w:val="single"/>
          <w:vertAlign w:val="subscript"/>
        </w:rPr>
        <w:t>10%</w:t>
      </w:r>
      <w:r>
        <w:rPr>
          <w:bCs/>
          <w:color w:val="auto"/>
          <w:u w:val="single"/>
        </w:rPr>
        <w:t>。其中，最大地面质量浓度占标率P</w:t>
      </w:r>
      <w:r>
        <w:rPr>
          <w:bCs/>
          <w:color w:val="auto"/>
          <w:u w:val="single"/>
          <w:vertAlign w:val="subscript"/>
        </w:rPr>
        <w:t>i</w:t>
      </w:r>
      <w:r>
        <w:rPr>
          <w:bCs/>
          <w:color w:val="auto"/>
          <w:u w:val="single"/>
        </w:rPr>
        <w:t>计算公式如下：</w:t>
      </w:r>
    </w:p>
    <w:p>
      <w:pPr>
        <w:ind w:firstLine="0" w:firstLineChars="0"/>
        <w:jc w:val="center"/>
        <w:rPr>
          <w:bCs/>
          <w:color w:val="auto"/>
          <w:u w:val="single"/>
        </w:rPr>
      </w:pPr>
      <w:r>
        <w:rPr>
          <w:bCs/>
          <w:color w:val="auto"/>
          <w:u w:val="single"/>
        </w:rPr>
        <w:drawing>
          <wp:inline distT="0" distB="0" distL="0" distR="0">
            <wp:extent cx="1085850" cy="3746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85850" cy="374650"/>
                    </a:xfrm>
                    <a:prstGeom prst="rect">
                      <a:avLst/>
                    </a:prstGeom>
                    <a:noFill/>
                    <a:ln>
                      <a:noFill/>
                    </a:ln>
                  </pic:spPr>
                </pic:pic>
              </a:graphicData>
            </a:graphic>
          </wp:inline>
        </w:drawing>
      </w:r>
    </w:p>
    <w:p>
      <w:pPr>
        <w:ind w:firstLine="480"/>
        <w:rPr>
          <w:bCs/>
          <w:color w:val="auto"/>
          <w:u w:val="single"/>
        </w:rPr>
      </w:pPr>
      <w:r>
        <w:rPr>
          <w:bCs/>
          <w:color w:val="auto"/>
          <w:u w:val="single"/>
        </w:rPr>
        <w:t>式中：P</w:t>
      </w:r>
      <w:r>
        <w:rPr>
          <w:bCs/>
          <w:color w:val="auto"/>
          <w:u w:val="single"/>
          <w:vertAlign w:val="subscript"/>
        </w:rPr>
        <w:t>i</w:t>
      </w:r>
      <w:r>
        <w:rPr>
          <w:bCs/>
          <w:color w:val="auto"/>
          <w:u w:val="single"/>
        </w:rPr>
        <w:t>—第i个污染物的最大地面质量浓度占标率，%；</w:t>
      </w:r>
    </w:p>
    <w:p>
      <w:pPr>
        <w:ind w:firstLine="480"/>
        <w:rPr>
          <w:bCs/>
          <w:color w:val="auto"/>
          <w:u w:val="single"/>
        </w:rPr>
      </w:pPr>
      <w:r>
        <w:rPr>
          <w:bCs/>
          <w:color w:val="auto"/>
          <w:u w:val="single"/>
        </w:rPr>
        <w:t>C</w:t>
      </w:r>
      <w:r>
        <w:rPr>
          <w:bCs/>
          <w:color w:val="auto"/>
          <w:u w:val="single"/>
          <w:vertAlign w:val="subscript"/>
        </w:rPr>
        <w:t>i</w:t>
      </w:r>
      <w:r>
        <w:rPr>
          <w:bCs/>
          <w:color w:val="auto"/>
          <w:u w:val="single"/>
        </w:rPr>
        <w:t>—采用估算模式计算出的第i个污染物的最大1h地面空气质量浓度，ug/m</w:t>
      </w:r>
      <w:r>
        <w:rPr>
          <w:bCs/>
          <w:color w:val="auto"/>
          <w:u w:val="single"/>
          <w:vertAlign w:val="superscript"/>
        </w:rPr>
        <w:t>3</w:t>
      </w:r>
      <w:r>
        <w:rPr>
          <w:bCs/>
          <w:color w:val="auto"/>
          <w:u w:val="single"/>
        </w:rPr>
        <w:t>；</w:t>
      </w:r>
    </w:p>
    <w:p>
      <w:pPr>
        <w:ind w:firstLine="480"/>
        <w:rPr>
          <w:bCs/>
          <w:color w:val="auto"/>
          <w:u w:val="single"/>
        </w:rPr>
      </w:pPr>
      <w:r>
        <w:rPr>
          <w:bCs/>
          <w:color w:val="auto"/>
          <w:u w:val="single"/>
        </w:rPr>
        <w:t>C</w:t>
      </w:r>
      <w:r>
        <w:rPr>
          <w:bCs/>
          <w:color w:val="auto"/>
          <w:u w:val="single"/>
          <w:vertAlign w:val="subscript"/>
        </w:rPr>
        <w:t>oi</w:t>
      </w:r>
      <w:r>
        <w:rPr>
          <w:bCs/>
          <w:color w:val="auto"/>
          <w:u w:val="single"/>
        </w:rPr>
        <w:t>－第i个污染物的环境空气质量浓度标准，ug/m</w:t>
      </w:r>
      <w:r>
        <w:rPr>
          <w:bCs/>
          <w:color w:val="auto"/>
          <w:u w:val="single"/>
          <w:vertAlign w:val="superscript"/>
        </w:rPr>
        <w:t>3</w:t>
      </w:r>
      <w:r>
        <w:rPr>
          <w:bCs/>
          <w:color w:val="auto"/>
          <w:u w:val="single"/>
        </w:rPr>
        <w:t>。</w:t>
      </w:r>
    </w:p>
    <w:p>
      <w:pPr>
        <w:ind w:firstLine="480"/>
        <w:rPr>
          <w:bCs/>
          <w:color w:val="auto"/>
          <w:u w:val="single"/>
        </w:rPr>
      </w:pPr>
      <w:r>
        <w:rPr>
          <w:bCs/>
          <w:color w:val="auto"/>
          <w:u w:val="single"/>
        </w:rPr>
        <w:t>大气评价等级按下表的分级判据进行划分。</w:t>
      </w:r>
    </w:p>
    <w:p>
      <w:pPr>
        <w:pStyle w:val="31"/>
        <w:rPr>
          <w:color w:val="auto"/>
          <w:u w:val="single"/>
        </w:rPr>
      </w:pPr>
      <w:r>
        <w:rPr>
          <w:color w:val="auto"/>
          <w:u w:val="single"/>
        </w:rPr>
        <w:t>表2.5-1   大气评价等级判别表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549"/>
        <w:gridCol w:w="497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2" w:type="pct"/>
            <w:vAlign w:val="center"/>
          </w:tcPr>
          <w:p>
            <w:pPr>
              <w:pStyle w:val="30"/>
              <w:rPr>
                <w:b/>
                <w:bCs/>
                <w:color w:val="auto"/>
                <w:u w:val="single"/>
              </w:rPr>
            </w:pPr>
            <w:r>
              <w:rPr>
                <w:b/>
                <w:bCs/>
                <w:color w:val="auto"/>
                <w:u w:val="single"/>
              </w:rPr>
              <w:t>评价工作等级</w:t>
            </w:r>
          </w:p>
        </w:tc>
        <w:tc>
          <w:tcPr>
            <w:tcW w:w="2918" w:type="pct"/>
            <w:vAlign w:val="center"/>
          </w:tcPr>
          <w:p>
            <w:pPr>
              <w:pStyle w:val="30"/>
              <w:rPr>
                <w:b/>
                <w:bCs/>
                <w:color w:val="auto"/>
                <w:u w:val="single"/>
              </w:rPr>
            </w:pPr>
            <w:r>
              <w:rPr>
                <w:b/>
                <w:bCs/>
                <w:color w:val="auto"/>
                <w:u w:val="single"/>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2" w:type="pct"/>
            <w:vAlign w:val="center"/>
          </w:tcPr>
          <w:p>
            <w:pPr>
              <w:pStyle w:val="30"/>
              <w:rPr>
                <w:color w:val="auto"/>
                <w:u w:val="single"/>
              </w:rPr>
            </w:pPr>
            <w:r>
              <w:rPr>
                <w:color w:val="auto"/>
                <w:u w:val="single"/>
              </w:rPr>
              <w:t>一级评价</w:t>
            </w:r>
          </w:p>
        </w:tc>
        <w:tc>
          <w:tcPr>
            <w:tcW w:w="2918" w:type="pct"/>
            <w:vAlign w:val="center"/>
          </w:tcPr>
          <w:p>
            <w:pPr>
              <w:pStyle w:val="30"/>
              <w:rPr>
                <w:color w:val="auto"/>
                <w:u w:val="single"/>
              </w:rPr>
            </w:pPr>
            <w:r>
              <w:rPr>
                <w:color w:val="auto"/>
                <w:u w:val="single"/>
              </w:rPr>
              <w:t>Pmax≥10%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82" w:type="pct"/>
            <w:vAlign w:val="center"/>
          </w:tcPr>
          <w:p>
            <w:pPr>
              <w:pStyle w:val="30"/>
              <w:rPr>
                <w:color w:val="auto"/>
                <w:u w:val="single"/>
              </w:rPr>
            </w:pPr>
            <w:r>
              <w:rPr>
                <w:color w:val="auto"/>
                <w:u w:val="single"/>
              </w:rPr>
              <w:t>二级评价</w:t>
            </w:r>
          </w:p>
        </w:tc>
        <w:tc>
          <w:tcPr>
            <w:tcW w:w="2918" w:type="pct"/>
            <w:vAlign w:val="center"/>
          </w:tcPr>
          <w:p>
            <w:pPr>
              <w:pStyle w:val="30"/>
              <w:rPr>
                <w:color w:val="auto"/>
                <w:u w:val="single"/>
              </w:rPr>
            </w:pPr>
            <w:r>
              <w:rPr>
                <w:color w:val="auto"/>
                <w:u w:val="single"/>
              </w:rPr>
              <w:t>1% ≤Pmax&lt;10%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082" w:type="pct"/>
            <w:vAlign w:val="center"/>
          </w:tcPr>
          <w:p>
            <w:pPr>
              <w:pStyle w:val="30"/>
              <w:rPr>
                <w:color w:val="auto"/>
                <w:u w:val="single"/>
              </w:rPr>
            </w:pPr>
            <w:r>
              <w:rPr>
                <w:color w:val="auto"/>
                <w:u w:val="single"/>
              </w:rPr>
              <w:t>三级评价</w:t>
            </w:r>
          </w:p>
        </w:tc>
        <w:tc>
          <w:tcPr>
            <w:tcW w:w="2918" w:type="pct"/>
            <w:vAlign w:val="center"/>
          </w:tcPr>
          <w:p>
            <w:pPr>
              <w:pStyle w:val="30"/>
              <w:rPr>
                <w:color w:val="auto"/>
                <w:u w:val="single"/>
              </w:rPr>
            </w:pPr>
            <w:r>
              <w:rPr>
                <w:color w:val="auto"/>
                <w:u w:val="single"/>
              </w:rPr>
              <w:t>Pmax&lt;1%</w:t>
            </w:r>
          </w:p>
        </w:tc>
      </w:tr>
    </w:tbl>
    <w:p>
      <w:pPr>
        <w:ind w:firstLine="480"/>
        <w:rPr>
          <w:bCs/>
          <w:color w:val="auto"/>
          <w:u w:val="single"/>
        </w:rPr>
      </w:pPr>
      <w:r>
        <w:rPr>
          <w:rFonts w:hint="eastAsia"/>
          <w:bCs/>
          <w:color w:val="auto"/>
          <w:u w:val="single"/>
        </w:rPr>
        <w:t>本次评价使用《环境影响评价技术导则 大气环境》（HJ2.2-2018）中推荐的估算模型AERSCREEN，判定运营期大气环境影响评价等级，评价选取TSP、非甲烷总烃作为预测因子。</w:t>
      </w:r>
    </w:p>
    <w:p>
      <w:pPr>
        <w:pStyle w:val="31"/>
        <w:ind w:firstLine="480"/>
        <w:rPr>
          <w:color w:val="auto"/>
          <w:u w:val="single"/>
        </w:rPr>
      </w:pPr>
      <w:r>
        <w:rPr>
          <w:color w:val="auto"/>
          <w:u w:val="single"/>
        </w:rPr>
        <w:t>表2.5-2  评价因子和评价标准表</w:t>
      </w:r>
    </w:p>
    <w:tbl>
      <w:tblPr>
        <w:tblStyle w:val="21"/>
        <w:tblW w:w="84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130"/>
        <w:gridCol w:w="1985"/>
        <w:gridCol w:w="3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0" w:type="dxa"/>
            <w:vAlign w:val="center"/>
          </w:tcPr>
          <w:p>
            <w:pPr>
              <w:pStyle w:val="30"/>
              <w:rPr>
                <w:b/>
                <w:bCs/>
                <w:color w:val="auto"/>
                <w:u w:val="single"/>
              </w:rPr>
            </w:pPr>
            <w:r>
              <w:rPr>
                <w:b/>
                <w:bCs/>
                <w:color w:val="auto"/>
                <w:u w:val="single"/>
              </w:rPr>
              <w:t>评价因子</w:t>
            </w:r>
          </w:p>
        </w:tc>
        <w:tc>
          <w:tcPr>
            <w:tcW w:w="1130" w:type="dxa"/>
            <w:vAlign w:val="center"/>
          </w:tcPr>
          <w:p>
            <w:pPr>
              <w:pStyle w:val="30"/>
              <w:rPr>
                <w:b/>
                <w:bCs/>
                <w:color w:val="auto"/>
                <w:u w:val="single"/>
              </w:rPr>
            </w:pPr>
            <w:r>
              <w:rPr>
                <w:b/>
                <w:bCs/>
                <w:color w:val="auto"/>
                <w:u w:val="single"/>
              </w:rPr>
              <w:t>平均时段</w:t>
            </w:r>
          </w:p>
        </w:tc>
        <w:tc>
          <w:tcPr>
            <w:tcW w:w="1985" w:type="dxa"/>
            <w:vAlign w:val="center"/>
          </w:tcPr>
          <w:p>
            <w:pPr>
              <w:pStyle w:val="30"/>
              <w:rPr>
                <w:b/>
                <w:bCs/>
                <w:color w:val="auto"/>
                <w:u w:val="single"/>
              </w:rPr>
            </w:pPr>
            <w:r>
              <w:rPr>
                <w:b/>
                <w:bCs/>
                <w:color w:val="auto"/>
                <w:u w:val="single"/>
              </w:rPr>
              <w:t>标准值/（μg/m</w:t>
            </w:r>
            <w:r>
              <w:rPr>
                <w:b/>
                <w:bCs/>
                <w:color w:val="auto"/>
                <w:u w:val="single"/>
                <w:vertAlign w:val="superscript"/>
              </w:rPr>
              <w:t>3</w:t>
            </w:r>
            <w:r>
              <w:rPr>
                <w:b/>
                <w:bCs/>
                <w:color w:val="auto"/>
                <w:u w:val="single"/>
              </w:rPr>
              <w:t>）</w:t>
            </w:r>
          </w:p>
        </w:tc>
        <w:tc>
          <w:tcPr>
            <w:tcW w:w="3426" w:type="dxa"/>
            <w:vAlign w:val="center"/>
          </w:tcPr>
          <w:p>
            <w:pPr>
              <w:pStyle w:val="30"/>
              <w:rPr>
                <w:b/>
                <w:bCs/>
                <w:color w:val="auto"/>
                <w:u w:val="single"/>
              </w:rPr>
            </w:pPr>
            <w:r>
              <w:rPr>
                <w:b/>
                <w:bCs/>
                <w:color w:val="auto"/>
                <w:u w:val="single"/>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0" w:type="dxa"/>
            <w:vAlign w:val="center"/>
          </w:tcPr>
          <w:p>
            <w:pPr>
              <w:pStyle w:val="30"/>
              <w:rPr>
                <w:rFonts w:hint="default"/>
                <w:color w:val="auto"/>
                <w:u w:val="single"/>
                <w:lang w:val="en-US" w:eastAsia="zh-CN"/>
              </w:rPr>
            </w:pPr>
            <w:r>
              <w:rPr>
                <w:rFonts w:hint="default"/>
                <w:color w:val="auto"/>
                <w:u w:val="single"/>
                <w:lang w:val="en-US" w:eastAsia="zh-CN"/>
              </w:rPr>
              <w:t>TSP</w:t>
            </w:r>
          </w:p>
        </w:tc>
        <w:tc>
          <w:tcPr>
            <w:tcW w:w="1130" w:type="dxa"/>
            <w:vAlign w:val="center"/>
          </w:tcPr>
          <w:p>
            <w:pPr>
              <w:pStyle w:val="30"/>
              <w:rPr>
                <w:rFonts w:hint="eastAsia"/>
                <w:color w:val="auto"/>
                <w:u w:val="single"/>
                <w:lang w:val="en-US" w:eastAsia="zh-CN"/>
              </w:rPr>
            </w:pPr>
            <w:r>
              <w:rPr>
                <w:rFonts w:hint="eastAsia"/>
                <w:color w:val="auto"/>
                <w:u w:val="single"/>
                <w:lang w:val="en-US" w:eastAsia="zh-CN"/>
              </w:rPr>
              <w:t>日均</w:t>
            </w:r>
          </w:p>
        </w:tc>
        <w:tc>
          <w:tcPr>
            <w:tcW w:w="1985" w:type="dxa"/>
            <w:vAlign w:val="center"/>
          </w:tcPr>
          <w:p>
            <w:pPr>
              <w:pStyle w:val="30"/>
              <w:rPr>
                <w:rFonts w:hint="default"/>
                <w:color w:val="auto"/>
                <w:u w:val="single"/>
                <w:lang w:val="en-US" w:eastAsia="zh-CN"/>
              </w:rPr>
            </w:pPr>
            <w:r>
              <w:rPr>
                <w:rFonts w:hint="eastAsia"/>
                <w:color w:val="auto"/>
                <w:u w:val="single"/>
                <w:lang w:val="en-US" w:eastAsia="zh-CN"/>
              </w:rPr>
              <w:t>300</w:t>
            </w:r>
          </w:p>
        </w:tc>
        <w:tc>
          <w:tcPr>
            <w:tcW w:w="3426" w:type="dxa"/>
            <w:vAlign w:val="center"/>
          </w:tcPr>
          <w:p>
            <w:pPr>
              <w:pStyle w:val="30"/>
              <w:rPr>
                <w:rFonts w:hint="eastAsia"/>
                <w:color w:val="auto"/>
                <w:u w:val="single"/>
                <w:lang w:val="en-US" w:eastAsia="zh-CN"/>
              </w:rPr>
            </w:pPr>
            <w:r>
              <w:rPr>
                <w:rFonts w:hint="eastAsia"/>
                <w:color w:val="auto"/>
                <w:u w:val="single"/>
                <w:lang w:val="en-US" w:eastAsia="zh-CN"/>
              </w:rPr>
              <w:t>环境空气质量标准(GB 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30" w:type="dxa"/>
            <w:vAlign w:val="center"/>
          </w:tcPr>
          <w:p>
            <w:pPr>
              <w:pStyle w:val="30"/>
              <w:rPr>
                <w:rFonts w:hint="default"/>
                <w:color w:val="auto"/>
                <w:u w:val="single"/>
                <w:lang w:val="en-US" w:eastAsia="zh-CN"/>
              </w:rPr>
            </w:pPr>
            <w:r>
              <w:rPr>
                <w:rFonts w:hint="default"/>
                <w:color w:val="auto"/>
                <w:u w:val="single"/>
                <w:lang w:val="en-US" w:eastAsia="zh-CN"/>
              </w:rPr>
              <w:t>非甲烷总烃</w:t>
            </w:r>
          </w:p>
        </w:tc>
        <w:tc>
          <w:tcPr>
            <w:tcW w:w="1130" w:type="dxa"/>
            <w:vAlign w:val="center"/>
          </w:tcPr>
          <w:p>
            <w:pPr>
              <w:pStyle w:val="30"/>
              <w:rPr>
                <w:rFonts w:hint="eastAsia"/>
                <w:color w:val="auto"/>
                <w:u w:val="single"/>
                <w:lang w:val="en-US" w:eastAsia="zh-CN"/>
              </w:rPr>
            </w:pPr>
            <w:r>
              <w:rPr>
                <w:rFonts w:hint="eastAsia"/>
                <w:color w:val="auto"/>
                <w:u w:val="single"/>
                <w:lang w:val="en-US" w:eastAsia="zh-CN"/>
              </w:rPr>
              <w:t>1h</w:t>
            </w:r>
          </w:p>
        </w:tc>
        <w:tc>
          <w:tcPr>
            <w:tcW w:w="1985" w:type="dxa"/>
            <w:vAlign w:val="center"/>
          </w:tcPr>
          <w:p>
            <w:pPr>
              <w:pStyle w:val="30"/>
              <w:rPr>
                <w:rFonts w:hint="eastAsia"/>
                <w:color w:val="auto"/>
                <w:u w:val="single"/>
                <w:lang w:val="en-US" w:eastAsia="zh-CN"/>
              </w:rPr>
            </w:pPr>
            <w:r>
              <w:rPr>
                <w:rFonts w:hint="eastAsia"/>
                <w:color w:val="auto"/>
                <w:u w:val="single"/>
                <w:lang w:val="en-US" w:eastAsia="zh-CN"/>
              </w:rPr>
              <w:t>2000</w:t>
            </w:r>
          </w:p>
        </w:tc>
        <w:tc>
          <w:tcPr>
            <w:tcW w:w="3426" w:type="dxa"/>
            <w:vAlign w:val="center"/>
          </w:tcPr>
          <w:p>
            <w:pPr>
              <w:pStyle w:val="30"/>
              <w:rPr>
                <w:rFonts w:hint="eastAsia"/>
                <w:color w:val="auto"/>
                <w:u w:val="single"/>
                <w:lang w:val="en-US" w:eastAsia="zh-CN"/>
              </w:rPr>
            </w:pPr>
            <w:r>
              <w:rPr>
                <w:rFonts w:hint="eastAsia"/>
                <w:bCs/>
                <w:color w:val="auto"/>
                <w:u w:val="single"/>
                <w:lang w:val="en-US" w:eastAsia="zh-CN"/>
              </w:rPr>
              <w:t>《大气污染物综合排放标准详解》</w:t>
            </w:r>
          </w:p>
        </w:tc>
      </w:tr>
    </w:tbl>
    <w:p>
      <w:pPr>
        <w:pStyle w:val="31"/>
        <w:ind w:firstLine="480"/>
        <w:rPr>
          <w:color w:val="auto"/>
          <w:u w:val="single"/>
        </w:rPr>
      </w:pPr>
      <w:r>
        <w:rPr>
          <w:color w:val="auto"/>
          <w:u w:val="single"/>
        </w:rPr>
        <w:t>表2.5-3  估算模型参数表</w:t>
      </w:r>
    </w:p>
    <w:tbl>
      <w:tblPr>
        <w:tblStyle w:val="21"/>
        <w:tblW w:w="8395"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973"/>
        <w:gridCol w:w="4439"/>
        <w:gridCol w:w="1983"/>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tblHeader/>
          <w:jc w:val="center"/>
        </w:trPr>
        <w:tc>
          <w:tcPr>
            <w:tcW w:w="6412" w:type="dxa"/>
            <w:gridSpan w:val="2"/>
            <w:vAlign w:val="center"/>
          </w:tcPr>
          <w:p>
            <w:pPr>
              <w:pStyle w:val="30"/>
              <w:ind w:firstLine="480"/>
              <w:rPr>
                <w:b/>
                <w:bCs/>
                <w:color w:val="auto"/>
                <w:u w:val="single"/>
              </w:rPr>
            </w:pPr>
            <w:r>
              <w:rPr>
                <w:b/>
                <w:bCs/>
                <w:color w:val="auto"/>
                <w:u w:val="single"/>
              </w:rPr>
              <w:t>参数</w:t>
            </w:r>
          </w:p>
        </w:tc>
        <w:tc>
          <w:tcPr>
            <w:tcW w:w="1983" w:type="dxa"/>
            <w:noWrap/>
            <w:vAlign w:val="center"/>
          </w:tcPr>
          <w:p>
            <w:pPr>
              <w:pStyle w:val="30"/>
              <w:ind w:firstLine="480"/>
              <w:rPr>
                <w:b/>
                <w:bCs/>
                <w:color w:val="auto"/>
                <w:u w:val="single"/>
              </w:rPr>
            </w:pPr>
            <w:r>
              <w:rPr>
                <w:b/>
                <w:bCs/>
                <w:color w:val="auto"/>
                <w:u w:val="single"/>
              </w:rPr>
              <w:t>取值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39" w:hRule="atLeast"/>
          <w:jc w:val="center"/>
        </w:trPr>
        <w:tc>
          <w:tcPr>
            <w:tcW w:w="1973" w:type="dxa"/>
            <w:vMerge w:val="restart"/>
            <w:vAlign w:val="center"/>
          </w:tcPr>
          <w:p>
            <w:pPr>
              <w:pStyle w:val="30"/>
              <w:ind w:firstLine="480"/>
              <w:rPr>
                <w:color w:val="auto"/>
                <w:u w:val="single"/>
              </w:rPr>
            </w:pPr>
            <w:r>
              <w:rPr>
                <w:color w:val="auto"/>
                <w:u w:val="single"/>
              </w:rPr>
              <w:t>城市/农村选项</w:t>
            </w:r>
          </w:p>
        </w:tc>
        <w:tc>
          <w:tcPr>
            <w:tcW w:w="4439" w:type="dxa"/>
            <w:noWrap/>
            <w:vAlign w:val="center"/>
          </w:tcPr>
          <w:p>
            <w:pPr>
              <w:pStyle w:val="30"/>
              <w:ind w:firstLine="480"/>
              <w:rPr>
                <w:color w:val="auto"/>
                <w:u w:val="single"/>
              </w:rPr>
            </w:pPr>
            <w:r>
              <w:rPr>
                <w:color w:val="auto"/>
                <w:u w:val="single"/>
              </w:rPr>
              <w:t>城市/农村</w:t>
            </w:r>
          </w:p>
        </w:tc>
        <w:tc>
          <w:tcPr>
            <w:tcW w:w="1983" w:type="dxa"/>
            <w:noWrap/>
            <w:vAlign w:val="center"/>
          </w:tcPr>
          <w:p>
            <w:pPr>
              <w:pStyle w:val="30"/>
              <w:ind w:firstLine="480"/>
              <w:rPr>
                <w:color w:val="auto"/>
                <w:u w:val="single"/>
              </w:rPr>
            </w:pPr>
            <w:r>
              <w:rPr>
                <w:rFonts w:ascii="宋体" w:hAnsi="宋体" w:eastAsia="宋体"/>
                <w:b w:val="0"/>
                <w:sz w:val="23"/>
                <w:szCs w:val="23"/>
                <w:u w:val="single"/>
              </w:rPr>
              <w:t>农村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0" w:hRule="atLeast"/>
          <w:jc w:val="center"/>
        </w:trPr>
        <w:tc>
          <w:tcPr>
            <w:tcW w:w="1973" w:type="dxa"/>
            <w:vMerge w:val="continue"/>
            <w:vAlign w:val="center"/>
          </w:tcPr>
          <w:p>
            <w:pPr>
              <w:pStyle w:val="30"/>
              <w:ind w:firstLine="480"/>
              <w:rPr>
                <w:color w:val="auto"/>
                <w:u w:val="single"/>
              </w:rPr>
            </w:pPr>
          </w:p>
        </w:tc>
        <w:tc>
          <w:tcPr>
            <w:tcW w:w="4439" w:type="dxa"/>
            <w:noWrap/>
            <w:vAlign w:val="center"/>
          </w:tcPr>
          <w:p>
            <w:pPr>
              <w:pStyle w:val="30"/>
              <w:ind w:firstLine="480"/>
              <w:rPr>
                <w:color w:val="auto"/>
                <w:u w:val="single"/>
              </w:rPr>
            </w:pPr>
            <w:r>
              <w:rPr>
                <w:color w:val="auto"/>
                <w:u w:val="single"/>
              </w:rPr>
              <w:t>人口数（城市选项时）</w:t>
            </w:r>
          </w:p>
        </w:tc>
        <w:tc>
          <w:tcPr>
            <w:tcW w:w="1983" w:type="dxa"/>
            <w:noWrap/>
            <w:vAlign w:val="center"/>
          </w:tcPr>
          <w:p>
            <w:pPr>
              <w:pStyle w:val="30"/>
              <w:ind w:firstLine="480"/>
              <w:rPr>
                <w:rFonts w:hint="eastAsia" w:eastAsia="宋体"/>
                <w:color w:val="auto"/>
                <w:u w:val="single"/>
                <w:lang w:eastAsia="zh-CN"/>
              </w:rPr>
            </w:pPr>
            <w:r>
              <w:rPr>
                <w:rFonts w:hint="eastAsia"/>
                <w:color w:val="auto"/>
                <w:u w:val="singl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412" w:type="dxa"/>
            <w:gridSpan w:val="2"/>
            <w:vAlign w:val="center"/>
          </w:tcPr>
          <w:p>
            <w:pPr>
              <w:pStyle w:val="30"/>
              <w:ind w:firstLine="480"/>
              <w:rPr>
                <w:color w:val="auto"/>
                <w:u w:val="single"/>
              </w:rPr>
            </w:pPr>
            <w:r>
              <w:rPr>
                <w:color w:val="auto"/>
                <w:u w:val="single"/>
              </w:rPr>
              <w:t>最高环境温度/ ℃</w:t>
            </w:r>
          </w:p>
        </w:tc>
        <w:tc>
          <w:tcPr>
            <w:tcW w:w="1983" w:type="dxa"/>
            <w:noWrap/>
            <w:vAlign w:val="center"/>
          </w:tcPr>
          <w:p>
            <w:pPr>
              <w:pStyle w:val="30"/>
              <w:ind w:firstLine="480"/>
              <w:rPr>
                <w:rFonts w:hint="eastAsia" w:eastAsia="宋体"/>
                <w:color w:val="auto"/>
                <w:u w:val="single"/>
                <w:lang w:val="en-US" w:eastAsia="zh-CN"/>
              </w:rPr>
            </w:pPr>
            <w:r>
              <w:rPr>
                <w:color w:val="auto"/>
                <w:u w:val="single"/>
              </w:rPr>
              <w:t>40.</w:t>
            </w:r>
            <w:r>
              <w:rPr>
                <w:rFonts w:hint="eastAsia"/>
                <w:color w:val="auto"/>
                <w:u w:val="single"/>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68" w:hRule="atLeast"/>
          <w:jc w:val="center"/>
        </w:trPr>
        <w:tc>
          <w:tcPr>
            <w:tcW w:w="6412" w:type="dxa"/>
            <w:gridSpan w:val="2"/>
            <w:vAlign w:val="center"/>
          </w:tcPr>
          <w:p>
            <w:pPr>
              <w:pStyle w:val="30"/>
              <w:ind w:firstLine="480"/>
              <w:rPr>
                <w:color w:val="auto"/>
                <w:u w:val="single"/>
              </w:rPr>
            </w:pPr>
            <w:r>
              <w:rPr>
                <w:color w:val="auto"/>
                <w:u w:val="single"/>
              </w:rPr>
              <w:t>最低环境温度/ ℃</w:t>
            </w:r>
          </w:p>
        </w:tc>
        <w:tc>
          <w:tcPr>
            <w:tcW w:w="1983" w:type="dxa"/>
            <w:noWrap/>
            <w:vAlign w:val="center"/>
          </w:tcPr>
          <w:p>
            <w:pPr>
              <w:pStyle w:val="30"/>
              <w:ind w:firstLine="480"/>
              <w:rPr>
                <w:rFonts w:hint="eastAsia" w:eastAsia="宋体"/>
                <w:color w:val="auto"/>
                <w:u w:val="single"/>
                <w:lang w:val="en-US" w:eastAsia="zh-CN"/>
              </w:rPr>
            </w:pPr>
            <w:r>
              <w:rPr>
                <w:color w:val="auto"/>
                <w:u w:val="single"/>
              </w:rPr>
              <w:t>-</w:t>
            </w:r>
            <w:r>
              <w:rPr>
                <w:rFonts w:hint="eastAsia"/>
                <w:color w:val="auto"/>
                <w:u w:val="single"/>
                <w:lang w:val="en-US" w:eastAsia="zh-CN"/>
              </w:rPr>
              <w:t>14</w:t>
            </w:r>
            <w:r>
              <w:rPr>
                <w:color w:val="auto"/>
                <w:u w:val="single"/>
              </w:rPr>
              <w:t>.</w:t>
            </w:r>
            <w:r>
              <w:rPr>
                <w:rFonts w:hint="eastAsia"/>
                <w:color w:val="auto"/>
                <w:u w:val="single"/>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412" w:type="dxa"/>
            <w:gridSpan w:val="2"/>
            <w:vAlign w:val="center"/>
          </w:tcPr>
          <w:p>
            <w:pPr>
              <w:pStyle w:val="30"/>
              <w:ind w:firstLine="480"/>
              <w:rPr>
                <w:color w:val="auto"/>
                <w:u w:val="single"/>
              </w:rPr>
            </w:pPr>
            <w:r>
              <w:rPr>
                <w:color w:val="auto"/>
                <w:u w:val="single"/>
              </w:rPr>
              <w:t>土地利用类型</w:t>
            </w:r>
          </w:p>
        </w:tc>
        <w:tc>
          <w:tcPr>
            <w:tcW w:w="1983" w:type="dxa"/>
            <w:noWrap/>
            <w:vAlign w:val="center"/>
          </w:tcPr>
          <w:p>
            <w:pPr>
              <w:pStyle w:val="30"/>
              <w:ind w:firstLine="480"/>
              <w:rPr>
                <w:rFonts w:hint="eastAsia" w:eastAsia="宋体"/>
                <w:color w:val="auto"/>
                <w:u w:val="single"/>
                <w:lang w:eastAsia="zh-CN"/>
              </w:rPr>
            </w:pPr>
            <w:r>
              <w:rPr>
                <w:rFonts w:hint="eastAsia"/>
                <w:color w:val="auto"/>
                <w:u w:val="single"/>
                <w:lang w:val="en-US" w:eastAsia="zh-CN"/>
              </w:rPr>
              <w:t>农田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412" w:type="dxa"/>
            <w:gridSpan w:val="2"/>
            <w:vAlign w:val="center"/>
          </w:tcPr>
          <w:p>
            <w:pPr>
              <w:pStyle w:val="30"/>
              <w:ind w:firstLine="480"/>
              <w:rPr>
                <w:color w:val="auto"/>
                <w:u w:val="single"/>
              </w:rPr>
            </w:pPr>
            <w:r>
              <w:rPr>
                <w:color w:val="auto"/>
                <w:u w:val="single"/>
              </w:rPr>
              <w:t>区域湿度条件</w:t>
            </w:r>
          </w:p>
        </w:tc>
        <w:tc>
          <w:tcPr>
            <w:tcW w:w="1983" w:type="dxa"/>
            <w:noWrap/>
            <w:vAlign w:val="center"/>
          </w:tcPr>
          <w:p>
            <w:pPr>
              <w:pStyle w:val="30"/>
              <w:ind w:firstLine="480"/>
              <w:rPr>
                <w:color w:val="auto"/>
                <w:u w:val="single"/>
              </w:rPr>
            </w:pPr>
            <w:r>
              <w:rPr>
                <w:rFonts w:hint="eastAsia"/>
                <w:color w:val="auto"/>
                <w:u w:val="single"/>
              </w:rPr>
              <w:t>潮湿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387" w:hRule="atLeast"/>
          <w:jc w:val="center"/>
        </w:trPr>
        <w:tc>
          <w:tcPr>
            <w:tcW w:w="1973" w:type="dxa"/>
            <w:vMerge w:val="restart"/>
            <w:vAlign w:val="center"/>
          </w:tcPr>
          <w:p>
            <w:pPr>
              <w:pStyle w:val="30"/>
              <w:ind w:firstLine="480"/>
              <w:rPr>
                <w:color w:val="auto"/>
                <w:u w:val="single"/>
              </w:rPr>
            </w:pPr>
            <w:r>
              <w:rPr>
                <w:color w:val="auto"/>
                <w:u w:val="single"/>
              </w:rPr>
              <w:t>是否考虑地形</w:t>
            </w:r>
          </w:p>
        </w:tc>
        <w:tc>
          <w:tcPr>
            <w:tcW w:w="4439" w:type="dxa"/>
            <w:noWrap/>
            <w:vAlign w:val="center"/>
          </w:tcPr>
          <w:p>
            <w:pPr>
              <w:pStyle w:val="30"/>
              <w:ind w:firstLine="480"/>
              <w:rPr>
                <w:color w:val="auto"/>
                <w:u w:val="single"/>
              </w:rPr>
            </w:pPr>
            <w:r>
              <w:rPr>
                <w:color w:val="auto"/>
                <w:u w:val="single"/>
              </w:rPr>
              <w:t>考虑地形</w:t>
            </w:r>
          </w:p>
        </w:tc>
        <w:tc>
          <w:tcPr>
            <w:tcW w:w="1983" w:type="dxa"/>
            <w:noWrap/>
            <w:vAlign w:val="center"/>
          </w:tcPr>
          <w:p>
            <w:pPr>
              <w:pStyle w:val="30"/>
              <w:ind w:firstLine="480"/>
              <w:rPr>
                <w:color w:val="auto"/>
                <w:u w:val="single"/>
              </w:rPr>
            </w:pPr>
            <w:r>
              <w:rPr>
                <w:color w:val="auto"/>
                <w:u w:val="single"/>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1973" w:type="dxa"/>
            <w:vMerge w:val="continue"/>
            <w:vAlign w:val="center"/>
          </w:tcPr>
          <w:p>
            <w:pPr>
              <w:pStyle w:val="30"/>
              <w:ind w:firstLine="480"/>
              <w:rPr>
                <w:color w:val="auto"/>
                <w:u w:val="single"/>
              </w:rPr>
            </w:pPr>
          </w:p>
        </w:tc>
        <w:tc>
          <w:tcPr>
            <w:tcW w:w="4439" w:type="dxa"/>
            <w:noWrap/>
            <w:vAlign w:val="center"/>
          </w:tcPr>
          <w:p>
            <w:pPr>
              <w:pStyle w:val="30"/>
              <w:ind w:firstLine="480"/>
              <w:rPr>
                <w:color w:val="auto"/>
                <w:u w:val="single"/>
              </w:rPr>
            </w:pPr>
            <w:r>
              <w:rPr>
                <w:color w:val="auto"/>
                <w:u w:val="single"/>
              </w:rPr>
              <w:t>地形数据分辨率 / m</w:t>
            </w:r>
          </w:p>
        </w:tc>
        <w:tc>
          <w:tcPr>
            <w:tcW w:w="1983" w:type="dxa"/>
            <w:noWrap/>
            <w:vAlign w:val="center"/>
          </w:tcPr>
          <w:p>
            <w:pPr>
              <w:pStyle w:val="30"/>
              <w:ind w:firstLine="480"/>
              <w:rPr>
                <w:color w:val="auto"/>
                <w:u w:val="single"/>
              </w:rPr>
            </w:pPr>
            <w:r>
              <w:rPr>
                <w:color w:val="auto"/>
                <w:u w:val="single"/>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1973" w:type="dxa"/>
            <w:vMerge w:val="restart"/>
            <w:vAlign w:val="center"/>
          </w:tcPr>
          <w:p>
            <w:pPr>
              <w:pStyle w:val="30"/>
              <w:ind w:firstLine="480"/>
              <w:rPr>
                <w:color w:val="auto"/>
                <w:u w:val="single"/>
              </w:rPr>
            </w:pPr>
            <w:r>
              <w:rPr>
                <w:color w:val="auto"/>
                <w:u w:val="single"/>
              </w:rPr>
              <w:t>是否考虑岸线熏烟</w:t>
            </w:r>
          </w:p>
        </w:tc>
        <w:tc>
          <w:tcPr>
            <w:tcW w:w="4439" w:type="dxa"/>
            <w:noWrap/>
            <w:vAlign w:val="center"/>
          </w:tcPr>
          <w:p>
            <w:pPr>
              <w:pStyle w:val="30"/>
              <w:ind w:firstLine="480"/>
              <w:rPr>
                <w:color w:val="auto"/>
                <w:u w:val="single"/>
              </w:rPr>
            </w:pPr>
            <w:r>
              <w:rPr>
                <w:color w:val="auto"/>
                <w:u w:val="single"/>
              </w:rPr>
              <w:t>考虑岸线熏烟</w:t>
            </w:r>
          </w:p>
        </w:tc>
        <w:tc>
          <w:tcPr>
            <w:tcW w:w="1983" w:type="dxa"/>
            <w:noWrap/>
            <w:vAlign w:val="center"/>
          </w:tcPr>
          <w:p>
            <w:pPr>
              <w:pStyle w:val="30"/>
              <w:ind w:firstLine="480"/>
              <w:rPr>
                <w:color w:val="auto"/>
                <w:u w:val="single"/>
              </w:rPr>
            </w:pPr>
            <w:r>
              <w:rPr>
                <w:color w:val="auto"/>
                <w:u w:val="single"/>
              </w:rPr>
              <w:t>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7" w:hRule="atLeast"/>
          <w:jc w:val="center"/>
        </w:trPr>
        <w:tc>
          <w:tcPr>
            <w:tcW w:w="1973" w:type="dxa"/>
            <w:vMerge w:val="continue"/>
            <w:vAlign w:val="center"/>
          </w:tcPr>
          <w:p>
            <w:pPr>
              <w:pStyle w:val="30"/>
              <w:ind w:firstLine="480"/>
              <w:rPr>
                <w:color w:val="auto"/>
                <w:u w:val="single"/>
              </w:rPr>
            </w:pPr>
          </w:p>
        </w:tc>
        <w:tc>
          <w:tcPr>
            <w:tcW w:w="4439" w:type="dxa"/>
            <w:noWrap/>
            <w:vAlign w:val="center"/>
          </w:tcPr>
          <w:p>
            <w:pPr>
              <w:pStyle w:val="30"/>
              <w:ind w:firstLine="480"/>
              <w:rPr>
                <w:color w:val="auto"/>
                <w:u w:val="single"/>
              </w:rPr>
            </w:pPr>
            <w:r>
              <w:rPr>
                <w:color w:val="auto"/>
                <w:u w:val="single"/>
              </w:rPr>
              <w:t>岸线距离/km</w:t>
            </w:r>
          </w:p>
        </w:tc>
        <w:tc>
          <w:tcPr>
            <w:tcW w:w="1983" w:type="dxa"/>
            <w:noWrap/>
            <w:vAlign w:val="center"/>
          </w:tcPr>
          <w:p>
            <w:pPr>
              <w:pStyle w:val="30"/>
              <w:ind w:firstLine="480"/>
              <w:rPr>
                <w:color w:val="auto"/>
                <w:u w:val="single"/>
              </w:rPr>
            </w:pPr>
            <w:r>
              <w:rPr>
                <w:color w:val="auto"/>
                <w:u w:val="single"/>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1973" w:type="dxa"/>
            <w:vMerge w:val="continue"/>
            <w:vAlign w:val="center"/>
          </w:tcPr>
          <w:p>
            <w:pPr>
              <w:pStyle w:val="30"/>
              <w:ind w:firstLine="480"/>
              <w:rPr>
                <w:color w:val="auto"/>
                <w:u w:val="single"/>
              </w:rPr>
            </w:pPr>
          </w:p>
        </w:tc>
        <w:tc>
          <w:tcPr>
            <w:tcW w:w="4439" w:type="dxa"/>
            <w:noWrap/>
            <w:vAlign w:val="center"/>
          </w:tcPr>
          <w:p>
            <w:pPr>
              <w:pStyle w:val="30"/>
              <w:ind w:firstLine="480"/>
              <w:rPr>
                <w:color w:val="auto"/>
                <w:u w:val="single"/>
              </w:rPr>
            </w:pPr>
            <w:r>
              <w:rPr>
                <w:color w:val="auto"/>
                <w:u w:val="single"/>
              </w:rPr>
              <w:t>岸线方向/ °</w:t>
            </w:r>
          </w:p>
        </w:tc>
        <w:tc>
          <w:tcPr>
            <w:tcW w:w="1983" w:type="dxa"/>
            <w:noWrap/>
            <w:vAlign w:val="center"/>
          </w:tcPr>
          <w:p>
            <w:pPr>
              <w:pStyle w:val="30"/>
              <w:ind w:firstLine="480"/>
              <w:rPr>
                <w:color w:val="auto"/>
                <w:u w:val="single"/>
              </w:rPr>
            </w:pPr>
            <w:r>
              <w:rPr>
                <w:color w:val="auto"/>
                <w:u w:val="single"/>
              </w:rPr>
              <w:t>/</w:t>
            </w:r>
          </w:p>
        </w:tc>
      </w:tr>
    </w:tbl>
    <w:p>
      <w:pPr>
        <w:ind w:firstLine="480"/>
        <w:rPr>
          <w:u w:val="single"/>
        </w:rPr>
      </w:pPr>
      <w:r>
        <w:rPr>
          <w:color w:val="auto"/>
          <w:u w:val="single"/>
        </w:rPr>
        <w:t>本项目各主要污染源源强见表2.5-</w:t>
      </w:r>
      <w:r>
        <w:rPr>
          <w:rFonts w:hint="eastAsia"/>
          <w:color w:val="auto"/>
          <w:u w:val="single"/>
          <w:lang w:val="en-US" w:eastAsia="zh-CN"/>
        </w:rPr>
        <w:t>4</w:t>
      </w:r>
      <w:r>
        <w:rPr>
          <w:color w:val="auto"/>
          <w:u w:val="single"/>
        </w:rPr>
        <w:t>、表2.5-</w:t>
      </w:r>
      <w:r>
        <w:rPr>
          <w:rFonts w:hint="eastAsia"/>
          <w:color w:val="auto"/>
          <w:u w:val="single"/>
          <w:lang w:val="en-US" w:eastAsia="zh-CN"/>
        </w:rPr>
        <w:t>5</w:t>
      </w:r>
      <w:r>
        <w:rPr>
          <w:color w:val="auto"/>
          <w:u w:val="single"/>
        </w:rPr>
        <w:t>，主要污染源估算模型计算结果见表2.5-</w:t>
      </w:r>
      <w:r>
        <w:rPr>
          <w:rFonts w:hint="eastAsia"/>
          <w:color w:val="auto"/>
          <w:u w:val="single"/>
          <w:lang w:val="en-US" w:eastAsia="zh-CN"/>
        </w:rPr>
        <w:t>6</w:t>
      </w:r>
      <w:r>
        <w:rPr>
          <w:color w:val="auto"/>
          <w:u w:val="single"/>
        </w:rPr>
        <w:t>。</w:t>
      </w:r>
    </w:p>
    <w:p>
      <w:pPr>
        <w:pStyle w:val="31"/>
        <w:rPr>
          <w:color w:val="auto"/>
          <w:u w:val="single"/>
        </w:rPr>
      </w:pPr>
      <w:r>
        <w:rPr>
          <w:color w:val="auto"/>
          <w:u w:val="single"/>
        </w:rPr>
        <w:t>表2.5-</w:t>
      </w:r>
      <w:r>
        <w:rPr>
          <w:rFonts w:hint="eastAsia"/>
          <w:color w:val="auto"/>
          <w:u w:val="single"/>
          <w:lang w:val="en-US" w:eastAsia="zh-CN"/>
        </w:rPr>
        <w:t>4</w:t>
      </w:r>
      <w:r>
        <w:rPr>
          <w:color w:val="auto"/>
          <w:u w:val="single"/>
        </w:rPr>
        <w:t xml:space="preserve">  本项目有组织污染源清单</w:t>
      </w:r>
    </w:p>
    <w:tbl>
      <w:tblPr>
        <w:tblStyle w:val="21"/>
        <w:tblW w:w="5000"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41"/>
        <w:gridCol w:w="441"/>
        <w:gridCol w:w="1246"/>
        <w:gridCol w:w="1146"/>
        <w:gridCol w:w="794"/>
        <w:gridCol w:w="712"/>
        <w:gridCol w:w="603"/>
        <w:gridCol w:w="693"/>
        <w:gridCol w:w="712"/>
        <w:gridCol w:w="912"/>
        <w:gridCol w:w="8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41" w:type="dxa"/>
            <w:vMerge w:val="restart"/>
            <w:tcBorders>
              <w:top w:val="single" w:color="auto" w:sz="12" w:space="0"/>
              <w:left w:val="single" w:color="auto" w:sz="12" w:space="0"/>
              <w:bottom w:val="single" w:color="auto" w:sz="4" w:space="0"/>
              <w:right w:val="single" w:color="auto" w:sz="4" w:space="0"/>
            </w:tcBorders>
            <w:vAlign w:val="center"/>
          </w:tcPr>
          <w:p>
            <w:pPr>
              <w:pStyle w:val="30"/>
              <w:rPr>
                <w:rFonts w:hint="eastAsia" w:eastAsia="宋体"/>
                <w:b/>
                <w:bCs/>
                <w:color w:val="auto"/>
                <w:u w:val="single"/>
                <w:lang w:val="en-US" w:eastAsia="zh-CN"/>
              </w:rPr>
            </w:pPr>
            <w:r>
              <w:rPr>
                <w:rFonts w:hint="eastAsia"/>
                <w:b/>
                <w:bCs/>
                <w:color w:val="auto"/>
                <w:u w:val="single"/>
                <w:lang w:val="en-US" w:eastAsia="zh-CN"/>
              </w:rPr>
              <w:t>编号</w:t>
            </w:r>
          </w:p>
        </w:tc>
        <w:tc>
          <w:tcPr>
            <w:tcW w:w="441" w:type="dxa"/>
            <w:vMerge w:val="restart"/>
            <w:tcBorders>
              <w:top w:val="single" w:color="auto" w:sz="12"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污染源名称</w:t>
            </w:r>
          </w:p>
        </w:tc>
        <w:tc>
          <w:tcPr>
            <w:tcW w:w="2392" w:type="dxa"/>
            <w:gridSpan w:val="2"/>
            <w:tcBorders>
              <w:top w:val="single" w:color="auto" w:sz="12"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排气筒底部中心坐标(°)</w:t>
            </w:r>
          </w:p>
        </w:tc>
        <w:tc>
          <w:tcPr>
            <w:tcW w:w="794" w:type="dxa"/>
            <w:vMerge w:val="restart"/>
            <w:tcBorders>
              <w:top w:val="single" w:color="auto" w:sz="12"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排气筒底部海拔高度(m)</w:t>
            </w:r>
          </w:p>
        </w:tc>
        <w:tc>
          <w:tcPr>
            <w:tcW w:w="2720" w:type="dxa"/>
            <w:gridSpan w:val="4"/>
            <w:tcBorders>
              <w:top w:val="single" w:color="auto" w:sz="12"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排气筒参数</w:t>
            </w:r>
          </w:p>
        </w:tc>
        <w:tc>
          <w:tcPr>
            <w:tcW w:w="1734" w:type="dxa"/>
            <w:gridSpan w:val="2"/>
            <w:tcBorders>
              <w:top w:val="single" w:color="auto" w:sz="12" w:space="0"/>
              <w:left w:val="single" w:color="auto" w:sz="4" w:space="0"/>
              <w:bottom w:val="single" w:color="auto" w:sz="4" w:space="0"/>
              <w:right w:val="single" w:color="auto" w:sz="12" w:space="0"/>
            </w:tcBorders>
            <w:vAlign w:val="center"/>
          </w:tcPr>
          <w:p>
            <w:pPr>
              <w:pStyle w:val="30"/>
              <w:rPr>
                <w:b/>
                <w:bCs/>
                <w:color w:val="auto"/>
                <w:u w:val="single"/>
              </w:rPr>
            </w:pPr>
            <w:r>
              <w:rPr>
                <w:b/>
                <w:bCs/>
                <w:color w:val="auto"/>
                <w:u w:val="singl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441" w:type="dxa"/>
            <w:vMerge w:val="continue"/>
            <w:tcBorders>
              <w:top w:val="single" w:color="auto" w:sz="4" w:space="0"/>
              <w:left w:val="single" w:color="auto" w:sz="12" w:space="0"/>
              <w:bottom w:val="single" w:color="auto" w:sz="4" w:space="0"/>
              <w:right w:val="single" w:color="auto" w:sz="4" w:space="0"/>
            </w:tcBorders>
            <w:vAlign w:val="center"/>
          </w:tcPr>
          <w:p>
            <w:pPr>
              <w:pStyle w:val="30"/>
              <w:rPr>
                <w:b/>
                <w:bCs/>
                <w:color w:val="auto"/>
                <w:u w:val="single"/>
              </w:rPr>
            </w:pPr>
          </w:p>
        </w:tc>
        <w:tc>
          <w:tcPr>
            <w:tcW w:w="441" w:type="dxa"/>
            <w:vMerge w:val="continue"/>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p>
        </w:tc>
        <w:tc>
          <w:tcPr>
            <w:tcW w:w="1246"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经度</w:t>
            </w:r>
          </w:p>
        </w:tc>
        <w:tc>
          <w:tcPr>
            <w:tcW w:w="1146"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纬度</w:t>
            </w:r>
          </w:p>
        </w:tc>
        <w:tc>
          <w:tcPr>
            <w:tcW w:w="794" w:type="dxa"/>
            <w:vMerge w:val="continue"/>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p>
        </w:tc>
        <w:tc>
          <w:tcPr>
            <w:tcW w:w="712"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高度(m)</w:t>
            </w:r>
          </w:p>
        </w:tc>
        <w:tc>
          <w:tcPr>
            <w:tcW w:w="603"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内径(m)</w:t>
            </w:r>
          </w:p>
        </w:tc>
        <w:tc>
          <w:tcPr>
            <w:tcW w:w="693"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温度(℃)</w:t>
            </w:r>
          </w:p>
        </w:tc>
        <w:tc>
          <w:tcPr>
            <w:tcW w:w="712"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流速(m/s)</w:t>
            </w:r>
          </w:p>
        </w:tc>
        <w:tc>
          <w:tcPr>
            <w:tcW w:w="912" w:type="dxa"/>
            <w:tcBorders>
              <w:top w:val="single" w:color="auto" w:sz="4" w:space="0"/>
              <w:left w:val="single" w:color="auto" w:sz="4" w:space="0"/>
              <w:bottom w:val="single" w:color="auto" w:sz="4" w:space="0"/>
              <w:right w:val="single" w:color="auto" w:sz="4" w:space="0"/>
            </w:tcBorders>
            <w:vAlign w:val="center"/>
          </w:tcPr>
          <w:p>
            <w:pPr>
              <w:pStyle w:val="30"/>
              <w:rPr>
                <w:b/>
                <w:bCs/>
                <w:color w:val="auto"/>
                <w:u w:val="single"/>
              </w:rPr>
            </w:pPr>
            <w:r>
              <w:rPr>
                <w:b/>
                <w:bCs/>
                <w:color w:val="auto"/>
                <w:u w:val="single"/>
              </w:rPr>
              <w:t>NMHC</w:t>
            </w:r>
          </w:p>
        </w:tc>
        <w:tc>
          <w:tcPr>
            <w:tcW w:w="822" w:type="dxa"/>
            <w:tcBorders>
              <w:top w:val="single" w:color="auto" w:sz="4" w:space="0"/>
              <w:left w:val="single" w:color="auto" w:sz="4" w:space="0"/>
              <w:bottom w:val="single" w:color="auto" w:sz="4" w:space="0"/>
              <w:right w:val="single" w:color="auto" w:sz="12" w:space="0"/>
            </w:tcBorders>
            <w:vAlign w:val="center"/>
          </w:tcPr>
          <w:p>
            <w:pPr>
              <w:pStyle w:val="30"/>
              <w:rPr>
                <w:b/>
                <w:bCs/>
                <w:color w:val="auto"/>
                <w:u w:val="single"/>
              </w:rPr>
            </w:pPr>
            <w:r>
              <w:rPr>
                <w:b/>
                <w:bCs/>
                <w:color w:val="auto"/>
                <w:u w:val="single"/>
              </w:rPr>
              <w:t>PM10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41" w:type="dxa"/>
            <w:tcBorders>
              <w:top w:val="single" w:color="auto" w:sz="4" w:space="0"/>
              <w:left w:val="single" w:color="auto" w:sz="12" w:space="0"/>
              <w:bottom w:val="single" w:color="auto" w:sz="4" w:space="0"/>
              <w:right w:val="single" w:color="auto" w:sz="4" w:space="0"/>
            </w:tcBorders>
            <w:vAlign w:val="center"/>
          </w:tcPr>
          <w:p>
            <w:pPr>
              <w:pStyle w:val="30"/>
              <w:ind w:firstLine="0" w:firstLineChars="0"/>
              <w:rPr>
                <w:rFonts w:hint="eastAsia"/>
                <w:color w:val="auto"/>
                <w:u w:val="single"/>
                <w:lang w:val="en-US" w:eastAsia="zh-CN"/>
              </w:rPr>
            </w:pPr>
            <w:r>
              <w:rPr>
                <w:rFonts w:hint="eastAsia"/>
                <w:color w:val="auto"/>
                <w:u w:val="single"/>
                <w:lang w:val="en-US" w:eastAsia="zh-CN"/>
              </w:rPr>
              <w:t>1</w:t>
            </w:r>
          </w:p>
        </w:tc>
        <w:tc>
          <w:tcPr>
            <w:tcW w:w="441"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u w:val="single"/>
              </w:rPr>
            </w:pPr>
            <w:r>
              <w:rPr>
                <w:color w:val="auto"/>
                <w:u w:val="single"/>
              </w:rPr>
              <w:t>点源</w:t>
            </w:r>
          </w:p>
        </w:tc>
        <w:tc>
          <w:tcPr>
            <w:tcW w:w="1246"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u w:val="single"/>
              </w:rPr>
            </w:pPr>
            <w:r>
              <w:rPr>
                <w:color w:val="auto"/>
                <w:u w:val="single"/>
              </w:rPr>
              <w:t>113.171286</w:t>
            </w:r>
          </w:p>
        </w:tc>
        <w:tc>
          <w:tcPr>
            <w:tcW w:w="1146"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u w:val="single"/>
              </w:rPr>
            </w:pPr>
            <w:r>
              <w:rPr>
                <w:color w:val="auto"/>
                <w:u w:val="single"/>
              </w:rPr>
              <w:t>28.762883</w:t>
            </w:r>
          </w:p>
        </w:tc>
        <w:tc>
          <w:tcPr>
            <w:tcW w:w="794"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u w:val="single"/>
              </w:rPr>
            </w:pPr>
            <w:r>
              <w:rPr>
                <w:color w:val="auto"/>
                <w:u w:val="single"/>
              </w:rPr>
              <w:t>55.00</w:t>
            </w:r>
          </w:p>
        </w:tc>
        <w:tc>
          <w:tcPr>
            <w:tcW w:w="712"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u w:val="single"/>
              </w:rPr>
            </w:pPr>
            <w:r>
              <w:rPr>
                <w:color w:val="auto"/>
                <w:u w:val="single"/>
              </w:rPr>
              <w:t>1</w:t>
            </w:r>
            <w:r>
              <w:rPr>
                <w:rFonts w:hint="eastAsia"/>
                <w:color w:val="auto"/>
                <w:u w:val="single"/>
                <w:lang w:val="en-US" w:eastAsia="zh-CN"/>
              </w:rPr>
              <w:t>8</w:t>
            </w:r>
            <w:r>
              <w:rPr>
                <w:color w:val="auto"/>
                <w:u w:val="single"/>
              </w:rPr>
              <w:t>.00</w:t>
            </w:r>
          </w:p>
        </w:tc>
        <w:tc>
          <w:tcPr>
            <w:tcW w:w="603"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u w:val="single"/>
                <w:lang w:val="en-US" w:eastAsia="zh-CN"/>
              </w:rPr>
            </w:pPr>
            <w:r>
              <w:rPr>
                <w:rFonts w:hint="eastAsia"/>
                <w:color w:val="auto"/>
                <w:u w:val="single"/>
                <w:lang w:val="en-US" w:eastAsia="zh-CN"/>
              </w:rPr>
              <w:t>0.80</w:t>
            </w:r>
          </w:p>
        </w:tc>
        <w:tc>
          <w:tcPr>
            <w:tcW w:w="693"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color w:val="auto"/>
                <w:u w:val="single"/>
                <w:lang w:val="en-US"/>
              </w:rPr>
            </w:pPr>
            <w:r>
              <w:rPr>
                <w:rFonts w:hint="eastAsia"/>
                <w:color w:val="auto"/>
                <w:u w:val="single"/>
                <w:lang w:val="en-US" w:eastAsia="zh-CN"/>
              </w:rPr>
              <w:t>80</w:t>
            </w:r>
          </w:p>
        </w:tc>
        <w:tc>
          <w:tcPr>
            <w:tcW w:w="712"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u w:val="single"/>
                <w:lang w:val="en-US" w:eastAsia="zh-CN"/>
              </w:rPr>
            </w:pPr>
            <w:r>
              <w:rPr>
                <w:rFonts w:hint="eastAsia"/>
                <w:color w:val="auto"/>
                <w:u w:val="single"/>
                <w:lang w:val="en-US" w:eastAsia="zh-CN"/>
              </w:rPr>
              <w:t>17.68</w:t>
            </w:r>
          </w:p>
        </w:tc>
        <w:tc>
          <w:tcPr>
            <w:tcW w:w="912"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u w:val="single"/>
                <w:lang w:val="en-US" w:eastAsia="zh-CN"/>
              </w:rPr>
            </w:pPr>
            <w:r>
              <w:rPr>
                <w:rFonts w:hint="eastAsia"/>
                <w:color w:val="auto"/>
                <w:u w:val="single"/>
                <w:lang w:val="en-US" w:eastAsia="zh-CN"/>
              </w:rPr>
              <w:t>0.792</w:t>
            </w:r>
          </w:p>
        </w:tc>
        <w:tc>
          <w:tcPr>
            <w:tcW w:w="822" w:type="dxa"/>
            <w:tcBorders>
              <w:top w:val="single" w:color="auto" w:sz="4" w:space="0"/>
              <w:left w:val="single" w:color="auto" w:sz="4" w:space="0"/>
              <w:bottom w:val="single" w:color="auto" w:sz="4" w:space="0"/>
              <w:right w:val="single" w:color="auto" w:sz="12" w:space="0"/>
            </w:tcBorders>
            <w:vAlign w:val="center"/>
          </w:tcPr>
          <w:p>
            <w:pPr>
              <w:pStyle w:val="30"/>
              <w:ind w:firstLine="0" w:firstLineChars="0"/>
              <w:rPr>
                <w:color w:val="auto"/>
                <w:u w:val="single"/>
              </w:rPr>
            </w:pPr>
            <w:r>
              <w:rPr>
                <w:color w:val="auto"/>
                <w:u w:val="singl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41" w:type="dxa"/>
            <w:tcBorders>
              <w:top w:val="single" w:color="auto" w:sz="4" w:space="0"/>
              <w:left w:val="single" w:color="auto" w:sz="12" w:space="0"/>
              <w:bottom w:val="single" w:color="auto" w:sz="12" w:space="0"/>
              <w:right w:val="single" w:color="auto" w:sz="4" w:space="0"/>
            </w:tcBorders>
            <w:vAlign w:val="center"/>
          </w:tcPr>
          <w:p>
            <w:pPr>
              <w:pStyle w:val="30"/>
              <w:ind w:firstLine="0" w:firstLineChars="0"/>
              <w:rPr>
                <w:rFonts w:hint="default"/>
                <w:color w:val="auto"/>
                <w:u w:val="single"/>
                <w:lang w:val="en-US" w:eastAsia="zh-CN"/>
              </w:rPr>
            </w:pPr>
            <w:r>
              <w:rPr>
                <w:rFonts w:hint="eastAsia"/>
                <w:color w:val="auto"/>
                <w:u w:val="single"/>
                <w:lang w:val="en-US" w:eastAsia="zh-CN"/>
              </w:rPr>
              <w:t>2</w:t>
            </w:r>
          </w:p>
        </w:tc>
        <w:tc>
          <w:tcPr>
            <w:tcW w:w="441"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点源</w:t>
            </w:r>
          </w:p>
        </w:tc>
        <w:tc>
          <w:tcPr>
            <w:tcW w:w="1246"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113.17076</w:t>
            </w:r>
          </w:p>
        </w:tc>
        <w:tc>
          <w:tcPr>
            <w:tcW w:w="1146"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28.762346</w:t>
            </w:r>
          </w:p>
        </w:tc>
        <w:tc>
          <w:tcPr>
            <w:tcW w:w="794"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rFonts w:hint="eastAsia" w:eastAsia="宋体"/>
                <w:color w:val="auto"/>
                <w:u w:val="single"/>
                <w:lang w:val="en-US" w:eastAsia="zh-CN"/>
              </w:rPr>
            </w:pPr>
            <w:r>
              <w:rPr>
                <w:rFonts w:hint="eastAsia"/>
                <w:color w:val="auto"/>
                <w:u w:val="single"/>
                <w:lang w:val="en-US" w:eastAsia="zh-CN"/>
              </w:rPr>
              <w:t>55</w:t>
            </w:r>
            <w:r>
              <w:rPr>
                <w:color w:val="auto"/>
                <w:u w:val="single"/>
              </w:rPr>
              <w:t>.00</w:t>
            </w:r>
          </w:p>
        </w:tc>
        <w:tc>
          <w:tcPr>
            <w:tcW w:w="712"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1</w:t>
            </w:r>
            <w:r>
              <w:rPr>
                <w:rFonts w:hint="eastAsia"/>
                <w:color w:val="auto"/>
                <w:u w:val="single"/>
                <w:lang w:val="en-US" w:eastAsia="zh-CN"/>
              </w:rPr>
              <w:t>8</w:t>
            </w:r>
            <w:r>
              <w:rPr>
                <w:color w:val="auto"/>
                <w:u w:val="single"/>
              </w:rPr>
              <w:t>.00</w:t>
            </w:r>
          </w:p>
        </w:tc>
        <w:tc>
          <w:tcPr>
            <w:tcW w:w="603"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0.</w:t>
            </w:r>
            <w:r>
              <w:rPr>
                <w:rFonts w:hint="eastAsia"/>
                <w:color w:val="auto"/>
                <w:u w:val="single"/>
                <w:lang w:val="en-US" w:eastAsia="zh-CN"/>
              </w:rPr>
              <w:t>4</w:t>
            </w:r>
            <w:r>
              <w:rPr>
                <w:color w:val="auto"/>
                <w:u w:val="single"/>
              </w:rPr>
              <w:t>0</w:t>
            </w:r>
          </w:p>
        </w:tc>
        <w:tc>
          <w:tcPr>
            <w:tcW w:w="693"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rFonts w:hint="default" w:eastAsia="宋体"/>
                <w:color w:val="auto"/>
                <w:u w:val="single"/>
                <w:lang w:val="en-US" w:eastAsia="zh-CN"/>
              </w:rPr>
            </w:pPr>
            <w:r>
              <w:rPr>
                <w:rFonts w:hint="eastAsia"/>
                <w:color w:val="auto"/>
                <w:u w:val="single"/>
                <w:lang w:val="en-US" w:eastAsia="zh-CN"/>
              </w:rPr>
              <w:t>60</w:t>
            </w:r>
          </w:p>
        </w:tc>
        <w:tc>
          <w:tcPr>
            <w:tcW w:w="712"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5.00</w:t>
            </w:r>
          </w:p>
        </w:tc>
        <w:tc>
          <w:tcPr>
            <w:tcW w:w="912"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u w:val="single"/>
              </w:rPr>
            </w:pPr>
            <w:r>
              <w:rPr>
                <w:color w:val="auto"/>
                <w:u w:val="single"/>
              </w:rPr>
              <w:t>-</w:t>
            </w:r>
          </w:p>
        </w:tc>
        <w:tc>
          <w:tcPr>
            <w:tcW w:w="822" w:type="dxa"/>
            <w:tcBorders>
              <w:top w:val="single" w:color="auto" w:sz="4" w:space="0"/>
              <w:left w:val="single" w:color="auto" w:sz="4" w:space="0"/>
              <w:bottom w:val="single" w:color="auto" w:sz="12" w:space="0"/>
              <w:right w:val="single" w:color="auto" w:sz="12" w:space="0"/>
            </w:tcBorders>
            <w:vAlign w:val="center"/>
          </w:tcPr>
          <w:p>
            <w:pPr>
              <w:pStyle w:val="30"/>
              <w:ind w:firstLine="0" w:firstLineChars="0"/>
              <w:rPr>
                <w:rFonts w:hint="default" w:eastAsia="宋体"/>
                <w:color w:val="auto"/>
                <w:u w:val="single"/>
                <w:lang w:val="en-US" w:eastAsia="zh-CN"/>
              </w:rPr>
            </w:pPr>
            <w:r>
              <w:rPr>
                <w:color w:val="auto"/>
                <w:u w:val="single"/>
              </w:rPr>
              <w:t>0.00</w:t>
            </w:r>
            <w:r>
              <w:rPr>
                <w:rFonts w:hint="eastAsia"/>
                <w:color w:val="auto"/>
                <w:u w:val="single"/>
                <w:lang w:val="en-US" w:eastAsia="zh-CN"/>
              </w:rPr>
              <w:t>07</w:t>
            </w:r>
          </w:p>
        </w:tc>
      </w:tr>
    </w:tbl>
    <w:p>
      <w:pPr>
        <w:pStyle w:val="31"/>
        <w:rPr>
          <w:color w:val="auto"/>
          <w:u w:val="single"/>
        </w:rPr>
      </w:pPr>
      <w:r>
        <w:rPr>
          <w:color w:val="auto"/>
          <w:u w:val="single"/>
        </w:rPr>
        <w:t>表2.5-</w:t>
      </w:r>
      <w:r>
        <w:rPr>
          <w:rFonts w:hint="eastAsia"/>
          <w:color w:val="auto"/>
          <w:u w:val="single"/>
          <w:lang w:val="en-US" w:eastAsia="zh-CN"/>
        </w:rPr>
        <w:t>5</w:t>
      </w:r>
      <w:r>
        <w:rPr>
          <w:color w:val="auto"/>
          <w:u w:val="single"/>
        </w:rPr>
        <w:t xml:space="preserve">  本项目</w:t>
      </w:r>
      <w:r>
        <w:rPr>
          <w:rFonts w:hint="eastAsia"/>
          <w:color w:val="auto"/>
          <w:u w:val="single"/>
          <w:lang w:val="en-US" w:eastAsia="zh-CN"/>
        </w:rPr>
        <w:t>无</w:t>
      </w:r>
      <w:r>
        <w:rPr>
          <w:color w:val="auto"/>
          <w:u w:val="single"/>
        </w:rPr>
        <w:t>组织污染源清单</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89"/>
        <w:gridCol w:w="1423"/>
        <w:gridCol w:w="1307"/>
        <w:gridCol w:w="803"/>
        <w:gridCol w:w="929"/>
        <w:gridCol w:w="803"/>
        <w:gridCol w:w="803"/>
        <w:gridCol w:w="1035"/>
        <w:gridCol w:w="9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89"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污染源名称</w:t>
            </w:r>
          </w:p>
        </w:tc>
        <w:tc>
          <w:tcPr>
            <w:tcW w:w="2730" w:type="dxa"/>
            <w:gridSpan w:val="2"/>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坐标(°)</w:t>
            </w:r>
          </w:p>
        </w:tc>
        <w:tc>
          <w:tcPr>
            <w:tcW w:w="803"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海拔高度(m)</w:t>
            </w:r>
          </w:p>
        </w:tc>
        <w:tc>
          <w:tcPr>
            <w:tcW w:w="2535" w:type="dxa"/>
            <w:gridSpan w:val="3"/>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矩形面源</w:t>
            </w:r>
          </w:p>
        </w:tc>
        <w:tc>
          <w:tcPr>
            <w:tcW w:w="1965" w:type="dxa"/>
            <w:gridSpan w:val="2"/>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89"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p>
        </w:tc>
        <w:tc>
          <w:tcPr>
            <w:tcW w:w="1423"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经度</w:t>
            </w:r>
          </w:p>
        </w:tc>
        <w:tc>
          <w:tcPr>
            <w:tcW w:w="1307"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纬度</w:t>
            </w:r>
          </w:p>
        </w:tc>
        <w:tc>
          <w:tcPr>
            <w:tcW w:w="803"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p>
        </w:tc>
        <w:tc>
          <w:tcPr>
            <w:tcW w:w="929"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长度(m)</w:t>
            </w:r>
          </w:p>
        </w:tc>
        <w:tc>
          <w:tcPr>
            <w:tcW w:w="803"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宽度(m)</w:t>
            </w:r>
          </w:p>
        </w:tc>
        <w:tc>
          <w:tcPr>
            <w:tcW w:w="803"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有效高度(m)</w:t>
            </w:r>
          </w:p>
        </w:tc>
        <w:tc>
          <w:tcPr>
            <w:tcW w:w="1035"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NMHC</w:t>
            </w:r>
          </w:p>
        </w:tc>
        <w:tc>
          <w:tcPr>
            <w:tcW w:w="93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u w:val="single"/>
              </w:rPr>
            </w:pPr>
            <w:r>
              <w:rPr>
                <w:rFonts w:ascii="Times New Roman" w:hAnsi="Times New Roman" w:eastAsia="宋体" w:cs="Times New Roman"/>
                <w:b/>
                <w:bCs/>
                <w:sz w:val="23"/>
                <w:szCs w:val="23"/>
                <w:u w:val="single"/>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4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矩形面源</w:t>
            </w:r>
          </w:p>
        </w:tc>
        <w:tc>
          <w:tcPr>
            <w:tcW w:w="14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113.170185</w:t>
            </w:r>
          </w:p>
        </w:tc>
        <w:tc>
          <w:tcPr>
            <w:tcW w:w="1307"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28.762764</w:t>
            </w:r>
          </w:p>
        </w:tc>
        <w:tc>
          <w:tcPr>
            <w:tcW w:w="80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55.00</w:t>
            </w:r>
          </w:p>
        </w:tc>
        <w:tc>
          <w:tcPr>
            <w:tcW w:w="92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hint="eastAsia" w:ascii="Times New Roman" w:hAnsi="Times New Roman" w:eastAsia="宋体" w:cs="Times New Roman"/>
                <w:b w:val="0"/>
                <w:sz w:val="23"/>
                <w:szCs w:val="23"/>
                <w:u w:val="single"/>
                <w:lang w:val="en-US" w:eastAsia="zh-CN"/>
              </w:rPr>
              <w:t>128</w:t>
            </w:r>
            <w:r>
              <w:rPr>
                <w:rFonts w:ascii="Times New Roman" w:hAnsi="Times New Roman" w:eastAsia="宋体" w:cs="Times New Roman"/>
                <w:b w:val="0"/>
                <w:sz w:val="23"/>
                <w:szCs w:val="23"/>
                <w:u w:val="single"/>
              </w:rPr>
              <w:t>.00</w:t>
            </w:r>
          </w:p>
        </w:tc>
        <w:tc>
          <w:tcPr>
            <w:tcW w:w="80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hint="eastAsia" w:ascii="Times New Roman" w:hAnsi="Times New Roman" w:eastAsia="宋体" w:cs="Times New Roman"/>
                <w:b w:val="0"/>
                <w:sz w:val="23"/>
                <w:szCs w:val="23"/>
                <w:u w:val="single"/>
                <w:lang w:val="en-US" w:eastAsia="zh-CN"/>
              </w:rPr>
              <w:t>84</w:t>
            </w:r>
            <w:r>
              <w:rPr>
                <w:rFonts w:ascii="Times New Roman" w:hAnsi="Times New Roman" w:eastAsia="宋体" w:cs="Times New Roman"/>
                <w:b w:val="0"/>
                <w:sz w:val="23"/>
                <w:szCs w:val="23"/>
                <w:u w:val="single"/>
              </w:rPr>
              <w:t>.00</w:t>
            </w:r>
          </w:p>
        </w:tc>
        <w:tc>
          <w:tcPr>
            <w:tcW w:w="80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10.00</w:t>
            </w:r>
          </w:p>
        </w:tc>
        <w:tc>
          <w:tcPr>
            <w:tcW w:w="103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u w:val="single"/>
                <w:lang w:val="en-US" w:eastAsia="zh-CN"/>
              </w:rPr>
            </w:pPr>
            <w:r>
              <w:rPr>
                <w:rFonts w:hint="eastAsia" w:cs="Times New Roman"/>
                <w:b w:val="0"/>
                <w:sz w:val="23"/>
                <w:szCs w:val="23"/>
                <w:u w:val="single"/>
                <w:lang w:val="en-US" w:eastAsia="zh-CN"/>
              </w:rPr>
              <w:t>0.3300</w:t>
            </w:r>
          </w:p>
        </w:tc>
        <w:tc>
          <w:tcPr>
            <w:tcW w:w="93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u w:val="single"/>
              </w:rPr>
            </w:pPr>
            <w:r>
              <w:rPr>
                <w:rFonts w:ascii="Times New Roman" w:hAnsi="Times New Roman" w:eastAsia="宋体" w:cs="Times New Roman"/>
                <w:b w:val="0"/>
                <w:sz w:val="23"/>
                <w:szCs w:val="23"/>
                <w:u w:val="single"/>
              </w:rPr>
              <w:t>0.0032</w:t>
            </w:r>
          </w:p>
        </w:tc>
      </w:tr>
    </w:tbl>
    <w:p>
      <w:pPr>
        <w:pStyle w:val="31"/>
        <w:jc w:val="both"/>
        <w:rPr>
          <w:color w:val="auto"/>
          <w:u w:val="single"/>
        </w:rPr>
      </w:pPr>
      <w:bookmarkStart w:id="68" w:name="_Hlk130668714"/>
    </w:p>
    <w:bookmarkEnd w:id="68"/>
    <w:p>
      <w:pPr>
        <w:pStyle w:val="31"/>
        <w:rPr>
          <w:rFonts w:hint="eastAsia"/>
          <w:color w:val="auto"/>
          <w:u w:val="single"/>
        </w:rPr>
      </w:pPr>
      <w:r>
        <w:rPr>
          <w:rFonts w:hint="eastAsia"/>
          <w:color w:val="auto"/>
          <w:u w:val="single"/>
        </w:rPr>
        <w:t>表2.5-</w:t>
      </w:r>
      <w:r>
        <w:rPr>
          <w:rFonts w:hint="eastAsia"/>
          <w:color w:val="auto"/>
          <w:u w:val="single"/>
          <w:lang w:val="en-US" w:eastAsia="zh-CN"/>
        </w:rPr>
        <w:t>6</w:t>
      </w:r>
      <w:r>
        <w:rPr>
          <w:rFonts w:hint="eastAsia"/>
          <w:color w:val="auto"/>
          <w:u w:val="single"/>
        </w:rPr>
        <w:t xml:space="preserve"> 估算模式计算结果统计</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02"/>
        <w:gridCol w:w="1705"/>
        <w:gridCol w:w="1705"/>
        <w:gridCol w:w="1705"/>
        <w:gridCol w:w="17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tcBorders>
              <w:top w:val="single" w:color="auto" w:sz="12" w:space="0"/>
              <w:bottom w:val="single" w:color="auto" w:sz="6" w:space="0"/>
              <w:right w:val="single" w:color="auto" w:sz="6" w:space="0"/>
            </w:tcBorders>
            <w:vAlign w:val="center"/>
          </w:tcPr>
          <w:p>
            <w:pPr>
              <w:pStyle w:val="30"/>
              <w:rPr>
                <w:b/>
                <w:bCs/>
                <w:color w:val="auto"/>
                <w:u w:val="single"/>
              </w:rPr>
            </w:pPr>
            <w:r>
              <w:rPr>
                <w:rFonts w:hint="eastAsia"/>
                <w:b/>
                <w:bCs/>
                <w:color w:val="auto"/>
                <w:u w:val="single"/>
              </w:rPr>
              <w:t>污染源</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u w:val="single"/>
              </w:rPr>
            </w:pPr>
            <w:r>
              <w:rPr>
                <w:rFonts w:hint="eastAsia"/>
                <w:b/>
                <w:bCs/>
                <w:color w:val="auto"/>
                <w:u w:val="single"/>
              </w:rPr>
              <w:t>评价因子</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u w:val="single"/>
              </w:rPr>
            </w:pPr>
            <w:r>
              <w:rPr>
                <w:rFonts w:hint="eastAsia"/>
                <w:b/>
                <w:bCs/>
                <w:color w:val="auto"/>
                <w:u w:val="single"/>
              </w:rPr>
              <w:t>评价标准（</w:t>
            </w:r>
            <w:r>
              <w:rPr>
                <w:b/>
                <w:bCs/>
                <w:color w:val="auto"/>
                <w:u w:val="single"/>
              </w:rPr>
              <w:t>μ</w:t>
            </w:r>
            <w:r>
              <w:rPr>
                <w:rFonts w:hint="eastAsia"/>
                <w:b/>
                <w:bCs/>
                <w:color w:val="auto"/>
                <w:u w:val="single"/>
              </w:rPr>
              <w:t>g/m</w:t>
            </w:r>
            <w:r>
              <w:rPr>
                <w:rFonts w:hint="eastAsia"/>
                <w:b/>
                <w:bCs/>
                <w:color w:val="auto"/>
                <w:u w:val="single"/>
                <w:vertAlign w:val="superscript"/>
              </w:rPr>
              <w:t>3</w:t>
            </w:r>
            <w:r>
              <w:rPr>
                <w:rFonts w:hint="eastAsia"/>
                <w:b/>
                <w:bCs/>
                <w:color w:val="auto"/>
                <w:u w:val="single"/>
              </w:rPr>
              <w:t>）</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u w:val="single"/>
              </w:rPr>
            </w:pPr>
            <w:r>
              <w:rPr>
                <w:rFonts w:hint="eastAsia"/>
                <w:b/>
                <w:bCs/>
                <w:color w:val="auto"/>
                <w:u w:val="single"/>
              </w:rPr>
              <w:t>Cmax（</w:t>
            </w:r>
            <w:r>
              <w:rPr>
                <w:b/>
                <w:bCs/>
                <w:color w:val="auto"/>
                <w:u w:val="single"/>
              </w:rPr>
              <w:t>μ</w:t>
            </w:r>
            <w:r>
              <w:rPr>
                <w:rFonts w:hint="eastAsia"/>
                <w:b/>
                <w:bCs/>
                <w:color w:val="auto"/>
                <w:u w:val="single"/>
              </w:rPr>
              <w:t>g/m</w:t>
            </w:r>
            <w:r>
              <w:rPr>
                <w:rFonts w:hint="eastAsia"/>
                <w:b/>
                <w:bCs/>
                <w:color w:val="auto"/>
                <w:u w:val="single"/>
                <w:vertAlign w:val="superscript"/>
              </w:rPr>
              <w:t>3</w:t>
            </w:r>
            <w:r>
              <w:rPr>
                <w:rFonts w:hint="eastAsia"/>
                <w:b/>
                <w:bCs/>
                <w:color w:val="auto"/>
                <w:u w:val="single"/>
              </w:rPr>
              <w:t>）</w:t>
            </w:r>
          </w:p>
        </w:tc>
        <w:tc>
          <w:tcPr>
            <w:tcW w:w="1000" w:type="pct"/>
            <w:tcBorders>
              <w:top w:val="single" w:color="auto" w:sz="12" w:space="0"/>
              <w:left w:val="single" w:color="auto" w:sz="6" w:space="0"/>
              <w:bottom w:val="single" w:color="auto" w:sz="6" w:space="0"/>
            </w:tcBorders>
            <w:vAlign w:val="center"/>
          </w:tcPr>
          <w:p>
            <w:pPr>
              <w:pStyle w:val="30"/>
              <w:rPr>
                <w:b/>
                <w:bCs/>
                <w:color w:val="auto"/>
                <w:u w:val="single"/>
              </w:rPr>
            </w:pPr>
            <w:r>
              <w:rPr>
                <w:rFonts w:hint="eastAsia"/>
                <w:b/>
                <w:bCs/>
                <w:color w:val="auto"/>
                <w:u w:val="single"/>
              </w:rPr>
              <w:t>Pmax（%）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tcBorders>
              <w:top w:val="single" w:color="auto" w:sz="6" w:space="0"/>
              <w:bottom w:val="single" w:color="auto" w:sz="6" w:space="0"/>
              <w:right w:val="single" w:color="auto" w:sz="6" w:space="0"/>
            </w:tcBorders>
            <w:vAlign w:val="center"/>
          </w:tcPr>
          <w:p>
            <w:pPr>
              <w:pStyle w:val="30"/>
              <w:rPr>
                <w:color w:val="auto"/>
                <w:u w:val="single"/>
              </w:rPr>
            </w:pPr>
            <w:r>
              <w:rPr>
                <w:rFonts w:hint="eastAsia"/>
                <w:color w:val="auto"/>
                <w:u w:val="single"/>
              </w:rPr>
              <w:t>DA001排气筒（熔融挤出）</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rFonts w:hint="eastAsia"/>
                <w:color w:val="auto"/>
                <w:u w:val="single"/>
              </w:rPr>
              <w:t>非甲烷总烃</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color w:val="auto"/>
                <w:u w:val="single"/>
              </w:rPr>
              <w:t>2000.0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color w:val="auto"/>
                <w:u w:val="single"/>
              </w:rPr>
              <w:t>20.7310</w:t>
            </w:r>
          </w:p>
        </w:tc>
        <w:tc>
          <w:tcPr>
            <w:tcW w:w="1802" w:type="dxa"/>
            <w:tcBorders>
              <w:top w:val="single" w:color="auto" w:sz="6" w:space="0"/>
              <w:left w:val="single" w:color="auto" w:sz="6" w:space="0"/>
              <w:bottom w:val="single" w:color="auto" w:sz="6" w:space="0"/>
            </w:tcBorders>
            <w:vAlign w:val="center"/>
          </w:tcPr>
          <w:p>
            <w:pPr>
              <w:pStyle w:val="30"/>
              <w:rPr>
                <w:color w:val="auto"/>
                <w:u w:val="single"/>
              </w:rPr>
            </w:pPr>
            <w:r>
              <w:rPr>
                <w:color w:val="auto"/>
                <w:u w:val="single"/>
              </w:rPr>
              <w:t>1.0366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tcBorders>
              <w:top w:val="single" w:color="auto" w:sz="6" w:space="0"/>
              <w:bottom w:val="single" w:color="auto" w:sz="6" w:space="0"/>
              <w:right w:val="single" w:color="auto" w:sz="6" w:space="0"/>
            </w:tcBorders>
            <w:vAlign w:val="center"/>
          </w:tcPr>
          <w:p>
            <w:pPr>
              <w:pStyle w:val="30"/>
              <w:rPr>
                <w:rFonts w:hint="eastAsia"/>
                <w:color w:val="auto"/>
                <w:u w:val="single"/>
              </w:rPr>
            </w:pPr>
            <w:r>
              <w:rPr>
                <w:rFonts w:hint="eastAsia"/>
                <w:color w:val="auto"/>
                <w:u w:val="single"/>
                <w:lang w:eastAsia="zh-CN"/>
              </w:rPr>
              <w:t>DA002</w:t>
            </w:r>
            <w:r>
              <w:rPr>
                <w:rFonts w:hint="eastAsia"/>
                <w:color w:val="auto"/>
                <w:u w:val="single"/>
              </w:rPr>
              <w:t>排气筒（</w:t>
            </w:r>
            <w:r>
              <w:rPr>
                <w:rFonts w:hint="eastAsia"/>
                <w:color w:val="auto"/>
                <w:u w:val="single"/>
                <w:lang w:val="en-US" w:eastAsia="zh-CN"/>
              </w:rPr>
              <w:t>破碎</w:t>
            </w:r>
            <w:r>
              <w:rPr>
                <w:rFonts w:hint="eastAsia"/>
                <w:color w:val="auto"/>
                <w:u w:val="single"/>
              </w:rPr>
              <w:t>）</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eastAsia"/>
                <w:color w:val="auto"/>
                <w:u w:val="single"/>
              </w:rPr>
            </w:pPr>
            <w:r>
              <w:rPr>
                <w:rFonts w:hint="eastAsia"/>
                <w:color w:val="auto"/>
                <w:u w:val="single"/>
              </w:rPr>
              <w:t>颗粒物</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default"/>
                <w:color w:val="auto"/>
                <w:u w:val="single"/>
                <w:lang w:val="en-US" w:eastAsia="zh-CN"/>
              </w:rPr>
            </w:pPr>
            <w:r>
              <w:rPr>
                <w:rFonts w:hint="eastAsia"/>
                <w:color w:val="auto"/>
                <w:u w:val="single"/>
                <w:lang w:val="en-US" w:eastAsia="zh-CN"/>
              </w:rPr>
              <w:t>900</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eastAsia"/>
                <w:color w:val="auto"/>
                <w:u w:val="single"/>
              </w:rPr>
            </w:pPr>
            <w:r>
              <w:rPr>
                <w:color w:val="auto"/>
                <w:u w:val="single"/>
              </w:rPr>
              <w:t>0.0433</w:t>
            </w:r>
          </w:p>
        </w:tc>
        <w:tc>
          <w:tcPr>
            <w:tcW w:w="1000" w:type="pct"/>
            <w:tcBorders>
              <w:top w:val="single" w:color="auto" w:sz="6" w:space="0"/>
              <w:left w:val="single" w:color="auto" w:sz="6" w:space="0"/>
              <w:bottom w:val="single" w:color="auto" w:sz="6" w:space="0"/>
            </w:tcBorders>
            <w:vAlign w:val="center"/>
          </w:tcPr>
          <w:p>
            <w:pPr>
              <w:pStyle w:val="30"/>
              <w:rPr>
                <w:rFonts w:hint="eastAsia"/>
                <w:color w:val="auto"/>
                <w:u w:val="single"/>
              </w:rPr>
            </w:pPr>
            <w:r>
              <w:rPr>
                <w:color w:val="auto"/>
                <w:u w:val="single"/>
              </w:rPr>
              <w:t>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vMerge w:val="restart"/>
            <w:tcBorders>
              <w:top w:val="single" w:color="auto" w:sz="6" w:space="0"/>
              <w:right w:val="single" w:color="auto" w:sz="6" w:space="0"/>
            </w:tcBorders>
            <w:vAlign w:val="center"/>
          </w:tcPr>
          <w:p>
            <w:pPr>
              <w:pStyle w:val="30"/>
              <w:rPr>
                <w:color w:val="auto"/>
                <w:u w:val="single"/>
              </w:rPr>
            </w:pPr>
            <w:r>
              <w:rPr>
                <w:rFonts w:hint="eastAsia"/>
                <w:color w:val="auto"/>
                <w:u w:val="single"/>
              </w:rPr>
              <w:t>生产厂房</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rFonts w:hint="eastAsia"/>
                <w:color w:val="auto"/>
                <w:u w:val="single"/>
              </w:rPr>
              <w:t>颗粒物</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rFonts w:hint="eastAsia"/>
                <w:color w:val="auto"/>
                <w:u w:val="single"/>
              </w:rPr>
              <w:t>900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color w:val="auto"/>
                <w:u w:val="single"/>
              </w:rPr>
              <w:t>1.0244</w:t>
            </w:r>
          </w:p>
        </w:tc>
        <w:tc>
          <w:tcPr>
            <w:tcW w:w="1802" w:type="dxa"/>
            <w:tcBorders>
              <w:top w:val="single" w:color="auto" w:sz="6" w:space="0"/>
              <w:left w:val="single" w:color="auto" w:sz="6" w:space="0"/>
              <w:bottom w:val="single" w:color="auto" w:sz="6" w:space="0"/>
            </w:tcBorders>
            <w:vAlign w:val="center"/>
          </w:tcPr>
          <w:p>
            <w:pPr>
              <w:pStyle w:val="30"/>
              <w:rPr>
                <w:color w:val="auto"/>
                <w:u w:val="single"/>
              </w:rPr>
            </w:pPr>
            <w:r>
              <w:rPr>
                <w:color w:val="auto"/>
                <w:u w:val="single"/>
              </w:rPr>
              <w:t>0.1138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vMerge w:val="continue"/>
            <w:tcBorders>
              <w:bottom w:val="single" w:color="auto" w:sz="6" w:space="0"/>
              <w:right w:val="single" w:color="auto" w:sz="6" w:space="0"/>
            </w:tcBorders>
            <w:vAlign w:val="center"/>
          </w:tcPr>
          <w:p>
            <w:pPr>
              <w:pStyle w:val="30"/>
              <w:rPr>
                <w:color w:val="auto"/>
                <w:u w:val="single"/>
              </w:rPr>
            </w:pP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rFonts w:hint="eastAsia"/>
                <w:color w:val="auto"/>
                <w:u w:val="single"/>
              </w:rPr>
              <w:t>非甲烷总烃</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color w:val="auto"/>
                <w:u w:val="single"/>
              </w:rPr>
              <w:t>2000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u w:val="single"/>
              </w:rPr>
            </w:pPr>
            <w:r>
              <w:rPr>
                <w:color w:val="auto"/>
                <w:u w:val="single"/>
              </w:rPr>
              <w:t>105.6400</w:t>
            </w:r>
          </w:p>
        </w:tc>
        <w:tc>
          <w:tcPr>
            <w:tcW w:w="1802" w:type="dxa"/>
            <w:tcBorders>
              <w:top w:val="single" w:color="auto" w:sz="6" w:space="0"/>
              <w:left w:val="single" w:color="auto" w:sz="6" w:space="0"/>
              <w:bottom w:val="single" w:color="auto" w:sz="6" w:space="0"/>
            </w:tcBorders>
            <w:vAlign w:val="center"/>
          </w:tcPr>
          <w:p>
            <w:pPr>
              <w:pStyle w:val="30"/>
              <w:rPr>
                <w:color w:val="auto"/>
                <w:u w:val="single"/>
              </w:rPr>
            </w:pPr>
            <w:r>
              <w:rPr>
                <w:color w:val="auto"/>
                <w:u w:val="single"/>
              </w:rPr>
              <w:t>5.2820</w:t>
            </w:r>
          </w:p>
        </w:tc>
      </w:tr>
    </w:tbl>
    <w:p>
      <w:pPr>
        <w:ind w:firstLine="480"/>
        <w:rPr>
          <w:color w:val="auto"/>
          <w:u w:val="single"/>
        </w:rPr>
      </w:pPr>
      <w:r>
        <w:rPr>
          <w:color w:val="auto"/>
          <w:u w:val="single"/>
        </w:rPr>
        <w:t>由估算模式的计算结果可知，由上表可知，</w:t>
      </w:r>
      <w:r>
        <w:rPr>
          <w:rFonts w:hint="eastAsia"/>
          <w:color w:val="auto"/>
          <w:u w:val="single"/>
          <w:lang w:val="en-US" w:eastAsia="zh-CN"/>
        </w:rPr>
        <w:t>本项目</w:t>
      </w:r>
      <w:r>
        <w:rPr>
          <w:color w:val="auto"/>
          <w:u w:val="single"/>
        </w:rPr>
        <w:t>Pmax</w:t>
      </w:r>
      <w:r>
        <w:rPr>
          <w:rFonts w:hint="eastAsia"/>
          <w:color w:val="auto"/>
          <w:u w:val="single"/>
          <w:lang w:val="en-US" w:eastAsia="zh-CN"/>
        </w:rPr>
        <w:t>最大值</w:t>
      </w:r>
      <w:r>
        <w:rPr>
          <w:color w:val="auto"/>
          <w:u w:val="single"/>
        </w:rPr>
        <w:t>=</w:t>
      </w:r>
      <w:r>
        <w:rPr>
          <w:rFonts w:hint="eastAsia"/>
          <w:color w:val="auto"/>
          <w:u w:val="single"/>
          <w:lang w:val="en-US" w:eastAsia="zh-CN"/>
        </w:rPr>
        <w:t>5.2820</w:t>
      </w:r>
      <w:r>
        <w:rPr>
          <w:color w:val="auto"/>
          <w:u w:val="single"/>
        </w:rPr>
        <w:t>%，1%＜Pmax ＜10%，根据《环境影响评价技术导则大气环境》（HJ2.2-2018）表2评价等级判别表，评价等级为二级</w:t>
      </w:r>
      <w:r>
        <w:rPr>
          <w:rFonts w:hint="eastAsia"/>
          <w:color w:val="auto"/>
          <w:u w:val="single"/>
        </w:rPr>
        <w:t>，不进行进一步预测和分析，只对污染物排放量进行核算，可不设大气环境防护距离</w:t>
      </w:r>
      <w:r>
        <w:rPr>
          <w:color w:val="auto"/>
          <w:u w:val="single"/>
        </w:rPr>
        <w:t>。</w:t>
      </w:r>
    </w:p>
    <w:p>
      <w:pPr>
        <w:ind w:firstLine="482"/>
        <w:rPr>
          <w:b/>
          <w:bCs/>
          <w:color w:val="auto"/>
          <w:u w:val="single"/>
        </w:rPr>
      </w:pPr>
      <w:r>
        <w:rPr>
          <w:b/>
          <w:bCs/>
          <w:color w:val="auto"/>
          <w:u w:val="single"/>
        </w:rPr>
        <w:t>2、评价范围</w:t>
      </w:r>
    </w:p>
    <w:p>
      <w:pPr>
        <w:ind w:firstLine="480"/>
        <w:rPr>
          <w:b/>
          <w:bCs/>
          <w:color w:val="auto"/>
          <w:u w:val="single"/>
        </w:rPr>
      </w:pPr>
      <w:r>
        <w:rPr>
          <w:bCs/>
          <w:color w:val="auto"/>
          <w:u w:val="single"/>
        </w:rPr>
        <w:t>本项目大气评价工作等级为</w:t>
      </w:r>
      <w:r>
        <w:rPr>
          <w:rFonts w:hint="eastAsia"/>
          <w:bCs/>
          <w:color w:val="auto"/>
          <w:u w:val="single"/>
        </w:rPr>
        <w:t>二</w:t>
      </w:r>
      <w:r>
        <w:rPr>
          <w:bCs/>
          <w:color w:val="auto"/>
          <w:u w:val="single"/>
        </w:rPr>
        <w:t>级，评价范围边长取5km，故大气环境评价范围：以本项目厂址为中心，边长为5km的矩形范围。</w:t>
      </w:r>
    </w:p>
    <w:p>
      <w:pPr>
        <w:pStyle w:val="7"/>
        <w:rPr>
          <w:color w:val="auto"/>
        </w:rPr>
      </w:pPr>
      <w:r>
        <w:rPr>
          <w:color w:val="auto"/>
        </w:rPr>
        <w:t>2.5.2地表水评价工作等级及评价范围</w:t>
      </w:r>
    </w:p>
    <w:p>
      <w:pPr>
        <w:ind w:firstLine="482"/>
        <w:rPr>
          <w:b/>
          <w:bCs/>
          <w:color w:val="auto"/>
        </w:rPr>
      </w:pPr>
      <w:r>
        <w:rPr>
          <w:rFonts w:hint="eastAsia"/>
          <w:b/>
          <w:bCs/>
          <w:color w:val="auto"/>
        </w:rPr>
        <w:t>1、评价等级</w:t>
      </w:r>
    </w:p>
    <w:p>
      <w:pPr>
        <w:ind w:firstLine="480"/>
        <w:rPr>
          <w:bCs/>
          <w:color w:val="auto"/>
        </w:rPr>
      </w:pPr>
      <w:r>
        <w:rPr>
          <w:bCs/>
          <w:color w:val="auto"/>
        </w:rPr>
        <w:t>根据《环境影响评价技术导则  地表水环境》（HJ2.3-2018）中的相关要求和等级判定要求，同时根据《环境影响评价技术导则  地表水环境》（HJ2.3-2018）第5.2条表2中所列出的地表水环境影响评价分级判据标准，本项目地表水环境影响评价工作等级确定依据见表2.5-</w:t>
      </w:r>
      <w:r>
        <w:rPr>
          <w:rFonts w:hint="eastAsia"/>
          <w:bCs/>
          <w:color w:val="auto"/>
          <w:lang w:val="en-US" w:eastAsia="zh-CN"/>
        </w:rPr>
        <w:t>7</w:t>
      </w:r>
      <w:r>
        <w:rPr>
          <w:bCs/>
          <w:color w:val="auto"/>
        </w:rPr>
        <w:t>。</w:t>
      </w:r>
    </w:p>
    <w:p>
      <w:pPr>
        <w:pStyle w:val="31"/>
        <w:rPr>
          <w:color w:val="auto"/>
        </w:rPr>
      </w:pPr>
      <w:r>
        <w:rPr>
          <w:color w:val="auto"/>
        </w:rPr>
        <w:t>表2.5-</w:t>
      </w:r>
      <w:r>
        <w:rPr>
          <w:rFonts w:hint="eastAsia"/>
          <w:color w:val="auto"/>
          <w:lang w:val="en-US" w:eastAsia="zh-CN"/>
        </w:rPr>
        <w:t>7</w:t>
      </w:r>
      <w:r>
        <w:rPr>
          <w:color w:val="auto"/>
        </w:rPr>
        <w:t xml:space="preserve"> 地表水环境评价工作等级判定表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7"/>
        <w:gridCol w:w="1794"/>
        <w:gridCol w:w="57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96" w:hRule="atLeast"/>
          <w:jc w:val="center"/>
        </w:trPr>
        <w:tc>
          <w:tcPr>
            <w:tcW w:w="1447" w:type="dxa"/>
            <w:vMerge w:val="restart"/>
            <w:vAlign w:val="center"/>
          </w:tcPr>
          <w:p>
            <w:pPr>
              <w:pStyle w:val="30"/>
              <w:rPr>
                <w:b/>
                <w:bCs/>
                <w:color w:val="auto"/>
              </w:rPr>
            </w:pPr>
            <w:r>
              <w:rPr>
                <w:b/>
                <w:bCs/>
                <w:color w:val="auto"/>
              </w:rPr>
              <w:t>评价等级</w:t>
            </w:r>
          </w:p>
        </w:tc>
        <w:tc>
          <w:tcPr>
            <w:tcW w:w="7543" w:type="dxa"/>
            <w:gridSpan w:val="2"/>
            <w:vAlign w:val="center"/>
          </w:tcPr>
          <w:p>
            <w:pPr>
              <w:pStyle w:val="30"/>
              <w:rPr>
                <w:b/>
                <w:bCs/>
                <w:color w:val="auto"/>
              </w:rPr>
            </w:pPr>
            <w:r>
              <w:rPr>
                <w:b/>
                <w:bCs/>
                <w:color w:val="auto"/>
              </w:rPr>
              <w:t>受纳水体情况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447" w:type="dxa"/>
            <w:vMerge w:val="continue"/>
            <w:vAlign w:val="center"/>
          </w:tcPr>
          <w:p>
            <w:pPr>
              <w:pStyle w:val="30"/>
              <w:rPr>
                <w:b/>
                <w:bCs/>
                <w:color w:val="auto"/>
              </w:rPr>
            </w:pPr>
          </w:p>
        </w:tc>
        <w:tc>
          <w:tcPr>
            <w:tcW w:w="1794" w:type="dxa"/>
            <w:vAlign w:val="center"/>
          </w:tcPr>
          <w:p>
            <w:pPr>
              <w:pStyle w:val="30"/>
              <w:rPr>
                <w:b/>
                <w:bCs/>
                <w:color w:val="auto"/>
              </w:rPr>
            </w:pPr>
            <w:r>
              <w:rPr>
                <w:b/>
                <w:bCs/>
                <w:color w:val="auto"/>
              </w:rPr>
              <w:t>排放方式</w:t>
            </w:r>
          </w:p>
        </w:tc>
        <w:tc>
          <w:tcPr>
            <w:tcW w:w="5749" w:type="dxa"/>
            <w:vAlign w:val="center"/>
          </w:tcPr>
          <w:p>
            <w:pPr>
              <w:pStyle w:val="30"/>
              <w:rPr>
                <w:b/>
                <w:bCs/>
                <w:color w:val="auto"/>
              </w:rPr>
            </w:pPr>
            <w:r>
              <w:rPr>
                <w:b/>
                <w:bCs/>
                <w:color w:val="auto"/>
              </w:rPr>
              <w:t>废水排放量Q/（m</w:t>
            </w:r>
            <w:r>
              <w:rPr>
                <w:b/>
                <w:bCs/>
                <w:color w:val="auto"/>
                <w:vertAlign w:val="superscript"/>
              </w:rPr>
              <w:t>3</w:t>
            </w:r>
            <w:r>
              <w:rPr>
                <w:b/>
                <w:bCs/>
                <w:color w:val="auto"/>
              </w:rPr>
              <w:t>/d）水污染物当量数W/（无量纲）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47" w:type="dxa"/>
            <w:vAlign w:val="center"/>
          </w:tcPr>
          <w:p>
            <w:pPr>
              <w:pStyle w:val="30"/>
              <w:rPr>
                <w:color w:val="auto"/>
              </w:rPr>
            </w:pPr>
            <w:r>
              <w:rPr>
                <w:color w:val="auto"/>
              </w:rPr>
              <w:t>一级</w:t>
            </w:r>
          </w:p>
        </w:tc>
        <w:tc>
          <w:tcPr>
            <w:tcW w:w="1794" w:type="dxa"/>
            <w:vAlign w:val="center"/>
          </w:tcPr>
          <w:p>
            <w:pPr>
              <w:pStyle w:val="30"/>
              <w:rPr>
                <w:color w:val="auto"/>
              </w:rPr>
            </w:pPr>
            <w:r>
              <w:rPr>
                <w:color w:val="auto"/>
              </w:rPr>
              <w:t>直接排放</w:t>
            </w:r>
          </w:p>
        </w:tc>
        <w:tc>
          <w:tcPr>
            <w:tcW w:w="5749" w:type="dxa"/>
            <w:vAlign w:val="center"/>
          </w:tcPr>
          <w:p>
            <w:pPr>
              <w:pStyle w:val="30"/>
              <w:rPr>
                <w:color w:val="auto"/>
              </w:rPr>
            </w:pPr>
            <w:r>
              <w:rPr>
                <w:color w:val="auto"/>
              </w:rPr>
              <w:t>Q≥20000 或 W≥600000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47" w:type="dxa"/>
            <w:vAlign w:val="center"/>
          </w:tcPr>
          <w:p>
            <w:pPr>
              <w:pStyle w:val="30"/>
              <w:rPr>
                <w:color w:val="auto"/>
              </w:rPr>
            </w:pPr>
            <w:r>
              <w:rPr>
                <w:color w:val="auto"/>
              </w:rPr>
              <w:t>二级</w:t>
            </w:r>
          </w:p>
        </w:tc>
        <w:tc>
          <w:tcPr>
            <w:tcW w:w="1794" w:type="dxa"/>
            <w:vAlign w:val="center"/>
          </w:tcPr>
          <w:p>
            <w:pPr>
              <w:pStyle w:val="30"/>
              <w:rPr>
                <w:color w:val="auto"/>
              </w:rPr>
            </w:pPr>
            <w:r>
              <w:rPr>
                <w:color w:val="auto"/>
              </w:rPr>
              <w:t>直接排放</w:t>
            </w:r>
          </w:p>
        </w:tc>
        <w:tc>
          <w:tcPr>
            <w:tcW w:w="5749" w:type="dxa"/>
            <w:vAlign w:val="center"/>
          </w:tcPr>
          <w:p>
            <w:pPr>
              <w:pStyle w:val="30"/>
              <w:rPr>
                <w:color w:val="auto"/>
              </w:rPr>
            </w:pPr>
            <w:r>
              <w:rPr>
                <w:color w:val="auto"/>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1447" w:type="dxa"/>
            <w:vAlign w:val="center"/>
          </w:tcPr>
          <w:p>
            <w:pPr>
              <w:pStyle w:val="30"/>
              <w:rPr>
                <w:color w:val="auto"/>
              </w:rPr>
            </w:pPr>
            <w:r>
              <w:rPr>
                <w:color w:val="auto"/>
              </w:rPr>
              <w:t>三级A</w:t>
            </w:r>
          </w:p>
        </w:tc>
        <w:tc>
          <w:tcPr>
            <w:tcW w:w="1794" w:type="dxa"/>
            <w:vAlign w:val="center"/>
          </w:tcPr>
          <w:p>
            <w:pPr>
              <w:pStyle w:val="30"/>
              <w:rPr>
                <w:color w:val="auto"/>
              </w:rPr>
            </w:pPr>
            <w:r>
              <w:rPr>
                <w:color w:val="auto"/>
              </w:rPr>
              <w:t>直接排放</w:t>
            </w:r>
          </w:p>
        </w:tc>
        <w:tc>
          <w:tcPr>
            <w:tcW w:w="5749" w:type="dxa"/>
            <w:vAlign w:val="center"/>
          </w:tcPr>
          <w:p>
            <w:pPr>
              <w:pStyle w:val="30"/>
              <w:rPr>
                <w:color w:val="auto"/>
              </w:rPr>
            </w:pPr>
            <w:r>
              <w:rPr>
                <w:color w:val="auto"/>
              </w:rPr>
              <w:t>Q&lt;200 且 W&lt;6000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1447" w:type="dxa"/>
            <w:vAlign w:val="center"/>
          </w:tcPr>
          <w:p>
            <w:pPr>
              <w:pStyle w:val="30"/>
              <w:rPr>
                <w:color w:val="auto"/>
              </w:rPr>
            </w:pPr>
            <w:r>
              <w:rPr>
                <w:color w:val="auto"/>
              </w:rPr>
              <w:t>三级B</w:t>
            </w:r>
          </w:p>
        </w:tc>
        <w:tc>
          <w:tcPr>
            <w:tcW w:w="1794" w:type="dxa"/>
            <w:vAlign w:val="center"/>
          </w:tcPr>
          <w:p>
            <w:pPr>
              <w:pStyle w:val="30"/>
              <w:rPr>
                <w:color w:val="auto"/>
              </w:rPr>
            </w:pPr>
            <w:r>
              <w:rPr>
                <w:color w:val="auto"/>
              </w:rPr>
              <w:t>间接排放</w:t>
            </w:r>
          </w:p>
        </w:tc>
        <w:tc>
          <w:tcPr>
            <w:tcW w:w="5749" w:type="dxa"/>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6" w:hRule="atLeast"/>
          <w:jc w:val="center"/>
        </w:trPr>
        <w:tc>
          <w:tcPr>
            <w:tcW w:w="8990" w:type="dxa"/>
            <w:gridSpan w:val="3"/>
            <w:vAlign w:val="center"/>
          </w:tcPr>
          <w:p>
            <w:pPr>
              <w:pStyle w:val="30"/>
              <w:rPr>
                <w:color w:val="auto"/>
              </w:rPr>
            </w:pPr>
            <w:r>
              <w:rPr>
                <w:color w:val="auto"/>
              </w:rPr>
              <w:t>注10：建设项目生产工艺中有废水产生，但作为回水利用，不排放到外环境的，按三级B评价</w:t>
            </w:r>
          </w:p>
        </w:tc>
      </w:tr>
    </w:tbl>
    <w:p>
      <w:pPr>
        <w:ind w:firstLine="480"/>
        <w:rPr>
          <w:bCs/>
          <w:color w:val="auto"/>
        </w:rPr>
      </w:pPr>
      <w:r>
        <w:rPr>
          <w:bCs/>
          <w:color w:val="auto"/>
        </w:rPr>
        <w:t>本项目冷却水循环使用，不外排。生活污水经化粪池处理</w:t>
      </w:r>
      <w:r>
        <w:rPr>
          <w:rFonts w:hint="eastAsia"/>
          <w:bCs/>
          <w:color w:val="auto"/>
          <w:lang w:val="en-US" w:eastAsia="zh-CN"/>
        </w:rPr>
        <w:t>排入汨罗市城市污水处理厂</w:t>
      </w:r>
      <w:r>
        <w:rPr>
          <w:bCs/>
          <w:color w:val="auto"/>
        </w:rPr>
        <w:t>，故本项目地表水环境评价等级为三级B。</w:t>
      </w:r>
    </w:p>
    <w:p>
      <w:pPr>
        <w:ind w:firstLine="482"/>
        <w:rPr>
          <w:b/>
          <w:bCs/>
          <w:color w:val="auto"/>
        </w:rPr>
      </w:pPr>
      <w:r>
        <w:rPr>
          <w:rFonts w:hint="eastAsia"/>
          <w:b/>
          <w:bCs/>
          <w:color w:val="auto"/>
        </w:rPr>
        <w:t>2、评价范围</w:t>
      </w:r>
    </w:p>
    <w:p>
      <w:pPr>
        <w:ind w:firstLine="480"/>
        <w:rPr>
          <w:bCs/>
          <w:color w:val="auto"/>
        </w:rPr>
      </w:pPr>
      <w:r>
        <w:rPr>
          <w:bCs/>
          <w:color w:val="auto"/>
        </w:rPr>
        <w:t>根据《环境影响评价技术导则 地表水环境》(HJ2.3-2018)要求，水污染影响型三级B评价可不进行水环境影响预测，主要评价内容为水污染控制和水环境影响减缓措施有效性评价，依托污水处理设施环境可行性分析。</w:t>
      </w:r>
    </w:p>
    <w:p>
      <w:pPr>
        <w:pStyle w:val="7"/>
        <w:rPr>
          <w:color w:val="auto"/>
        </w:rPr>
      </w:pPr>
      <w:r>
        <w:rPr>
          <w:color w:val="auto"/>
        </w:rPr>
        <w:t>2.5.3地下水环境评价等级及评价范围</w:t>
      </w:r>
    </w:p>
    <w:p>
      <w:pPr>
        <w:ind w:firstLine="482"/>
        <w:rPr>
          <w:b/>
          <w:bCs/>
          <w:color w:val="auto"/>
        </w:rPr>
      </w:pPr>
      <w:r>
        <w:rPr>
          <w:b/>
          <w:bCs/>
          <w:color w:val="auto"/>
        </w:rPr>
        <w:t>1、评价工作等级</w:t>
      </w:r>
    </w:p>
    <w:p>
      <w:pPr>
        <w:ind w:firstLine="480"/>
        <w:rPr>
          <w:bCs/>
          <w:color w:val="auto"/>
        </w:rPr>
      </w:pPr>
      <w:r>
        <w:rPr>
          <w:bCs/>
          <w:color w:val="auto"/>
        </w:rPr>
        <w:t>根据《环境影响评价技术导则  地下水环境》（HJ610-2016）附录A，本项目属于“第155项废旧资源（含生物质）加工、再生利用-废塑料加工”和“第116项塑料制品制造-其他”，属于</w:t>
      </w:r>
      <w:r>
        <w:rPr>
          <w:rFonts w:hint="eastAsia"/>
          <w:bCs/>
          <w:color w:val="auto"/>
        </w:rPr>
        <w:t>III</w:t>
      </w:r>
      <w:r>
        <w:rPr>
          <w:bCs/>
          <w:color w:val="auto"/>
        </w:rPr>
        <w:t>类建设项目。</w:t>
      </w:r>
    </w:p>
    <w:p>
      <w:pPr>
        <w:ind w:firstLine="480"/>
        <w:rPr>
          <w:bCs/>
          <w:color w:val="auto"/>
        </w:rPr>
      </w:pPr>
      <w:r>
        <w:rPr>
          <w:bCs/>
          <w:color w:val="auto"/>
        </w:rPr>
        <w:t>根据导则中项目敏感分级依据，项目地下水环境敏感程度可分为敏感、较敏感、不敏感，分级原则如下：</w:t>
      </w:r>
    </w:p>
    <w:p>
      <w:pPr>
        <w:pStyle w:val="31"/>
        <w:rPr>
          <w:color w:val="auto"/>
        </w:rPr>
      </w:pPr>
      <w:r>
        <w:rPr>
          <w:color w:val="auto"/>
        </w:rPr>
        <w:t>表2.5-</w:t>
      </w:r>
      <w:r>
        <w:rPr>
          <w:rFonts w:hint="eastAsia"/>
          <w:color w:val="auto"/>
          <w:lang w:val="en-US" w:eastAsia="zh-CN"/>
        </w:rPr>
        <w:t>8</w:t>
      </w:r>
      <w:r>
        <w:rPr>
          <w:color w:val="auto"/>
        </w:rPr>
        <w:t xml:space="preserve">  地下水环境敏感程度分级表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69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7" w:type="pct"/>
            <w:vAlign w:val="center"/>
          </w:tcPr>
          <w:p>
            <w:pPr>
              <w:pStyle w:val="30"/>
              <w:rPr>
                <w:b/>
                <w:bCs/>
                <w:color w:val="auto"/>
              </w:rPr>
            </w:pPr>
            <w:r>
              <w:rPr>
                <w:b/>
                <w:bCs/>
                <w:color w:val="auto"/>
              </w:rPr>
              <w:t>敏感程度</w:t>
            </w:r>
          </w:p>
        </w:tc>
        <w:tc>
          <w:tcPr>
            <w:tcW w:w="4093" w:type="pct"/>
            <w:vAlign w:val="center"/>
          </w:tcPr>
          <w:p>
            <w:pPr>
              <w:pStyle w:val="30"/>
              <w:rPr>
                <w:b/>
                <w:bCs/>
                <w:color w:val="auto"/>
              </w:rPr>
            </w:pPr>
            <w:r>
              <w:rPr>
                <w:b/>
                <w:bCs/>
                <w:color w:val="auto"/>
              </w:rPr>
              <w:t>地下水环境敏感特征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7" w:type="pct"/>
            <w:vAlign w:val="center"/>
          </w:tcPr>
          <w:p>
            <w:pPr>
              <w:pStyle w:val="30"/>
              <w:rPr>
                <w:color w:val="auto"/>
              </w:rPr>
            </w:pPr>
            <w:r>
              <w:rPr>
                <w:color w:val="auto"/>
              </w:rPr>
              <w:t>敏感</w:t>
            </w:r>
          </w:p>
        </w:tc>
        <w:tc>
          <w:tcPr>
            <w:tcW w:w="4093" w:type="pct"/>
            <w:vAlign w:val="center"/>
          </w:tcPr>
          <w:p>
            <w:pPr>
              <w:pStyle w:val="30"/>
              <w:rPr>
                <w:color w:val="auto"/>
              </w:rPr>
            </w:pPr>
            <w:r>
              <w:rPr>
                <w:color w:val="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7" w:type="pct"/>
            <w:vAlign w:val="center"/>
          </w:tcPr>
          <w:p>
            <w:pPr>
              <w:pStyle w:val="30"/>
              <w:rPr>
                <w:color w:val="auto"/>
              </w:rPr>
            </w:pPr>
            <w:r>
              <w:rPr>
                <w:color w:val="auto"/>
              </w:rPr>
              <w:t>较敏感</w:t>
            </w:r>
          </w:p>
        </w:tc>
        <w:tc>
          <w:tcPr>
            <w:tcW w:w="4093" w:type="pct"/>
            <w:vAlign w:val="center"/>
          </w:tcPr>
          <w:p>
            <w:pPr>
              <w:pStyle w:val="30"/>
              <w:rPr>
                <w:color w:val="auto"/>
              </w:rPr>
            </w:pPr>
            <w:r>
              <w:rPr>
                <w:color w:val="auto"/>
              </w:rPr>
              <w:t>集中式饮用水水源（包括已建成的在用、备用、应急水源，在建和规划的饮用水水源）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7" w:type="pct"/>
            <w:vAlign w:val="center"/>
          </w:tcPr>
          <w:p>
            <w:pPr>
              <w:pStyle w:val="30"/>
              <w:rPr>
                <w:color w:val="auto"/>
              </w:rPr>
            </w:pPr>
            <w:r>
              <w:rPr>
                <w:color w:val="auto"/>
              </w:rPr>
              <w:t>不敏感</w:t>
            </w:r>
          </w:p>
        </w:tc>
        <w:tc>
          <w:tcPr>
            <w:tcW w:w="4093" w:type="pct"/>
            <w:vAlign w:val="center"/>
          </w:tcPr>
          <w:p>
            <w:pPr>
              <w:pStyle w:val="30"/>
              <w:rPr>
                <w:color w:val="auto"/>
              </w:rPr>
            </w:pPr>
            <w:r>
              <w:rPr>
                <w:color w:val="auto"/>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000" w:type="pct"/>
            <w:gridSpan w:val="2"/>
            <w:vAlign w:val="center"/>
          </w:tcPr>
          <w:p>
            <w:pPr>
              <w:pStyle w:val="30"/>
              <w:rPr>
                <w:color w:val="auto"/>
              </w:rPr>
            </w:pPr>
            <w:r>
              <w:rPr>
                <w:color w:val="auto"/>
              </w:rPr>
              <w:t>注：“环境敏感区”是指《建设项目环境影响评价分类管理名录》中界定的涉及地下水的环境敏感区</w:t>
            </w:r>
          </w:p>
        </w:tc>
      </w:tr>
    </w:tbl>
    <w:p>
      <w:pPr>
        <w:ind w:firstLine="480"/>
        <w:rPr>
          <w:bCs/>
          <w:color w:val="auto"/>
        </w:rPr>
      </w:pPr>
      <w:r>
        <w:rPr>
          <w:bCs/>
          <w:color w:val="auto"/>
        </w:rPr>
        <w:t>根据现场调查，本项目位于</w:t>
      </w:r>
      <w:r>
        <w:rPr>
          <w:rFonts w:hint="eastAsia"/>
          <w:bCs/>
          <w:color w:val="auto"/>
        </w:rPr>
        <w:t>汨罗市新市镇汨罗循环经济产业园G536与青春大道交界处107国道以东</w:t>
      </w:r>
      <w:r>
        <w:rPr>
          <w:bCs/>
          <w:color w:val="auto"/>
        </w:rPr>
        <w:t>，厂区用水为自来水，周边居民均饮用自来水，部分居民家里保留有水井，均不作为饮用水水井，故地下水环境敏感程度为不敏感。本项目运营过程中，不会造成地下水水质污染、引起地下水流场、地下水水位变化和水文地质等问题。</w:t>
      </w:r>
    </w:p>
    <w:p>
      <w:pPr>
        <w:ind w:firstLine="480"/>
        <w:rPr>
          <w:bCs/>
          <w:color w:val="auto"/>
        </w:rPr>
      </w:pPr>
      <w:r>
        <w:rPr>
          <w:bCs/>
          <w:color w:val="auto"/>
        </w:rPr>
        <w:t>根据《环境影响评价技术导则  地下水环境》（HJ610- 2016）中关于地下水环境影响评价工作等级分级表，确定本项目地下水环境的评价等级为三级。</w:t>
      </w:r>
    </w:p>
    <w:p>
      <w:pPr>
        <w:pStyle w:val="31"/>
        <w:rPr>
          <w:color w:val="auto"/>
        </w:rPr>
      </w:pPr>
      <w:r>
        <w:rPr>
          <w:color w:val="auto"/>
        </w:rPr>
        <w:t>表2.5-</w:t>
      </w:r>
      <w:r>
        <w:rPr>
          <w:rFonts w:hint="eastAsia"/>
          <w:color w:val="auto"/>
          <w:lang w:val="en-US" w:eastAsia="zh-CN"/>
        </w:rPr>
        <w:t>9</w:t>
      </w:r>
      <w:r>
        <w:rPr>
          <w:color w:val="auto"/>
        </w:rPr>
        <w:t xml:space="preserve">   地下水评价工作等级分级表</w:t>
      </w:r>
    </w:p>
    <w:tbl>
      <w:tblPr>
        <w:tblStyle w:val="2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2278"/>
        <w:gridCol w:w="2118"/>
        <w:gridCol w:w="25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093" w:type="dxa"/>
            <w:vAlign w:val="center"/>
          </w:tcPr>
          <w:p>
            <w:pPr>
              <w:pStyle w:val="30"/>
              <w:rPr>
                <w:color w:val="auto"/>
              </w:rPr>
            </w:pPr>
            <w:r>
              <w:rPr>
                <w:color w:val="auto"/>
              </w:rPr>
              <w:t xml:space="preserve">     项目类别 </w:t>
            </w:r>
          </w:p>
          <w:p>
            <w:pPr>
              <w:pStyle w:val="30"/>
              <w:rPr>
                <w:color w:val="auto"/>
              </w:rPr>
            </w:pPr>
            <w:r>
              <w:rPr>
                <w:color w:val="auto"/>
              </w:rPr>
              <w:t xml:space="preserve">敏感程度 </w:t>
            </w:r>
          </w:p>
        </w:tc>
        <w:tc>
          <w:tcPr>
            <w:tcW w:w="2278" w:type="dxa"/>
            <w:vAlign w:val="center"/>
          </w:tcPr>
          <w:p>
            <w:pPr>
              <w:pStyle w:val="30"/>
              <w:rPr>
                <w:color w:val="auto"/>
              </w:rPr>
            </w:pPr>
            <w:r>
              <w:rPr>
                <w:color w:val="auto"/>
              </w:rPr>
              <w:t>I 类项目</w:t>
            </w:r>
          </w:p>
        </w:tc>
        <w:tc>
          <w:tcPr>
            <w:tcW w:w="2118" w:type="dxa"/>
            <w:vAlign w:val="center"/>
          </w:tcPr>
          <w:p>
            <w:pPr>
              <w:pStyle w:val="30"/>
              <w:rPr>
                <w:color w:val="auto"/>
              </w:rPr>
            </w:pPr>
            <w:r>
              <w:rPr>
                <w:color w:val="auto"/>
              </w:rPr>
              <w:t>II类项目</w:t>
            </w:r>
          </w:p>
        </w:tc>
        <w:tc>
          <w:tcPr>
            <w:tcW w:w="2531" w:type="dxa"/>
            <w:vAlign w:val="center"/>
          </w:tcPr>
          <w:p>
            <w:pPr>
              <w:pStyle w:val="30"/>
              <w:rPr>
                <w:color w:val="auto"/>
              </w:rPr>
            </w:pPr>
            <w:r>
              <w:rPr>
                <w:color w:val="auto"/>
              </w:rPr>
              <w:t>III类项目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093" w:type="dxa"/>
            <w:vAlign w:val="center"/>
          </w:tcPr>
          <w:p>
            <w:pPr>
              <w:pStyle w:val="30"/>
              <w:rPr>
                <w:color w:val="auto"/>
              </w:rPr>
            </w:pPr>
            <w:r>
              <w:rPr>
                <w:color w:val="auto"/>
              </w:rPr>
              <w:t>敏感</w:t>
            </w:r>
          </w:p>
        </w:tc>
        <w:tc>
          <w:tcPr>
            <w:tcW w:w="2278" w:type="dxa"/>
            <w:vAlign w:val="center"/>
          </w:tcPr>
          <w:p>
            <w:pPr>
              <w:pStyle w:val="30"/>
              <w:rPr>
                <w:color w:val="auto"/>
              </w:rPr>
            </w:pPr>
            <w:r>
              <w:rPr>
                <w:color w:val="auto"/>
              </w:rPr>
              <w:t>一</w:t>
            </w:r>
          </w:p>
        </w:tc>
        <w:tc>
          <w:tcPr>
            <w:tcW w:w="2118" w:type="dxa"/>
            <w:vAlign w:val="center"/>
          </w:tcPr>
          <w:p>
            <w:pPr>
              <w:pStyle w:val="30"/>
              <w:rPr>
                <w:color w:val="auto"/>
              </w:rPr>
            </w:pPr>
            <w:r>
              <w:rPr>
                <w:color w:val="auto"/>
              </w:rPr>
              <w:t>一</w:t>
            </w:r>
          </w:p>
        </w:tc>
        <w:tc>
          <w:tcPr>
            <w:tcW w:w="2531" w:type="dxa"/>
            <w:vAlign w:val="center"/>
          </w:tcPr>
          <w:p>
            <w:pPr>
              <w:pStyle w:val="30"/>
              <w:rPr>
                <w:color w:val="auto"/>
              </w:rPr>
            </w:pPr>
            <w:r>
              <w:rPr>
                <w:color w:val="auto"/>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093" w:type="dxa"/>
            <w:vAlign w:val="center"/>
          </w:tcPr>
          <w:p>
            <w:pPr>
              <w:pStyle w:val="30"/>
              <w:rPr>
                <w:color w:val="auto"/>
              </w:rPr>
            </w:pPr>
            <w:r>
              <w:rPr>
                <w:color w:val="auto"/>
              </w:rPr>
              <w:t>较敏感</w:t>
            </w:r>
          </w:p>
        </w:tc>
        <w:tc>
          <w:tcPr>
            <w:tcW w:w="2278" w:type="dxa"/>
            <w:vAlign w:val="center"/>
          </w:tcPr>
          <w:p>
            <w:pPr>
              <w:pStyle w:val="30"/>
              <w:rPr>
                <w:color w:val="auto"/>
              </w:rPr>
            </w:pPr>
            <w:r>
              <w:rPr>
                <w:color w:val="auto"/>
              </w:rPr>
              <w:t>一</w:t>
            </w:r>
          </w:p>
        </w:tc>
        <w:tc>
          <w:tcPr>
            <w:tcW w:w="2118" w:type="dxa"/>
            <w:vAlign w:val="center"/>
          </w:tcPr>
          <w:p>
            <w:pPr>
              <w:pStyle w:val="30"/>
              <w:rPr>
                <w:color w:val="auto"/>
              </w:rPr>
            </w:pPr>
            <w:r>
              <w:rPr>
                <w:color w:val="auto"/>
              </w:rPr>
              <w:t>二</w:t>
            </w:r>
          </w:p>
        </w:tc>
        <w:tc>
          <w:tcPr>
            <w:tcW w:w="2531" w:type="dxa"/>
            <w:vAlign w:val="center"/>
          </w:tcPr>
          <w:p>
            <w:pPr>
              <w:pStyle w:val="30"/>
              <w:rPr>
                <w:color w:val="auto"/>
              </w:rPr>
            </w:pPr>
            <w:r>
              <w:rPr>
                <w:color w:val="auto"/>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093" w:type="dxa"/>
            <w:shd w:val="clear" w:color="auto" w:fill="auto"/>
            <w:vAlign w:val="center"/>
          </w:tcPr>
          <w:p>
            <w:pPr>
              <w:pStyle w:val="30"/>
              <w:rPr>
                <w:color w:val="auto"/>
              </w:rPr>
            </w:pPr>
            <w:r>
              <w:rPr>
                <w:color w:val="auto"/>
              </w:rPr>
              <w:t>不敏感</w:t>
            </w:r>
          </w:p>
        </w:tc>
        <w:tc>
          <w:tcPr>
            <w:tcW w:w="2278" w:type="dxa"/>
            <w:shd w:val="clear" w:color="auto" w:fill="auto"/>
            <w:vAlign w:val="center"/>
          </w:tcPr>
          <w:p>
            <w:pPr>
              <w:pStyle w:val="30"/>
              <w:rPr>
                <w:color w:val="auto"/>
              </w:rPr>
            </w:pPr>
            <w:r>
              <w:rPr>
                <w:color w:val="auto"/>
              </w:rPr>
              <w:t>二</w:t>
            </w:r>
          </w:p>
        </w:tc>
        <w:tc>
          <w:tcPr>
            <w:tcW w:w="2118" w:type="dxa"/>
            <w:shd w:val="clear" w:color="auto" w:fill="auto"/>
            <w:vAlign w:val="center"/>
          </w:tcPr>
          <w:p>
            <w:pPr>
              <w:pStyle w:val="30"/>
              <w:rPr>
                <w:color w:val="auto"/>
              </w:rPr>
            </w:pPr>
            <w:r>
              <w:rPr>
                <w:color w:val="auto"/>
              </w:rPr>
              <w:t>三</w:t>
            </w:r>
          </w:p>
        </w:tc>
        <w:tc>
          <w:tcPr>
            <w:tcW w:w="2531" w:type="dxa"/>
            <w:shd w:val="clear" w:color="auto" w:fill="F1F1F1" w:themeFill="background1" w:themeFillShade="F2"/>
            <w:vAlign w:val="center"/>
          </w:tcPr>
          <w:p>
            <w:pPr>
              <w:pStyle w:val="30"/>
              <w:rPr>
                <w:color w:val="auto"/>
              </w:rPr>
            </w:pPr>
            <w:r>
              <w:rPr>
                <w:color w:val="auto"/>
              </w:rPr>
              <w:t>三</w:t>
            </w:r>
          </w:p>
        </w:tc>
      </w:tr>
    </w:tbl>
    <w:p>
      <w:pPr>
        <w:ind w:firstLine="482"/>
        <w:rPr>
          <w:b/>
          <w:bCs/>
          <w:color w:val="auto"/>
        </w:rPr>
      </w:pPr>
      <w:r>
        <w:rPr>
          <w:b/>
          <w:bCs/>
          <w:color w:val="auto"/>
        </w:rPr>
        <w:t>2、评价范围</w:t>
      </w:r>
    </w:p>
    <w:p>
      <w:pPr>
        <w:ind w:firstLine="480"/>
        <w:rPr>
          <w:bCs/>
          <w:color w:val="auto"/>
        </w:rPr>
      </w:pPr>
      <w:r>
        <w:rPr>
          <w:bCs/>
          <w:color w:val="auto"/>
        </w:rPr>
        <w:t>项目地下水影响评价等级为三级，项目用水为自来水，</w:t>
      </w:r>
      <w:r>
        <w:rPr>
          <w:rFonts w:hint="eastAsia"/>
          <w:bCs/>
          <w:color w:val="auto"/>
          <w:lang w:val="en-US" w:eastAsia="zh-CN"/>
        </w:rPr>
        <w:t>项目无生产废水外排，</w:t>
      </w:r>
      <w:r>
        <w:rPr>
          <w:bCs/>
          <w:color w:val="auto"/>
        </w:rPr>
        <w:t>正常情况</w:t>
      </w:r>
      <w:r>
        <w:rPr>
          <w:rFonts w:hint="eastAsia"/>
          <w:bCs/>
          <w:color w:val="auto"/>
          <w:lang w:val="en-US" w:eastAsia="zh-CN"/>
        </w:rPr>
        <w:t>生活污水</w:t>
      </w:r>
      <w:r>
        <w:rPr>
          <w:bCs/>
          <w:color w:val="auto"/>
        </w:rPr>
        <w:t>不会进入到地下水中，不会对地下水产生不良影响。根据《环境影响评价技术导则—地下水环境》（HJ610-2016）相关要求，选用查表法，确定评价范围为：以厂址为中心，小于6km</w:t>
      </w:r>
      <w:r>
        <w:rPr>
          <w:bCs/>
          <w:color w:val="auto"/>
          <w:vertAlign w:val="superscript"/>
        </w:rPr>
        <w:t>2</w:t>
      </w:r>
      <w:r>
        <w:rPr>
          <w:bCs/>
          <w:color w:val="auto"/>
        </w:rPr>
        <w:t>范围的水文地质区域。</w:t>
      </w:r>
    </w:p>
    <w:p>
      <w:pPr>
        <w:pStyle w:val="7"/>
        <w:rPr>
          <w:color w:val="auto"/>
        </w:rPr>
      </w:pPr>
      <w:r>
        <w:rPr>
          <w:color w:val="auto"/>
        </w:rPr>
        <w:t>2.5.4声环境评价工作等级及评价范围</w:t>
      </w:r>
    </w:p>
    <w:p>
      <w:pPr>
        <w:ind w:firstLine="482"/>
        <w:rPr>
          <w:b/>
          <w:bCs/>
          <w:color w:val="auto"/>
        </w:rPr>
      </w:pPr>
      <w:r>
        <w:rPr>
          <w:b/>
          <w:bCs/>
          <w:color w:val="auto"/>
        </w:rPr>
        <w:t>1、评价工作等级</w:t>
      </w:r>
    </w:p>
    <w:p>
      <w:pPr>
        <w:ind w:firstLine="480"/>
        <w:rPr>
          <w:bCs/>
          <w:color w:val="auto"/>
        </w:rPr>
      </w:pPr>
      <w:r>
        <w:rPr>
          <w:rFonts w:hint="eastAsia"/>
          <w:bCs/>
          <w:color w:val="auto"/>
        </w:rPr>
        <w:t>项目所在区域位于《声环境质量标准》（GB3096-2008）中的 3 类地区，建设项目建设前后评价范围内敏感目标噪声级增高量在 3dB(A)以下，且受影响人口数量变化不大，根据《环境影响评价技术导则-声环境》</w:t>
      </w:r>
      <w:r>
        <w:rPr>
          <w:rFonts w:hint="eastAsia"/>
          <w:bCs/>
          <w:color w:val="auto"/>
          <w:lang w:eastAsia="zh-CN"/>
        </w:rPr>
        <w:t>（HJ2.4-2021</w:t>
      </w:r>
      <w:r>
        <w:rPr>
          <w:rFonts w:hint="eastAsia"/>
          <w:bCs/>
          <w:color w:val="auto"/>
        </w:rPr>
        <w:t>）中评价等级划分规定，确定项目声环境影响评价等级为三级。</w:t>
      </w:r>
    </w:p>
    <w:p>
      <w:pPr>
        <w:ind w:firstLine="482"/>
        <w:rPr>
          <w:b/>
          <w:bCs/>
          <w:color w:val="auto"/>
        </w:rPr>
      </w:pPr>
      <w:r>
        <w:rPr>
          <w:b/>
          <w:bCs/>
          <w:color w:val="auto"/>
        </w:rPr>
        <w:t>2、评价范围</w:t>
      </w:r>
    </w:p>
    <w:p>
      <w:pPr>
        <w:ind w:firstLine="480"/>
        <w:rPr>
          <w:bCs/>
          <w:color w:val="auto"/>
        </w:rPr>
      </w:pPr>
      <w:r>
        <w:rPr>
          <w:bCs/>
          <w:color w:val="auto"/>
        </w:rPr>
        <w:t>评价范围为厂界周围200m范围内。</w:t>
      </w:r>
    </w:p>
    <w:p>
      <w:pPr>
        <w:pStyle w:val="7"/>
        <w:rPr>
          <w:color w:val="auto"/>
        </w:rPr>
      </w:pPr>
      <w:r>
        <w:rPr>
          <w:color w:val="auto"/>
        </w:rPr>
        <w:t>2.5.5土壤环境评价工作等级及评价范围</w:t>
      </w:r>
    </w:p>
    <w:p>
      <w:pPr>
        <w:ind w:firstLine="482"/>
        <w:rPr>
          <w:b/>
          <w:bCs/>
          <w:color w:val="auto"/>
        </w:rPr>
      </w:pPr>
      <w:r>
        <w:rPr>
          <w:b/>
          <w:bCs/>
          <w:color w:val="auto"/>
        </w:rPr>
        <w:t>1、评价工作等级</w:t>
      </w:r>
    </w:p>
    <w:p>
      <w:pPr>
        <w:ind w:firstLine="480"/>
        <w:rPr>
          <w:bCs/>
          <w:color w:val="auto"/>
        </w:rPr>
      </w:pPr>
      <w:r>
        <w:rPr>
          <w:bCs/>
          <w:color w:val="auto"/>
        </w:rPr>
        <w:t>根据《环境影响评价技术导则土壤环境（试行）》（HJ964-2018），本项目对于土壤环境属于污染影响型项目；对照附录A“土壤环境影响评价项目类别”，本项目属于“其他行业”，全部为Ⅳ类项目。根据《环境影响评价技术导则土壤环境（试行）》（HJ964-2018），Ⅳ类项目可不开展土壤环境影响评价，土壤环境进行简单分析。土壤环境的评价范围设定为项目厂区。</w:t>
      </w:r>
    </w:p>
    <w:p>
      <w:pPr>
        <w:pStyle w:val="7"/>
        <w:rPr>
          <w:color w:val="auto"/>
          <w:u w:val="single"/>
        </w:rPr>
      </w:pPr>
      <w:r>
        <w:rPr>
          <w:color w:val="auto"/>
          <w:u w:val="single"/>
        </w:rPr>
        <w:t>2.5.6生态影响评价工作等级及评价范围</w:t>
      </w:r>
    </w:p>
    <w:p>
      <w:pPr>
        <w:ind w:firstLine="482"/>
        <w:rPr>
          <w:b/>
          <w:bCs/>
          <w:color w:val="auto"/>
          <w:u w:val="single"/>
        </w:rPr>
      </w:pPr>
      <w:r>
        <w:rPr>
          <w:b/>
          <w:bCs/>
          <w:color w:val="auto"/>
          <w:u w:val="single"/>
        </w:rPr>
        <w:t>1、评价工作等级</w:t>
      </w:r>
    </w:p>
    <w:p>
      <w:pPr>
        <w:keepNext w:val="0"/>
        <w:keepLines w:val="0"/>
        <w:widowControl/>
        <w:suppressLineNumbers w:val="0"/>
        <w:jc w:val="left"/>
        <w:rPr>
          <w:rFonts w:hint="eastAsia"/>
          <w:bCs/>
          <w:color w:val="auto"/>
          <w:u w:val="single"/>
          <w:lang w:val="en-US" w:eastAsia="zh-CN"/>
        </w:rPr>
      </w:pPr>
      <w:r>
        <w:rPr>
          <w:bCs/>
          <w:color w:val="auto"/>
          <w:u w:val="single"/>
        </w:rPr>
        <w:t>根据《环境影响评价技术导则</w:t>
      </w:r>
      <w:r>
        <w:rPr>
          <w:rFonts w:hint="eastAsia"/>
          <w:bCs/>
          <w:color w:val="auto"/>
          <w:u w:val="single"/>
        </w:rPr>
        <w:t xml:space="preserve"> </w:t>
      </w:r>
      <w:r>
        <w:rPr>
          <w:bCs/>
          <w:color w:val="auto"/>
          <w:u w:val="single"/>
        </w:rPr>
        <w:t>生态</w:t>
      </w:r>
      <w:r>
        <w:rPr>
          <w:rFonts w:hint="eastAsia"/>
          <w:bCs/>
          <w:color w:val="auto"/>
          <w:u w:val="single"/>
        </w:rPr>
        <w:t>影响</w:t>
      </w:r>
      <w:r>
        <w:rPr>
          <w:bCs/>
          <w:color w:val="auto"/>
          <w:u w:val="single"/>
        </w:rPr>
        <w:t>》（HJ19-2022）</w:t>
      </w:r>
      <w:r>
        <w:rPr>
          <w:rFonts w:hint="eastAsia"/>
          <w:bCs/>
          <w:color w:val="auto"/>
          <w:u w:val="single"/>
          <w:lang w:val="en-US" w:eastAsia="zh-CN"/>
        </w:rPr>
        <w:t>中6.1.8条</w:t>
      </w:r>
      <w:r>
        <w:rPr>
          <w:rFonts w:hint="eastAsia"/>
          <w:bCs/>
          <w:color w:val="auto"/>
          <w:u w:val="single"/>
          <w:lang w:eastAsia="zh-CN"/>
        </w:rPr>
        <w:t>，</w:t>
      </w:r>
      <w:r>
        <w:rPr>
          <w:rFonts w:hint="eastAsia"/>
          <w:bCs/>
          <w:color w:val="auto"/>
          <w:u w:val="single"/>
          <w:lang w:val="en-US" w:eastAsia="zh-CN"/>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pPr>
        <w:keepNext w:val="0"/>
        <w:keepLines w:val="0"/>
        <w:widowControl/>
        <w:suppressLineNumbers w:val="0"/>
        <w:jc w:val="left"/>
        <w:rPr>
          <w:u w:val="single"/>
        </w:rPr>
      </w:pPr>
      <w:r>
        <w:rPr>
          <w:bCs/>
          <w:color w:val="auto"/>
          <w:u w:val="single"/>
        </w:rPr>
        <w:t>本项目位于</w:t>
      </w:r>
      <w:r>
        <w:rPr>
          <w:rFonts w:hint="eastAsia"/>
          <w:bCs/>
          <w:color w:val="auto"/>
          <w:u w:val="single"/>
        </w:rPr>
        <w:t>汨罗市新市镇汨罗循环经济产业园G536与青春大道交界处107国道以东</w:t>
      </w:r>
      <w:r>
        <w:rPr>
          <w:rFonts w:hint="eastAsia"/>
          <w:bCs/>
          <w:color w:val="auto"/>
          <w:u w:val="single"/>
          <w:lang w:eastAsia="zh-CN"/>
        </w:rPr>
        <w:t>，</w:t>
      </w:r>
      <w:r>
        <w:rPr>
          <w:rFonts w:hint="eastAsia"/>
          <w:bCs/>
          <w:color w:val="auto"/>
          <w:u w:val="single"/>
          <w:lang w:val="en-US" w:eastAsia="zh-CN"/>
        </w:rPr>
        <w:t>属于6.1.8条中已批准规划环评的产业园区且符合规划环评要求、不涉及生态敏感区的污染影响类建设项目，直接进行生态影响简单分析。</w:t>
      </w:r>
    </w:p>
    <w:p>
      <w:pPr>
        <w:pStyle w:val="7"/>
        <w:rPr>
          <w:color w:val="auto"/>
        </w:rPr>
      </w:pPr>
      <w:r>
        <w:rPr>
          <w:color w:val="auto"/>
        </w:rPr>
        <w:t>2.5.7环境风险评价工作等级及评价范围</w:t>
      </w:r>
    </w:p>
    <w:p>
      <w:pPr>
        <w:ind w:firstLine="482"/>
        <w:rPr>
          <w:b/>
          <w:bCs/>
          <w:color w:val="auto"/>
        </w:rPr>
      </w:pPr>
      <w:r>
        <w:rPr>
          <w:rFonts w:hint="eastAsia"/>
          <w:b/>
          <w:bCs/>
          <w:color w:val="auto"/>
        </w:rPr>
        <w:t>1、评价等级</w:t>
      </w:r>
    </w:p>
    <w:p>
      <w:pPr>
        <w:ind w:firstLine="480"/>
        <w:rPr>
          <w:bCs/>
          <w:color w:val="auto"/>
        </w:rPr>
      </w:pPr>
      <w:r>
        <w:rPr>
          <w:bCs/>
          <w:color w:val="auto"/>
        </w:rPr>
        <w:t>根据《建设项目环境风险评价技术导则》（HJ/T169-2018），根据建设项目涉及的物质及工艺系统危险性和所在地点环境敏感性确定环境风险潜势，按照（HJ169-2018）中表1确定评价工作等级。环境风险评价工作等级分为一级、二级、三级。风险潜势为Ⅳ级以上，进行一级评价；风险潜势为Ⅲ，进行二级评价；风险潜势为Ⅱ，进行三级评价；风险潜势为Ⅰ，进行简单分析即可。</w:t>
      </w:r>
    </w:p>
    <w:p>
      <w:pPr>
        <w:pStyle w:val="31"/>
        <w:rPr>
          <w:color w:val="auto"/>
        </w:rPr>
      </w:pPr>
      <w:r>
        <w:rPr>
          <w:color w:val="auto"/>
        </w:rPr>
        <w:t>表2.5-</w:t>
      </w:r>
      <w:r>
        <w:rPr>
          <w:rFonts w:hint="eastAsia"/>
          <w:color w:val="auto"/>
          <w:lang w:val="en-US" w:eastAsia="zh-CN"/>
        </w:rPr>
        <w:t>10</w:t>
      </w:r>
      <w:r>
        <w:rPr>
          <w:color w:val="auto"/>
        </w:rPr>
        <w:t xml:space="preserve">   环境风险评价工作级别划分表</w:t>
      </w:r>
    </w:p>
    <w:tbl>
      <w:tblPr>
        <w:tblStyle w:val="21"/>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730"/>
        <w:gridCol w:w="1664"/>
        <w:gridCol w:w="1417"/>
        <w:gridCol w:w="1659"/>
        <w:gridCol w:w="18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8" w:type="pct"/>
            <w:vAlign w:val="center"/>
          </w:tcPr>
          <w:p>
            <w:pPr>
              <w:pStyle w:val="30"/>
              <w:rPr>
                <w:color w:val="auto"/>
              </w:rPr>
            </w:pPr>
            <w:r>
              <w:rPr>
                <w:color w:val="auto"/>
              </w:rPr>
              <w:t>环境风险潜势</w:t>
            </w:r>
          </w:p>
        </w:tc>
        <w:tc>
          <w:tcPr>
            <w:tcW w:w="998" w:type="pct"/>
            <w:vAlign w:val="center"/>
          </w:tcPr>
          <w:p>
            <w:pPr>
              <w:pStyle w:val="30"/>
              <w:rPr>
                <w:color w:val="auto"/>
              </w:rPr>
            </w:pPr>
            <w:r>
              <w:rPr>
                <w:color w:val="auto"/>
              </w:rPr>
              <w:t>Ⅳ、Ⅳ+</w:t>
            </w:r>
          </w:p>
        </w:tc>
        <w:tc>
          <w:tcPr>
            <w:tcW w:w="850" w:type="pct"/>
            <w:vAlign w:val="center"/>
          </w:tcPr>
          <w:p>
            <w:pPr>
              <w:pStyle w:val="30"/>
              <w:rPr>
                <w:color w:val="auto"/>
              </w:rPr>
            </w:pPr>
            <w:r>
              <w:rPr>
                <w:color w:val="auto"/>
              </w:rPr>
              <w:t>Ⅲ</w:t>
            </w:r>
          </w:p>
        </w:tc>
        <w:tc>
          <w:tcPr>
            <w:tcW w:w="995" w:type="pct"/>
            <w:vAlign w:val="center"/>
          </w:tcPr>
          <w:p>
            <w:pPr>
              <w:pStyle w:val="30"/>
              <w:rPr>
                <w:color w:val="auto"/>
              </w:rPr>
            </w:pPr>
            <w:r>
              <w:rPr>
                <w:color w:val="auto"/>
              </w:rPr>
              <w:t>Ⅱ</w:t>
            </w:r>
          </w:p>
        </w:tc>
        <w:tc>
          <w:tcPr>
            <w:tcW w:w="1119" w:type="pct"/>
            <w:vAlign w:val="center"/>
          </w:tcPr>
          <w:p>
            <w:pPr>
              <w:pStyle w:val="30"/>
              <w:rPr>
                <w:color w:val="auto"/>
              </w:rPr>
            </w:pPr>
            <w:r>
              <w:rPr>
                <w:color w:val="auto"/>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038" w:type="pct"/>
            <w:vAlign w:val="center"/>
          </w:tcPr>
          <w:p>
            <w:pPr>
              <w:pStyle w:val="30"/>
              <w:rPr>
                <w:color w:val="auto"/>
              </w:rPr>
            </w:pPr>
            <w:r>
              <w:rPr>
                <w:color w:val="auto"/>
              </w:rPr>
              <w:t>评价工作等级</w:t>
            </w:r>
          </w:p>
        </w:tc>
        <w:tc>
          <w:tcPr>
            <w:tcW w:w="998" w:type="pct"/>
            <w:vAlign w:val="center"/>
          </w:tcPr>
          <w:p>
            <w:pPr>
              <w:pStyle w:val="30"/>
              <w:rPr>
                <w:color w:val="auto"/>
              </w:rPr>
            </w:pPr>
            <w:r>
              <w:rPr>
                <w:color w:val="auto"/>
              </w:rPr>
              <w:t>一</w:t>
            </w:r>
          </w:p>
        </w:tc>
        <w:tc>
          <w:tcPr>
            <w:tcW w:w="850" w:type="pct"/>
            <w:vAlign w:val="center"/>
          </w:tcPr>
          <w:p>
            <w:pPr>
              <w:pStyle w:val="30"/>
              <w:rPr>
                <w:color w:val="auto"/>
              </w:rPr>
            </w:pPr>
            <w:r>
              <w:rPr>
                <w:color w:val="auto"/>
              </w:rPr>
              <w:t>二</w:t>
            </w:r>
          </w:p>
        </w:tc>
        <w:tc>
          <w:tcPr>
            <w:tcW w:w="995" w:type="pct"/>
            <w:vAlign w:val="center"/>
          </w:tcPr>
          <w:p>
            <w:pPr>
              <w:pStyle w:val="30"/>
              <w:rPr>
                <w:color w:val="auto"/>
              </w:rPr>
            </w:pPr>
            <w:r>
              <w:rPr>
                <w:color w:val="auto"/>
              </w:rPr>
              <w:t>三</w:t>
            </w:r>
          </w:p>
        </w:tc>
        <w:tc>
          <w:tcPr>
            <w:tcW w:w="1119" w:type="pct"/>
            <w:vAlign w:val="center"/>
          </w:tcPr>
          <w:p>
            <w:pPr>
              <w:pStyle w:val="30"/>
              <w:rPr>
                <w:color w:val="auto"/>
              </w:rPr>
            </w:pPr>
            <w:r>
              <w:rPr>
                <w:color w:val="auto"/>
              </w:rPr>
              <w:t>简单分析a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000" w:type="pct"/>
            <w:gridSpan w:val="5"/>
            <w:vAlign w:val="center"/>
          </w:tcPr>
          <w:p>
            <w:pPr>
              <w:pStyle w:val="30"/>
              <w:rPr>
                <w:color w:val="auto"/>
              </w:rPr>
            </w:pPr>
            <w:r>
              <w:rPr>
                <w:color w:val="auto"/>
              </w:rPr>
              <w:t>a 是相对于详细评价工作内容而言，在描述危险物质、环境影响途径、环境危害后果、风险防范措施等方面给出定性的说明。</w:t>
            </w:r>
          </w:p>
        </w:tc>
      </w:tr>
    </w:tbl>
    <w:p>
      <w:pPr>
        <w:ind w:firstLine="480"/>
        <w:rPr>
          <w:bCs/>
          <w:color w:val="auto"/>
        </w:rPr>
      </w:pPr>
      <w:r>
        <w:rPr>
          <w:bCs/>
          <w:color w:val="auto"/>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pPr>
        <w:ind w:firstLine="480"/>
        <w:rPr>
          <w:bCs/>
          <w:color w:val="auto"/>
        </w:rPr>
      </w:pPr>
      <w:r>
        <w:rPr>
          <w:bCs/>
          <w:color w:val="auto"/>
        </w:rPr>
        <w:drawing>
          <wp:inline distT="0" distB="0" distL="0" distR="0">
            <wp:extent cx="1060450" cy="3111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060450" cy="311150"/>
                    </a:xfrm>
                    <a:prstGeom prst="rect">
                      <a:avLst/>
                    </a:prstGeom>
                    <a:noFill/>
                    <a:ln>
                      <a:noFill/>
                    </a:ln>
                  </pic:spPr>
                </pic:pic>
              </a:graphicData>
            </a:graphic>
          </wp:inline>
        </w:drawing>
      </w:r>
    </w:p>
    <w:p>
      <w:pPr>
        <w:ind w:firstLine="480"/>
        <w:rPr>
          <w:bCs/>
          <w:color w:val="auto"/>
        </w:rPr>
      </w:pPr>
      <w:r>
        <w:rPr>
          <w:bCs/>
          <w:color w:val="auto"/>
        </w:rPr>
        <w:t>式中：q1，q2，…，qn——每种危险物质的最大存在量，t；</w:t>
      </w:r>
    </w:p>
    <w:p>
      <w:pPr>
        <w:ind w:firstLine="480"/>
        <w:rPr>
          <w:bCs/>
          <w:color w:val="auto"/>
        </w:rPr>
      </w:pPr>
      <w:r>
        <w:rPr>
          <w:bCs/>
          <w:color w:val="auto"/>
        </w:rPr>
        <w:t>Q1，Q2，…，Qn——每种危险物质的临界量，t。</w:t>
      </w:r>
    </w:p>
    <w:p>
      <w:pPr>
        <w:ind w:firstLine="480"/>
        <w:rPr>
          <w:bCs/>
          <w:color w:val="auto"/>
        </w:rPr>
      </w:pPr>
      <w:r>
        <w:rPr>
          <w:bCs/>
          <w:color w:val="auto"/>
        </w:rPr>
        <w:t>当Q＜1时，该项目风险潜势为</w:t>
      </w:r>
      <w:r>
        <w:rPr>
          <w:bCs/>
          <w:color w:val="auto"/>
        </w:rPr>
        <w:fldChar w:fldCharType="begin"/>
      </w:r>
      <w:r>
        <w:rPr>
          <w:bCs/>
          <w:color w:val="auto"/>
        </w:rPr>
        <w:instrText xml:space="preserve"> = 1 \* ROMAN </w:instrText>
      </w:r>
      <w:r>
        <w:rPr>
          <w:bCs/>
          <w:color w:val="auto"/>
        </w:rPr>
        <w:fldChar w:fldCharType="separate"/>
      </w:r>
      <w:r>
        <w:rPr>
          <w:bCs/>
          <w:color w:val="auto"/>
        </w:rPr>
        <w:t>I</w:t>
      </w:r>
      <w:r>
        <w:rPr>
          <w:bCs/>
          <w:color w:val="auto"/>
        </w:rPr>
        <w:fldChar w:fldCharType="end"/>
      </w:r>
      <w:r>
        <w:rPr>
          <w:bCs/>
          <w:color w:val="auto"/>
        </w:rPr>
        <w:t>；</w:t>
      </w:r>
    </w:p>
    <w:p>
      <w:pPr>
        <w:ind w:firstLine="480"/>
        <w:rPr>
          <w:bCs/>
          <w:color w:val="auto"/>
        </w:rPr>
      </w:pPr>
      <w:r>
        <w:rPr>
          <w:bCs/>
          <w:color w:val="auto"/>
        </w:rPr>
        <w:t>当Q≥1时，将Q值划分为：（1）1≤Q＜10；（2）10≤Q＜100；（3）Q≥100。</w:t>
      </w:r>
    </w:p>
    <w:p>
      <w:pPr>
        <w:ind w:firstLine="480"/>
        <w:rPr>
          <w:bCs/>
          <w:color w:val="auto"/>
        </w:rPr>
      </w:pPr>
      <w:r>
        <w:rPr>
          <w:bCs/>
          <w:color w:val="auto"/>
        </w:rPr>
        <w:t>本项目建设运营过程中会产生一定的废机油。</w:t>
      </w:r>
    </w:p>
    <w:p>
      <w:pPr>
        <w:pStyle w:val="31"/>
        <w:rPr>
          <w:color w:val="auto"/>
          <w:u w:val="single"/>
        </w:rPr>
      </w:pPr>
      <w:r>
        <w:rPr>
          <w:color w:val="auto"/>
          <w:u w:val="single"/>
        </w:rPr>
        <w:t>表2.5-</w:t>
      </w:r>
      <w:r>
        <w:rPr>
          <w:rFonts w:hint="eastAsia"/>
          <w:color w:val="auto"/>
          <w:u w:val="single"/>
          <w:lang w:val="en-US" w:eastAsia="zh-CN"/>
        </w:rPr>
        <w:t>11</w:t>
      </w:r>
      <w:r>
        <w:rPr>
          <w:color w:val="auto"/>
          <w:u w:val="single"/>
        </w:rPr>
        <w:t xml:space="preserve"> 涉及的风险物质及Q值计算一览表</w:t>
      </w:r>
    </w:p>
    <w:tbl>
      <w:tblPr>
        <w:tblStyle w:val="21"/>
        <w:tblW w:w="9114"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8"/>
        <w:gridCol w:w="750"/>
        <w:gridCol w:w="1641"/>
        <w:gridCol w:w="1335"/>
        <w:gridCol w:w="1230"/>
        <w:gridCol w:w="1110"/>
        <w:gridCol w:w="1275"/>
        <w:gridCol w:w="11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88" w:type="dxa"/>
            <w:tcBorders>
              <w:tl2br w:val="nil"/>
              <w:tr2bl w:val="nil"/>
            </w:tcBorders>
            <w:vAlign w:val="center"/>
          </w:tcPr>
          <w:p>
            <w:pPr>
              <w:pStyle w:val="30"/>
              <w:rPr>
                <w:color w:val="auto"/>
                <w:u w:val="single"/>
              </w:rPr>
            </w:pPr>
            <w:r>
              <w:rPr>
                <w:color w:val="auto"/>
                <w:u w:val="single"/>
              </w:rPr>
              <w:t>序号</w:t>
            </w:r>
          </w:p>
        </w:tc>
        <w:tc>
          <w:tcPr>
            <w:tcW w:w="750" w:type="dxa"/>
            <w:tcBorders>
              <w:tl2br w:val="nil"/>
              <w:tr2bl w:val="nil"/>
            </w:tcBorders>
            <w:vAlign w:val="center"/>
          </w:tcPr>
          <w:p>
            <w:pPr>
              <w:pStyle w:val="30"/>
              <w:rPr>
                <w:color w:val="auto"/>
                <w:u w:val="single"/>
              </w:rPr>
            </w:pPr>
            <w:r>
              <w:rPr>
                <w:color w:val="auto"/>
                <w:u w:val="single"/>
              </w:rPr>
              <w:t>名称</w:t>
            </w:r>
          </w:p>
        </w:tc>
        <w:tc>
          <w:tcPr>
            <w:tcW w:w="1641" w:type="dxa"/>
            <w:tcBorders>
              <w:tl2br w:val="nil"/>
              <w:tr2bl w:val="nil"/>
            </w:tcBorders>
            <w:vAlign w:val="center"/>
          </w:tcPr>
          <w:p>
            <w:pPr>
              <w:pStyle w:val="30"/>
              <w:rPr>
                <w:color w:val="auto"/>
                <w:u w:val="single"/>
              </w:rPr>
            </w:pPr>
            <w:r>
              <w:rPr>
                <w:color w:val="auto"/>
                <w:u w:val="single"/>
              </w:rPr>
              <w:t>理化性质</w:t>
            </w:r>
          </w:p>
        </w:tc>
        <w:tc>
          <w:tcPr>
            <w:tcW w:w="1335" w:type="dxa"/>
            <w:tcBorders>
              <w:tl2br w:val="nil"/>
              <w:tr2bl w:val="nil"/>
            </w:tcBorders>
            <w:vAlign w:val="center"/>
          </w:tcPr>
          <w:p>
            <w:pPr>
              <w:pStyle w:val="30"/>
              <w:rPr>
                <w:color w:val="auto"/>
                <w:u w:val="single"/>
              </w:rPr>
            </w:pPr>
            <w:r>
              <w:rPr>
                <w:color w:val="auto"/>
                <w:u w:val="single"/>
              </w:rPr>
              <w:t>危害特性</w:t>
            </w:r>
          </w:p>
        </w:tc>
        <w:tc>
          <w:tcPr>
            <w:tcW w:w="1230" w:type="dxa"/>
            <w:tcBorders>
              <w:tl2br w:val="nil"/>
              <w:tr2bl w:val="nil"/>
            </w:tcBorders>
            <w:vAlign w:val="center"/>
          </w:tcPr>
          <w:p>
            <w:pPr>
              <w:pStyle w:val="30"/>
              <w:rPr>
                <w:color w:val="auto"/>
                <w:u w:val="single"/>
              </w:rPr>
            </w:pPr>
            <w:r>
              <w:rPr>
                <w:color w:val="auto"/>
                <w:u w:val="single"/>
              </w:rPr>
              <w:t>贮存方式</w:t>
            </w:r>
          </w:p>
        </w:tc>
        <w:tc>
          <w:tcPr>
            <w:tcW w:w="1110" w:type="dxa"/>
            <w:tcBorders>
              <w:tl2br w:val="nil"/>
              <w:tr2bl w:val="nil"/>
            </w:tcBorders>
            <w:vAlign w:val="center"/>
          </w:tcPr>
          <w:p>
            <w:pPr>
              <w:pStyle w:val="30"/>
              <w:rPr>
                <w:color w:val="auto"/>
                <w:u w:val="single"/>
              </w:rPr>
            </w:pPr>
            <w:r>
              <w:rPr>
                <w:color w:val="auto"/>
                <w:u w:val="single"/>
              </w:rPr>
              <w:t>最大贮存量qi</w:t>
            </w:r>
          </w:p>
        </w:tc>
        <w:tc>
          <w:tcPr>
            <w:tcW w:w="1275" w:type="dxa"/>
            <w:tcBorders>
              <w:tl2br w:val="nil"/>
              <w:tr2bl w:val="nil"/>
            </w:tcBorders>
            <w:vAlign w:val="center"/>
          </w:tcPr>
          <w:p>
            <w:pPr>
              <w:pStyle w:val="30"/>
              <w:rPr>
                <w:color w:val="auto"/>
                <w:u w:val="single"/>
              </w:rPr>
            </w:pPr>
            <w:r>
              <w:rPr>
                <w:color w:val="auto"/>
                <w:u w:val="single"/>
              </w:rPr>
              <w:t>临界量Qi</w:t>
            </w:r>
          </w:p>
        </w:tc>
        <w:tc>
          <w:tcPr>
            <w:tcW w:w="1185" w:type="dxa"/>
            <w:tcBorders>
              <w:tl2br w:val="nil"/>
              <w:tr2bl w:val="nil"/>
            </w:tcBorders>
            <w:vAlign w:val="center"/>
          </w:tcPr>
          <w:p>
            <w:pPr>
              <w:pStyle w:val="30"/>
              <w:rPr>
                <w:color w:val="auto"/>
                <w:u w:val="single"/>
              </w:rPr>
            </w:pPr>
            <w:r>
              <w:rPr>
                <w:color w:val="auto"/>
                <w:u w:val="single"/>
              </w:rPr>
              <w:t>qi/Qi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88" w:type="dxa"/>
            <w:tcBorders>
              <w:tl2br w:val="nil"/>
              <w:tr2bl w:val="nil"/>
            </w:tcBorders>
            <w:vAlign w:val="center"/>
          </w:tcPr>
          <w:p>
            <w:pPr>
              <w:pStyle w:val="30"/>
              <w:rPr>
                <w:color w:val="auto"/>
                <w:u w:val="single"/>
              </w:rPr>
            </w:pPr>
            <w:r>
              <w:rPr>
                <w:color w:val="auto"/>
                <w:u w:val="single"/>
              </w:rPr>
              <w:t>1</w:t>
            </w:r>
          </w:p>
        </w:tc>
        <w:tc>
          <w:tcPr>
            <w:tcW w:w="750" w:type="dxa"/>
            <w:tcBorders>
              <w:tl2br w:val="nil"/>
              <w:tr2bl w:val="nil"/>
            </w:tcBorders>
            <w:vAlign w:val="center"/>
          </w:tcPr>
          <w:p>
            <w:pPr>
              <w:pStyle w:val="30"/>
              <w:rPr>
                <w:color w:val="auto"/>
                <w:u w:val="single"/>
              </w:rPr>
            </w:pPr>
            <w:r>
              <w:rPr>
                <w:color w:val="auto"/>
                <w:u w:val="single"/>
              </w:rPr>
              <w:t>废机油</w:t>
            </w:r>
          </w:p>
        </w:tc>
        <w:tc>
          <w:tcPr>
            <w:tcW w:w="1641" w:type="dxa"/>
            <w:tcBorders>
              <w:tl2br w:val="nil"/>
              <w:tr2bl w:val="nil"/>
            </w:tcBorders>
            <w:vAlign w:val="center"/>
          </w:tcPr>
          <w:p>
            <w:pPr>
              <w:pStyle w:val="30"/>
              <w:rPr>
                <w:color w:val="auto"/>
                <w:u w:val="single"/>
              </w:rPr>
            </w:pPr>
            <w:r>
              <w:rPr>
                <w:color w:val="auto"/>
                <w:u w:val="single"/>
              </w:rPr>
              <w:t>高度挥发性液体，有汽油味</w:t>
            </w:r>
          </w:p>
        </w:tc>
        <w:tc>
          <w:tcPr>
            <w:tcW w:w="1335" w:type="dxa"/>
            <w:tcBorders>
              <w:tl2br w:val="nil"/>
              <w:tr2bl w:val="nil"/>
            </w:tcBorders>
            <w:vAlign w:val="center"/>
          </w:tcPr>
          <w:p>
            <w:pPr>
              <w:pStyle w:val="30"/>
              <w:rPr>
                <w:color w:val="auto"/>
                <w:u w:val="single"/>
              </w:rPr>
            </w:pPr>
            <w:r>
              <w:rPr>
                <w:color w:val="auto"/>
                <w:u w:val="single"/>
              </w:rPr>
              <w:t>毒性、易燃性</w:t>
            </w:r>
          </w:p>
        </w:tc>
        <w:tc>
          <w:tcPr>
            <w:tcW w:w="1230" w:type="dxa"/>
            <w:tcBorders>
              <w:tl2br w:val="nil"/>
              <w:tr2bl w:val="nil"/>
            </w:tcBorders>
            <w:vAlign w:val="center"/>
          </w:tcPr>
          <w:p>
            <w:pPr>
              <w:pStyle w:val="30"/>
              <w:rPr>
                <w:color w:val="auto"/>
                <w:u w:val="single"/>
              </w:rPr>
            </w:pPr>
            <w:r>
              <w:rPr>
                <w:color w:val="auto"/>
                <w:u w:val="single"/>
              </w:rPr>
              <w:t>危废间暂存</w:t>
            </w:r>
          </w:p>
        </w:tc>
        <w:tc>
          <w:tcPr>
            <w:tcW w:w="1110" w:type="dxa"/>
            <w:tcBorders>
              <w:tl2br w:val="nil"/>
              <w:tr2bl w:val="nil"/>
            </w:tcBorders>
            <w:vAlign w:val="center"/>
          </w:tcPr>
          <w:p>
            <w:pPr>
              <w:pStyle w:val="30"/>
              <w:rPr>
                <w:color w:val="auto"/>
                <w:u w:val="single"/>
              </w:rPr>
            </w:pPr>
            <w:r>
              <w:rPr>
                <w:color w:val="auto"/>
                <w:u w:val="single"/>
              </w:rPr>
              <w:t>0.</w:t>
            </w:r>
            <w:r>
              <w:rPr>
                <w:rFonts w:hint="eastAsia"/>
                <w:color w:val="auto"/>
                <w:u w:val="single"/>
              </w:rPr>
              <w:t>1</w:t>
            </w:r>
            <w:r>
              <w:rPr>
                <w:color w:val="auto"/>
                <w:u w:val="single"/>
              </w:rPr>
              <w:t>t</w:t>
            </w:r>
          </w:p>
        </w:tc>
        <w:tc>
          <w:tcPr>
            <w:tcW w:w="1275" w:type="dxa"/>
            <w:tcBorders>
              <w:tl2br w:val="nil"/>
              <w:tr2bl w:val="nil"/>
            </w:tcBorders>
            <w:vAlign w:val="center"/>
          </w:tcPr>
          <w:p>
            <w:pPr>
              <w:pStyle w:val="30"/>
              <w:rPr>
                <w:color w:val="auto"/>
                <w:u w:val="single"/>
              </w:rPr>
            </w:pPr>
            <w:r>
              <w:rPr>
                <w:rFonts w:hint="eastAsia"/>
                <w:color w:val="auto"/>
                <w:u w:val="single"/>
              </w:rPr>
              <w:t>2</w:t>
            </w:r>
            <w:r>
              <w:rPr>
                <w:color w:val="auto"/>
                <w:u w:val="single"/>
              </w:rPr>
              <w:t>500t</w:t>
            </w:r>
          </w:p>
        </w:tc>
        <w:tc>
          <w:tcPr>
            <w:tcW w:w="1185" w:type="dxa"/>
            <w:tcBorders>
              <w:tl2br w:val="nil"/>
              <w:tr2bl w:val="nil"/>
            </w:tcBorders>
            <w:vAlign w:val="center"/>
          </w:tcPr>
          <w:p>
            <w:pPr>
              <w:pStyle w:val="30"/>
              <w:rPr>
                <w:color w:val="auto"/>
                <w:u w:val="single"/>
              </w:rPr>
            </w:pPr>
            <w:r>
              <w:rPr>
                <w:rFonts w:hint="eastAsia"/>
                <w:color w:val="auto"/>
                <w:u w:val="single"/>
              </w:rPr>
              <w:t>0.00004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88" w:type="dxa"/>
            <w:tcBorders>
              <w:tl2br w:val="nil"/>
              <w:tr2bl w:val="nil"/>
            </w:tcBorders>
            <w:vAlign w:val="center"/>
          </w:tcPr>
          <w:p>
            <w:pPr>
              <w:pStyle w:val="30"/>
              <w:rPr>
                <w:rFonts w:hint="eastAsia" w:eastAsia="宋体"/>
                <w:color w:val="auto"/>
                <w:u w:val="single"/>
                <w:lang w:val="en-US" w:eastAsia="zh-CN"/>
              </w:rPr>
            </w:pPr>
            <w:r>
              <w:rPr>
                <w:rFonts w:hint="eastAsia"/>
                <w:color w:val="auto"/>
                <w:u w:val="single"/>
                <w:lang w:val="en-US" w:eastAsia="zh-CN"/>
              </w:rPr>
              <w:t>2</w:t>
            </w:r>
          </w:p>
        </w:tc>
        <w:tc>
          <w:tcPr>
            <w:tcW w:w="750" w:type="dxa"/>
            <w:tcBorders>
              <w:tl2br w:val="nil"/>
              <w:tr2bl w:val="nil"/>
            </w:tcBorders>
            <w:vAlign w:val="center"/>
          </w:tcPr>
          <w:p>
            <w:pPr>
              <w:pStyle w:val="30"/>
              <w:rPr>
                <w:rFonts w:hint="default" w:eastAsia="宋体"/>
                <w:color w:val="auto"/>
                <w:u w:val="single"/>
                <w:lang w:val="en-US" w:eastAsia="zh-CN"/>
              </w:rPr>
            </w:pPr>
            <w:r>
              <w:rPr>
                <w:rFonts w:hint="eastAsia"/>
                <w:color w:val="auto"/>
                <w:u w:val="single"/>
                <w:lang w:val="en-US" w:eastAsia="zh-CN"/>
              </w:rPr>
              <w:t>废活性炭</w:t>
            </w:r>
          </w:p>
        </w:tc>
        <w:tc>
          <w:tcPr>
            <w:tcW w:w="1641" w:type="dxa"/>
            <w:tcBorders>
              <w:tl2br w:val="nil"/>
              <w:tr2bl w:val="nil"/>
            </w:tcBorders>
            <w:vAlign w:val="center"/>
          </w:tcPr>
          <w:p>
            <w:pPr>
              <w:pStyle w:val="30"/>
              <w:ind w:firstLine="0" w:firstLineChars="0"/>
              <w:rPr>
                <w:rFonts w:hint="default" w:ascii="Times New Roman" w:hAnsi="Times New Roman" w:eastAsia="宋体" w:cstheme="minorBidi"/>
                <w:color w:val="auto"/>
                <w:kern w:val="2"/>
                <w:sz w:val="21"/>
                <w:szCs w:val="22"/>
                <w:u w:val="single"/>
                <w:lang w:val="en-US" w:eastAsia="zh-CN" w:bidi="ar-SA"/>
              </w:rPr>
            </w:pPr>
            <w:r>
              <w:rPr>
                <w:rFonts w:hint="eastAsia" w:cstheme="minorBidi"/>
                <w:color w:val="auto"/>
                <w:kern w:val="2"/>
                <w:sz w:val="21"/>
                <w:szCs w:val="22"/>
                <w:u w:val="single"/>
                <w:lang w:val="en-US" w:eastAsia="zh-CN" w:bidi="ar-SA"/>
              </w:rPr>
              <w:t>黑色固体，有挥发性</w:t>
            </w:r>
          </w:p>
        </w:tc>
        <w:tc>
          <w:tcPr>
            <w:tcW w:w="1335" w:type="dxa"/>
            <w:tcBorders>
              <w:tl2br w:val="nil"/>
              <w:tr2bl w:val="nil"/>
            </w:tcBorders>
            <w:vAlign w:val="center"/>
          </w:tcPr>
          <w:p>
            <w:pPr>
              <w:pStyle w:val="30"/>
              <w:ind w:firstLine="0" w:firstLineChars="0"/>
              <w:rPr>
                <w:rFonts w:ascii="Times New Roman" w:hAnsi="Times New Roman" w:eastAsia="宋体" w:cstheme="minorBidi"/>
                <w:color w:val="auto"/>
                <w:kern w:val="2"/>
                <w:sz w:val="21"/>
                <w:szCs w:val="22"/>
                <w:u w:val="single"/>
                <w:lang w:val="en-US" w:eastAsia="zh-CN" w:bidi="ar-SA"/>
              </w:rPr>
            </w:pPr>
            <w:r>
              <w:rPr>
                <w:color w:val="auto"/>
                <w:u w:val="single"/>
              </w:rPr>
              <w:t>毒性、易燃性</w:t>
            </w:r>
          </w:p>
        </w:tc>
        <w:tc>
          <w:tcPr>
            <w:tcW w:w="1230" w:type="dxa"/>
            <w:tcBorders>
              <w:tl2br w:val="nil"/>
              <w:tr2bl w:val="nil"/>
            </w:tcBorders>
            <w:vAlign w:val="center"/>
          </w:tcPr>
          <w:p>
            <w:pPr>
              <w:pStyle w:val="30"/>
              <w:rPr>
                <w:rFonts w:hint="eastAsia" w:eastAsia="宋体"/>
                <w:color w:val="auto"/>
                <w:u w:val="single"/>
                <w:lang w:val="en-US" w:eastAsia="zh-CN"/>
              </w:rPr>
            </w:pPr>
            <w:r>
              <w:rPr>
                <w:rFonts w:hint="eastAsia"/>
                <w:color w:val="auto"/>
                <w:u w:val="single"/>
                <w:lang w:val="en-US" w:eastAsia="zh-CN"/>
              </w:rPr>
              <w:t>危废暂存间</w:t>
            </w:r>
          </w:p>
        </w:tc>
        <w:tc>
          <w:tcPr>
            <w:tcW w:w="1110" w:type="dxa"/>
            <w:tcBorders>
              <w:tl2br w:val="nil"/>
              <w:tr2bl w:val="nil"/>
            </w:tcBorders>
            <w:vAlign w:val="center"/>
          </w:tcPr>
          <w:p>
            <w:pPr>
              <w:pStyle w:val="30"/>
              <w:rPr>
                <w:rFonts w:hint="default" w:eastAsia="宋体"/>
                <w:color w:val="auto"/>
                <w:u w:val="single"/>
                <w:lang w:val="en-US" w:eastAsia="zh-CN"/>
              </w:rPr>
            </w:pPr>
            <w:r>
              <w:rPr>
                <w:rFonts w:hint="eastAsia"/>
                <w:color w:val="auto"/>
                <w:u w:val="single"/>
                <w:lang w:val="en-US" w:eastAsia="zh-CN"/>
              </w:rPr>
              <w:t>1t</w:t>
            </w:r>
          </w:p>
        </w:tc>
        <w:tc>
          <w:tcPr>
            <w:tcW w:w="1275" w:type="dxa"/>
            <w:tcBorders>
              <w:tl2br w:val="nil"/>
              <w:tr2bl w:val="nil"/>
            </w:tcBorders>
            <w:vAlign w:val="center"/>
          </w:tcPr>
          <w:p>
            <w:pPr>
              <w:pStyle w:val="30"/>
              <w:rPr>
                <w:rFonts w:hint="default" w:eastAsia="宋体"/>
                <w:color w:val="auto"/>
                <w:u w:val="single"/>
                <w:lang w:val="en-US" w:eastAsia="zh-CN"/>
              </w:rPr>
            </w:pPr>
            <w:r>
              <w:rPr>
                <w:rFonts w:hint="eastAsia"/>
                <w:color w:val="auto"/>
                <w:u w:val="single"/>
                <w:lang w:val="en-US" w:eastAsia="zh-CN"/>
              </w:rPr>
              <w:t>50t</w:t>
            </w:r>
          </w:p>
        </w:tc>
        <w:tc>
          <w:tcPr>
            <w:tcW w:w="1185" w:type="dxa"/>
            <w:tcBorders>
              <w:tl2br w:val="nil"/>
              <w:tr2bl w:val="nil"/>
            </w:tcBorders>
            <w:vAlign w:val="center"/>
          </w:tcPr>
          <w:p>
            <w:pPr>
              <w:pStyle w:val="30"/>
              <w:rPr>
                <w:rFonts w:hint="default" w:eastAsia="宋体"/>
                <w:color w:val="auto"/>
                <w:u w:val="single"/>
                <w:lang w:val="en-US" w:eastAsia="zh-CN"/>
              </w:rPr>
            </w:pPr>
            <w:r>
              <w:rPr>
                <w:rFonts w:hint="eastAsia"/>
                <w:color w:val="auto"/>
                <w:u w:val="single"/>
                <w:lang w:val="en-US" w:eastAsia="zh-CN"/>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929" w:type="dxa"/>
            <w:gridSpan w:val="7"/>
            <w:tcBorders>
              <w:tl2br w:val="nil"/>
              <w:tr2bl w:val="nil"/>
            </w:tcBorders>
            <w:vAlign w:val="center"/>
          </w:tcPr>
          <w:p>
            <w:pPr>
              <w:pStyle w:val="30"/>
              <w:rPr>
                <w:color w:val="auto"/>
                <w:u w:val="single"/>
              </w:rPr>
            </w:pPr>
            <w:r>
              <w:rPr>
                <w:color w:val="auto"/>
                <w:u w:val="single"/>
              </w:rPr>
              <w:t>合计</w:t>
            </w:r>
          </w:p>
        </w:tc>
        <w:tc>
          <w:tcPr>
            <w:tcW w:w="1185" w:type="dxa"/>
            <w:tcBorders>
              <w:tl2br w:val="nil"/>
              <w:tr2bl w:val="nil"/>
            </w:tcBorders>
            <w:vAlign w:val="center"/>
          </w:tcPr>
          <w:p>
            <w:pPr>
              <w:pStyle w:val="30"/>
              <w:rPr>
                <w:color w:val="auto"/>
                <w:u w:val="single"/>
              </w:rPr>
            </w:pPr>
            <w:r>
              <w:rPr>
                <w:rFonts w:hint="eastAsia"/>
                <w:color w:val="auto"/>
                <w:u w:val="single"/>
              </w:rPr>
              <w:t>0.0</w:t>
            </w:r>
            <w:r>
              <w:rPr>
                <w:rFonts w:hint="eastAsia"/>
                <w:color w:val="auto"/>
                <w:u w:val="single"/>
                <w:lang w:val="en-US" w:eastAsia="zh-CN"/>
              </w:rPr>
              <w:t>2</w:t>
            </w:r>
            <w:r>
              <w:rPr>
                <w:rFonts w:hint="eastAsia"/>
                <w:color w:val="auto"/>
                <w:u w:val="single"/>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114" w:type="dxa"/>
            <w:gridSpan w:val="8"/>
            <w:tcBorders>
              <w:tl2br w:val="nil"/>
              <w:tr2bl w:val="nil"/>
            </w:tcBorders>
            <w:vAlign w:val="center"/>
          </w:tcPr>
          <w:p>
            <w:pPr>
              <w:pStyle w:val="30"/>
              <w:rPr>
                <w:color w:val="auto"/>
                <w:u w:val="single"/>
              </w:rPr>
            </w:pPr>
            <w:r>
              <w:rPr>
                <w:color w:val="auto"/>
                <w:u w:val="single"/>
              </w:rPr>
              <w:t>注：临界量Qi参照《建设项目环境风险评价技术导则》（HJ169-2018）</w:t>
            </w:r>
          </w:p>
        </w:tc>
      </w:tr>
    </w:tbl>
    <w:p>
      <w:pPr>
        <w:ind w:firstLine="480"/>
        <w:rPr>
          <w:bCs/>
          <w:color w:val="auto"/>
          <w:u w:val="single"/>
        </w:rPr>
      </w:pPr>
      <w:r>
        <w:rPr>
          <w:bCs/>
          <w:color w:val="auto"/>
          <w:u w:val="single"/>
        </w:rPr>
        <w:t>本项目危险物质的数量与临界量比值Q=</w:t>
      </w:r>
      <w:r>
        <w:rPr>
          <w:rFonts w:hint="eastAsia"/>
          <w:bCs/>
          <w:color w:val="auto"/>
          <w:u w:val="single"/>
        </w:rPr>
        <w:t>0.0</w:t>
      </w:r>
      <w:r>
        <w:rPr>
          <w:rFonts w:hint="eastAsia"/>
          <w:bCs/>
          <w:color w:val="auto"/>
          <w:u w:val="single"/>
          <w:lang w:val="en-US" w:eastAsia="zh-CN"/>
        </w:rPr>
        <w:t>2</w:t>
      </w:r>
      <w:r>
        <w:rPr>
          <w:rFonts w:hint="eastAsia"/>
          <w:bCs/>
          <w:color w:val="auto"/>
          <w:u w:val="single"/>
        </w:rPr>
        <w:t>004</w:t>
      </w:r>
      <w:r>
        <w:rPr>
          <w:bCs/>
          <w:color w:val="auto"/>
          <w:u w:val="single"/>
        </w:rPr>
        <w:t>＜1，风险潜势为I。故本项目评价工作等级为简单分析。</w:t>
      </w:r>
    </w:p>
    <w:p>
      <w:pPr>
        <w:ind w:firstLine="482"/>
        <w:rPr>
          <w:b/>
          <w:bCs/>
          <w:color w:val="auto"/>
        </w:rPr>
      </w:pPr>
      <w:r>
        <w:rPr>
          <w:rFonts w:hint="eastAsia"/>
          <w:b/>
          <w:bCs/>
          <w:color w:val="auto"/>
        </w:rPr>
        <w:t>2、评价范围</w:t>
      </w:r>
    </w:p>
    <w:p>
      <w:pPr>
        <w:ind w:firstLine="480"/>
        <w:rPr>
          <w:bCs/>
          <w:color w:val="auto"/>
        </w:rPr>
      </w:pPr>
      <w:r>
        <w:rPr>
          <w:rFonts w:hint="eastAsia"/>
          <w:bCs/>
          <w:color w:val="auto"/>
        </w:rPr>
        <w:t>评价范围项目周围半径3.0km范围环境敏感点、人口集中区等。</w:t>
      </w:r>
    </w:p>
    <w:p>
      <w:pPr>
        <w:ind w:firstLine="480"/>
        <w:rPr>
          <w:bCs/>
          <w:color w:val="auto"/>
        </w:rPr>
      </w:pPr>
      <w:r>
        <w:rPr>
          <w:rFonts w:hint="eastAsia"/>
          <w:bCs/>
          <w:color w:val="auto"/>
        </w:rPr>
        <w:t>综上所述，本项目评价范围见下表。</w:t>
      </w:r>
    </w:p>
    <w:p>
      <w:pPr>
        <w:pStyle w:val="31"/>
        <w:rPr>
          <w:color w:val="auto"/>
        </w:rPr>
      </w:pPr>
    </w:p>
    <w:p>
      <w:pPr>
        <w:pStyle w:val="31"/>
        <w:rPr>
          <w:color w:val="auto"/>
        </w:rPr>
      </w:pPr>
      <w:r>
        <w:rPr>
          <w:color w:val="auto"/>
        </w:rPr>
        <w:t>表2.5-</w:t>
      </w:r>
      <w:r>
        <w:rPr>
          <w:rFonts w:hint="eastAsia"/>
          <w:color w:val="auto"/>
        </w:rPr>
        <w:t>1</w:t>
      </w:r>
      <w:r>
        <w:rPr>
          <w:rFonts w:hint="eastAsia"/>
          <w:color w:val="auto"/>
          <w:lang w:val="en-US" w:eastAsia="zh-CN"/>
        </w:rPr>
        <w:t>2</w:t>
      </w:r>
      <w:r>
        <w:rPr>
          <w:rFonts w:hint="eastAsia"/>
          <w:color w:val="auto"/>
        </w:rPr>
        <w:t xml:space="preserve"> </w:t>
      </w:r>
      <w:r>
        <w:rPr>
          <w:color w:val="auto"/>
        </w:rPr>
        <w:t xml:space="preserve"> </w:t>
      </w:r>
      <w:r>
        <w:rPr>
          <w:rFonts w:hint="eastAsia"/>
          <w:color w:val="auto"/>
        </w:rPr>
        <w:t>项目评价范围一览表</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3"/>
        <w:gridCol w:w="6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top w:val="single" w:color="auto" w:sz="12" w:space="0"/>
              <w:left w:val="single" w:color="auto" w:sz="12" w:space="0"/>
            </w:tcBorders>
            <w:vAlign w:val="center"/>
          </w:tcPr>
          <w:p>
            <w:pPr>
              <w:pStyle w:val="30"/>
              <w:rPr>
                <w:color w:val="auto"/>
              </w:rPr>
            </w:pPr>
            <w:r>
              <w:rPr>
                <w:rFonts w:hint="eastAsia"/>
                <w:color w:val="auto"/>
              </w:rPr>
              <w:t>评价因子</w:t>
            </w:r>
          </w:p>
        </w:tc>
        <w:tc>
          <w:tcPr>
            <w:tcW w:w="6751" w:type="dxa"/>
            <w:tcBorders>
              <w:top w:val="single" w:color="auto" w:sz="12" w:space="0"/>
              <w:right w:val="single" w:color="auto" w:sz="12" w:space="0"/>
            </w:tcBorders>
            <w:vAlign w:val="center"/>
          </w:tcPr>
          <w:p>
            <w:pPr>
              <w:pStyle w:val="30"/>
              <w:rPr>
                <w:color w:val="auto"/>
              </w:rPr>
            </w:pPr>
            <w:r>
              <w:rPr>
                <w:rFonts w:hint="eastAsia"/>
                <w:color w:val="auto"/>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tcBorders>
            <w:vAlign w:val="center"/>
          </w:tcPr>
          <w:p>
            <w:pPr>
              <w:pStyle w:val="30"/>
              <w:rPr>
                <w:color w:val="auto"/>
              </w:rPr>
            </w:pPr>
            <w:r>
              <w:rPr>
                <w:rFonts w:hint="eastAsia"/>
                <w:color w:val="auto"/>
              </w:rPr>
              <w:t>地表水环境</w:t>
            </w:r>
          </w:p>
        </w:tc>
        <w:tc>
          <w:tcPr>
            <w:tcW w:w="6751" w:type="dxa"/>
            <w:tcBorders>
              <w:right w:val="single" w:color="auto" w:sz="12" w:space="0"/>
            </w:tcBorders>
            <w:vAlign w:val="center"/>
          </w:tcPr>
          <w:p>
            <w:pPr>
              <w:pStyle w:val="30"/>
              <w:rPr>
                <w:color w:val="auto"/>
              </w:rPr>
            </w:pPr>
            <w:r>
              <w:rPr>
                <w:rFonts w:hint="eastAsia"/>
                <w:color w:val="auto"/>
              </w:rPr>
              <w:t>废水处理可行性分析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tcBorders>
            <w:vAlign w:val="center"/>
          </w:tcPr>
          <w:p>
            <w:pPr>
              <w:pStyle w:val="30"/>
              <w:rPr>
                <w:color w:val="auto"/>
              </w:rPr>
            </w:pPr>
            <w:r>
              <w:rPr>
                <w:rFonts w:hint="eastAsia"/>
                <w:color w:val="auto"/>
              </w:rPr>
              <w:t>地下水环境</w:t>
            </w:r>
          </w:p>
        </w:tc>
        <w:tc>
          <w:tcPr>
            <w:tcW w:w="6751" w:type="dxa"/>
            <w:tcBorders>
              <w:right w:val="single" w:color="auto" w:sz="12" w:space="0"/>
            </w:tcBorders>
            <w:vAlign w:val="center"/>
          </w:tcPr>
          <w:p>
            <w:pPr>
              <w:pStyle w:val="30"/>
              <w:rPr>
                <w:color w:val="auto"/>
              </w:rPr>
            </w:pPr>
            <w:r>
              <w:rPr>
                <w:rFonts w:hint="eastAsia"/>
                <w:color w:val="auto"/>
              </w:rPr>
              <w:t>以厂址为中心，6km</w:t>
            </w:r>
            <w:r>
              <w:rPr>
                <w:rFonts w:hint="eastAsia"/>
                <w:color w:val="auto"/>
                <w:vertAlign w:val="superscript"/>
              </w:rPr>
              <w:t>2</w:t>
            </w:r>
            <w:r>
              <w:rPr>
                <w:rFonts w:hint="eastAsia"/>
                <w:color w:val="auto"/>
              </w:rPr>
              <w:t>的水文地质区域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tcBorders>
            <w:vAlign w:val="center"/>
          </w:tcPr>
          <w:p>
            <w:pPr>
              <w:pStyle w:val="30"/>
              <w:rPr>
                <w:color w:val="auto"/>
              </w:rPr>
            </w:pPr>
            <w:r>
              <w:rPr>
                <w:rFonts w:hint="eastAsia"/>
                <w:color w:val="auto"/>
              </w:rPr>
              <w:t>环境空气</w:t>
            </w:r>
          </w:p>
        </w:tc>
        <w:tc>
          <w:tcPr>
            <w:tcW w:w="6751" w:type="dxa"/>
            <w:tcBorders>
              <w:right w:val="single" w:color="auto" w:sz="12" w:space="0"/>
            </w:tcBorders>
            <w:vAlign w:val="center"/>
          </w:tcPr>
          <w:p>
            <w:pPr>
              <w:pStyle w:val="30"/>
              <w:rPr>
                <w:color w:val="auto"/>
              </w:rPr>
            </w:pPr>
            <w:r>
              <w:rPr>
                <w:rFonts w:hint="eastAsia"/>
                <w:color w:val="auto"/>
              </w:rPr>
              <w:t>以项目厂址为中心，边长为5km的矩形区域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tcBorders>
            <w:vAlign w:val="center"/>
          </w:tcPr>
          <w:p>
            <w:pPr>
              <w:pStyle w:val="30"/>
              <w:rPr>
                <w:color w:val="auto"/>
              </w:rPr>
            </w:pPr>
            <w:r>
              <w:rPr>
                <w:rFonts w:hint="eastAsia"/>
                <w:color w:val="auto"/>
              </w:rPr>
              <w:t>噪声</w:t>
            </w:r>
          </w:p>
        </w:tc>
        <w:tc>
          <w:tcPr>
            <w:tcW w:w="6751" w:type="dxa"/>
            <w:tcBorders>
              <w:right w:val="single" w:color="auto" w:sz="12" w:space="0"/>
            </w:tcBorders>
            <w:vAlign w:val="center"/>
          </w:tcPr>
          <w:p>
            <w:pPr>
              <w:pStyle w:val="30"/>
              <w:rPr>
                <w:color w:val="auto"/>
              </w:rPr>
            </w:pPr>
            <w:r>
              <w:rPr>
                <w:rFonts w:hint="eastAsia"/>
                <w:color w:val="auto"/>
              </w:rPr>
              <w:t>项目厂界及外围 200m 内敏感点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tcBorders>
            <w:vAlign w:val="center"/>
          </w:tcPr>
          <w:p>
            <w:pPr>
              <w:pStyle w:val="30"/>
              <w:rPr>
                <w:color w:val="auto"/>
              </w:rPr>
            </w:pPr>
            <w:r>
              <w:rPr>
                <w:rFonts w:hint="eastAsia"/>
                <w:color w:val="auto"/>
              </w:rPr>
              <w:t>生态环境</w:t>
            </w:r>
          </w:p>
        </w:tc>
        <w:tc>
          <w:tcPr>
            <w:tcW w:w="6751" w:type="dxa"/>
            <w:tcBorders>
              <w:right w:val="single" w:color="auto" w:sz="12" w:space="0"/>
            </w:tcBorders>
            <w:vAlign w:val="center"/>
          </w:tcPr>
          <w:p>
            <w:pPr>
              <w:pStyle w:val="30"/>
              <w:rPr>
                <w:color w:val="auto"/>
              </w:rPr>
            </w:pPr>
            <w:r>
              <w:rPr>
                <w:rFonts w:hint="eastAsia"/>
                <w:color w:val="auto"/>
              </w:rPr>
              <w:t>本项目厂界范围以内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253" w:type="dxa"/>
            <w:tcBorders>
              <w:left w:val="single" w:color="auto" w:sz="12" w:space="0"/>
              <w:bottom w:val="single" w:color="auto" w:sz="12" w:space="0"/>
            </w:tcBorders>
            <w:vAlign w:val="center"/>
          </w:tcPr>
          <w:p>
            <w:pPr>
              <w:pStyle w:val="30"/>
              <w:rPr>
                <w:color w:val="auto"/>
              </w:rPr>
            </w:pPr>
            <w:r>
              <w:rPr>
                <w:rFonts w:hint="eastAsia"/>
                <w:color w:val="auto"/>
              </w:rPr>
              <w:t>环境风险</w:t>
            </w:r>
          </w:p>
        </w:tc>
        <w:tc>
          <w:tcPr>
            <w:tcW w:w="6751" w:type="dxa"/>
            <w:tcBorders>
              <w:bottom w:val="single" w:color="auto" w:sz="12" w:space="0"/>
              <w:right w:val="single" w:color="auto" w:sz="12" w:space="0"/>
            </w:tcBorders>
            <w:vAlign w:val="center"/>
          </w:tcPr>
          <w:p>
            <w:pPr>
              <w:pStyle w:val="30"/>
              <w:rPr>
                <w:color w:val="auto"/>
              </w:rPr>
            </w:pPr>
            <w:r>
              <w:rPr>
                <w:rFonts w:hint="eastAsia"/>
                <w:color w:val="auto"/>
              </w:rPr>
              <w:t>距离本项目边界3km范围内的区域</w:t>
            </w:r>
          </w:p>
        </w:tc>
      </w:tr>
    </w:tbl>
    <w:p>
      <w:pPr>
        <w:ind w:firstLine="482"/>
        <w:rPr>
          <w:b/>
          <w:bCs/>
          <w:color w:val="auto"/>
        </w:rPr>
      </w:pPr>
      <w:bookmarkStart w:id="69" w:name="_Toc18232"/>
      <w:bookmarkStart w:id="70" w:name="_Toc447114718"/>
      <w:r>
        <w:rPr>
          <w:b/>
          <w:bCs/>
          <w:color w:val="auto"/>
        </w:rPr>
        <w:t>2.6环境保护目标</w:t>
      </w:r>
      <w:bookmarkEnd w:id="69"/>
      <w:bookmarkEnd w:id="70"/>
    </w:p>
    <w:p>
      <w:pPr>
        <w:ind w:firstLine="480"/>
        <w:rPr>
          <w:bCs/>
          <w:color w:val="auto"/>
        </w:rPr>
      </w:pPr>
      <w:r>
        <w:rPr>
          <w:rFonts w:hint="eastAsia"/>
          <w:bCs/>
          <w:color w:val="auto"/>
        </w:rPr>
        <w:t>本项目位于汨罗循环经济产业园内，根据各要素评价工作等级确定的评价范围，结合现场踏勘和环境敏感点分布情况，确定环境保护目标见下表。</w:t>
      </w:r>
    </w:p>
    <w:p>
      <w:pPr>
        <w:pStyle w:val="31"/>
        <w:rPr>
          <w:color w:val="auto"/>
        </w:rPr>
      </w:pPr>
      <w:r>
        <w:rPr>
          <w:rFonts w:hint="eastAsia"/>
          <w:color w:val="auto"/>
        </w:rPr>
        <w:t>表 2.6-1</w:t>
      </w:r>
      <w:r>
        <w:rPr>
          <w:color w:val="auto"/>
        </w:rPr>
        <w:t xml:space="preserve"> </w:t>
      </w:r>
      <w:r>
        <w:rPr>
          <w:rFonts w:hint="eastAsia"/>
          <w:color w:val="auto"/>
        </w:rPr>
        <w:t>项目环境保护目标一览表（大气、声）</w:t>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9"/>
        <w:gridCol w:w="1110"/>
        <w:gridCol w:w="1272"/>
        <w:gridCol w:w="1110"/>
        <w:gridCol w:w="780"/>
        <w:gridCol w:w="948"/>
        <w:gridCol w:w="744"/>
        <w:gridCol w:w="866"/>
        <w:gridCol w:w="1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29" w:type="dxa"/>
            <w:vMerge w:val="restart"/>
            <w:tcBorders>
              <w:tl2br w:val="nil"/>
              <w:tr2bl w:val="nil"/>
            </w:tcBorders>
            <w:vAlign w:val="center"/>
          </w:tcPr>
          <w:p>
            <w:pPr>
              <w:pStyle w:val="30"/>
              <w:rPr>
                <w:color w:val="auto"/>
              </w:rPr>
            </w:pPr>
            <w:r>
              <w:rPr>
                <w:rFonts w:hint="eastAsia"/>
                <w:color w:val="auto"/>
              </w:rPr>
              <w:t>类别</w:t>
            </w:r>
          </w:p>
        </w:tc>
        <w:tc>
          <w:tcPr>
            <w:tcW w:w="1110" w:type="dxa"/>
            <w:vMerge w:val="restart"/>
            <w:tcBorders>
              <w:tl2br w:val="nil"/>
              <w:tr2bl w:val="nil"/>
            </w:tcBorders>
            <w:vAlign w:val="center"/>
          </w:tcPr>
          <w:p>
            <w:pPr>
              <w:pStyle w:val="30"/>
              <w:rPr>
                <w:color w:val="auto"/>
              </w:rPr>
            </w:pPr>
            <w:r>
              <w:rPr>
                <w:rFonts w:hint="eastAsia"/>
                <w:color w:val="auto"/>
              </w:rPr>
              <w:t>名称</w:t>
            </w:r>
          </w:p>
        </w:tc>
        <w:tc>
          <w:tcPr>
            <w:tcW w:w="2382" w:type="dxa"/>
            <w:gridSpan w:val="2"/>
            <w:tcBorders>
              <w:tl2br w:val="nil"/>
              <w:tr2bl w:val="nil"/>
            </w:tcBorders>
            <w:vAlign w:val="center"/>
          </w:tcPr>
          <w:p>
            <w:pPr>
              <w:pStyle w:val="30"/>
              <w:rPr>
                <w:color w:val="auto"/>
              </w:rPr>
            </w:pPr>
            <w:r>
              <w:rPr>
                <w:rFonts w:hint="eastAsia"/>
                <w:color w:val="auto"/>
              </w:rPr>
              <w:t>坐标</w:t>
            </w:r>
          </w:p>
        </w:tc>
        <w:tc>
          <w:tcPr>
            <w:tcW w:w="780" w:type="dxa"/>
            <w:vMerge w:val="restart"/>
            <w:tcBorders>
              <w:tl2br w:val="nil"/>
              <w:tr2bl w:val="nil"/>
            </w:tcBorders>
            <w:vAlign w:val="center"/>
          </w:tcPr>
          <w:p>
            <w:pPr>
              <w:pStyle w:val="30"/>
              <w:rPr>
                <w:color w:val="auto"/>
              </w:rPr>
            </w:pPr>
            <w:r>
              <w:rPr>
                <w:rFonts w:hint="eastAsia"/>
                <w:color w:val="auto"/>
              </w:rPr>
              <w:t>保护</w:t>
            </w:r>
          </w:p>
          <w:p>
            <w:pPr>
              <w:pStyle w:val="30"/>
              <w:rPr>
                <w:color w:val="auto"/>
              </w:rPr>
            </w:pPr>
            <w:r>
              <w:rPr>
                <w:rFonts w:hint="eastAsia"/>
                <w:color w:val="auto"/>
              </w:rPr>
              <w:t>对象</w:t>
            </w:r>
          </w:p>
        </w:tc>
        <w:tc>
          <w:tcPr>
            <w:tcW w:w="948" w:type="dxa"/>
            <w:vMerge w:val="restart"/>
            <w:tcBorders>
              <w:tl2br w:val="nil"/>
              <w:tr2bl w:val="nil"/>
            </w:tcBorders>
            <w:vAlign w:val="center"/>
          </w:tcPr>
          <w:p>
            <w:pPr>
              <w:pStyle w:val="30"/>
              <w:rPr>
                <w:color w:val="auto"/>
              </w:rPr>
            </w:pPr>
            <w:r>
              <w:rPr>
                <w:rFonts w:hint="eastAsia"/>
                <w:color w:val="auto"/>
              </w:rPr>
              <w:t>保护</w:t>
            </w:r>
          </w:p>
          <w:p>
            <w:pPr>
              <w:pStyle w:val="30"/>
              <w:rPr>
                <w:color w:val="auto"/>
              </w:rPr>
            </w:pPr>
            <w:r>
              <w:rPr>
                <w:rFonts w:hint="eastAsia"/>
                <w:color w:val="auto"/>
              </w:rPr>
              <w:t>内容</w:t>
            </w:r>
          </w:p>
        </w:tc>
        <w:tc>
          <w:tcPr>
            <w:tcW w:w="744" w:type="dxa"/>
            <w:vMerge w:val="restart"/>
            <w:tcBorders>
              <w:tl2br w:val="nil"/>
              <w:tr2bl w:val="nil"/>
            </w:tcBorders>
            <w:vAlign w:val="center"/>
          </w:tcPr>
          <w:p>
            <w:pPr>
              <w:pStyle w:val="30"/>
              <w:rPr>
                <w:color w:val="auto"/>
              </w:rPr>
            </w:pPr>
            <w:r>
              <w:rPr>
                <w:rFonts w:hint="eastAsia"/>
                <w:color w:val="auto"/>
              </w:rPr>
              <w:t>环境</w:t>
            </w:r>
          </w:p>
          <w:p>
            <w:pPr>
              <w:pStyle w:val="30"/>
              <w:rPr>
                <w:color w:val="auto"/>
              </w:rPr>
            </w:pPr>
            <w:r>
              <w:rPr>
                <w:rFonts w:hint="eastAsia"/>
                <w:color w:val="auto"/>
              </w:rPr>
              <w:t>功能区</w:t>
            </w:r>
          </w:p>
        </w:tc>
        <w:tc>
          <w:tcPr>
            <w:tcW w:w="866" w:type="dxa"/>
            <w:vMerge w:val="restart"/>
            <w:tcBorders>
              <w:tl2br w:val="nil"/>
              <w:tr2bl w:val="nil"/>
            </w:tcBorders>
            <w:vAlign w:val="center"/>
          </w:tcPr>
          <w:p>
            <w:pPr>
              <w:pStyle w:val="30"/>
              <w:rPr>
                <w:color w:val="auto"/>
              </w:rPr>
            </w:pPr>
            <w:r>
              <w:rPr>
                <w:rFonts w:hint="eastAsia"/>
                <w:color w:val="auto"/>
              </w:rPr>
              <w:t>相对厂址方位</w:t>
            </w:r>
          </w:p>
        </w:tc>
        <w:tc>
          <w:tcPr>
            <w:tcW w:w="1257" w:type="dxa"/>
            <w:vMerge w:val="restart"/>
            <w:tcBorders>
              <w:tl2br w:val="nil"/>
              <w:tr2bl w:val="nil"/>
            </w:tcBorders>
            <w:vAlign w:val="center"/>
          </w:tcPr>
          <w:p>
            <w:pPr>
              <w:pStyle w:val="30"/>
              <w:rPr>
                <w:color w:val="auto"/>
              </w:rPr>
            </w:pPr>
            <w:r>
              <w:rPr>
                <w:rFonts w:hint="eastAsia"/>
                <w:color w:val="auto"/>
              </w:rPr>
              <w:t>相对厂界最近距离/m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429" w:type="dxa"/>
            <w:vMerge w:val="continue"/>
            <w:tcBorders>
              <w:tl2br w:val="nil"/>
              <w:tr2bl w:val="nil"/>
            </w:tcBorders>
            <w:vAlign w:val="center"/>
          </w:tcPr>
          <w:p>
            <w:pPr>
              <w:pStyle w:val="30"/>
              <w:rPr>
                <w:color w:val="auto"/>
              </w:rPr>
            </w:pPr>
          </w:p>
        </w:tc>
        <w:tc>
          <w:tcPr>
            <w:tcW w:w="1110" w:type="dxa"/>
            <w:vMerge w:val="continue"/>
            <w:tcBorders>
              <w:tl2br w:val="nil"/>
              <w:tr2bl w:val="nil"/>
            </w:tcBorders>
            <w:vAlign w:val="center"/>
          </w:tcPr>
          <w:p>
            <w:pPr>
              <w:pStyle w:val="30"/>
              <w:rPr>
                <w:color w:val="auto"/>
              </w:rPr>
            </w:pPr>
          </w:p>
        </w:tc>
        <w:tc>
          <w:tcPr>
            <w:tcW w:w="1272" w:type="dxa"/>
            <w:tcBorders>
              <w:tl2br w:val="nil"/>
              <w:tr2bl w:val="nil"/>
            </w:tcBorders>
            <w:vAlign w:val="center"/>
          </w:tcPr>
          <w:p>
            <w:pPr>
              <w:pStyle w:val="30"/>
              <w:rPr>
                <w:color w:val="auto"/>
              </w:rPr>
            </w:pPr>
            <w:r>
              <w:rPr>
                <w:rFonts w:hint="eastAsia"/>
                <w:color w:val="auto"/>
              </w:rPr>
              <w:t>东经/°</w:t>
            </w:r>
          </w:p>
        </w:tc>
        <w:tc>
          <w:tcPr>
            <w:tcW w:w="1110" w:type="dxa"/>
            <w:tcBorders>
              <w:tl2br w:val="nil"/>
              <w:tr2bl w:val="nil"/>
            </w:tcBorders>
            <w:vAlign w:val="center"/>
          </w:tcPr>
          <w:p>
            <w:pPr>
              <w:pStyle w:val="30"/>
              <w:rPr>
                <w:color w:val="auto"/>
              </w:rPr>
            </w:pPr>
            <w:r>
              <w:rPr>
                <w:rFonts w:hint="eastAsia"/>
                <w:color w:val="auto"/>
              </w:rPr>
              <w:t>北纬/°</w:t>
            </w:r>
          </w:p>
        </w:tc>
        <w:tc>
          <w:tcPr>
            <w:tcW w:w="780" w:type="dxa"/>
            <w:vMerge w:val="continue"/>
            <w:tcBorders>
              <w:tl2br w:val="nil"/>
              <w:tr2bl w:val="nil"/>
            </w:tcBorders>
            <w:vAlign w:val="center"/>
          </w:tcPr>
          <w:p>
            <w:pPr>
              <w:pStyle w:val="30"/>
              <w:rPr>
                <w:color w:val="auto"/>
              </w:rPr>
            </w:pPr>
          </w:p>
        </w:tc>
        <w:tc>
          <w:tcPr>
            <w:tcW w:w="948" w:type="dxa"/>
            <w:vMerge w:val="continue"/>
            <w:tcBorders>
              <w:tl2br w:val="nil"/>
              <w:tr2bl w:val="nil"/>
            </w:tcBorders>
            <w:vAlign w:val="center"/>
          </w:tcPr>
          <w:p>
            <w:pPr>
              <w:pStyle w:val="30"/>
              <w:rPr>
                <w:color w:val="auto"/>
              </w:rPr>
            </w:pPr>
          </w:p>
        </w:tc>
        <w:tc>
          <w:tcPr>
            <w:tcW w:w="744" w:type="dxa"/>
            <w:vMerge w:val="continue"/>
            <w:tcBorders>
              <w:tl2br w:val="nil"/>
              <w:tr2bl w:val="nil"/>
            </w:tcBorders>
            <w:vAlign w:val="center"/>
          </w:tcPr>
          <w:p>
            <w:pPr>
              <w:pStyle w:val="30"/>
              <w:rPr>
                <w:color w:val="auto"/>
              </w:rPr>
            </w:pPr>
          </w:p>
        </w:tc>
        <w:tc>
          <w:tcPr>
            <w:tcW w:w="866" w:type="dxa"/>
            <w:vMerge w:val="continue"/>
            <w:tcBorders>
              <w:tl2br w:val="nil"/>
              <w:tr2bl w:val="nil"/>
            </w:tcBorders>
            <w:vAlign w:val="center"/>
          </w:tcPr>
          <w:p>
            <w:pPr>
              <w:pStyle w:val="30"/>
              <w:rPr>
                <w:color w:val="auto"/>
              </w:rPr>
            </w:pPr>
          </w:p>
        </w:tc>
        <w:tc>
          <w:tcPr>
            <w:tcW w:w="1257" w:type="dxa"/>
            <w:vMerge w:val="continue"/>
            <w:tcBorders>
              <w:tl2br w:val="nil"/>
              <w:tr2bl w:val="nil"/>
            </w:tcBorders>
            <w:vAlign w:val="center"/>
          </w:tcPr>
          <w:p>
            <w:pPr>
              <w:pStyle w:val="3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29" w:type="dxa"/>
            <w:vMerge w:val="restart"/>
            <w:tcBorders>
              <w:tl2br w:val="nil"/>
              <w:tr2bl w:val="nil"/>
            </w:tcBorders>
            <w:vAlign w:val="center"/>
          </w:tcPr>
          <w:p>
            <w:pPr>
              <w:pStyle w:val="30"/>
              <w:rPr>
                <w:color w:val="auto"/>
              </w:rPr>
            </w:pPr>
            <w:r>
              <w:rPr>
                <w:rFonts w:hint="eastAsia"/>
                <w:color w:val="auto"/>
              </w:rPr>
              <w:t>环境空气</w:t>
            </w:r>
          </w:p>
        </w:tc>
        <w:tc>
          <w:tcPr>
            <w:tcW w:w="1110" w:type="dxa"/>
            <w:tcBorders>
              <w:tl2br w:val="nil"/>
              <w:tr2bl w:val="nil"/>
            </w:tcBorders>
            <w:vAlign w:val="center"/>
          </w:tcPr>
          <w:p>
            <w:pPr>
              <w:pStyle w:val="30"/>
              <w:rPr>
                <w:color w:val="auto"/>
              </w:rPr>
            </w:pPr>
            <w:r>
              <w:rPr>
                <w:rFonts w:hint="eastAsia"/>
                <w:color w:val="auto"/>
              </w:rPr>
              <w:t>107国道沿线居民</w:t>
            </w:r>
          </w:p>
        </w:tc>
        <w:tc>
          <w:tcPr>
            <w:tcW w:w="1272" w:type="dxa"/>
            <w:tcBorders>
              <w:tl2br w:val="nil"/>
              <w:tr2bl w:val="nil"/>
            </w:tcBorders>
            <w:vAlign w:val="center"/>
          </w:tcPr>
          <w:p>
            <w:pPr>
              <w:pStyle w:val="30"/>
              <w:rPr>
                <w:color w:val="auto"/>
              </w:rPr>
            </w:pPr>
            <w:r>
              <w:rPr>
                <w:rFonts w:hint="eastAsia"/>
                <w:color w:val="auto"/>
              </w:rPr>
              <w:t>113.169381</w:t>
            </w:r>
          </w:p>
        </w:tc>
        <w:tc>
          <w:tcPr>
            <w:tcW w:w="1110" w:type="dxa"/>
            <w:tcBorders>
              <w:tl2br w:val="nil"/>
              <w:tr2bl w:val="nil"/>
            </w:tcBorders>
            <w:vAlign w:val="center"/>
          </w:tcPr>
          <w:p>
            <w:pPr>
              <w:pStyle w:val="30"/>
              <w:rPr>
                <w:color w:val="auto"/>
              </w:rPr>
            </w:pPr>
            <w:r>
              <w:rPr>
                <w:rFonts w:hint="eastAsia"/>
                <w:color w:val="auto"/>
              </w:rPr>
              <w:t>28.763120</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约170人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w:t>
            </w:r>
          </w:p>
        </w:tc>
        <w:tc>
          <w:tcPr>
            <w:tcW w:w="1257" w:type="dxa"/>
            <w:tcBorders>
              <w:tl2br w:val="nil"/>
              <w:tr2bl w:val="nil"/>
            </w:tcBorders>
            <w:vAlign w:val="center"/>
          </w:tcPr>
          <w:p>
            <w:pPr>
              <w:pStyle w:val="30"/>
              <w:rPr>
                <w:color w:val="auto"/>
              </w:rPr>
            </w:pPr>
            <w:r>
              <w:rPr>
                <w:rFonts w:hint="eastAsia"/>
                <w:color w:val="auto"/>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金家坳</w:t>
            </w:r>
          </w:p>
        </w:tc>
        <w:tc>
          <w:tcPr>
            <w:tcW w:w="1272" w:type="dxa"/>
            <w:tcBorders>
              <w:tl2br w:val="nil"/>
              <w:tr2bl w:val="nil"/>
            </w:tcBorders>
            <w:vAlign w:val="center"/>
          </w:tcPr>
          <w:p>
            <w:pPr>
              <w:pStyle w:val="30"/>
              <w:rPr>
                <w:color w:val="auto"/>
              </w:rPr>
            </w:pPr>
            <w:r>
              <w:rPr>
                <w:rFonts w:hint="eastAsia"/>
                <w:color w:val="auto"/>
              </w:rPr>
              <w:t>113.167128</w:t>
            </w:r>
          </w:p>
        </w:tc>
        <w:tc>
          <w:tcPr>
            <w:tcW w:w="1110" w:type="dxa"/>
            <w:tcBorders>
              <w:tl2br w:val="nil"/>
              <w:tr2bl w:val="nil"/>
            </w:tcBorders>
            <w:vAlign w:val="center"/>
          </w:tcPr>
          <w:p>
            <w:pPr>
              <w:pStyle w:val="30"/>
              <w:rPr>
                <w:color w:val="auto"/>
              </w:rPr>
            </w:pPr>
            <w:r>
              <w:rPr>
                <w:rFonts w:hint="eastAsia"/>
                <w:color w:val="auto"/>
              </w:rPr>
              <w:t>28.761328</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约400人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w:t>
            </w:r>
          </w:p>
        </w:tc>
        <w:tc>
          <w:tcPr>
            <w:tcW w:w="1257" w:type="dxa"/>
            <w:tcBorders>
              <w:tl2br w:val="nil"/>
              <w:tr2bl w:val="nil"/>
            </w:tcBorders>
            <w:vAlign w:val="center"/>
          </w:tcPr>
          <w:p>
            <w:pPr>
              <w:pStyle w:val="30"/>
              <w:rPr>
                <w:color w:val="auto"/>
              </w:rPr>
            </w:pPr>
            <w:r>
              <w:rPr>
                <w:rFonts w:hint="eastAsia"/>
                <w:color w:val="auto"/>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向家咀居民点</w:t>
            </w:r>
          </w:p>
        </w:tc>
        <w:tc>
          <w:tcPr>
            <w:tcW w:w="1272" w:type="dxa"/>
            <w:tcBorders>
              <w:tl2br w:val="nil"/>
              <w:tr2bl w:val="nil"/>
            </w:tcBorders>
            <w:vAlign w:val="center"/>
          </w:tcPr>
          <w:p>
            <w:pPr>
              <w:pStyle w:val="30"/>
              <w:rPr>
                <w:color w:val="auto"/>
              </w:rPr>
            </w:pPr>
            <w:r>
              <w:rPr>
                <w:rFonts w:hint="eastAsia"/>
                <w:color w:val="auto"/>
              </w:rPr>
              <w:t>113.174204</w:t>
            </w:r>
          </w:p>
        </w:tc>
        <w:tc>
          <w:tcPr>
            <w:tcW w:w="1110" w:type="dxa"/>
            <w:tcBorders>
              <w:tl2br w:val="nil"/>
              <w:tr2bl w:val="nil"/>
            </w:tcBorders>
            <w:vAlign w:val="center"/>
          </w:tcPr>
          <w:p>
            <w:pPr>
              <w:pStyle w:val="30"/>
              <w:rPr>
                <w:color w:val="auto"/>
              </w:rPr>
            </w:pPr>
            <w:r>
              <w:rPr>
                <w:rFonts w:hint="eastAsia"/>
                <w:color w:val="auto"/>
              </w:rPr>
              <w:t>28.774842</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约105人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北</w:t>
            </w:r>
          </w:p>
        </w:tc>
        <w:tc>
          <w:tcPr>
            <w:tcW w:w="1257" w:type="dxa"/>
            <w:tcBorders>
              <w:tl2br w:val="nil"/>
              <w:tr2bl w:val="nil"/>
            </w:tcBorders>
            <w:vAlign w:val="center"/>
          </w:tcPr>
          <w:p>
            <w:pPr>
              <w:pStyle w:val="30"/>
              <w:rPr>
                <w:color w:val="auto"/>
              </w:rPr>
            </w:pPr>
            <w:r>
              <w:rPr>
                <w:rFonts w:hint="eastAsia"/>
                <w:color w:val="auto"/>
              </w:rPr>
              <w:t>1310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钟家坪居民点</w:t>
            </w:r>
          </w:p>
        </w:tc>
        <w:tc>
          <w:tcPr>
            <w:tcW w:w="1272" w:type="dxa"/>
            <w:tcBorders>
              <w:tl2br w:val="nil"/>
              <w:tr2bl w:val="nil"/>
            </w:tcBorders>
            <w:vAlign w:val="center"/>
          </w:tcPr>
          <w:p>
            <w:pPr>
              <w:pStyle w:val="30"/>
              <w:rPr>
                <w:color w:val="auto"/>
              </w:rPr>
            </w:pPr>
            <w:r>
              <w:rPr>
                <w:rFonts w:hint="eastAsia"/>
                <w:color w:val="auto"/>
              </w:rPr>
              <w:t>113.182750</w:t>
            </w:r>
          </w:p>
        </w:tc>
        <w:tc>
          <w:tcPr>
            <w:tcW w:w="1110" w:type="dxa"/>
            <w:tcBorders>
              <w:tl2br w:val="nil"/>
              <w:tr2bl w:val="nil"/>
            </w:tcBorders>
            <w:vAlign w:val="center"/>
          </w:tcPr>
          <w:p>
            <w:pPr>
              <w:pStyle w:val="30"/>
              <w:rPr>
                <w:color w:val="auto"/>
              </w:rPr>
            </w:pPr>
            <w:r>
              <w:rPr>
                <w:rFonts w:hint="eastAsia"/>
                <w:color w:val="auto"/>
              </w:rPr>
              <w:t>28.765411</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约150人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东北</w:t>
            </w:r>
          </w:p>
        </w:tc>
        <w:tc>
          <w:tcPr>
            <w:tcW w:w="1257" w:type="dxa"/>
            <w:tcBorders>
              <w:tl2br w:val="nil"/>
              <w:tr2bl w:val="nil"/>
            </w:tcBorders>
            <w:vAlign w:val="center"/>
          </w:tcPr>
          <w:p>
            <w:pPr>
              <w:pStyle w:val="30"/>
              <w:rPr>
                <w:color w:val="auto"/>
              </w:rPr>
            </w:pPr>
            <w:r>
              <w:rPr>
                <w:rFonts w:hint="eastAsia"/>
                <w:color w:val="auto"/>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武莲村居民点</w:t>
            </w:r>
          </w:p>
        </w:tc>
        <w:tc>
          <w:tcPr>
            <w:tcW w:w="1272" w:type="dxa"/>
            <w:tcBorders>
              <w:tl2br w:val="nil"/>
              <w:tr2bl w:val="nil"/>
            </w:tcBorders>
            <w:vAlign w:val="center"/>
          </w:tcPr>
          <w:p>
            <w:pPr>
              <w:pStyle w:val="30"/>
              <w:rPr>
                <w:color w:val="auto"/>
              </w:rPr>
            </w:pPr>
            <w:r>
              <w:rPr>
                <w:rFonts w:hint="eastAsia"/>
                <w:color w:val="auto"/>
              </w:rPr>
              <w:t>113.182208</w:t>
            </w:r>
          </w:p>
        </w:tc>
        <w:tc>
          <w:tcPr>
            <w:tcW w:w="1110" w:type="dxa"/>
            <w:tcBorders>
              <w:tl2br w:val="nil"/>
              <w:tr2bl w:val="nil"/>
            </w:tcBorders>
            <w:vAlign w:val="center"/>
          </w:tcPr>
          <w:p>
            <w:pPr>
              <w:pStyle w:val="30"/>
              <w:rPr>
                <w:color w:val="auto"/>
              </w:rPr>
            </w:pPr>
            <w:r>
              <w:rPr>
                <w:rFonts w:hint="eastAsia"/>
                <w:color w:val="auto"/>
              </w:rPr>
              <w:t>28.782846</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约210人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东北</w:t>
            </w:r>
          </w:p>
        </w:tc>
        <w:tc>
          <w:tcPr>
            <w:tcW w:w="1257" w:type="dxa"/>
            <w:tcBorders>
              <w:tl2br w:val="nil"/>
              <w:tr2bl w:val="nil"/>
            </w:tcBorders>
            <w:vAlign w:val="center"/>
          </w:tcPr>
          <w:p>
            <w:pPr>
              <w:pStyle w:val="30"/>
              <w:rPr>
                <w:color w:val="auto"/>
              </w:rPr>
            </w:pPr>
            <w:r>
              <w:rPr>
                <w:rFonts w:hint="eastAsia"/>
                <w:color w:val="auto"/>
              </w:rPr>
              <w:t>2380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永新村居民点</w:t>
            </w:r>
          </w:p>
        </w:tc>
        <w:tc>
          <w:tcPr>
            <w:tcW w:w="1272" w:type="dxa"/>
            <w:tcBorders>
              <w:tl2br w:val="nil"/>
              <w:tr2bl w:val="nil"/>
            </w:tcBorders>
            <w:vAlign w:val="center"/>
          </w:tcPr>
          <w:p>
            <w:pPr>
              <w:pStyle w:val="30"/>
              <w:rPr>
                <w:color w:val="auto"/>
              </w:rPr>
            </w:pPr>
            <w:r>
              <w:rPr>
                <w:rFonts w:hint="eastAsia"/>
                <w:color w:val="auto"/>
              </w:rPr>
              <w:t>113.190003</w:t>
            </w:r>
          </w:p>
        </w:tc>
        <w:tc>
          <w:tcPr>
            <w:tcW w:w="1110" w:type="dxa"/>
            <w:tcBorders>
              <w:tl2br w:val="nil"/>
              <w:tr2bl w:val="nil"/>
            </w:tcBorders>
            <w:vAlign w:val="center"/>
          </w:tcPr>
          <w:p>
            <w:pPr>
              <w:pStyle w:val="30"/>
              <w:rPr>
                <w:color w:val="auto"/>
              </w:rPr>
            </w:pPr>
            <w:r>
              <w:rPr>
                <w:rFonts w:hint="eastAsia"/>
                <w:color w:val="auto"/>
              </w:rPr>
              <w:t>28.758866</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约240人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w:t>
            </w:r>
          </w:p>
        </w:tc>
        <w:tc>
          <w:tcPr>
            <w:tcW w:w="1257" w:type="dxa"/>
            <w:tcBorders>
              <w:tl2br w:val="nil"/>
              <w:tr2bl w:val="nil"/>
            </w:tcBorders>
            <w:vAlign w:val="center"/>
          </w:tcPr>
          <w:p>
            <w:pPr>
              <w:pStyle w:val="30"/>
              <w:rPr>
                <w:color w:val="auto"/>
              </w:rPr>
            </w:pPr>
            <w:r>
              <w:rPr>
                <w:rFonts w:hint="eastAsia"/>
                <w:color w:val="auto"/>
              </w:rPr>
              <w:t>1750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童家塅居民点</w:t>
            </w:r>
          </w:p>
        </w:tc>
        <w:tc>
          <w:tcPr>
            <w:tcW w:w="1272" w:type="dxa"/>
            <w:tcBorders>
              <w:tl2br w:val="nil"/>
              <w:tr2bl w:val="nil"/>
            </w:tcBorders>
            <w:vAlign w:val="center"/>
          </w:tcPr>
          <w:p>
            <w:pPr>
              <w:pStyle w:val="30"/>
              <w:rPr>
                <w:color w:val="auto"/>
              </w:rPr>
            </w:pPr>
            <w:r>
              <w:rPr>
                <w:rFonts w:hint="eastAsia"/>
                <w:color w:val="auto"/>
              </w:rPr>
              <w:t>113.191199</w:t>
            </w:r>
          </w:p>
        </w:tc>
        <w:tc>
          <w:tcPr>
            <w:tcW w:w="1110" w:type="dxa"/>
            <w:tcBorders>
              <w:tl2br w:val="nil"/>
              <w:tr2bl w:val="nil"/>
            </w:tcBorders>
            <w:vAlign w:val="center"/>
          </w:tcPr>
          <w:p>
            <w:pPr>
              <w:pStyle w:val="30"/>
              <w:rPr>
                <w:color w:val="auto"/>
              </w:rPr>
            </w:pPr>
            <w:r>
              <w:rPr>
                <w:rFonts w:hint="eastAsia"/>
                <w:color w:val="auto"/>
              </w:rPr>
              <w:t>28.759939</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约150人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w:t>
            </w:r>
          </w:p>
        </w:tc>
        <w:tc>
          <w:tcPr>
            <w:tcW w:w="1257" w:type="dxa"/>
            <w:tcBorders>
              <w:tl2br w:val="nil"/>
              <w:tr2bl w:val="nil"/>
            </w:tcBorders>
            <w:vAlign w:val="center"/>
          </w:tcPr>
          <w:p>
            <w:pPr>
              <w:pStyle w:val="30"/>
              <w:rPr>
                <w:color w:val="auto"/>
              </w:rPr>
            </w:pPr>
            <w:r>
              <w:rPr>
                <w:rFonts w:hint="eastAsia"/>
                <w:color w:val="auto"/>
              </w:rPr>
              <w:t>1850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山头石居民点</w:t>
            </w:r>
          </w:p>
        </w:tc>
        <w:tc>
          <w:tcPr>
            <w:tcW w:w="1272" w:type="dxa"/>
            <w:tcBorders>
              <w:tl2br w:val="nil"/>
              <w:tr2bl w:val="nil"/>
            </w:tcBorders>
            <w:vAlign w:val="center"/>
          </w:tcPr>
          <w:p>
            <w:pPr>
              <w:pStyle w:val="30"/>
              <w:rPr>
                <w:color w:val="auto"/>
              </w:rPr>
            </w:pPr>
            <w:r>
              <w:rPr>
                <w:rFonts w:hint="eastAsia"/>
                <w:color w:val="auto"/>
              </w:rPr>
              <w:t>113.182305</w:t>
            </w:r>
          </w:p>
        </w:tc>
        <w:tc>
          <w:tcPr>
            <w:tcW w:w="1110" w:type="dxa"/>
            <w:tcBorders>
              <w:tl2br w:val="nil"/>
              <w:tr2bl w:val="nil"/>
            </w:tcBorders>
            <w:vAlign w:val="center"/>
          </w:tcPr>
          <w:p>
            <w:pPr>
              <w:pStyle w:val="30"/>
              <w:rPr>
                <w:color w:val="auto"/>
              </w:rPr>
            </w:pPr>
            <w:r>
              <w:rPr>
                <w:rFonts w:hint="eastAsia"/>
                <w:color w:val="auto"/>
              </w:rPr>
              <w:t>28.770410</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约120人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东北</w:t>
            </w:r>
          </w:p>
        </w:tc>
        <w:tc>
          <w:tcPr>
            <w:tcW w:w="1257" w:type="dxa"/>
            <w:tcBorders>
              <w:tl2br w:val="nil"/>
              <w:tr2bl w:val="nil"/>
            </w:tcBorders>
            <w:vAlign w:val="center"/>
          </w:tcPr>
          <w:p>
            <w:pPr>
              <w:pStyle w:val="30"/>
              <w:rPr>
                <w:color w:val="auto"/>
              </w:rPr>
            </w:pPr>
            <w:r>
              <w:rPr>
                <w:rFonts w:hint="eastAsia"/>
                <w:color w:val="auto"/>
              </w:rPr>
              <w:t>1300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三合村居民点</w:t>
            </w:r>
          </w:p>
        </w:tc>
        <w:tc>
          <w:tcPr>
            <w:tcW w:w="1272" w:type="dxa"/>
            <w:tcBorders>
              <w:tl2br w:val="nil"/>
              <w:tr2bl w:val="nil"/>
            </w:tcBorders>
            <w:vAlign w:val="center"/>
          </w:tcPr>
          <w:p>
            <w:pPr>
              <w:pStyle w:val="30"/>
              <w:rPr>
                <w:color w:val="auto"/>
              </w:rPr>
            </w:pPr>
            <w:r>
              <w:rPr>
                <w:rFonts w:hint="eastAsia"/>
                <w:color w:val="auto"/>
              </w:rPr>
              <w:t>113.196842</w:t>
            </w:r>
          </w:p>
        </w:tc>
        <w:tc>
          <w:tcPr>
            <w:tcW w:w="1110" w:type="dxa"/>
            <w:tcBorders>
              <w:tl2br w:val="nil"/>
              <w:tr2bl w:val="nil"/>
            </w:tcBorders>
            <w:vAlign w:val="center"/>
          </w:tcPr>
          <w:p>
            <w:pPr>
              <w:pStyle w:val="30"/>
              <w:rPr>
                <w:color w:val="auto"/>
              </w:rPr>
            </w:pPr>
            <w:r>
              <w:rPr>
                <w:rFonts w:hint="eastAsia"/>
                <w:color w:val="auto"/>
              </w:rPr>
              <w:t>28.768833</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约150人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东北</w:t>
            </w:r>
          </w:p>
        </w:tc>
        <w:tc>
          <w:tcPr>
            <w:tcW w:w="1257" w:type="dxa"/>
            <w:tcBorders>
              <w:tl2br w:val="nil"/>
              <w:tr2bl w:val="nil"/>
            </w:tcBorders>
            <w:vAlign w:val="center"/>
          </w:tcPr>
          <w:p>
            <w:pPr>
              <w:pStyle w:val="30"/>
              <w:rPr>
                <w:color w:val="auto"/>
              </w:rPr>
            </w:pPr>
            <w:r>
              <w:rPr>
                <w:rFonts w:hint="eastAsia"/>
                <w:color w:val="auto"/>
              </w:rPr>
              <w:t>2450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科头屋居民点</w:t>
            </w:r>
          </w:p>
        </w:tc>
        <w:tc>
          <w:tcPr>
            <w:tcW w:w="1272" w:type="dxa"/>
            <w:tcBorders>
              <w:tl2br w:val="nil"/>
              <w:tr2bl w:val="nil"/>
            </w:tcBorders>
            <w:vAlign w:val="center"/>
          </w:tcPr>
          <w:p>
            <w:pPr>
              <w:pStyle w:val="30"/>
              <w:rPr>
                <w:color w:val="auto"/>
              </w:rPr>
            </w:pPr>
            <w:r>
              <w:rPr>
                <w:rFonts w:hint="eastAsia"/>
                <w:color w:val="auto"/>
              </w:rPr>
              <w:t>113.188517</w:t>
            </w:r>
          </w:p>
        </w:tc>
        <w:tc>
          <w:tcPr>
            <w:tcW w:w="1110" w:type="dxa"/>
            <w:tcBorders>
              <w:tl2br w:val="nil"/>
              <w:tr2bl w:val="nil"/>
            </w:tcBorders>
            <w:vAlign w:val="center"/>
          </w:tcPr>
          <w:p>
            <w:pPr>
              <w:pStyle w:val="30"/>
              <w:rPr>
                <w:color w:val="auto"/>
              </w:rPr>
            </w:pPr>
            <w:r>
              <w:rPr>
                <w:rFonts w:hint="eastAsia"/>
                <w:color w:val="auto"/>
              </w:rPr>
              <w:t>28.763029</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约120人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东</w:t>
            </w:r>
          </w:p>
        </w:tc>
        <w:tc>
          <w:tcPr>
            <w:tcW w:w="1257" w:type="dxa"/>
            <w:tcBorders>
              <w:tl2br w:val="nil"/>
              <w:tr2bl w:val="nil"/>
            </w:tcBorders>
            <w:vAlign w:val="center"/>
          </w:tcPr>
          <w:p>
            <w:pPr>
              <w:pStyle w:val="30"/>
              <w:rPr>
                <w:color w:val="auto"/>
              </w:rPr>
            </w:pPr>
            <w:r>
              <w:rPr>
                <w:rFonts w:hint="eastAsia"/>
                <w:color w:val="auto"/>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八里村居民点</w:t>
            </w:r>
          </w:p>
        </w:tc>
        <w:tc>
          <w:tcPr>
            <w:tcW w:w="1272" w:type="dxa"/>
            <w:tcBorders>
              <w:tl2br w:val="nil"/>
              <w:tr2bl w:val="nil"/>
            </w:tcBorders>
            <w:vAlign w:val="center"/>
          </w:tcPr>
          <w:p>
            <w:pPr>
              <w:pStyle w:val="30"/>
              <w:rPr>
                <w:color w:val="auto"/>
              </w:rPr>
            </w:pPr>
            <w:r>
              <w:rPr>
                <w:rFonts w:hint="eastAsia"/>
                <w:color w:val="auto"/>
              </w:rPr>
              <w:t>113.163079</w:t>
            </w:r>
          </w:p>
        </w:tc>
        <w:tc>
          <w:tcPr>
            <w:tcW w:w="1110" w:type="dxa"/>
            <w:tcBorders>
              <w:tl2br w:val="nil"/>
              <w:tr2bl w:val="nil"/>
            </w:tcBorders>
            <w:vAlign w:val="center"/>
          </w:tcPr>
          <w:p>
            <w:pPr>
              <w:pStyle w:val="30"/>
              <w:rPr>
                <w:color w:val="auto"/>
              </w:rPr>
            </w:pPr>
            <w:r>
              <w:rPr>
                <w:rFonts w:hint="eastAsia"/>
                <w:color w:val="auto"/>
              </w:rPr>
              <w:t>28.753089</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约300人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西南</w:t>
            </w:r>
          </w:p>
        </w:tc>
        <w:tc>
          <w:tcPr>
            <w:tcW w:w="1257" w:type="dxa"/>
            <w:tcBorders>
              <w:tl2br w:val="nil"/>
              <w:tr2bl w:val="nil"/>
            </w:tcBorders>
            <w:vAlign w:val="center"/>
          </w:tcPr>
          <w:p>
            <w:pPr>
              <w:pStyle w:val="30"/>
              <w:rPr>
                <w:color w:val="auto"/>
              </w:rPr>
            </w:pPr>
            <w:r>
              <w:rPr>
                <w:rFonts w:hint="eastAsia"/>
                <w:color w:val="auto"/>
              </w:rPr>
              <w:t>1100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花圃学校</w:t>
            </w:r>
          </w:p>
        </w:tc>
        <w:tc>
          <w:tcPr>
            <w:tcW w:w="1272" w:type="dxa"/>
            <w:tcBorders>
              <w:tl2br w:val="nil"/>
              <w:tr2bl w:val="nil"/>
            </w:tcBorders>
            <w:vAlign w:val="center"/>
          </w:tcPr>
          <w:p>
            <w:pPr>
              <w:pStyle w:val="30"/>
              <w:rPr>
                <w:color w:val="auto"/>
              </w:rPr>
            </w:pPr>
            <w:r>
              <w:rPr>
                <w:rFonts w:hint="eastAsia"/>
                <w:color w:val="auto"/>
              </w:rPr>
              <w:t>113.156238</w:t>
            </w:r>
          </w:p>
        </w:tc>
        <w:tc>
          <w:tcPr>
            <w:tcW w:w="1110" w:type="dxa"/>
            <w:tcBorders>
              <w:tl2br w:val="nil"/>
              <w:tr2bl w:val="nil"/>
            </w:tcBorders>
            <w:vAlign w:val="center"/>
          </w:tcPr>
          <w:p>
            <w:pPr>
              <w:pStyle w:val="30"/>
              <w:rPr>
                <w:color w:val="auto"/>
              </w:rPr>
            </w:pPr>
            <w:r>
              <w:rPr>
                <w:rFonts w:hint="eastAsia"/>
                <w:color w:val="auto"/>
              </w:rPr>
              <w:t>28.754881</w:t>
            </w:r>
          </w:p>
        </w:tc>
        <w:tc>
          <w:tcPr>
            <w:tcW w:w="780" w:type="dxa"/>
            <w:tcBorders>
              <w:tl2br w:val="nil"/>
              <w:tr2bl w:val="nil"/>
            </w:tcBorders>
            <w:vAlign w:val="center"/>
          </w:tcPr>
          <w:p>
            <w:pPr>
              <w:pStyle w:val="30"/>
              <w:rPr>
                <w:color w:val="auto"/>
              </w:rPr>
            </w:pPr>
            <w:r>
              <w:rPr>
                <w:rFonts w:hint="eastAsia"/>
                <w:color w:val="auto"/>
              </w:rPr>
              <w:t>师生</w:t>
            </w:r>
          </w:p>
        </w:tc>
        <w:tc>
          <w:tcPr>
            <w:tcW w:w="948" w:type="dxa"/>
            <w:tcBorders>
              <w:tl2br w:val="nil"/>
              <w:tr2bl w:val="nil"/>
            </w:tcBorders>
            <w:vAlign w:val="center"/>
          </w:tcPr>
          <w:p>
            <w:pPr>
              <w:pStyle w:val="30"/>
              <w:rPr>
                <w:color w:val="auto"/>
              </w:rPr>
            </w:pPr>
            <w:r>
              <w:rPr>
                <w:rFonts w:hint="eastAsia"/>
                <w:color w:val="auto"/>
              </w:rPr>
              <w:t>约100人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西南</w:t>
            </w:r>
          </w:p>
        </w:tc>
        <w:tc>
          <w:tcPr>
            <w:tcW w:w="1257" w:type="dxa"/>
            <w:tcBorders>
              <w:tl2br w:val="nil"/>
              <w:tr2bl w:val="nil"/>
            </w:tcBorders>
            <w:vAlign w:val="center"/>
          </w:tcPr>
          <w:p>
            <w:pPr>
              <w:pStyle w:val="30"/>
              <w:rPr>
                <w:color w:val="auto"/>
              </w:rPr>
            </w:pPr>
            <w:r>
              <w:rPr>
                <w:rFonts w:hint="eastAsia"/>
                <w:color w:val="auto"/>
              </w:rPr>
              <w:t>1560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新市中心小学</w:t>
            </w:r>
          </w:p>
        </w:tc>
        <w:tc>
          <w:tcPr>
            <w:tcW w:w="1272" w:type="dxa"/>
            <w:tcBorders>
              <w:tl2br w:val="nil"/>
              <w:tr2bl w:val="nil"/>
            </w:tcBorders>
            <w:vAlign w:val="center"/>
          </w:tcPr>
          <w:p>
            <w:pPr>
              <w:pStyle w:val="30"/>
              <w:rPr>
                <w:color w:val="auto"/>
              </w:rPr>
            </w:pPr>
            <w:r>
              <w:rPr>
                <w:rFonts w:hint="eastAsia"/>
                <w:color w:val="auto"/>
              </w:rPr>
              <w:t>113.157054</w:t>
            </w:r>
          </w:p>
        </w:tc>
        <w:tc>
          <w:tcPr>
            <w:tcW w:w="1110" w:type="dxa"/>
            <w:tcBorders>
              <w:tl2br w:val="nil"/>
              <w:tr2bl w:val="nil"/>
            </w:tcBorders>
            <w:vAlign w:val="center"/>
          </w:tcPr>
          <w:p>
            <w:pPr>
              <w:pStyle w:val="30"/>
              <w:rPr>
                <w:color w:val="auto"/>
              </w:rPr>
            </w:pPr>
            <w:r>
              <w:rPr>
                <w:rFonts w:hint="eastAsia"/>
                <w:color w:val="auto"/>
              </w:rPr>
              <w:t>28.777777</w:t>
            </w:r>
          </w:p>
        </w:tc>
        <w:tc>
          <w:tcPr>
            <w:tcW w:w="780" w:type="dxa"/>
            <w:tcBorders>
              <w:tl2br w:val="nil"/>
              <w:tr2bl w:val="nil"/>
            </w:tcBorders>
            <w:vAlign w:val="center"/>
          </w:tcPr>
          <w:p>
            <w:pPr>
              <w:pStyle w:val="30"/>
              <w:rPr>
                <w:color w:val="auto"/>
              </w:rPr>
            </w:pPr>
            <w:r>
              <w:rPr>
                <w:rFonts w:hint="eastAsia"/>
                <w:color w:val="auto"/>
              </w:rPr>
              <w:t>师生</w:t>
            </w:r>
          </w:p>
        </w:tc>
        <w:tc>
          <w:tcPr>
            <w:tcW w:w="948" w:type="dxa"/>
            <w:tcBorders>
              <w:tl2br w:val="nil"/>
              <w:tr2bl w:val="nil"/>
            </w:tcBorders>
            <w:vAlign w:val="center"/>
          </w:tcPr>
          <w:p>
            <w:pPr>
              <w:pStyle w:val="30"/>
              <w:rPr>
                <w:color w:val="auto"/>
              </w:rPr>
            </w:pPr>
            <w:r>
              <w:rPr>
                <w:rFonts w:hint="eastAsia"/>
                <w:color w:val="auto"/>
              </w:rPr>
              <w:t>约500人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西北</w:t>
            </w:r>
          </w:p>
        </w:tc>
        <w:tc>
          <w:tcPr>
            <w:tcW w:w="1257" w:type="dxa"/>
            <w:tcBorders>
              <w:tl2br w:val="nil"/>
              <w:tr2bl w:val="nil"/>
            </w:tcBorders>
            <w:vAlign w:val="center"/>
          </w:tcPr>
          <w:p>
            <w:pPr>
              <w:pStyle w:val="30"/>
              <w:rPr>
                <w:color w:val="auto"/>
              </w:rPr>
            </w:pPr>
            <w:r>
              <w:rPr>
                <w:rFonts w:hint="eastAsia"/>
                <w:color w:val="auto"/>
              </w:rPr>
              <w:t>2100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新书村居民点</w:t>
            </w:r>
          </w:p>
        </w:tc>
        <w:tc>
          <w:tcPr>
            <w:tcW w:w="1272" w:type="dxa"/>
            <w:tcBorders>
              <w:tl2br w:val="nil"/>
              <w:tr2bl w:val="nil"/>
            </w:tcBorders>
            <w:vAlign w:val="center"/>
          </w:tcPr>
          <w:p>
            <w:pPr>
              <w:pStyle w:val="30"/>
              <w:rPr>
                <w:color w:val="auto"/>
              </w:rPr>
            </w:pPr>
            <w:r>
              <w:rPr>
                <w:rFonts w:hint="eastAsia"/>
                <w:color w:val="auto"/>
              </w:rPr>
              <w:t>113.153149</w:t>
            </w:r>
          </w:p>
        </w:tc>
        <w:tc>
          <w:tcPr>
            <w:tcW w:w="1110" w:type="dxa"/>
            <w:tcBorders>
              <w:tl2br w:val="nil"/>
              <w:tr2bl w:val="nil"/>
            </w:tcBorders>
            <w:vAlign w:val="center"/>
          </w:tcPr>
          <w:p>
            <w:pPr>
              <w:pStyle w:val="30"/>
              <w:rPr>
                <w:color w:val="auto"/>
              </w:rPr>
            </w:pPr>
            <w:r>
              <w:rPr>
                <w:rFonts w:hint="eastAsia"/>
                <w:color w:val="auto"/>
              </w:rPr>
              <w:t>28.773785</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约350人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w:t>
            </w:r>
          </w:p>
        </w:tc>
        <w:tc>
          <w:tcPr>
            <w:tcW w:w="1257" w:type="dxa"/>
            <w:tcBorders>
              <w:tl2br w:val="nil"/>
              <w:tr2bl w:val="nil"/>
            </w:tcBorders>
            <w:vAlign w:val="center"/>
          </w:tcPr>
          <w:p>
            <w:pPr>
              <w:pStyle w:val="30"/>
              <w:rPr>
                <w:color w:val="auto"/>
              </w:rPr>
            </w:pPr>
            <w:r>
              <w:rPr>
                <w:rFonts w:hint="eastAsia"/>
                <w:color w:val="auto"/>
              </w:rPr>
              <w:t>2080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汨罗市第二人民医院</w:t>
            </w:r>
          </w:p>
        </w:tc>
        <w:tc>
          <w:tcPr>
            <w:tcW w:w="1272" w:type="dxa"/>
            <w:tcBorders>
              <w:tl2br w:val="nil"/>
              <w:tr2bl w:val="nil"/>
            </w:tcBorders>
            <w:vAlign w:val="center"/>
          </w:tcPr>
          <w:p>
            <w:pPr>
              <w:pStyle w:val="30"/>
              <w:rPr>
                <w:color w:val="auto"/>
              </w:rPr>
            </w:pPr>
            <w:r>
              <w:rPr>
                <w:rFonts w:hint="eastAsia"/>
                <w:color w:val="auto"/>
              </w:rPr>
              <w:t>113.153728</w:t>
            </w:r>
          </w:p>
        </w:tc>
        <w:tc>
          <w:tcPr>
            <w:tcW w:w="1110" w:type="dxa"/>
            <w:tcBorders>
              <w:tl2br w:val="nil"/>
              <w:tr2bl w:val="nil"/>
            </w:tcBorders>
            <w:vAlign w:val="center"/>
          </w:tcPr>
          <w:p>
            <w:pPr>
              <w:pStyle w:val="30"/>
              <w:rPr>
                <w:color w:val="auto"/>
              </w:rPr>
            </w:pPr>
            <w:r>
              <w:rPr>
                <w:rFonts w:hint="eastAsia"/>
                <w:color w:val="auto"/>
              </w:rPr>
              <w:t>28.776811</w:t>
            </w:r>
          </w:p>
        </w:tc>
        <w:tc>
          <w:tcPr>
            <w:tcW w:w="780" w:type="dxa"/>
            <w:tcBorders>
              <w:tl2br w:val="nil"/>
              <w:tr2bl w:val="nil"/>
            </w:tcBorders>
            <w:vAlign w:val="center"/>
          </w:tcPr>
          <w:p>
            <w:pPr>
              <w:pStyle w:val="30"/>
              <w:rPr>
                <w:color w:val="auto"/>
              </w:rPr>
            </w:pPr>
            <w:r>
              <w:rPr>
                <w:rFonts w:hint="eastAsia"/>
                <w:color w:val="auto"/>
              </w:rPr>
              <w:t>医患</w:t>
            </w:r>
          </w:p>
        </w:tc>
        <w:tc>
          <w:tcPr>
            <w:tcW w:w="948" w:type="dxa"/>
            <w:tcBorders>
              <w:tl2br w:val="nil"/>
              <w:tr2bl w:val="nil"/>
            </w:tcBorders>
            <w:vAlign w:val="center"/>
          </w:tcPr>
          <w:p>
            <w:pPr>
              <w:pStyle w:val="30"/>
              <w:rPr>
                <w:color w:val="auto"/>
              </w:rPr>
            </w:pPr>
            <w:r>
              <w:rPr>
                <w:rFonts w:hint="eastAsia"/>
                <w:color w:val="auto"/>
              </w:rPr>
              <w:t>约200床位</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西北</w:t>
            </w:r>
          </w:p>
        </w:tc>
        <w:tc>
          <w:tcPr>
            <w:tcW w:w="1257" w:type="dxa"/>
            <w:tcBorders>
              <w:tl2br w:val="nil"/>
              <w:tr2bl w:val="nil"/>
            </w:tcBorders>
            <w:vAlign w:val="center"/>
          </w:tcPr>
          <w:p>
            <w:pPr>
              <w:pStyle w:val="30"/>
              <w:rPr>
                <w:color w:val="auto"/>
              </w:rPr>
            </w:pPr>
            <w:r>
              <w:rPr>
                <w:rFonts w:hint="eastAsia"/>
                <w:color w:val="auto"/>
              </w:rPr>
              <w:t>2250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新市中学</w:t>
            </w:r>
          </w:p>
        </w:tc>
        <w:tc>
          <w:tcPr>
            <w:tcW w:w="1272" w:type="dxa"/>
            <w:tcBorders>
              <w:tl2br w:val="nil"/>
              <w:tr2bl w:val="nil"/>
            </w:tcBorders>
            <w:vAlign w:val="center"/>
          </w:tcPr>
          <w:p>
            <w:pPr>
              <w:pStyle w:val="30"/>
              <w:rPr>
                <w:color w:val="auto"/>
              </w:rPr>
            </w:pPr>
            <w:r>
              <w:rPr>
                <w:rFonts w:hint="eastAsia"/>
                <w:color w:val="auto"/>
              </w:rPr>
              <w:t>113.151410</w:t>
            </w:r>
          </w:p>
        </w:tc>
        <w:tc>
          <w:tcPr>
            <w:tcW w:w="1110" w:type="dxa"/>
            <w:tcBorders>
              <w:tl2br w:val="nil"/>
              <w:tr2bl w:val="nil"/>
            </w:tcBorders>
            <w:vAlign w:val="center"/>
          </w:tcPr>
          <w:p>
            <w:pPr>
              <w:pStyle w:val="30"/>
              <w:rPr>
                <w:color w:val="auto"/>
              </w:rPr>
            </w:pPr>
            <w:r>
              <w:rPr>
                <w:rFonts w:hint="eastAsia"/>
                <w:color w:val="auto"/>
              </w:rPr>
              <w:t>28.776757</w:t>
            </w:r>
          </w:p>
        </w:tc>
        <w:tc>
          <w:tcPr>
            <w:tcW w:w="780" w:type="dxa"/>
            <w:tcBorders>
              <w:tl2br w:val="nil"/>
              <w:tr2bl w:val="nil"/>
            </w:tcBorders>
            <w:vAlign w:val="center"/>
          </w:tcPr>
          <w:p>
            <w:pPr>
              <w:pStyle w:val="30"/>
              <w:rPr>
                <w:color w:val="auto"/>
              </w:rPr>
            </w:pPr>
            <w:r>
              <w:rPr>
                <w:rFonts w:hint="eastAsia"/>
                <w:color w:val="auto"/>
              </w:rPr>
              <w:t>师生</w:t>
            </w:r>
          </w:p>
        </w:tc>
        <w:tc>
          <w:tcPr>
            <w:tcW w:w="948" w:type="dxa"/>
            <w:tcBorders>
              <w:tl2br w:val="nil"/>
              <w:tr2bl w:val="nil"/>
            </w:tcBorders>
            <w:vAlign w:val="center"/>
          </w:tcPr>
          <w:p>
            <w:pPr>
              <w:pStyle w:val="30"/>
              <w:rPr>
                <w:color w:val="auto"/>
              </w:rPr>
            </w:pPr>
            <w:r>
              <w:rPr>
                <w:rFonts w:hint="eastAsia"/>
                <w:color w:val="auto"/>
              </w:rPr>
              <w:t>约1800人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西北</w:t>
            </w:r>
          </w:p>
        </w:tc>
        <w:tc>
          <w:tcPr>
            <w:tcW w:w="1257" w:type="dxa"/>
            <w:tcBorders>
              <w:tl2br w:val="nil"/>
              <w:tr2bl w:val="nil"/>
            </w:tcBorders>
            <w:vAlign w:val="center"/>
          </w:tcPr>
          <w:p>
            <w:pPr>
              <w:pStyle w:val="30"/>
              <w:rPr>
                <w:color w:val="auto"/>
              </w:rPr>
            </w:pPr>
            <w:r>
              <w:rPr>
                <w:rFonts w:hint="eastAsia"/>
                <w:color w:val="auto"/>
              </w:rPr>
              <w:t>2390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vMerge w:val="continue"/>
            <w:tcBorders>
              <w:tl2br w:val="nil"/>
              <w:tr2bl w:val="nil"/>
            </w:tcBorders>
            <w:vAlign w:val="center"/>
          </w:tcPr>
          <w:p>
            <w:pPr>
              <w:pStyle w:val="30"/>
              <w:rPr>
                <w:color w:val="auto"/>
              </w:rPr>
            </w:pPr>
          </w:p>
        </w:tc>
        <w:tc>
          <w:tcPr>
            <w:tcW w:w="1110" w:type="dxa"/>
            <w:tcBorders>
              <w:tl2br w:val="nil"/>
              <w:tr2bl w:val="nil"/>
            </w:tcBorders>
            <w:vAlign w:val="center"/>
          </w:tcPr>
          <w:p>
            <w:pPr>
              <w:pStyle w:val="30"/>
              <w:rPr>
                <w:color w:val="auto"/>
              </w:rPr>
            </w:pPr>
            <w:r>
              <w:rPr>
                <w:rFonts w:hint="eastAsia"/>
                <w:color w:val="auto"/>
              </w:rPr>
              <w:t>新市镇政府</w:t>
            </w:r>
          </w:p>
        </w:tc>
        <w:tc>
          <w:tcPr>
            <w:tcW w:w="1272" w:type="dxa"/>
            <w:tcBorders>
              <w:tl2br w:val="nil"/>
              <w:tr2bl w:val="nil"/>
            </w:tcBorders>
            <w:vAlign w:val="center"/>
          </w:tcPr>
          <w:p>
            <w:pPr>
              <w:pStyle w:val="30"/>
              <w:rPr>
                <w:color w:val="auto"/>
              </w:rPr>
            </w:pPr>
            <w:r>
              <w:rPr>
                <w:rFonts w:hint="eastAsia"/>
                <w:color w:val="auto"/>
              </w:rPr>
              <w:t>113.151834</w:t>
            </w:r>
          </w:p>
        </w:tc>
        <w:tc>
          <w:tcPr>
            <w:tcW w:w="1110" w:type="dxa"/>
            <w:tcBorders>
              <w:tl2br w:val="nil"/>
              <w:tr2bl w:val="nil"/>
            </w:tcBorders>
            <w:vAlign w:val="center"/>
          </w:tcPr>
          <w:p>
            <w:pPr>
              <w:pStyle w:val="30"/>
              <w:rPr>
                <w:color w:val="auto"/>
              </w:rPr>
            </w:pPr>
            <w:r>
              <w:rPr>
                <w:rFonts w:hint="eastAsia"/>
                <w:color w:val="auto"/>
              </w:rPr>
              <w:t>28.777406</w:t>
            </w:r>
          </w:p>
        </w:tc>
        <w:tc>
          <w:tcPr>
            <w:tcW w:w="780" w:type="dxa"/>
            <w:tcBorders>
              <w:tl2br w:val="nil"/>
              <w:tr2bl w:val="nil"/>
            </w:tcBorders>
            <w:vAlign w:val="center"/>
          </w:tcPr>
          <w:p>
            <w:pPr>
              <w:pStyle w:val="30"/>
              <w:rPr>
                <w:color w:val="auto"/>
              </w:rPr>
            </w:pPr>
            <w:r>
              <w:rPr>
                <w:rFonts w:hint="eastAsia"/>
                <w:color w:val="auto"/>
              </w:rPr>
              <w:t>办公人员</w:t>
            </w:r>
          </w:p>
        </w:tc>
        <w:tc>
          <w:tcPr>
            <w:tcW w:w="948" w:type="dxa"/>
            <w:tcBorders>
              <w:tl2br w:val="nil"/>
              <w:tr2bl w:val="nil"/>
            </w:tcBorders>
            <w:vAlign w:val="center"/>
          </w:tcPr>
          <w:p>
            <w:pPr>
              <w:pStyle w:val="30"/>
              <w:rPr>
                <w:color w:val="auto"/>
              </w:rPr>
            </w:pPr>
            <w:r>
              <w:rPr>
                <w:rFonts w:hint="eastAsia"/>
                <w:color w:val="auto"/>
              </w:rPr>
              <w:t>约300人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西北</w:t>
            </w:r>
          </w:p>
        </w:tc>
        <w:tc>
          <w:tcPr>
            <w:tcW w:w="1257" w:type="dxa"/>
            <w:tcBorders>
              <w:tl2br w:val="nil"/>
              <w:tr2bl w:val="nil"/>
            </w:tcBorders>
            <w:vAlign w:val="center"/>
          </w:tcPr>
          <w:p>
            <w:pPr>
              <w:pStyle w:val="30"/>
              <w:rPr>
                <w:color w:val="auto"/>
              </w:rPr>
            </w:pPr>
            <w:r>
              <w:rPr>
                <w:rFonts w:hint="eastAsia"/>
                <w:color w:val="auto"/>
              </w:rPr>
              <w:t>2410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29" w:type="dxa"/>
            <w:tcBorders>
              <w:tl2br w:val="nil"/>
              <w:tr2bl w:val="nil"/>
            </w:tcBorders>
            <w:vAlign w:val="center"/>
          </w:tcPr>
          <w:p>
            <w:pPr>
              <w:pStyle w:val="30"/>
              <w:rPr>
                <w:color w:val="auto"/>
              </w:rPr>
            </w:pPr>
            <w:r>
              <w:rPr>
                <w:rFonts w:hint="eastAsia"/>
                <w:color w:val="auto"/>
              </w:rPr>
              <w:t>声环境</w:t>
            </w:r>
          </w:p>
        </w:tc>
        <w:tc>
          <w:tcPr>
            <w:tcW w:w="1110" w:type="dxa"/>
            <w:tcBorders>
              <w:tl2br w:val="nil"/>
              <w:tr2bl w:val="nil"/>
            </w:tcBorders>
            <w:vAlign w:val="center"/>
          </w:tcPr>
          <w:p>
            <w:pPr>
              <w:pStyle w:val="30"/>
              <w:rPr>
                <w:color w:val="auto"/>
              </w:rPr>
            </w:pPr>
            <w:r>
              <w:rPr>
                <w:rFonts w:hint="eastAsia"/>
                <w:color w:val="auto"/>
              </w:rPr>
              <w:t>107国道沿线居民</w:t>
            </w:r>
          </w:p>
        </w:tc>
        <w:tc>
          <w:tcPr>
            <w:tcW w:w="1272" w:type="dxa"/>
            <w:tcBorders>
              <w:tl2br w:val="nil"/>
              <w:tr2bl w:val="nil"/>
            </w:tcBorders>
            <w:vAlign w:val="center"/>
          </w:tcPr>
          <w:p>
            <w:pPr>
              <w:pStyle w:val="30"/>
              <w:rPr>
                <w:color w:val="auto"/>
              </w:rPr>
            </w:pPr>
            <w:r>
              <w:rPr>
                <w:rFonts w:hint="eastAsia"/>
                <w:color w:val="auto"/>
              </w:rPr>
              <w:t>113.169381</w:t>
            </w:r>
          </w:p>
        </w:tc>
        <w:tc>
          <w:tcPr>
            <w:tcW w:w="1110" w:type="dxa"/>
            <w:tcBorders>
              <w:tl2br w:val="nil"/>
              <w:tr2bl w:val="nil"/>
            </w:tcBorders>
            <w:vAlign w:val="center"/>
          </w:tcPr>
          <w:p>
            <w:pPr>
              <w:pStyle w:val="30"/>
              <w:rPr>
                <w:color w:val="auto"/>
              </w:rPr>
            </w:pPr>
            <w:r>
              <w:rPr>
                <w:rFonts w:hint="eastAsia"/>
                <w:color w:val="auto"/>
              </w:rPr>
              <w:t>28.763120</w:t>
            </w:r>
          </w:p>
        </w:tc>
        <w:tc>
          <w:tcPr>
            <w:tcW w:w="780" w:type="dxa"/>
            <w:tcBorders>
              <w:tl2br w:val="nil"/>
              <w:tr2bl w:val="nil"/>
            </w:tcBorders>
            <w:vAlign w:val="center"/>
          </w:tcPr>
          <w:p>
            <w:pPr>
              <w:pStyle w:val="30"/>
              <w:rPr>
                <w:color w:val="auto"/>
              </w:rPr>
            </w:pPr>
            <w:r>
              <w:rPr>
                <w:rFonts w:hint="eastAsia"/>
                <w:color w:val="auto"/>
              </w:rPr>
              <w:t>居民</w:t>
            </w:r>
          </w:p>
        </w:tc>
        <w:tc>
          <w:tcPr>
            <w:tcW w:w="948" w:type="dxa"/>
            <w:tcBorders>
              <w:tl2br w:val="nil"/>
              <w:tr2bl w:val="nil"/>
            </w:tcBorders>
            <w:vAlign w:val="center"/>
          </w:tcPr>
          <w:p>
            <w:pPr>
              <w:pStyle w:val="30"/>
              <w:rPr>
                <w:color w:val="auto"/>
              </w:rPr>
            </w:pPr>
            <w:r>
              <w:rPr>
                <w:rFonts w:hint="eastAsia"/>
                <w:color w:val="auto"/>
              </w:rPr>
              <w:t>约170人</w:t>
            </w:r>
          </w:p>
        </w:tc>
        <w:tc>
          <w:tcPr>
            <w:tcW w:w="744" w:type="dxa"/>
            <w:tcBorders>
              <w:tl2br w:val="nil"/>
              <w:tr2bl w:val="nil"/>
            </w:tcBorders>
            <w:vAlign w:val="center"/>
          </w:tcPr>
          <w:p>
            <w:pPr>
              <w:pStyle w:val="30"/>
              <w:rPr>
                <w:color w:val="auto"/>
              </w:rPr>
            </w:pPr>
            <w:r>
              <w:rPr>
                <w:rFonts w:hint="eastAsia"/>
                <w:color w:val="auto"/>
              </w:rPr>
              <w:t>二类区</w:t>
            </w:r>
          </w:p>
        </w:tc>
        <w:tc>
          <w:tcPr>
            <w:tcW w:w="866" w:type="dxa"/>
            <w:tcBorders>
              <w:tl2br w:val="nil"/>
              <w:tr2bl w:val="nil"/>
            </w:tcBorders>
            <w:vAlign w:val="center"/>
          </w:tcPr>
          <w:p>
            <w:pPr>
              <w:pStyle w:val="30"/>
              <w:rPr>
                <w:color w:val="auto"/>
              </w:rPr>
            </w:pPr>
            <w:r>
              <w:rPr>
                <w:rFonts w:hint="eastAsia"/>
                <w:color w:val="auto"/>
              </w:rPr>
              <w:t>西</w:t>
            </w:r>
          </w:p>
        </w:tc>
        <w:tc>
          <w:tcPr>
            <w:tcW w:w="1257" w:type="dxa"/>
            <w:tcBorders>
              <w:tl2br w:val="nil"/>
              <w:tr2bl w:val="nil"/>
            </w:tcBorders>
            <w:vAlign w:val="center"/>
          </w:tcPr>
          <w:p>
            <w:pPr>
              <w:pStyle w:val="30"/>
              <w:rPr>
                <w:color w:val="auto"/>
              </w:rPr>
            </w:pPr>
            <w:r>
              <w:rPr>
                <w:rFonts w:hint="eastAsia"/>
                <w:color w:val="auto"/>
              </w:rPr>
              <w:t>100</w:t>
            </w:r>
          </w:p>
        </w:tc>
      </w:tr>
    </w:tbl>
    <w:p>
      <w:pPr>
        <w:pStyle w:val="31"/>
        <w:rPr>
          <w:color w:val="auto"/>
        </w:rPr>
      </w:pPr>
      <w:r>
        <w:rPr>
          <w:color w:val="auto"/>
        </w:rPr>
        <w:t>表2.6-2   环境保护目标表（</w:t>
      </w:r>
      <w:r>
        <w:rPr>
          <w:rFonts w:hint="eastAsia"/>
          <w:color w:val="auto"/>
        </w:rPr>
        <w:t>地表水</w:t>
      </w:r>
      <w:r>
        <w:rPr>
          <w:color w:val="auto"/>
        </w:rPr>
        <w:t>、</w:t>
      </w:r>
      <w:r>
        <w:rPr>
          <w:rFonts w:hint="eastAsia"/>
          <w:color w:val="auto"/>
        </w:rPr>
        <w:t>地下水</w:t>
      </w:r>
      <w:r>
        <w:rPr>
          <w:color w:val="auto"/>
        </w:rPr>
        <w:t>、生态）</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39"/>
        <w:gridCol w:w="1137"/>
        <w:gridCol w:w="794"/>
        <w:gridCol w:w="1481"/>
        <w:gridCol w:w="39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tcBorders>
              <w:tl2br w:val="nil"/>
              <w:tr2bl w:val="nil"/>
            </w:tcBorders>
            <w:vAlign w:val="center"/>
          </w:tcPr>
          <w:p>
            <w:pPr>
              <w:pStyle w:val="30"/>
              <w:rPr>
                <w:color w:val="auto"/>
              </w:rPr>
            </w:pPr>
            <w:r>
              <w:rPr>
                <w:color w:val="auto"/>
              </w:rPr>
              <w:t>项目</w:t>
            </w:r>
          </w:p>
        </w:tc>
        <w:tc>
          <w:tcPr>
            <w:tcW w:w="667" w:type="pct"/>
            <w:tcBorders>
              <w:tl2br w:val="nil"/>
              <w:tr2bl w:val="nil"/>
            </w:tcBorders>
            <w:vAlign w:val="center"/>
          </w:tcPr>
          <w:p>
            <w:pPr>
              <w:pStyle w:val="30"/>
              <w:rPr>
                <w:color w:val="auto"/>
              </w:rPr>
            </w:pPr>
            <w:r>
              <w:rPr>
                <w:color w:val="auto"/>
              </w:rPr>
              <w:t>目标名称</w:t>
            </w:r>
          </w:p>
        </w:tc>
        <w:tc>
          <w:tcPr>
            <w:tcW w:w="466" w:type="pct"/>
            <w:tcBorders>
              <w:tl2br w:val="nil"/>
              <w:tr2bl w:val="nil"/>
            </w:tcBorders>
            <w:vAlign w:val="center"/>
          </w:tcPr>
          <w:p>
            <w:pPr>
              <w:pStyle w:val="30"/>
              <w:rPr>
                <w:color w:val="auto"/>
              </w:rPr>
            </w:pPr>
            <w:r>
              <w:rPr>
                <w:color w:val="auto"/>
              </w:rPr>
              <w:t>规模</w:t>
            </w:r>
          </w:p>
        </w:tc>
        <w:tc>
          <w:tcPr>
            <w:tcW w:w="868" w:type="pct"/>
            <w:tcBorders>
              <w:tl2br w:val="nil"/>
              <w:tr2bl w:val="nil"/>
            </w:tcBorders>
            <w:vAlign w:val="center"/>
          </w:tcPr>
          <w:p>
            <w:pPr>
              <w:pStyle w:val="30"/>
              <w:rPr>
                <w:color w:val="auto"/>
              </w:rPr>
            </w:pPr>
            <w:r>
              <w:rPr>
                <w:color w:val="auto"/>
              </w:rPr>
              <w:t>相对项目厂址方位及厂界距离</w:t>
            </w:r>
          </w:p>
        </w:tc>
        <w:tc>
          <w:tcPr>
            <w:tcW w:w="2331" w:type="pct"/>
            <w:tcBorders>
              <w:tl2br w:val="nil"/>
              <w:tr2bl w:val="nil"/>
            </w:tcBorders>
            <w:vAlign w:val="center"/>
          </w:tcPr>
          <w:p>
            <w:pPr>
              <w:pStyle w:val="30"/>
              <w:rPr>
                <w:color w:val="auto"/>
              </w:rPr>
            </w:pPr>
            <w:r>
              <w:rPr>
                <w:color w:val="auto"/>
              </w:rPr>
              <w:t>环境功能及保护级别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vMerge w:val="restart"/>
            <w:tcBorders>
              <w:tl2br w:val="nil"/>
              <w:tr2bl w:val="nil"/>
            </w:tcBorders>
            <w:vAlign w:val="center"/>
          </w:tcPr>
          <w:p>
            <w:pPr>
              <w:pStyle w:val="30"/>
              <w:rPr>
                <w:color w:val="auto"/>
              </w:rPr>
            </w:pPr>
            <w:r>
              <w:rPr>
                <w:color w:val="auto"/>
              </w:rPr>
              <w:t>地表水环境</w:t>
            </w:r>
          </w:p>
        </w:tc>
        <w:tc>
          <w:tcPr>
            <w:tcW w:w="667" w:type="pct"/>
            <w:tcBorders>
              <w:tl2br w:val="nil"/>
              <w:tr2bl w:val="nil"/>
            </w:tcBorders>
            <w:vAlign w:val="center"/>
          </w:tcPr>
          <w:p>
            <w:pPr>
              <w:pStyle w:val="30"/>
              <w:rPr>
                <w:color w:val="auto"/>
              </w:rPr>
            </w:pPr>
            <w:r>
              <w:rPr>
                <w:color w:val="auto"/>
              </w:rPr>
              <w:t>汨罗江</w:t>
            </w:r>
          </w:p>
        </w:tc>
        <w:tc>
          <w:tcPr>
            <w:tcW w:w="466" w:type="pct"/>
            <w:tcBorders>
              <w:tl2br w:val="nil"/>
              <w:tr2bl w:val="nil"/>
            </w:tcBorders>
            <w:vAlign w:val="center"/>
          </w:tcPr>
          <w:p>
            <w:pPr>
              <w:pStyle w:val="30"/>
              <w:rPr>
                <w:color w:val="auto"/>
              </w:rPr>
            </w:pPr>
            <w:r>
              <w:rPr>
                <w:color w:val="auto"/>
              </w:rPr>
              <w:t>中河</w:t>
            </w:r>
          </w:p>
        </w:tc>
        <w:tc>
          <w:tcPr>
            <w:tcW w:w="868" w:type="pct"/>
            <w:tcBorders>
              <w:tl2br w:val="nil"/>
              <w:tr2bl w:val="nil"/>
            </w:tcBorders>
            <w:vAlign w:val="center"/>
          </w:tcPr>
          <w:p>
            <w:pPr>
              <w:pStyle w:val="30"/>
              <w:rPr>
                <w:color w:val="auto"/>
              </w:rPr>
            </w:pPr>
            <w:r>
              <w:rPr>
                <w:color w:val="auto"/>
              </w:rPr>
              <w:t>N，</w:t>
            </w:r>
            <w:r>
              <w:rPr>
                <w:rFonts w:hint="eastAsia"/>
                <w:color w:val="auto"/>
              </w:rPr>
              <w:t>2700</w:t>
            </w:r>
            <w:r>
              <w:rPr>
                <w:color w:val="auto"/>
              </w:rPr>
              <w:t>m</w:t>
            </w:r>
          </w:p>
        </w:tc>
        <w:tc>
          <w:tcPr>
            <w:tcW w:w="2331" w:type="pct"/>
            <w:tcBorders>
              <w:tl2br w:val="nil"/>
              <w:tr2bl w:val="nil"/>
            </w:tcBorders>
            <w:vAlign w:val="center"/>
          </w:tcPr>
          <w:p>
            <w:pPr>
              <w:pStyle w:val="30"/>
              <w:rPr>
                <w:color w:val="auto"/>
              </w:rPr>
            </w:pPr>
            <w:r>
              <w:rPr>
                <w:color w:val="auto"/>
              </w:rPr>
              <w:t>市水厂取水口下游200米至南渡桥断面、南渡桥至磊石断面执行《地表水环境质量标准》（GB3095-2012）Ⅲ类标准，农业及渔业用水区。汨罗江石碧潭渡口至新市桥、汨罗市自来水厂取水口上游1000m至下游200m断面执行《地表水环境质量标准》（GB3095-2012）Ⅱ类标准，饮用水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vMerge w:val="continue"/>
            <w:tcBorders>
              <w:tl2br w:val="nil"/>
              <w:tr2bl w:val="nil"/>
            </w:tcBorders>
            <w:vAlign w:val="center"/>
          </w:tcPr>
          <w:p>
            <w:pPr>
              <w:pStyle w:val="30"/>
              <w:rPr>
                <w:color w:val="auto"/>
              </w:rPr>
            </w:pPr>
          </w:p>
        </w:tc>
        <w:tc>
          <w:tcPr>
            <w:tcW w:w="667" w:type="pct"/>
            <w:tcBorders>
              <w:tl2br w:val="nil"/>
              <w:tr2bl w:val="nil"/>
            </w:tcBorders>
            <w:vAlign w:val="center"/>
          </w:tcPr>
          <w:p>
            <w:pPr>
              <w:pStyle w:val="30"/>
              <w:rPr>
                <w:color w:val="auto"/>
              </w:rPr>
            </w:pPr>
            <w:r>
              <w:rPr>
                <w:rFonts w:hint="eastAsia"/>
                <w:color w:val="auto"/>
              </w:rPr>
              <w:t>车对河</w:t>
            </w:r>
          </w:p>
        </w:tc>
        <w:tc>
          <w:tcPr>
            <w:tcW w:w="466" w:type="pct"/>
            <w:tcBorders>
              <w:tl2br w:val="nil"/>
              <w:tr2bl w:val="nil"/>
            </w:tcBorders>
            <w:vAlign w:val="center"/>
          </w:tcPr>
          <w:p>
            <w:pPr>
              <w:pStyle w:val="30"/>
              <w:rPr>
                <w:color w:val="auto"/>
              </w:rPr>
            </w:pPr>
            <w:r>
              <w:rPr>
                <w:rFonts w:hint="eastAsia"/>
                <w:color w:val="auto"/>
              </w:rPr>
              <w:t>小河</w:t>
            </w:r>
          </w:p>
        </w:tc>
        <w:tc>
          <w:tcPr>
            <w:tcW w:w="868" w:type="pct"/>
            <w:tcBorders>
              <w:tl2br w:val="nil"/>
              <w:tr2bl w:val="nil"/>
            </w:tcBorders>
            <w:vAlign w:val="center"/>
          </w:tcPr>
          <w:p>
            <w:pPr>
              <w:pStyle w:val="30"/>
              <w:rPr>
                <w:color w:val="auto"/>
              </w:rPr>
            </w:pPr>
            <w:r>
              <w:rPr>
                <w:rFonts w:hint="eastAsia"/>
                <w:color w:val="auto"/>
              </w:rPr>
              <w:t>E，700m</w:t>
            </w:r>
          </w:p>
        </w:tc>
        <w:tc>
          <w:tcPr>
            <w:tcW w:w="2331" w:type="pct"/>
            <w:tcBorders>
              <w:tl2br w:val="nil"/>
              <w:tr2bl w:val="nil"/>
            </w:tcBorders>
            <w:vAlign w:val="center"/>
          </w:tcPr>
          <w:p>
            <w:pPr>
              <w:pStyle w:val="30"/>
              <w:rPr>
                <w:color w:val="auto"/>
              </w:rPr>
            </w:pPr>
            <w:r>
              <w:rPr>
                <w:color w:val="auto"/>
              </w:rPr>
              <w:t>《地表水环境质量标准》（GB3838-2002）Ⅲ类标准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tcBorders>
              <w:tl2br w:val="nil"/>
              <w:tr2bl w:val="nil"/>
            </w:tcBorders>
            <w:vAlign w:val="center"/>
          </w:tcPr>
          <w:p>
            <w:pPr>
              <w:pStyle w:val="30"/>
              <w:rPr>
                <w:color w:val="auto"/>
              </w:rPr>
            </w:pPr>
            <w:r>
              <w:rPr>
                <w:rFonts w:hint="eastAsia"/>
                <w:color w:val="auto"/>
              </w:rPr>
              <w:t>地下水环境</w:t>
            </w:r>
          </w:p>
        </w:tc>
        <w:tc>
          <w:tcPr>
            <w:tcW w:w="2002" w:type="pct"/>
            <w:gridSpan w:val="3"/>
            <w:tcBorders>
              <w:tl2br w:val="nil"/>
              <w:tr2bl w:val="nil"/>
            </w:tcBorders>
            <w:vAlign w:val="center"/>
          </w:tcPr>
          <w:p>
            <w:pPr>
              <w:pStyle w:val="30"/>
              <w:rPr>
                <w:color w:val="auto"/>
              </w:rPr>
            </w:pPr>
            <w:r>
              <w:rPr>
                <w:color w:val="auto"/>
              </w:rPr>
              <w:t>项目所在地区域6km</w:t>
            </w:r>
            <w:r>
              <w:rPr>
                <w:color w:val="auto"/>
                <w:vertAlign w:val="superscript"/>
              </w:rPr>
              <w:t>2</w:t>
            </w:r>
            <w:r>
              <w:rPr>
                <w:color w:val="auto"/>
              </w:rPr>
              <w:t>范围地下水</w:t>
            </w:r>
          </w:p>
        </w:tc>
        <w:tc>
          <w:tcPr>
            <w:tcW w:w="2331" w:type="pct"/>
            <w:tcBorders>
              <w:tl2br w:val="nil"/>
              <w:tr2bl w:val="nil"/>
            </w:tcBorders>
            <w:vAlign w:val="center"/>
          </w:tcPr>
          <w:p>
            <w:pPr>
              <w:pStyle w:val="30"/>
              <w:rPr>
                <w:color w:val="auto"/>
              </w:rPr>
            </w:pPr>
            <w:r>
              <w:rPr>
                <w:color w:val="auto"/>
              </w:rPr>
              <w:t>《地下水质量标准》（GB/T14848-2017）III 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tcBorders>
              <w:tl2br w:val="nil"/>
              <w:tr2bl w:val="nil"/>
            </w:tcBorders>
            <w:vAlign w:val="center"/>
          </w:tcPr>
          <w:p>
            <w:pPr>
              <w:pStyle w:val="30"/>
              <w:rPr>
                <w:color w:val="auto"/>
              </w:rPr>
            </w:pPr>
            <w:r>
              <w:rPr>
                <w:rFonts w:hint="eastAsia"/>
                <w:color w:val="auto"/>
              </w:rPr>
              <w:t>土壤环境</w:t>
            </w:r>
          </w:p>
        </w:tc>
        <w:tc>
          <w:tcPr>
            <w:tcW w:w="2002" w:type="pct"/>
            <w:gridSpan w:val="3"/>
            <w:tcBorders>
              <w:tl2br w:val="nil"/>
              <w:tr2bl w:val="nil"/>
            </w:tcBorders>
            <w:vAlign w:val="center"/>
          </w:tcPr>
          <w:p>
            <w:pPr>
              <w:pStyle w:val="30"/>
              <w:rPr>
                <w:color w:val="auto"/>
              </w:rPr>
            </w:pPr>
            <w:r>
              <w:rPr>
                <w:color w:val="auto"/>
              </w:rPr>
              <w:t>项目所在区域的土壤、居民、农田</w:t>
            </w:r>
          </w:p>
        </w:tc>
        <w:tc>
          <w:tcPr>
            <w:tcW w:w="2331" w:type="pct"/>
            <w:tcBorders>
              <w:tl2br w:val="nil"/>
              <w:tr2bl w:val="nil"/>
            </w:tcBorders>
            <w:vAlign w:val="center"/>
          </w:tcPr>
          <w:p>
            <w:pPr>
              <w:pStyle w:val="30"/>
              <w:rPr>
                <w:color w:val="auto"/>
              </w:rPr>
            </w:pPr>
            <w:r>
              <w:rPr>
                <w:color w:val="auto"/>
              </w:rPr>
              <w:t>《土壤环境质量 建设用地土壤污染风险管控标准（试行）》（GB36600-2018）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vMerge w:val="restart"/>
            <w:tcBorders>
              <w:tl2br w:val="nil"/>
              <w:tr2bl w:val="nil"/>
            </w:tcBorders>
            <w:vAlign w:val="center"/>
          </w:tcPr>
          <w:p>
            <w:pPr>
              <w:pStyle w:val="30"/>
              <w:rPr>
                <w:color w:val="auto"/>
              </w:rPr>
            </w:pPr>
            <w:r>
              <w:rPr>
                <w:color w:val="auto"/>
              </w:rPr>
              <w:t>生态环境</w:t>
            </w:r>
          </w:p>
        </w:tc>
        <w:tc>
          <w:tcPr>
            <w:tcW w:w="1133" w:type="pct"/>
            <w:gridSpan w:val="2"/>
            <w:tcBorders>
              <w:tl2br w:val="nil"/>
              <w:tr2bl w:val="nil"/>
            </w:tcBorders>
            <w:vAlign w:val="center"/>
          </w:tcPr>
          <w:p>
            <w:pPr>
              <w:pStyle w:val="30"/>
              <w:rPr>
                <w:color w:val="auto"/>
              </w:rPr>
            </w:pPr>
            <w:r>
              <w:rPr>
                <w:rFonts w:hint="eastAsia"/>
                <w:color w:val="auto"/>
              </w:rPr>
              <w:t>湖南汨罗江国家湿地公园</w:t>
            </w:r>
          </w:p>
        </w:tc>
        <w:tc>
          <w:tcPr>
            <w:tcW w:w="868" w:type="pct"/>
            <w:tcBorders>
              <w:tl2br w:val="nil"/>
              <w:tr2bl w:val="nil"/>
            </w:tcBorders>
            <w:vAlign w:val="center"/>
          </w:tcPr>
          <w:p>
            <w:pPr>
              <w:pStyle w:val="30"/>
              <w:rPr>
                <w:color w:val="auto"/>
              </w:rPr>
            </w:pPr>
            <w:r>
              <w:rPr>
                <w:color w:val="auto"/>
              </w:rPr>
              <w:t>N，</w:t>
            </w:r>
            <w:r>
              <w:rPr>
                <w:rFonts w:hint="eastAsia"/>
                <w:color w:val="auto"/>
              </w:rPr>
              <w:t>2700</w:t>
            </w:r>
            <w:r>
              <w:rPr>
                <w:color w:val="auto"/>
              </w:rPr>
              <w:t>m</w:t>
            </w:r>
          </w:p>
        </w:tc>
        <w:tc>
          <w:tcPr>
            <w:tcW w:w="2331" w:type="pct"/>
            <w:tcBorders>
              <w:tl2br w:val="nil"/>
              <w:tr2bl w:val="nil"/>
            </w:tcBorders>
            <w:vAlign w:val="center"/>
          </w:tcPr>
          <w:p>
            <w:pPr>
              <w:pStyle w:val="30"/>
              <w:rPr>
                <w:color w:val="auto"/>
              </w:rPr>
            </w:pPr>
            <w:r>
              <w:rPr>
                <w:rFonts w:hint="eastAsia"/>
                <w:color w:val="auto"/>
              </w:rPr>
              <w:t>水生动植物、鱼类、鸟类等；</w:t>
            </w:r>
          </w:p>
          <w:p>
            <w:pPr>
              <w:pStyle w:val="30"/>
              <w:rPr>
                <w:color w:val="auto"/>
              </w:rPr>
            </w:pPr>
            <w:r>
              <w:rPr>
                <w:rFonts w:hint="eastAsia"/>
                <w:color w:val="auto"/>
              </w:rPr>
              <w:t>湿地生态系统完整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68" w:type="pct"/>
            <w:vMerge w:val="continue"/>
            <w:tcBorders>
              <w:tl2br w:val="nil"/>
              <w:tr2bl w:val="nil"/>
            </w:tcBorders>
            <w:vAlign w:val="center"/>
          </w:tcPr>
          <w:p>
            <w:pPr>
              <w:pStyle w:val="30"/>
              <w:rPr>
                <w:color w:val="auto"/>
              </w:rPr>
            </w:pPr>
          </w:p>
        </w:tc>
        <w:tc>
          <w:tcPr>
            <w:tcW w:w="2002" w:type="pct"/>
            <w:gridSpan w:val="3"/>
            <w:tcBorders>
              <w:tl2br w:val="nil"/>
              <w:tr2bl w:val="nil"/>
            </w:tcBorders>
            <w:vAlign w:val="center"/>
          </w:tcPr>
          <w:p>
            <w:pPr>
              <w:pStyle w:val="30"/>
              <w:rPr>
                <w:color w:val="auto"/>
              </w:rPr>
            </w:pPr>
            <w:r>
              <w:rPr>
                <w:rFonts w:hint="eastAsia"/>
                <w:color w:val="auto"/>
              </w:rPr>
              <w:t>周边自然生态环境、人工绿化林、生态系统等</w:t>
            </w:r>
          </w:p>
        </w:tc>
        <w:tc>
          <w:tcPr>
            <w:tcW w:w="2331" w:type="pct"/>
            <w:tcBorders>
              <w:tl2br w:val="nil"/>
              <w:tr2bl w:val="nil"/>
            </w:tcBorders>
            <w:vAlign w:val="center"/>
          </w:tcPr>
          <w:p>
            <w:pPr>
              <w:pStyle w:val="30"/>
              <w:rPr>
                <w:color w:val="auto"/>
              </w:rPr>
            </w:pPr>
            <w:r>
              <w:rPr>
                <w:rFonts w:hint="eastAsia"/>
                <w:color w:val="auto"/>
              </w:rPr>
              <w:t>植被不受破坏，生态系统完整、景观完整</w:t>
            </w:r>
          </w:p>
        </w:tc>
      </w:tr>
    </w:tbl>
    <w:p>
      <w:pPr>
        <w:ind w:firstLine="480"/>
        <w:rPr>
          <w:bCs/>
          <w:color w:val="auto"/>
        </w:rPr>
      </w:pPr>
    </w:p>
    <w:p>
      <w:pPr>
        <w:ind w:firstLine="480"/>
        <w:rPr>
          <w:bCs/>
          <w:color w:val="auto"/>
        </w:rPr>
      </w:pPr>
    </w:p>
    <w:p>
      <w:pPr>
        <w:ind w:firstLine="480"/>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5"/>
        <w:rPr>
          <w:color w:val="auto"/>
        </w:rPr>
      </w:pPr>
      <w:bookmarkStart w:id="71" w:name="_Toc31237"/>
      <w:bookmarkStart w:id="72" w:name="_Toc4607"/>
      <w:bookmarkStart w:id="73" w:name="_Toc24217"/>
      <w:bookmarkStart w:id="74" w:name="_Toc447114720"/>
      <w:r>
        <w:rPr>
          <w:rFonts w:hint="eastAsia"/>
          <w:color w:val="auto"/>
        </w:rPr>
        <w:t xml:space="preserve">第3章 </w:t>
      </w:r>
      <w:r>
        <w:rPr>
          <w:color w:val="auto"/>
        </w:rPr>
        <w:t xml:space="preserve"> 建设项目工程分析</w:t>
      </w:r>
      <w:bookmarkEnd w:id="71"/>
      <w:bookmarkEnd w:id="72"/>
      <w:bookmarkEnd w:id="73"/>
    </w:p>
    <w:p>
      <w:pPr>
        <w:pStyle w:val="6"/>
        <w:rPr>
          <w:color w:val="auto"/>
        </w:rPr>
      </w:pPr>
      <w:bookmarkStart w:id="75" w:name="_Toc18214"/>
      <w:bookmarkStart w:id="76" w:name="_Toc15941"/>
      <w:bookmarkStart w:id="77" w:name="_Toc1051"/>
      <w:r>
        <w:rPr>
          <w:color w:val="auto"/>
        </w:rPr>
        <w:t>3.1建设项目概况</w:t>
      </w:r>
      <w:bookmarkEnd w:id="75"/>
      <w:bookmarkEnd w:id="76"/>
      <w:bookmarkEnd w:id="77"/>
    </w:p>
    <w:bookmarkEnd w:id="74"/>
    <w:p>
      <w:pPr>
        <w:pStyle w:val="7"/>
        <w:rPr>
          <w:color w:val="auto"/>
        </w:rPr>
      </w:pPr>
      <w:r>
        <w:rPr>
          <w:color w:val="auto"/>
        </w:rPr>
        <w:t>3.1.1建设项目基本概况</w:t>
      </w:r>
    </w:p>
    <w:p>
      <w:pPr>
        <w:ind w:firstLine="482"/>
        <w:rPr>
          <w:rFonts w:hint="eastAsia" w:eastAsia="宋体"/>
          <w:color w:val="auto"/>
          <w:lang w:eastAsia="zh-CN"/>
        </w:rPr>
      </w:pPr>
      <w:r>
        <w:rPr>
          <w:b/>
          <w:bCs/>
          <w:color w:val="auto"/>
        </w:rPr>
        <w:t>项目名称</w:t>
      </w:r>
      <w:r>
        <w:rPr>
          <w:b/>
          <w:color w:val="auto"/>
        </w:rPr>
        <w:t>：</w:t>
      </w:r>
      <w:r>
        <w:rPr>
          <w:color w:val="auto"/>
        </w:rPr>
        <w:t>湖南博泰管业有限公司</w:t>
      </w:r>
      <w:r>
        <w:rPr>
          <w:rFonts w:hint="eastAsia"/>
          <w:color w:val="auto"/>
          <w:lang w:eastAsia="zh-CN"/>
        </w:rPr>
        <w:t>年产3万吨高分子材料精深制品建设项目</w:t>
      </w:r>
    </w:p>
    <w:p>
      <w:pPr>
        <w:ind w:firstLine="482"/>
        <w:rPr>
          <w:color w:val="auto"/>
        </w:rPr>
      </w:pPr>
      <w:r>
        <w:rPr>
          <w:b/>
          <w:color w:val="auto"/>
        </w:rPr>
        <w:t>建设单位：</w:t>
      </w:r>
      <w:r>
        <w:rPr>
          <w:color w:val="auto"/>
        </w:rPr>
        <w:t>湖南博泰管业有限公司</w:t>
      </w:r>
    </w:p>
    <w:p>
      <w:pPr>
        <w:ind w:firstLine="482"/>
        <w:rPr>
          <w:color w:val="auto"/>
        </w:rPr>
      </w:pPr>
      <w:r>
        <w:rPr>
          <w:b/>
          <w:color w:val="auto"/>
        </w:rPr>
        <w:t>建设地点：</w:t>
      </w:r>
      <w:r>
        <w:rPr>
          <w:color w:val="auto"/>
        </w:rPr>
        <w:t>湖南省岳阳市</w:t>
      </w:r>
      <w:r>
        <w:rPr>
          <w:rFonts w:hint="eastAsia"/>
          <w:color w:val="auto"/>
        </w:rPr>
        <w:t>汨罗市新市镇汨罗循环经济产业园G536与青春大道交界处107国道以东</w:t>
      </w:r>
      <w:r>
        <w:rPr>
          <w:color w:val="auto"/>
        </w:rPr>
        <w:t>，厂区中心经纬度为东经113</w:t>
      </w:r>
      <w:r>
        <w:rPr>
          <w:rFonts w:hint="eastAsia"/>
          <w:color w:val="auto"/>
        </w:rPr>
        <w:t>.170867</w:t>
      </w:r>
      <w:r>
        <w:rPr>
          <w:color w:val="auto"/>
        </w:rPr>
        <w:t>°，北纬28</w:t>
      </w:r>
      <w:r>
        <w:rPr>
          <w:rFonts w:hint="eastAsia"/>
          <w:color w:val="auto"/>
        </w:rPr>
        <w:t>.762652</w:t>
      </w:r>
      <w:r>
        <w:rPr>
          <w:color w:val="auto"/>
        </w:rPr>
        <w:t>°。</w:t>
      </w:r>
    </w:p>
    <w:p>
      <w:pPr>
        <w:ind w:firstLine="482"/>
        <w:rPr>
          <w:color w:val="auto"/>
        </w:rPr>
      </w:pPr>
      <w:r>
        <w:rPr>
          <w:b/>
          <w:color w:val="auto"/>
        </w:rPr>
        <w:t>建设性质：</w:t>
      </w:r>
      <w:r>
        <w:rPr>
          <w:color w:val="auto"/>
        </w:rPr>
        <w:t>新建</w:t>
      </w:r>
    </w:p>
    <w:p>
      <w:pPr>
        <w:ind w:firstLine="482"/>
        <w:rPr>
          <w:bCs/>
          <w:color w:val="auto"/>
        </w:rPr>
      </w:pPr>
      <w:r>
        <w:rPr>
          <w:b/>
          <w:color w:val="auto"/>
        </w:rPr>
        <w:t>项目投资</w:t>
      </w:r>
      <w:r>
        <w:rPr>
          <w:bCs/>
          <w:color w:val="auto"/>
        </w:rPr>
        <w:t>：</w:t>
      </w:r>
      <w:r>
        <w:rPr>
          <w:color w:val="auto"/>
          <w:highlight w:val="none"/>
        </w:rPr>
        <w:t>项目总投资</w:t>
      </w:r>
      <w:r>
        <w:rPr>
          <w:rFonts w:hint="eastAsia"/>
          <w:color w:val="auto"/>
          <w:highlight w:val="none"/>
          <w:lang w:val="en-US" w:eastAsia="zh-CN"/>
        </w:rPr>
        <w:t>6000</w:t>
      </w:r>
      <w:r>
        <w:rPr>
          <w:color w:val="auto"/>
          <w:highlight w:val="none"/>
        </w:rPr>
        <w:t>万元，其中环保投资</w:t>
      </w:r>
      <w:r>
        <w:rPr>
          <w:rFonts w:hint="eastAsia"/>
          <w:color w:val="auto"/>
          <w:highlight w:val="none"/>
          <w:lang w:val="en-US" w:eastAsia="zh-CN"/>
        </w:rPr>
        <w:t>120</w:t>
      </w:r>
      <w:r>
        <w:rPr>
          <w:color w:val="auto"/>
          <w:highlight w:val="none"/>
        </w:rPr>
        <w:t>万元，占总投资的</w:t>
      </w:r>
      <w:r>
        <w:rPr>
          <w:rFonts w:hint="eastAsia"/>
          <w:color w:val="auto"/>
          <w:highlight w:val="none"/>
          <w:lang w:val="en-US" w:eastAsia="zh-CN"/>
        </w:rPr>
        <w:t>2</w:t>
      </w:r>
      <w:r>
        <w:rPr>
          <w:color w:val="auto"/>
          <w:highlight w:val="none"/>
        </w:rPr>
        <w:t>%</w:t>
      </w:r>
      <w:r>
        <w:rPr>
          <w:bCs/>
          <w:color w:val="auto"/>
          <w:highlight w:val="none"/>
        </w:rPr>
        <w:t>。</w:t>
      </w:r>
    </w:p>
    <w:p>
      <w:pPr>
        <w:ind w:firstLine="482"/>
        <w:rPr>
          <w:bCs/>
          <w:color w:val="auto"/>
          <w:vertAlign w:val="superscript"/>
        </w:rPr>
      </w:pPr>
      <w:r>
        <w:rPr>
          <w:b/>
          <w:color w:val="auto"/>
        </w:rPr>
        <w:t>总用地面积：</w:t>
      </w:r>
      <w:r>
        <w:rPr>
          <w:rFonts w:hint="eastAsia"/>
          <w:color w:val="auto"/>
          <w:szCs w:val="21"/>
          <w:highlight w:val="none"/>
          <w:u w:val="none"/>
          <w:lang w:val="en-US" w:eastAsia="zh-CN"/>
        </w:rPr>
        <w:t>21213.54</w:t>
      </w:r>
      <w:r>
        <w:rPr>
          <w:rFonts w:hint="eastAsia"/>
          <w:bCs/>
          <w:color w:val="auto"/>
        </w:rPr>
        <w:t xml:space="preserve"> </w:t>
      </w:r>
      <w:r>
        <w:rPr>
          <w:bCs/>
          <w:color w:val="auto"/>
        </w:rPr>
        <w:t>m</w:t>
      </w:r>
      <w:r>
        <w:rPr>
          <w:bCs/>
          <w:color w:val="auto"/>
          <w:vertAlign w:val="superscript"/>
        </w:rPr>
        <w:t>2</w:t>
      </w:r>
      <w:r>
        <w:rPr>
          <w:color w:val="auto"/>
        </w:rPr>
        <w:t>。</w:t>
      </w:r>
    </w:p>
    <w:p>
      <w:pPr>
        <w:ind w:firstLine="482"/>
        <w:rPr>
          <w:color w:val="auto"/>
        </w:rPr>
      </w:pPr>
      <w:r>
        <w:rPr>
          <w:b/>
          <w:bCs/>
          <w:color w:val="auto"/>
        </w:rPr>
        <w:t>生产规模：</w:t>
      </w:r>
      <w:r>
        <w:rPr>
          <w:color w:val="auto"/>
        </w:rPr>
        <w:t>年产</w:t>
      </w:r>
      <w:r>
        <w:rPr>
          <w:rFonts w:hint="eastAsia"/>
          <w:color w:val="auto"/>
        </w:rPr>
        <w:t>双壁波纹管</w:t>
      </w:r>
      <w:r>
        <w:rPr>
          <w:rFonts w:hint="eastAsia"/>
          <w:color w:val="auto"/>
          <w:lang w:val="en-US" w:eastAsia="zh-CN"/>
        </w:rPr>
        <w:t>3</w:t>
      </w:r>
      <w:r>
        <w:rPr>
          <w:rFonts w:hint="eastAsia"/>
          <w:color w:val="auto"/>
        </w:rPr>
        <w:t>万</w:t>
      </w:r>
      <w:r>
        <w:rPr>
          <w:color w:val="auto"/>
        </w:rPr>
        <w:t>吨。</w:t>
      </w:r>
    </w:p>
    <w:p>
      <w:pPr>
        <w:ind w:firstLine="482"/>
        <w:rPr>
          <w:bCs/>
          <w:color w:val="auto"/>
          <w:highlight w:val="none"/>
        </w:rPr>
      </w:pPr>
      <w:r>
        <w:rPr>
          <w:b/>
          <w:color w:val="auto"/>
        </w:rPr>
        <w:t>劳动定员及工作制度：</w:t>
      </w:r>
      <w:r>
        <w:rPr>
          <w:bCs/>
          <w:color w:val="auto"/>
        </w:rPr>
        <w:t>本项目劳动定员</w:t>
      </w:r>
      <w:r>
        <w:rPr>
          <w:rFonts w:hint="eastAsia"/>
          <w:bCs/>
          <w:color w:val="auto"/>
        </w:rPr>
        <w:t>30</w:t>
      </w:r>
      <w:r>
        <w:rPr>
          <w:bCs/>
          <w:color w:val="auto"/>
        </w:rPr>
        <w:t>人，</w:t>
      </w:r>
      <w:r>
        <w:rPr>
          <w:rFonts w:hint="eastAsia"/>
          <w:bCs/>
          <w:color w:val="auto"/>
          <w:lang w:val="en-US" w:eastAsia="zh-CN"/>
        </w:rPr>
        <w:t>不</w:t>
      </w:r>
      <w:r>
        <w:rPr>
          <w:bCs/>
          <w:color w:val="auto"/>
        </w:rPr>
        <w:t>在厂</w:t>
      </w:r>
      <w:r>
        <w:rPr>
          <w:rFonts w:hint="eastAsia"/>
          <w:bCs/>
          <w:color w:val="auto"/>
          <w:lang w:val="en-US" w:eastAsia="zh-CN"/>
        </w:rPr>
        <w:t>区</w:t>
      </w:r>
      <w:r>
        <w:rPr>
          <w:bCs/>
          <w:color w:val="auto"/>
        </w:rPr>
        <w:t>食宿。</w:t>
      </w:r>
      <w:r>
        <w:rPr>
          <w:bCs/>
          <w:color w:val="auto"/>
          <w:highlight w:val="none"/>
        </w:rPr>
        <w:t>年工作</w:t>
      </w:r>
      <w:r>
        <w:rPr>
          <w:rFonts w:hint="eastAsia"/>
          <w:bCs/>
          <w:color w:val="auto"/>
          <w:highlight w:val="none"/>
          <w:lang w:val="en-US" w:eastAsia="zh-CN"/>
        </w:rPr>
        <w:t>300</w:t>
      </w:r>
      <w:r>
        <w:rPr>
          <w:bCs/>
          <w:color w:val="auto"/>
          <w:highlight w:val="none"/>
        </w:rPr>
        <w:t>天，</w:t>
      </w:r>
      <w:r>
        <w:rPr>
          <w:rFonts w:hint="eastAsia"/>
          <w:bCs/>
          <w:color w:val="auto"/>
          <w:highlight w:val="none"/>
          <w:lang w:val="en-US" w:eastAsia="zh-CN"/>
        </w:rPr>
        <w:t>三</w:t>
      </w:r>
      <w:r>
        <w:rPr>
          <w:rFonts w:hint="eastAsia"/>
          <w:bCs/>
          <w:color w:val="auto"/>
          <w:highlight w:val="none"/>
        </w:rPr>
        <w:t>班制，</w:t>
      </w:r>
      <w:r>
        <w:rPr>
          <w:bCs/>
          <w:color w:val="auto"/>
          <w:highlight w:val="none"/>
        </w:rPr>
        <w:t>每天</w:t>
      </w:r>
      <w:r>
        <w:rPr>
          <w:rFonts w:hint="eastAsia"/>
          <w:bCs/>
          <w:color w:val="auto"/>
          <w:highlight w:val="none"/>
          <w:lang w:val="en-US" w:eastAsia="zh-CN"/>
        </w:rPr>
        <w:t>24</w:t>
      </w:r>
      <w:r>
        <w:rPr>
          <w:bCs/>
          <w:color w:val="auto"/>
          <w:highlight w:val="none"/>
        </w:rPr>
        <w:t>小时。</w:t>
      </w:r>
    </w:p>
    <w:p>
      <w:pPr>
        <w:ind w:firstLine="482"/>
        <w:rPr>
          <w:color w:val="auto"/>
        </w:rPr>
      </w:pPr>
      <w:r>
        <w:rPr>
          <w:b/>
          <w:color w:val="auto"/>
        </w:rPr>
        <w:t>建设周期：</w:t>
      </w:r>
      <w:r>
        <w:rPr>
          <w:rFonts w:hint="eastAsia"/>
          <w:color w:val="auto"/>
        </w:rPr>
        <w:t>计划总</w:t>
      </w:r>
      <w:r>
        <w:rPr>
          <w:color w:val="auto"/>
        </w:rPr>
        <w:t>工期1个月，仅生产设备、环保设备的安装调试等。</w:t>
      </w:r>
    </w:p>
    <w:p>
      <w:pPr>
        <w:pStyle w:val="7"/>
        <w:rPr>
          <w:color w:val="auto"/>
        </w:rPr>
      </w:pPr>
      <w:r>
        <w:rPr>
          <w:color w:val="auto"/>
        </w:rPr>
        <w:t>3.1.2建设项目工程情况内容介绍</w:t>
      </w:r>
    </w:p>
    <w:p>
      <w:pPr>
        <w:ind w:firstLine="480"/>
        <w:rPr>
          <w:color w:val="auto"/>
        </w:rPr>
      </w:pPr>
      <w:r>
        <w:rPr>
          <w:color w:val="auto"/>
        </w:rPr>
        <w:t>湖南博泰管业有限公司现租用湖南省岳阳市</w:t>
      </w:r>
      <w:r>
        <w:rPr>
          <w:rFonts w:hint="eastAsia"/>
          <w:color w:val="auto"/>
        </w:rPr>
        <w:t>汨罗市新市镇汨罗循环经济产业园G536与青春大道交界处107国道以东</w:t>
      </w:r>
      <w:r>
        <w:rPr>
          <w:rFonts w:hint="eastAsia"/>
          <w:color w:val="auto"/>
          <w:lang w:val="en-US" w:eastAsia="zh-CN"/>
        </w:rPr>
        <w:t>1</w:t>
      </w:r>
      <w:r>
        <w:rPr>
          <w:color w:val="auto"/>
        </w:rPr>
        <w:t>栋闲置厂房进行建设，占地面积</w:t>
      </w:r>
      <w:r>
        <w:rPr>
          <w:rFonts w:hint="eastAsia"/>
          <w:color w:val="auto"/>
          <w:szCs w:val="21"/>
          <w:highlight w:val="none"/>
          <w:u w:val="none"/>
          <w:lang w:val="en-US" w:eastAsia="zh-CN"/>
        </w:rPr>
        <w:t>21213.54</w:t>
      </w:r>
      <w:r>
        <w:rPr>
          <w:bCs/>
          <w:color w:val="auto"/>
        </w:rPr>
        <w:t>m</w:t>
      </w:r>
      <w:r>
        <w:rPr>
          <w:bCs/>
          <w:color w:val="auto"/>
          <w:vertAlign w:val="superscript"/>
        </w:rPr>
        <w:t>2</w:t>
      </w:r>
      <w:r>
        <w:rPr>
          <w:color w:val="auto"/>
        </w:rPr>
        <w:t>，</w:t>
      </w:r>
      <w:r>
        <w:rPr>
          <w:rFonts w:hint="eastAsia"/>
          <w:color w:val="auto"/>
          <w:lang w:val="en-US" w:eastAsia="zh-CN"/>
        </w:rPr>
        <w:t>建筑面积</w:t>
      </w:r>
      <w:r>
        <w:rPr>
          <w:rFonts w:hint="eastAsia"/>
          <w:bCs/>
          <w:color w:val="auto"/>
          <w:lang w:eastAsia="zh-CN"/>
        </w:rPr>
        <w:t>10281.64</w:t>
      </w:r>
      <w:r>
        <w:rPr>
          <w:bCs/>
          <w:color w:val="auto"/>
        </w:rPr>
        <w:t>m</w:t>
      </w:r>
      <w:r>
        <w:rPr>
          <w:bCs/>
          <w:color w:val="auto"/>
          <w:vertAlign w:val="superscript"/>
        </w:rPr>
        <w:t>2</w:t>
      </w:r>
      <w:r>
        <w:rPr>
          <w:rFonts w:hint="eastAsia"/>
          <w:color w:val="auto"/>
          <w:lang w:val="en-US" w:eastAsia="zh-CN"/>
        </w:rPr>
        <w:t>，</w:t>
      </w:r>
      <w:r>
        <w:rPr>
          <w:color w:val="auto"/>
        </w:rPr>
        <w:t>主要建设生产区</w:t>
      </w:r>
      <w:r>
        <w:rPr>
          <w:rFonts w:hint="eastAsia"/>
          <w:color w:val="auto"/>
        </w:rPr>
        <w:t>、</w:t>
      </w:r>
      <w:r>
        <w:rPr>
          <w:color w:val="auto"/>
        </w:rPr>
        <w:t>原料区、成品区</w:t>
      </w:r>
      <w:r>
        <w:rPr>
          <w:rFonts w:hint="eastAsia"/>
          <w:color w:val="auto"/>
        </w:rPr>
        <w:t>、办公区</w:t>
      </w:r>
      <w:r>
        <w:rPr>
          <w:color w:val="auto"/>
        </w:rPr>
        <w:t>及环保设施等。项目组成具体情况如下表所示。</w:t>
      </w:r>
    </w:p>
    <w:p>
      <w:pPr>
        <w:pStyle w:val="31"/>
        <w:rPr>
          <w:color w:val="auto"/>
        </w:rPr>
      </w:pPr>
      <w:r>
        <w:rPr>
          <w:color w:val="auto"/>
        </w:rPr>
        <w:t>表3.1-1 本项目工程组成一览表</w:t>
      </w:r>
    </w:p>
    <w:tbl>
      <w:tblPr>
        <w:tblStyle w:val="2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56"/>
        <w:gridCol w:w="5884"/>
        <w:gridCol w:w="10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tcBorders>
              <w:tl2br w:val="nil"/>
              <w:tr2bl w:val="nil"/>
            </w:tcBorders>
            <w:vAlign w:val="center"/>
          </w:tcPr>
          <w:p>
            <w:pPr>
              <w:pStyle w:val="30"/>
              <w:rPr>
                <w:b/>
                <w:bCs/>
                <w:color w:val="auto"/>
              </w:rPr>
            </w:pPr>
            <w:r>
              <w:rPr>
                <w:b/>
                <w:bCs/>
                <w:color w:val="auto"/>
              </w:rPr>
              <w:t>工程类别</w:t>
            </w:r>
          </w:p>
        </w:tc>
        <w:tc>
          <w:tcPr>
            <w:tcW w:w="502" w:type="pct"/>
            <w:tcBorders>
              <w:tl2br w:val="nil"/>
              <w:tr2bl w:val="nil"/>
            </w:tcBorders>
            <w:vAlign w:val="center"/>
          </w:tcPr>
          <w:p>
            <w:pPr>
              <w:pStyle w:val="30"/>
              <w:rPr>
                <w:b/>
                <w:bCs/>
                <w:color w:val="auto"/>
              </w:rPr>
            </w:pPr>
            <w:r>
              <w:rPr>
                <w:b/>
                <w:bCs/>
                <w:color w:val="auto"/>
              </w:rPr>
              <w:t>工程名称</w:t>
            </w:r>
          </w:p>
        </w:tc>
        <w:tc>
          <w:tcPr>
            <w:tcW w:w="3452" w:type="pct"/>
            <w:tcBorders>
              <w:tl2br w:val="nil"/>
              <w:tr2bl w:val="nil"/>
            </w:tcBorders>
            <w:vAlign w:val="center"/>
          </w:tcPr>
          <w:p>
            <w:pPr>
              <w:pStyle w:val="30"/>
              <w:rPr>
                <w:b/>
                <w:bCs/>
                <w:color w:val="auto"/>
              </w:rPr>
            </w:pPr>
            <w:r>
              <w:rPr>
                <w:rFonts w:hint="eastAsia"/>
                <w:b/>
                <w:bCs/>
                <w:color w:val="auto"/>
              </w:rPr>
              <w:t>建设内容</w:t>
            </w:r>
          </w:p>
        </w:tc>
        <w:tc>
          <w:tcPr>
            <w:tcW w:w="642" w:type="pct"/>
            <w:tcBorders>
              <w:tl2br w:val="nil"/>
              <w:tr2bl w:val="nil"/>
            </w:tcBorders>
            <w:vAlign w:val="center"/>
          </w:tcPr>
          <w:p>
            <w:pPr>
              <w:pStyle w:val="30"/>
              <w:rPr>
                <w:rFonts w:hint="eastAsia" w:eastAsia="宋体"/>
                <w:b/>
                <w:bCs/>
                <w:color w:val="auto"/>
                <w:lang w:val="en-US" w:eastAsia="zh-CN"/>
              </w:rPr>
            </w:pPr>
            <w:r>
              <w:rPr>
                <w:rFonts w:hint="eastAsia"/>
                <w:b/>
                <w:bCs/>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02" w:type="pct"/>
            <w:tcBorders>
              <w:tl2br w:val="nil"/>
              <w:tr2bl w:val="nil"/>
            </w:tcBorders>
            <w:vAlign w:val="center"/>
          </w:tcPr>
          <w:p>
            <w:pPr>
              <w:pStyle w:val="30"/>
              <w:rPr>
                <w:bCs/>
                <w:color w:val="auto"/>
              </w:rPr>
            </w:pPr>
            <w:r>
              <w:rPr>
                <w:bCs/>
                <w:color w:val="auto"/>
              </w:rPr>
              <w:t>主体工程</w:t>
            </w:r>
          </w:p>
        </w:tc>
        <w:tc>
          <w:tcPr>
            <w:tcW w:w="502" w:type="pct"/>
            <w:tcBorders>
              <w:tl2br w:val="nil"/>
              <w:tr2bl w:val="nil"/>
            </w:tcBorders>
            <w:vAlign w:val="center"/>
          </w:tcPr>
          <w:p>
            <w:pPr>
              <w:pStyle w:val="30"/>
              <w:rPr>
                <w:bCs/>
                <w:color w:val="auto"/>
              </w:rPr>
            </w:pPr>
            <w:r>
              <w:rPr>
                <w:color w:val="auto"/>
              </w:rPr>
              <w:t>PE管材生产车间</w:t>
            </w:r>
          </w:p>
        </w:tc>
        <w:tc>
          <w:tcPr>
            <w:tcW w:w="3452" w:type="pct"/>
            <w:tcBorders>
              <w:tl2br w:val="nil"/>
              <w:tr2bl w:val="nil"/>
            </w:tcBorders>
            <w:vAlign w:val="center"/>
          </w:tcPr>
          <w:p>
            <w:pPr>
              <w:pStyle w:val="30"/>
              <w:rPr>
                <w:bCs/>
                <w:color w:val="auto"/>
              </w:rPr>
            </w:pPr>
            <w:r>
              <w:rPr>
                <w:rFonts w:hint="eastAsia"/>
                <w:bCs/>
                <w:color w:val="auto"/>
              </w:rPr>
              <w:t>钢架结构厂房，占地面积为</w:t>
            </w:r>
            <w:r>
              <w:rPr>
                <w:rFonts w:hint="eastAsia"/>
                <w:bCs/>
                <w:color w:val="auto"/>
                <w:lang w:eastAsia="zh-CN"/>
              </w:rPr>
              <w:t>10281.64</w:t>
            </w:r>
            <w:r>
              <w:rPr>
                <w:bCs/>
                <w:color w:val="auto"/>
              </w:rPr>
              <w:t>m</w:t>
            </w:r>
            <w:r>
              <w:rPr>
                <w:bCs/>
                <w:color w:val="auto"/>
                <w:vertAlign w:val="superscript"/>
              </w:rPr>
              <w:t>2</w:t>
            </w:r>
            <w:r>
              <w:rPr>
                <w:rFonts w:hint="eastAsia"/>
                <w:bCs/>
                <w:color w:val="auto"/>
              </w:rPr>
              <w:t>，（长×宽：1</w:t>
            </w:r>
            <w:r>
              <w:rPr>
                <w:bCs/>
                <w:color w:val="auto"/>
              </w:rPr>
              <w:t>28m</w:t>
            </w:r>
            <w:r>
              <w:rPr>
                <w:rFonts w:hint="eastAsia"/>
                <w:bCs/>
                <w:color w:val="auto"/>
              </w:rPr>
              <w:t>×</w:t>
            </w:r>
            <w:r>
              <w:rPr>
                <w:bCs/>
                <w:color w:val="auto"/>
              </w:rPr>
              <w:t>84m</w:t>
            </w:r>
            <w:r>
              <w:rPr>
                <w:rFonts w:hint="eastAsia"/>
                <w:bCs/>
                <w:color w:val="auto"/>
              </w:rPr>
              <w:t>），</w:t>
            </w:r>
            <w:r>
              <w:rPr>
                <w:rFonts w:hint="eastAsia"/>
                <w:bCs/>
                <w:color w:val="auto"/>
                <w:lang w:val="en-US" w:eastAsia="zh-CN"/>
              </w:rPr>
              <w:t>共</w:t>
            </w:r>
            <w:r>
              <w:rPr>
                <w:rFonts w:hint="eastAsia"/>
                <w:bCs/>
                <w:color w:val="auto"/>
              </w:rPr>
              <w:t>建设</w:t>
            </w:r>
            <w:r>
              <w:rPr>
                <w:rFonts w:hint="eastAsia"/>
                <w:bCs/>
                <w:color w:val="auto"/>
                <w:lang w:val="en-US" w:eastAsia="zh-CN"/>
              </w:rPr>
              <w:t>15</w:t>
            </w:r>
            <w:r>
              <w:rPr>
                <w:rFonts w:hint="eastAsia"/>
                <w:bCs/>
                <w:color w:val="auto"/>
              </w:rPr>
              <w:t>条PE管生产线</w:t>
            </w:r>
            <w:r>
              <w:rPr>
                <w:rFonts w:hint="eastAsia"/>
                <w:bCs/>
                <w:color w:val="auto"/>
                <w:lang w:eastAsia="zh-CN"/>
              </w:rPr>
              <w:t>，</w:t>
            </w:r>
            <w:r>
              <w:rPr>
                <w:rFonts w:hint="eastAsia"/>
                <w:bCs/>
                <w:color w:val="auto"/>
                <w:lang w:val="en-US" w:eastAsia="zh-CN"/>
              </w:rPr>
              <w:t>仅进行设备安装</w:t>
            </w:r>
            <w:r>
              <w:rPr>
                <w:rFonts w:hint="eastAsia"/>
                <w:bCs/>
                <w:color w:val="auto"/>
              </w:rPr>
              <w:t>。</w:t>
            </w:r>
          </w:p>
        </w:tc>
        <w:tc>
          <w:tcPr>
            <w:tcW w:w="642" w:type="pct"/>
            <w:tcBorders>
              <w:tl2br w:val="nil"/>
              <w:tr2bl w:val="nil"/>
            </w:tcBorders>
            <w:vAlign w:val="center"/>
          </w:tcPr>
          <w:p>
            <w:pPr>
              <w:pStyle w:val="30"/>
              <w:rPr>
                <w:rFonts w:hint="default" w:eastAsia="宋体"/>
                <w:bCs/>
                <w:color w:val="auto"/>
                <w:lang w:val="en-US" w:eastAsia="zh-CN"/>
              </w:rPr>
            </w:pPr>
            <w:r>
              <w:rPr>
                <w:rFonts w:hint="eastAsia"/>
                <w:bCs/>
                <w:color w:val="auto"/>
                <w:lang w:val="en-US" w:eastAsia="zh-CN"/>
              </w:rPr>
              <w:t>厂房依托现有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restart"/>
            <w:tcBorders>
              <w:tl2br w:val="nil"/>
              <w:tr2bl w:val="nil"/>
            </w:tcBorders>
            <w:vAlign w:val="center"/>
          </w:tcPr>
          <w:p>
            <w:pPr>
              <w:pStyle w:val="30"/>
              <w:rPr>
                <w:bCs/>
                <w:color w:val="auto"/>
              </w:rPr>
            </w:pPr>
            <w:r>
              <w:rPr>
                <w:color w:val="auto"/>
              </w:rPr>
              <w:t>储运工程</w:t>
            </w:r>
          </w:p>
        </w:tc>
        <w:tc>
          <w:tcPr>
            <w:tcW w:w="502" w:type="pct"/>
            <w:tcBorders>
              <w:tl2br w:val="nil"/>
              <w:tr2bl w:val="nil"/>
            </w:tcBorders>
            <w:vAlign w:val="center"/>
          </w:tcPr>
          <w:p>
            <w:pPr>
              <w:pStyle w:val="30"/>
              <w:rPr>
                <w:color w:val="auto"/>
              </w:rPr>
            </w:pPr>
            <w:r>
              <w:rPr>
                <w:color w:val="auto"/>
              </w:rPr>
              <w:t>原料</w:t>
            </w:r>
            <w:r>
              <w:rPr>
                <w:rFonts w:hint="eastAsia"/>
                <w:color w:val="auto"/>
              </w:rPr>
              <w:t>存放区</w:t>
            </w:r>
          </w:p>
        </w:tc>
        <w:tc>
          <w:tcPr>
            <w:tcW w:w="3452" w:type="pct"/>
            <w:tcBorders>
              <w:tl2br w:val="nil"/>
              <w:tr2bl w:val="nil"/>
            </w:tcBorders>
            <w:vAlign w:val="center"/>
          </w:tcPr>
          <w:p>
            <w:pPr>
              <w:pStyle w:val="30"/>
              <w:rPr>
                <w:bCs/>
                <w:color w:val="auto"/>
              </w:rPr>
            </w:pPr>
            <w:r>
              <w:rPr>
                <w:rFonts w:hint="eastAsia"/>
                <w:bCs/>
                <w:color w:val="auto"/>
              </w:rPr>
              <w:t>位于生产车间内。</w:t>
            </w:r>
          </w:p>
        </w:tc>
        <w:tc>
          <w:tcPr>
            <w:tcW w:w="642" w:type="pct"/>
            <w:tcBorders>
              <w:tl2br w:val="nil"/>
              <w:tr2bl w:val="nil"/>
            </w:tcBorders>
            <w:vAlign w:val="center"/>
          </w:tcPr>
          <w:p>
            <w:pPr>
              <w:pStyle w:val="30"/>
              <w:rPr>
                <w:rFonts w:hint="default" w:eastAsia="宋体"/>
                <w:bCs/>
                <w:color w:val="auto"/>
                <w:lang w:val="en-US" w:eastAsia="zh-CN"/>
              </w:rPr>
            </w:pPr>
            <w:r>
              <w:rPr>
                <w:rFonts w:hint="eastAsia"/>
                <w:bCs/>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color w:val="auto"/>
              </w:rPr>
            </w:pPr>
            <w:r>
              <w:rPr>
                <w:color w:val="auto"/>
              </w:rPr>
              <w:t>成品</w:t>
            </w:r>
            <w:r>
              <w:rPr>
                <w:rFonts w:hint="eastAsia"/>
                <w:color w:val="auto"/>
              </w:rPr>
              <w:t>存放区</w:t>
            </w:r>
          </w:p>
        </w:tc>
        <w:tc>
          <w:tcPr>
            <w:tcW w:w="3452" w:type="pct"/>
            <w:tcBorders>
              <w:tl2br w:val="nil"/>
              <w:tr2bl w:val="nil"/>
            </w:tcBorders>
            <w:vAlign w:val="center"/>
          </w:tcPr>
          <w:p>
            <w:pPr>
              <w:pStyle w:val="30"/>
              <w:rPr>
                <w:bCs/>
                <w:color w:val="auto"/>
              </w:rPr>
            </w:pPr>
            <w:r>
              <w:rPr>
                <w:rFonts w:hint="eastAsia"/>
                <w:bCs/>
                <w:color w:val="auto"/>
              </w:rPr>
              <w:t>占地面积为</w:t>
            </w:r>
            <w:r>
              <w:rPr>
                <w:rFonts w:hint="eastAsia"/>
                <w:bCs/>
                <w:color w:val="auto"/>
                <w:lang w:val="en-US" w:eastAsia="zh-CN"/>
              </w:rPr>
              <w:t>10931.9</w:t>
            </w:r>
            <w:r>
              <w:rPr>
                <w:bCs/>
                <w:color w:val="auto"/>
              </w:rPr>
              <w:t>m</w:t>
            </w:r>
            <w:r>
              <w:rPr>
                <w:bCs/>
                <w:color w:val="auto"/>
                <w:vertAlign w:val="superscript"/>
              </w:rPr>
              <w:t>2</w:t>
            </w:r>
            <w:r>
              <w:rPr>
                <w:rFonts w:hint="eastAsia"/>
                <w:bCs/>
                <w:color w:val="auto"/>
              </w:rPr>
              <w:t>，（长×宽：1</w:t>
            </w:r>
            <w:r>
              <w:rPr>
                <w:bCs/>
                <w:color w:val="auto"/>
              </w:rPr>
              <w:t>28m</w:t>
            </w:r>
            <w:r>
              <w:rPr>
                <w:rFonts w:hint="eastAsia"/>
                <w:bCs/>
                <w:color w:val="auto"/>
              </w:rPr>
              <w:t>×</w:t>
            </w:r>
            <w:r>
              <w:rPr>
                <w:bCs/>
                <w:color w:val="auto"/>
              </w:rPr>
              <w:t>82.5m</w:t>
            </w:r>
            <w:r>
              <w:rPr>
                <w:rFonts w:hint="eastAsia"/>
                <w:bCs/>
                <w:color w:val="auto"/>
              </w:rPr>
              <w:t>），位于厂区</w:t>
            </w:r>
            <w:r>
              <w:rPr>
                <w:rFonts w:hint="eastAsia"/>
                <w:bCs/>
                <w:color w:val="auto"/>
                <w:lang w:val="en-US" w:eastAsia="zh-CN"/>
              </w:rPr>
              <w:t>南</w:t>
            </w:r>
            <w:r>
              <w:rPr>
                <w:rFonts w:hint="eastAsia"/>
                <w:bCs/>
                <w:color w:val="auto"/>
              </w:rPr>
              <w:t>侧</w:t>
            </w:r>
          </w:p>
        </w:tc>
        <w:tc>
          <w:tcPr>
            <w:tcW w:w="642" w:type="pct"/>
            <w:tcBorders>
              <w:tl2br w:val="nil"/>
              <w:tr2bl w:val="nil"/>
            </w:tcBorders>
            <w:vAlign w:val="center"/>
          </w:tcPr>
          <w:p>
            <w:pPr>
              <w:pStyle w:val="30"/>
              <w:rPr>
                <w:rFonts w:hint="default" w:eastAsia="宋体"/>
                <w:bCs/>
                <w:color w:val="auto"/>
                <w:lang w:val="en-US" w:eastAsia="zh-CN"/>
              </w:rPr>
            </w:pPr>
            <w:r>
              <w:rPr>
                <w:rFonts w:hint="eastAsia"/>
                <w:bCs/>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tcBorders>
              <w:tl2br w:val="nil"/>
              <w:tr2bl w:val="nil"/>
            </w:tcBorders>
            <w:vAlign w:val="center"/>
          </w:tcPr>
          <w:p>
            <w:pPr>
              <w:pStyle w:val="30"/>
              <w:rPr>
                <w:bCs/>
                <w:color w:val="auto"/>
              </w:rPr>
            </w:pPr>
            <w:r>
              <w:rPr>
                <w:bCs/>
                <w:color w:val="auto"/>
              </w:rPr>
              <w:t>辅助工程</w:t>
            </w:r>
          </w:p>
        </w:tc>
        <w:tc>
          <w:tcPr>
            <w:tcW w:w="502" w:type="pct"/>
            <w:tcBorders>
              <w:tl2br w:val="nil"/>
              <w:tr2bl w:val="nil"/>
            </w:tcBorders>
            <w:vAlign w:val="center"/>
          </w:tcPr>
          <w:p>
            <w:pPr>
              <w:pStyle w:val="30"/>
              <w:rPr>
                <w:color w:val="auto"/>
              </w:rPr>
            </w:pPr>
            <w:r>
              <w:rPr>
                <w:color w:val="auto"/>
              </w:rPr>
              <w:t>办公区</w:t>
            </w:r>
          </w:p>
        </w:tc>
        <w:tc>
          <w:tcPr>
            <w:tcW w:w="3452" w:type="pct"/>
            <w:tcBorders>
              <w:tl2br w:val="nil"/>
              <w:tr2bl w:val="nil"/>
            </w:tcBorders>
            <w:vAlign w:val="center"/>
          </w:tcPr>
          <w:p>
            <w:pPr>
              <w:pStyle w:val="30"/>
              <w:rPr>
                <w:color w:val="auto"/>
              </w:rPr>
            </w:pPr>
            <w:r>
              <w:rPr>
                <w:rFonts w:hint="eastAsia"/>
                <w:bCs/>
                <w:color w:val="auto"/>
              </w:rPr>
              <w:t>钢架结构，位于厂房内东南角。</w:t>
            </w:r>
          </w:p>
        </w:tc>
        <w:tc>
          <w:tcPr>
            <w:tcW w:w="642" w:type="pct"/>
            <w:tcBorders>
              <w:tl2br w:val="nil"/>
              <w:tr2bl w:val="nil"/>
            </w:tcBorders>
            <w:vAlign w:val="center"/>
          </w:tcPr>
          <w:p>
            <w:pPr>
              <w:pStyle w:val="30"/>
              <w:rPr>
                <w:rFonts w:hint="default" w:eastAsia="宋体"/>
                <w:bCs/>
                <w:color w:val="auto"/>
                <w:lang w:val="en-US" w:eastAsia="zh-CN"/>
              </w:rPr>
            </w:pPr>
            <w:r>
              <w:rPr>
                <w:rFonts w:hint="eastAsia"/>
                <w:bCs/>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restart"/>
            <w:tcBorders>
              <w:tl2br w:val="nil"/>
              <w:tr2bl w:val="nil"/>
            </w:tcBorders>
            <w:vAlign w:val="center"/>
          </w:tcPr>
          <w:p>
            <w:pPr>
              <w:pStyle w:val="30"/>
              <w:rPr>
                <w:bCs/>
                <w:color w:val="auto"/>
              </w:rPr>
            </w:pPr>
            <w:r>
              <w:rPr>
                <w:bCs/>
                <w:color w:val="auto"/>
              </w:rPr>
              <w:t>公用工程</w:t>
            </w:r>
          </w:p>
        </w:tc>
        <w:tc>
          <w:tcPr>
            <w:tcW w:w="502" w:type="pct"/>
            <w:tcBorders>
              <w:tl2br w:val="nil"/>
              <w:tr2bl w:val="nil"/>
            </w:tcBorders>
            <w:vAlign w:val="center"/>
          </w:tcPr>
          <w:p>
            <w:pPr>
              <w:pStyle w:val="30"/>
              <w:rPr>
                <w:color w:val="auto"/>
              </w:rPr>
            </w:pPr>
            <w:r>
              <w:rPr>
                <w:color w:val="auto"/>
              </w:rPr>
              <w:t>供水</w:t>
            </w:r>
          </w:p>
        </w:tc>
        <w:tc>
          <w:tcPr>
            <w:tcW w:w="3452" w:type="pct"/>
            <w:tcBorders>
              <w:tl2br w:val="nil"/>
              <w:tr2bl w:val="nil"/>
            </w:tcBorders>
            <w:vAlign w:val="center"/>
          </w:tcPr>
          <w:p>
            <w:pPr>
              <w:pStyle w:val="30"/>
              <w:rPr>
                <w:color w:val="auto"/>
              </w:rPr>
            </w:pPr>
            <w:r>
              <w:rPr>
                <w:color w:val="auto"/>
              </w:rPr>
              <w:t>由市政供水管网供给。</w:t>
            </w:r>
          </w:p>
        </w:tc>
        <w:tc>
          <w:tcPr>
            <w:tcW w:w="642" w:type="pct"/>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08"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color w:val="auto"/>
              </w:rPr>
            </w:pPr>
            <w:r>
              <w:rPr>
                <w:rFonts w:hint="eastAsia"/>
                <w:color w:val="auto"/>
              </w:rPr>
              <w:t>排水</w:t>
            </w:r>
          </w:p>
        </w:tc>
        <w:tc>
          <w:tcPr>
            <w:tcW w:w="3452" w:type="pct"/>
            <w:tcBorders>
              <w:tl2br w:val="nil"/>
              <w:tr2bl w:val="nil"/>
            </w:tcBorders>
            <w:vAlign w:val="center"/>
          </w:tcPr>
          <w:p>
            <w:pPr>
              <w:pStyle w:val="30"/>
              <w:rPr>
                <w:color w:val="auto"/>
              </w:rPr>
            </w:pPr>
            <w:r>
              <w:rPr>
                <w:color w:val="auto"/>
              </w:rPr>
              <w:t>排水采取雨污分流制，厂内排水采用分流制，雨水沿厂外排水沟排放；冷却水经冷却处理后循环利用，不外排；生活污水经</w:t>
            </w:r>
            <w:r>
              <w:rPr>
                <w:rFonts w:hint="eastAsia"/>
                <w:color w:val="auto"/>
              </w:rPr>
              <w:t>园区</w:t>
            </w:r>
            <w:r>
              <w:rPr>
                <w:color w:val="auto"/>
              </w:rPr>
              <w:t>化粪池处理后排入园区污水管网，由汨罗市城市污水处理厂处理后达标排放。</w:t>
            </w:r>
          </w:p>
        </w:tc>
        <w:tc>
          <w:tcPr>
            <w:tcW w:w="642" w:type="pct"/>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bCs/>
                <w:color w:val="auto"/>
              </w:rPr>
            </w:pPr>
            <w:r>
              <w:rPr>
                <w:bCs/>
                <w:color w:val="auto"/>
              </w:rPr>
              <w:t>供电</w:t>
            </w:r>
          </w:p>
        </w:tc>
        <w:tc>
          <w:tcPr>
            <w:tcW w:w="3452" w:type="pct"/>
            <w:tcBorders>
              <w:tl2br w:val="nil"/>
              <w:tr2bl w:val="nil"/>
            </w:tcBorders>
            <w:vAlign w:val="center"/>
          </w:tcPr>
          <w:p>
            <w:pPr>
              <w:pStyle w:val="30"/>
              <w:rPr>
                <w:color w:val="auto"/>
              </w:rPr>
            </w:pPr>
            <w:r>
              <w:rPr>
                <w:rFonts w:hint="eastAsia"/>
                <w:color w:val="auto"/>
              </w:rPr>
              <w:t>由园区供电系统提供</w:t>
            </w:r>
          </w:p>
        </w:tc>
        <w:tc>
          <w:tcPr>
            <w:tcW w:w="642" w:type="pct"/>
            <w:tcBorders>
              <w:tl2br w:val="nil"/>
              <w:tr2bl w:val="nil"/>
            </w:tcBorders>
            <w:vAlign w:val="center"/>
          </w:tcPr>
          <w:p>
            <w:pPr>
              <w:pStyle w:val="30"/>
              <w:rPr>
                <w:rFonts w:hint="default" w:eastAsia="宋体"/>
                <w:color w:val="auto"/>
                <w:lang w:val="en-US" w:eastAsia="zh-CN"/>
              </w:rPr>
            </w:pPr>
            <w:r>
              <w:rPr>
                <w:rFonts w:hint="eastAsia"/>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88" w:hRule="atLeast"/>
          <w:jc w:val="center"/>
        </w:trPr>
        <w:tc>
          <w:tcPr>
            <w:tcW w:w="402" w:type="pct"/>
            <w:vMerge w:val="restart"/>
            <w:tcBorders>
              <w:tl2br w:val="nil"/>
              <w:tr2bl w:val="nil"/>
            </w:tcBorders>
            <w:vAlign w:val="center"/>
          </w:tcPr>
          <w:p>
            <w:pPr>
              <w:pStyle w:val="30"/>
              <w:rPr>
                <w:bCs/>
                <w:color w:val="auto"/>
              </w:rPr>
            </w:pPr>
            <w:r>
              <w:rPr>
                <w:bCs/>
                <w:color w:val="auto"/>
              </w:rPr>
              <w:t>环保工程</w:t>
            </w:r>
          </w:p>
        </w:tc>
        <w:tc>
          <w:tcPr>
            <w:tcW w:w="502" w:type="pct"/>
            <w:tcBorders>
              <w:tl2br w:val="nil"/>
              <w:tr2bl w:val="nil"/>
            </w:tcBorders>
            <w:vAlign w:val="center"/>
          </w:tcPr>
          <w:p>
            <w:pPr>
              <w:pStyle w:val="30"/>
              <w:rPr>
                <w:bCs/>
                <w:color w:val="auto"/>
              </w:rPr>
            </w:pPr>
            <w:r>
              <w:rPr>
                <w:bCs/>
                <w:color w:val="auto"/>
              </w:rPr>
              <w:t>废水</w:t>
            </w:r>
          </w:p>
        </w:tc>
        <w:tc>
          <w:tcPr>
            <w:tcW w:w="3452" w:type="pct"/>
            <w:tcBorders>
              <w:tl2br w:val="nil"/>
              <w:tr2bl w:val="nil"/>
            </w:tcBorders>
            <w:vAlign w:val="center"/>
          </w:tcPr>
          <w:p>
            <w:pPr>
              <w:pStyle w:val="30"/>
              <w:rPr>
                <w:bCs/>
                <w:color w:val="auto"/>
              </w:rPr>
            </w:pPr>
            <w:r>
              <w:rPr>
                <w:bCs/>
                <w:color w:val="auto"/>
              </w:rPr>
              <w:t>本项目</w:t>
            </w:r>
            <w:r>
              <w:rPr>
                <w:color w:val="auto"/>
              </w:rPr>
              <w:t>冷却水经冷却处理后循环利用，</w:t>
            </w:r>
            <w:r>
              <w:rPr>
                <w:rFonts w:hint="eastAsia"/>
                <w:color w:val="auto"/>
                <w:lang w:val="en-US" w:eastAsia="zh-CN"/>
              </w:rPr>
              <w:t>设置了一个128m</w:t>
            </w:r>
            <w:r>
              <w:rPr>
                <w:rFonts w:hint="eastAsia"/>
                <w:color w:val="auto"/>
                <w:vertAlign w:val="superscript"/>
                <w:lang w:val="en-US" w:eastAsia="zh-CN"/>
              </w:rPr>
              <w:t>3</w:t>
            </w:r>
            <w:r>
              <w:rPr>
                <w:rFonts w:hint="eastAsia"/>
                <w:color w:val="auto"/>
                <w:lang w:val="en-US" w:eastAsia="zh-CN"/>
              </w:rPr>
              <w:t>的循环水池，冷却水循环使用</w:t>
            </w:r>
            <w:r>
              <w:rPr>
                <w:color w:val="auto"/>
              </w:rPr>
              <w:t>不外排；生活污水经</w:t>
            </w:r>
            <w:r>
              <w:rPr>
                <w:rFonts w:hint="eastAsia"/>
                <w:color w:val="auto"/>
              </w:rPr>
              <w:t>园区</w:t>
            </w:r>
            <w:r>
              <w:rPr>
                <w:color w:val="auto"/>
              </w:rPr>
              <w:t>化粪池处理后排入园区污水管网，由汨罗市城市污水处理厂处理后达标排放。</w:t>
            </w:r>
          </w:p>
        </w:tc>
        <w:tc>
          <w:tcPr>
            <w:tcW w:w="642" w:type="pct"/>
            <w:tcBorders>
              <w:tl2br w:val="nil"/>
              <w:tr2bl w:val="nil"/>
            </w:tcBorders>
            <w:vAlign w:val="center"/>
          </w:tcPr>
          <w:p>
            <w:pPr>
              <w:pStyle w:val="30"/>
              <w:rPr>
                <w:rFonts w:hint="default" w:eastAsia="宋体"/>
                <w:bCs/>
                <w:color w:val="auto"/>
                <w:lang w:val="en-US" w:eastAsia="zh-CN"/>
              </w:rPr>
            </w:pPr>
            <w:r>
              <w:rPr>
                <w:rFonts w:hint="eastAsia"/>
                <w:bCs/>
                <w:color w:val="auto"/>
                <w:lang w:val="en-US"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bCs/>
                <w:color w:val="auto"/>
              </w:rPr>
            </w:pPr>
            <w:r>
              <w:rPr>
                <w:bCs/>
                <w:color w:val="auto"/>
              </w:rPr>
              <w:t>废气</w:t>
            </w:r>
          </w:p>
        </w:tc>
        <w:tc>
          <w:tcPr>
            <w:tcW w:w="3452" w:type="pct"/>
            <w:tcBorders>
              <w:tl2br w:val="nil"/>
              <w:tr2bl w:val="nil"/>
            </w:tcBorders>
            <w:vAlign w:val="center"/>
          </w:tcPr>
          <w:p>
            <w:pPr>
              <w:pStyle w:val="30"/>
              <w:rPr>
                <w:color w:val="auto"/>
              </w:rPr>
            </w:pPr>
            <w:r>
              <w:rPr>
                <w:rFonts w:hint="eastAsia"/>
                <w:color w:val="auto"/>
              </w:rPr>
              <w:t>PE管生产产生的有机废气收集后经过二级活性炭吸附装置+</w:t>
            </w:r>
            <w:r>
              <w:rPr>
                <w:rFonts w:hint="eastAsia"/>
                <w:color w:val="auto"/>
                <w:lang w:val="en-US" w:eastAsia="zh-CN"/>
              </w:rPr>
              <w:t>一根</w:t>
            </w:r>
            <w:r>
              <w:rPr>
                <w:rFonts w:hint="eastAsia"/>
                <w:color w:val="auto"/>
                <w:lang w:eastAsia="zh-CN"/>
              </w:rPr>
              <w:t>18m高排气筒</w:t>
            </w:r>
            <w:r>
              <w:rPr>
                <w:rFonts w:hint="eastAsia"/>
                <w:color w:val="auto"/>
              </w:rPr>
              <w:t>排放</w:t>
            </w:r>
            <w:r>
              <w:rPr>
                <w:rFonts w:hint="eastAsia"/>
                <w:color w:val="auto"/>
                <w:lang w:eastAsia="zh-CN"/>
              </w:rPr>
              <w:t>（</w:t>
            </w:r>
            <w:r>
              <w:rPr>
                <w:rFonts w:hint="eastAsia"/>
                <w:color w:val="auto"/>
                <w:lang w:val="en-US" w:eastAsia="zh-CN"/>
              </w:rPr>
              <w:t>DA001）</w:t>
            </w:r>
            <w:r>
              <w:rPr>
                <w:rFonts w:hint="eastAsia"/>
                <w:color w:val="auto"/>
              </w:rPr>
              <w:t>，破碎粉尘经</w:t>
            </w:r>
            <w:r>
              <w:rPr>
                <w:rFonts w:hint="eastAsia"/>
                <w:color w:val="auto"/>
                <w:lang w:val="en-US" w:eastAsia="zh-CN"/>
              </w:rPr>
              <w:t>布袋除尘器处理后通过一根18m高排气筒达标排放（DA002）</w:t>
            </w:r>
            <w:r>
              <w:rPr>
                <w:rFonts w:hint="eastAsia"/>
                <w:color w:val="auto"/>
              </w:rPr>
              <w:t>。</w:t>
            </w:r>
          </w:p>
        </w:tc>
        <w:tc>
          <w:tcPr>
            <w:tcW w:w="642" w:type="pct"/>
            <w:tcBorders>
              <w:tl2br w:val="nil"/>
              <w:tr2bl w:val="nil"/>
            </w:tcBorders>
            <w:vAlign w:val="center"/>
          </w:tcPr>
          <w:p>
            <w:pPr>
              <w:pStyle w:val="30"/>
              <w:rPr>
                <w:rFonts w:hint="eastAsia" w:eastAsia="宋体"/>
                <w:color w:val="auto"/>
                <w:lang w:val="en-US" w:eastAsia="zh-CN"/>
              </w:rPr>
            </w:pPr>
            <w:r>
              <w:rPr>
                <w:rFonts w:hint="eastAsia"/>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bCs/>
                <w:color w:val="auto"/>
              </w:rPr>
            </w:pPr>
            <w:r>
              <w:rPr>
                <w:bCs/>
                <w:color w:val="auto"/>
              </w:rPr>
              <w:t>噪声</w:t>
            </w:r>
          </w:p>
        </w:tc>
        <w:tc>
          <w:tcPr>
            <w:tcW w:w="3452" w:type="pct"/>
            <w:tcBorders>
              <w:tl2br w:val="nil"/>
              <w:tr2bl w:val="nil"/>
            </w:tcBorders>
            <w:vAlign w:val="center"/>
          </w:tcPr>
          <w:p>
            <w:pPr>
              <w:pStyle w:val="30"/>
              <w:rPr>
                <w:bCs/>
                <w:color w:val="auto"/>
              </w:rPr>
            </w:pPr>
            <w:r>
              <w:rPr>
                <w:bCs/>
                <w:color w:val="auto"/>
              </w:rPr>
              <w:t>基础减震、隔声</w:t>
            </w:r>
          </w:p>
        </w:tc>
        <w:tc>
          <w:tcPr>
            <w:tcW w:w="642" w:type="pct"/>
            <w:tcBorders>
              <w:tl2br w:val="nil"/>
              <w:tr2bl w:val="nil"/>
            </w:tcBorders>
            <w:vAlign w:val="center"/>
          </w:tcPr>
          <w:p>
            <w:pPr>
              <w:pStyle w:val="30"/>
              <w:rPr>
                <w:rFonts w:hint="eastAsia" w:eastAsia="宋体"/>
                <w:bCs/>
                <w:color w:val="auto"/>
                <w:lang w:val="en-US" w:eastAsia="zh-CN"/>
              </w:rPr>
            </w:pPr>
            <w:r>
              <w:rPr>
                <w:rFonts w:hint="eastAsia"/>
                <w:bCs/>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402" w:type="pct"/>
            <w:vMerge w:val="continue"/>
            <w:tcBorders>
              <w:tl2br w:val="nil"/>
              <w:tr2bl w:val="nil"/>
            </w:tcBorders>
            <w:vAlign w:val="center"/>
          </w:tcPr>
          <w:p>
            <w:pPr>
              <w:pStyle w:val="30"/>
              <w:rPr>
                <w:bCs/>
                <w:color w:val="auto"/>
              </w:rPr>
            </w:pPr>
          </w:p>
        </w:tc>
        <w:tc>
          <w:tcPr>
            <w:tcW w:w="502" w:type="pct"/>
            <w:tcBorders>
              <w:tl2br w:val="nil"/>
              <w:tr2bl w:val="nil"/>
            </w:tcBorders>
            <w:vAlign w:val="center"/>
          </w:tcPr>
          <w:p>
            <w:pPr>
              <w:pStyle w:val="30"/>
              <w:rPr>
                <w:color w:val="auto"/>
              </w:rPr>
            </w:pPr>
            <w:r>
              <w:rPr>
                <w:bCs/>
                <w:color w:val="auto"/>
              </w:rPr>
              <w:t>固废</w:t>
            </w:r>
          </w:p>
        </w:tc>
        <w:tc>
          <w:tcPr>
            <w:tcW w:w="3452" w:type="pct"/>
            <w:tcBorders>
              <w:tl2br w:val="nil"/>
              <w:tr2bl w:val="nil"/>
            </w:tcBorders>
            <w:vAlign w:val="center"/>
          </w:tcPr>
          <w:p>
            <w:pPr>
              <w:pStyle w:val="30"/>
              <w:rPr>
                <w:color w:val="auto"/>
              </w:rPr>
            </w:pPr>
            <w:r>
              <w:rPr>
                <w:rFonts w:hint="eastAsia"/>
                <w:color w:val="auto"/>
              </w:rPr>
              <w:t>厂区设置一个</w:t>
            </w:r>
            <w:r>
              <w:rPr>
                <w:color w:val="auto"/>
              </w:rPr>
              <w:t>30m</w:t>
            </w:r>
            <w:r>
              <w:rPr>
                <w:color w:val="auto"/>
                <w:vertAlign w:val="superscript"/>
              </w:rPr>
              <w:t>2</w:t>
            </w:r>
            <w:r>
              <w:rPr>
                <w:rFonts w:hint="eastAsia"/>
                <w:color w:val="auto"/>
              </w:rPr>
              <w:t>固废暂存间</w:t>
            </w:r>
            <w:r>
              <w:rPr>
                <w:color w:val="auto"/>
              </w:rPr>
              <w:t>，用于暂存一般固体废物</w:t>
            </w:r>
            <w:r>
              <w:rPr>
                <w:rFonts w:hint="eastAsia"/>
                <w:color w:val="auto"/>
              </w:rPr>
              <w:t>，设置1个1</w:t>
            </w:r>
            <w:r>
              <w:rPr>
                <w:color w:val="auto"/>
              </w:rPr>
              <w:t>0m</w:t>
            </w:r>
            <w:r>
              <w:rPr>
                <w:color w:val="auto"/>
                <w:vertAlign w:val="superscript"/>
              </w:rPr>
              <w:t>2</w:t>
            </w:r>
            <w:r>
              <w:rPr>
                <w:rFonts w:hint="eastAsia"/>
                <w:color w:val="auto"/>
              </w:rPr>
              <w:t>危废暂存间</w:t>
            </w:r>
            <w:r>
              <w:rPr>
                <w:color w:val="auto"/>
              </w:rPr>
              <w:t>，用于暂存危险废物</w:t>
            </w:r>
            <w:r>
              <w:rPr>
                <w:rFonts w:hint="eastAsia"/>
                <w:color w:val="auto"/>
              </w:rPr>
              <w:t>，设置垃圾桶收集生活垃圾，生活垃圾</w:t>
            </w:r>
            <w:r>
              <w:rPr>
                <w:color w:val="auto"/>
              </w:rPr>
              <w:t>由环卫人员定期清运</w:t>
            </w:r>
            <w:r>
              <w:rPr>
                <w:rFonts w:hint="eastAsia"/>
                <w:color w:val="auto"/>
              </w:rPr>
              <w:t>。</w:t>
            </w:r>
          </w:p>
        </w:tc>
        <w:tc>
          <w:tcPr>
            <w:tcW w:w="642" w:type="pct"/>
            <w:tcBorders>
              <w:tl2br w:val="nil"/>
              <w:tr2bl w:val="nil"/>
            </w:tcBorders>
            <w:vAlign w:val="center"/>
          </w:tcPr>
          <w:p>
            <w:pPr>
              <w:pStyle w:val="30"/>
              <w:rPr>
                <w:rFonts w:hint="eastAsia" w:eastAsia="宋体"/>
                <w:color w:val="auto"/>
                <w:lang w:val="en-US" w:eastAsia="zh-CN"/>
              </w:rPr>
            </w:pPr>
            <w:r>
              <w:rPr>
                <w:rFonts w:hint="eastAsia"/>
                <w:color w:val="auto"/>
                <w:lang w:val="en-US" w:eastAsia="zh-CN"/>
              </w:rPr>
              <w:t>新建</w:t>
            </w:r>
          </w:p>
        </w:tc>
      </w:tr>
    </w:tbl>
    <w:p>
      <w:pPr>
        <w:pStyle w:val="7"/>
        <w:rPr>
          <w:color w:val="auto"/>
        </w:rPr>
      </w:pPr>
      <w:r>
        <w:rPr>
          <w:color w:val="auto"/>
        </w:rPr>
        <w:t>3.1.3产品方案及规模</w:t>
      </w:r>
    </w:p>
    <w:p>
      <w:pPr>
        <w:ind w:firstLine="480"/>
        <w:rPr>
          <w:color w:val="auto"/>
        </w:rPr>
      </w:pPr>
      <w:r>
        <w:rPr>
          <w:color w:val="auto"/>
        </w:rPr>
        <w:t>根据建设单位提供的资料，项目产品方案见下表：</w:t>
      </w:r>
    </w:p>
    <w:p>
      <w:pPr>
        <w:pStyle w:val="31"/>
        <w:rPr>
          <w:color w:val="auto"/>
        </w:rPr>
      </w:pPr>
      <w:r>
        <w:rPr>
          <w:color w:val="auto"/>
        </w:rPr>
        <w:t>表3.1-2  项目产品方案一览表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9"/>
        <w:gridCol w:w="1416"/>
        <w:gridCol w:w="3930"/>
        <w:gridCol w:w="23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7" w:type="pct"/>
            <w:vAlign w:val="center"/>
          </w:tcPr>
          <w:p>
            <w:pPr>
              <w:pStyle w:val="30"/>
              <w:rPr>
                <w:b/>
                <w:bCs/>
                <w:color w:val="auto"/>
              </w:rPr>
            </w:pPr>
            <w:r>
              <w:rPr>
                <w:b/>
                <w:bCs/>
                <w:color w:val="auto"/>
              </w:rPr>
              <w:t>序号</w:t>
            </w:r>
          </w:p>
        </w:tc>
        <w:tc>
          <w:tcPr>
            <w:tcW w:w="831" w:type="pct"/>
            <w:vAlign w:val="center"/>
          </w:tcPr>
          <w:p>
            <w:pPr>
              <w:pStyle w:val="30"/>
              <w:rPr>
                <w:b/>
                <w:bCs/>
                <w:color w:val="auto"/>
              </w:rPr>
            </w:pPr>
            <w:r>
              <w:rPr>
                <w:b/>
                <w:bCs/>
                <w:color w:val="auto"/>
              </w:rPr>
              <w:t>产品</w:t>
            </w:r>
          </w:p>
        </w:tc>
        <w:tc>
          <w:tcPr>
            <w:tcW w:w="2306" w:type="pct"/>
            <w:vAlign w:val="center"/>
          </w:tcPr>
          <w:p>
            <w:pPr>
              <w:pStyle w:val="30"/>
              <w:rPr>
                <w:b/>
                <w:bCs/>
                <w:color w:val="auto"/>
              </w:rPr>
            </w:pPr>
            <w:r>
              <w:rPr>
                <w:b/>
                <w:bCs/>
                <w:color w:val="auto"/>
              </w:rPr>
              <w:t>规格</w:t>
            </w:r>
          </w:p>
        </w:tc>
        <w:tc>
          <w:tcPr>
            <w:tcW w:w="1407" w:type="pct"/>
            <w:vAlign w:val="center"/>
          </w:tcPr>
          <w:p>
            <w:pPr>
              <w:pStyle w:val="30"/>
              <w:rPr>
                <w:b/>
                <w:bCs/>
                <w:color w:val="auto"/>
              </w:rPr>
            </w:pPr>
            <w:r>
              <w:rPr>
                <w:b/>
                <w:bCs/>
                <w:color w:val="auto"/>
              </w:rPr>
              <w:t>产量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7" w:type="pct"/>
            <w:vAlign w:val="center"/>
          </w:tcPr>
          <w:p>
            <w:pPr>
              <w:pStyle w:val="30"/>
              <w:rPr>
                <w:color w:val="auto"/>
              </w:rPr>
            </w:pPr>
            <w:r>
              <w:rPr>
                <w:color w:val="auto"/>
              </w:rPr>
              <w:t>1</w:t>
            </w:r>
          </w:p>
        </w:tc>
        <w:tc>
          <w:tcPr>
            <w:tcW w:w="831" w:type="pct"/>
            <w:vAlign w:val="center"/>
          </w:tcPr>
          <w:p>
            <w:pPr>
              <w:pStyle w:val="30"/>
              <w:rPr>
                <w:color w:val="auto"/>
              </w:rPr>
            </w:pPr>
            <w:r>
              <w:rPr>
                <w:color w:val="auto"/>
              </w:rPr>
              <w:t>PE</w:t>
            </w:r>
            <w:r>
              <w:rPr>
                <w:rFonts w:hint="eastAsia"/>
                <w:color w:val="auto"/>
              </w:rPr>
              <w:t>波纹</w:t>
            </w:r>
            <w:r>
              <w:rPr>
                <w:color w:val="auto"/>
              </w:rPr>
              <w:t>管</w:t>
            </w:r>
          </w:p>
        </w:tc>
        <w:tc>
          <w:tcPr>
            <w:tcW w:w="2306" w:type="pct"/>
            <w:vAlign w:val="center"/>
          </w:tcPr>
          <w:p>
            <w:pPr>
              <w:pStyle w:val="30"/>
              <w:rPr>
                <w:rFonts w:hint="eastAsia" w:eastAsia="宋体"/>
                <w:color w:val="auto"/>
                <w:lang w:val="en-US" w:eastAsia="zh-CN"/>
              </w:rPr>
            </w:pPr>
            <w:r>
              <w:rPr>
                <w:rFonts w:hint="eastAsia"/>
                <w:color w:val="auto"/>
              </w:rPr>
              <w:t>规格包括DN200、DN300、DN400、DN500、DN600、DN800、DN1000</w:t>
            </w:r>
            <w:r>
              <w:rPr>
                <w:rFonts w:hint="eastAsia"/>
                <w:color w:val="auto"/>
                <w:lang w:val="en-US" w:eastAsia="zh-CN"/>
              </w:rPr>
              <w:t>等</w:t>
            </w:r>
          </w:p>
        </w:tc>
        <w:tc>
          <w:tcPr>
            <w:tcW w:w="1407" w:type="pct"/>
            <w:vAlign w:val="center"/>
          </w:tcPr>
          <w:p>
            <w:pPr>
              <w:pStyle w:val="30"/>
              <w:rPr>
                <w:color w:val="auto"/>
              </w:rPr>
            </w:pPr>
            <w:r>
              <w:rPr>
                <w:rFonts w:hint="eastAsia"/>
                <w:color w:val="auto"/>
                <w:lang w:val="en-US" w:eastAsia="zh-CN"/>
              </w:rPr>
              <w:t>3</w:t>
            </w:r>
            <w:r>
              <w:rPr>
                <w:rFonts w:hint="eastAsia"/>
                <w:color w:val="auto"/>
              </w:rPr>
              <w:t>万吨/年</w:t>
            </w:r>
          </w:p>
        </w:tc>
      </w:tr>
    </w:tbl>
    <w:p>
      <w:pPr>
        <w:pStyle w:val="7"/>
        <w:rPr>
          <w:color w:val="auto"/>
        </w:rPr>
      </w:pPr>
      <w:r>
        <w:rPr>
          <w:color w:val="auto"/>
        </w:rPr>
        <w:t>3.1.4主要原辅材料及能源消耗</w:t>
      </w:r>
    </w:p>
    <w:p>
      <w:pPr>
        <w:ind w:firstLine="480"/>
        <w:rPr>
          <w:color w:val="auto"/>
        </w:rPr>
      </w:pPr>
      <w:r>
        <w:rPr>
          <w:color w:val="auto"/>
        </w:rPr>
        <w:t>建设项目生产过程中所需主要原辅材料</w:t>
      </w:r>
      <w:r>
        <w:rPr>
          <w:rFonts w:hint="eastAsia"/>
          <w:color w:val="auto"/>
        </w:rPr>
        <w:t>及能源</w:t>
      </w:r>
      <w:r>
        <w:rPr>
          <w:color w:val="auto"/>
        </w:rPr>
        <w:t>消耗情况见下表。</w:t>
      </w:r>
    </w:p>
    <w:p>
      <w:pPr>
        <w:pStyle w:val="31"/>
        <w:rPr>
          <w:color w:val="auto"/>
        </w:rPr>
      </w:pPr>
      <w:r>
        <w:rPr>
          <w:color w:val="auto"/>
        </w:rPr>
        <w:t>表3.1-3 项目原辅材料及用量一览表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3"/>
        <w:gridCol w:w="2456"/>
        <w:gridCol w:w="2096"/>
        <w:gridCol w:w="28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b/>
                <w:bCs/>
                <w:color w:val="auto"/>
                <w:highlight w:val="none"/>
              </w:rPr>
            </w:pPr>
            <w:r>
              <w:rPr>
                <w:b/>
                <w:bCs/>
                <w:color w:val="auto"/>
                <w:highlight w:val="none"/>
              </w:rPr>
              <w:t>序号</w:t>
            </w:r>
          </w:p>
        </w:tc>
        <w:tc>
          <w:tcPr>
            <w:tcW w:w="1440" w:type="pct"/>
            <w:vAlign w:val="center"/>
          </w:tcPr>
          <w:p>
            <w:pPr>
              <w:pStyle w:val="30"/>
              <w:rPr>
                <w:b/>
                <w:bCs/>
                <w:color w:val="auto"/>
                <w:highlight w:val="none"/>
              </w:rPr>
            </w:pPr>
            <w:r>
              <w:rPr>
                <w:b/>
                <w:bCs/>
                <w:color w:val="auto"/>
                <w:highlight w:val="none"/>
              </w:rPr>
              <w:t>名称</w:t>
            </w:r>
          </w:p>
        </w:tc>
        <w:tc>
          <w:tcPr>
            <w:tcW w:w="1229" w:type="pct"/>
            <w:vAlign w:val="center"/>
          </w:tcPr>
          <w:p>
            <w:pPr>
              <w:pStyle w:val="30"/>
              <w:rPr>
                <w:b/>
                <w:bCs/>
                <w:color w:val="auto"/>
                <w:highlight w:val="none"/>
              </w:rPr>
            </w:pPr>
            <w:r>
              <w:rPr>
                <w:b/>
                <w:bCs/>
                <w:color w:val="auto"/>
                <w:highlight w:val="none"/>
              </w:rPr>
              <w:t>年用量（t/a）</w:t>
            </w:r>
          </w:p>
        </w:tc>
        <w:tc>
          <w:tcPr>
            <w:tcW w:w="1646" w:type="pct"/>
            <w:vAlign w:val="center"/>
          </w:tcPr>
          <w:p>
            <w:pPr>
              <w:pStyle w:val="30"/>
              <w:rPr>
                <w:b/>
                <w:bCs/>
                <w:color w:val="auto"/>
                <w:highlight w:val="none"/>
              </w:rPr>
            </w:pPr>
            <w:r>
              <w:rPr>
                <w:rFonts w:hint="eastAsia"/>
                <w:b/>
                <w:bCs/>
                <w:color w:val="auto"/>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bCs/>
                <w:color w:val="auto"/>
                <w:highlight w:val="none"/>
              </w:rPr>
            </w:pPr>
            <w:r>
              <w:rPr>
                <w:rFonts w:hint="eastAsia"/>
                <w:bCs/>
                <w:color w:val="auto"/>
                <w:highlight w:val="none"/>
              </w:rPr>
              <w:t>1</w:t>
            </w:r>
          </w:p>
        </w:tc>
        <w:tc>
          <w:tcPr>
            <w:tcW w:w="1440" w:type="pct"/>
            <w:vAlign w:val="center"/>
          </w:tcPr>
          <w:p>
            <w:pPr>
              <w:pStyle w:val="30"/>
              <w:rPr>
                <w:color w:val="auto"/>
                <w:highlight w:val="none"/>
              </w:rPr>
            </w:pPr>
            <w:r>
              <w:rPr>
                <w:rFonts w:hint="eastAsia"/>
                <w:color w:val="auto"/>
                <w:highlight w:val="none"/>
              </w:rPr>
              <w:t>再生塑料颗粒</w:t>
            </w:r>
          </w:p>
        </w:tc>
        <w:tc>
          <w:tcPr>
            <w:tcW w:w="1229" w:type="pct"/>
            <w:vAlign w:val="center"/>
          </w:tcPr>
          <w:p>
            <w:pPr>
              <w:pStyle w:val="30"/>
              <w:rPr>
                <w:bCs/>
                <w:color w:val="auto"/>
                <w:highlight w:val="none"/>
              </w:rPr>
            </w:pPr>
            <w:r>
              <w:rPr>
                <w:rFonts w:hint="eastAsia"/>
                <w:color w:val="auto"/>
                <w:highlight w:val="none"/>
                <w:lang w:val="en-US" w:eastAsia="zh-CN"/>
              </w:rPr>
              <w:t>28211.9925</w:t>
            </w:r>
          </w:p>
        </w:tc>
        <w:tc>
          <w:tcPr>
            <w:tcW w:w="1646" w:type="pct"/>
            <w:vAlign w:val="center"/>
          </w:tcPr>
          <w:p>
            <w:pPr>
              <w:pStyle w:val="30"/>
              <w:rPr>
                <w:bCs/>
                <w:color w:val="auto"/>
                <w:highlight w:val="none"/>
              </w:rPr>
            </w:pPr>
            <w:r>
              <w:rPr>
                <w:rFonts w:hint="eastAsia"/>
                <w:bCs/>
                <w:color w:val="auto"/>
                <w:highlight w:val="none"/>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bCs/>
                <w:color w:val="auto"/>
                <w:highlight w:val="none"/>
              </w:rPr>
            </w:pPr>
            <w:r>
              <w:rPr>
                <w:rFonts w:hint="eastAsia"/>
                <w:bCs/>
                <w:color w:val="auto"/>
                <w:highlight w:val="none"/>
              </w:rPr>
              <w:t>2</w:t>
            </w:r>
          </w:p>
        </w:tc>
        <w:tc>
          <w:tcPr>
            <w:tcW w:w="1440" w:type="pct"/>
            <w:vAlign w:val="center"/>
          </w:tcPr>
          <w:p>
            <w:pPr>
              <w:pStyle w:val="30"/>
              <w:rPr>
                <w:color w:val="auto"/>
                <w:highlight w:val="none"/>
              </w:rPr>
            </w:pPr>
            <w:r>
              <w:rPr>
                <w:rFonts w:hint="eastAsia"/>
                <w:color w:val="auto"/>
                <w:highlight w:val="none"/>
              </w:rPr>
              <w:t>消泡剂</w:t>
            </w:r>
          </w:p>
        </w:tc>
        <w:tc>
          <w:tcPr>
            <w:tcW w:w="1229" w:type="pct"/>
            <w:vAlign w:val="center"/>
          </w:tcPr>
          <w:p>
            <w:pPr>
              <w:pStyle w:val="30"/>
              <w:rPr>
                <w:rFonts w:hint="default" w:eastAsia="宋体"/>
                <w:bCs/>
                <w:color w:val="auto"/>
                <w:highlight w:val="none"/>
                <w:lang w:val="en-US" w:eastAsia="zh-CN"/>
              </w:rPr>
            </w:pPr>
            <w:r>
              <w:rPr>
                <w:rFonts w:hint="eastAsia"/>
                <w:bCs/>
                <w:color w:val="auto"/>
                <w:highlight w:val="none"/>
                <w:lang w:val="en-US" w:eastAsia="zh-CN"/>
              </w:rPr>
              <w:t>900</w:t>
            </w:r>
          </w:p>
        </w:tc>
        <w:tc>
          <w:tcPr>
            <w:tcW w:w="1646" w:type="pct"/>
            <w:vAlign w:val="center"/>
          </w:tcPr>
          <w:p>
            <w:pPr>
              <w:pStyle w:val="30"/>
              <w:rPr>
                <w:bCs/>
                <w:color w:val="auto"/>
                <w:highlight w:val="none"/>
              </w:rPr>
            </w:pPr>
            <w:r>
              <w:rPr>
                <w:rFonts w:hint="eastAsia"/>
                <w:bCs/>
                <w:color w:val="auto"/>
                <w:highlight w:val="none"/>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bCs/>
                <w:color w:val="auto"/>
                <w:highlight w:val="none"/>
              </w:rPr>
            </w:pPr>
            <w:r>
              <w:rPr>
                <w:rFonts w:hint="eastAsia"/>
                <w:bCs/>
                <w:color w:val="auto"/>
                <w:highlight w:val="none"/>
              </w:rPr>
              <w:t>3</w:t>
            </w:r>
          </w:p>
        </w:tc>
        <w:tc>
          <w:tcPr>
            <w:tcW w:w="1440" w:type="pct"/>
            <w:vAlign w:val="center"/>
          </w:tcPr>
          <w:p>
            <w:pPr>
              <w:pStyle w:val="30"/>
              <w:rPr>
                <w:color w:val="auto"/>
                <w:highlight w:val="none"/>
              </w:rPr>
            </w:pPr>
            <w:r>
              <w:rPr>
                <w:rFonts w:hint="eastAsia"/>
                <w:color w:val="auto"/>
                <w:highlight w:val="none"/>
              </w:rPr>
              <w:t>色母粒</w:t>
            </w:r>
          </w:p>
        </w:tc>
        <w:tc>
          <w:tcPr>
            <w:tcW w:w="1229" w:type="pct"/>
            <w:vAlign w:val="center"/>
          </w:tcPr>
          <w:p>
            <w:pPr>
              <w:pStyle w:val="30"/>
              <w:rPr>
                <w:rFonts w:hint="default" w:eastAsia="宋体"/>
                <w:bCs/>
                <w:color w:val="auto"/>
                <w:highlight w:val="none"/>
                <w:lang w:val="en-US" w:eastAsia="zh-CN"/>
              </w:rPr>
            </w:pPr>
            <w:r>
              <w:rPr>
                <w:rFonts w:hint="eastAsia"/>
                <w:bCs/>
                <w:color w:val="auto"/>
                <w:highlight w:val="none"/>
                <w:lang w:val="en-US" w:eastAsia="zh-CN"/>
              </w:rPr>
              <w:t>900</w:t>
            </w:r>
          </w:p>
        </w:tc>
        <w:tc>
          <w:tcPr>
            <w:tcW w:w="1646" w:type="pct"/>
            <w:vAlign w:val="center"/>
          </w:tcPr>
          <w:p>
            <w:pPr>
              <w:pStyle w:val="30"/>
              <w:rPr>
                <w:bCs/>
                <w:color w:val="auto"/>
                <w:highlight w:val="none"/>
              </w:rPr>
            </w:pPr>
            <w:r>
              <w:rPr>
                <w:rFonts w:hint="eastAsia"/>
                <w:bCs/>
                <w:color w:val="auto"/>
                <w:highlight w:val="none"/>
              </w:rPr>
              <w:t>外购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rFonts w:hint="eastAsia" w:eastAsia="宋体"/>
                <w:bCs/>
                <w:color w:val="auto"/>
                <w:highlight w:val="none"/>
                <w:lang w:eastAsia="zh-CN"/>
              </w:rPr>
            </w:pPr>
            <w:r>
              <w:rPr>
                <w:rFonts w:hint="eastAsia"/>
                <w:bCs/>
                <w:color w:val="auto"/>
                <w:highlight w:val="none"/>
                <w:lang w:val="en-US" w:eastAsia="zh-CN"/>
              </w:rPr>
              <w:t>4</w:t>
            </w:r>
          </w:p>
        </w:tc>
        <w:tc>
          <w:tcPr>
            <w:tcW w:w="1440" w:type="pct"/>
            <w:vAlign w:val="center"/>
          </w:tcPr>
          <w:p>
            <w:pPr>
              <w:pStyle w:val="30"/>
              <w:rPr>
                <w:color w:val="auto"/>
                <w:highlight w:val="none"/>
              </w:rPr>
            </w:pPr>
            <w:r>
              <w:rPr>
                <w:rFonts w:hint="eastAsia"/>
                <w:color w:val="auto"/>
                <w:highlight w:val="none"/>
              </w:rPr>
              <w:t>水</w:t>
            </w:r>
          </w:p>
        </w:tc>
        <w:tc>
          <w:tcPr>
            <w:tcW w:w="1229" w:type="pct"/>
            <w:vAlign w:val="center"/>
          </w:tcPr>
          <w:p>
            <w:pPr>
              <w:pStyle w:val="30"/>
              <w:rPr>
                <w:rFonts w:hint="default" w:eastAsia="宋体"/>
                <w:bCs/>
                <w:color w:val="auto"/>
                <w:highlight w:val="none"/>
                <w:lang w:val="en-US" w:eastAsia="zh-CN"/>
              </w:rPr>
            </w:pPr>
            <w:r>
              <w:rPr>
                <w:rFonts w:hint="eastAsia"/>
                <w:bCs/>
                <w:color w:val="auto"/>
                <w:highlight w:val="none"/>
                <w:lang w:val="en-US" w:eastAsia="zh-CN"/>
              </w:rPr>
              <w:t>924</w:t>
            </w:r>
          </w:p>
        </w:tc>
        <w:tc>
          <w:tcPr>
            <w:tcW w:w="1646" w:type="pct"/>
            <w:vAlign w:val="center"/>
          </w:tcPr>
          <w:p>
            <w:pPr>
              <w:pStyle w:val="30"/>
              <w:rPr>
                <w:bCs/>
                <w:color w:val="auto"/>
                <w:highlight w:val="none"/>
              </w:rPr>
            </w:pPr>
            <w:r>
              <w:rPr>
                <w:rFonts w:hint="eastAsia"/>
                <w:bCs/>
                <w:color w:val="auto"/>
                <w:highlight w:val="none"/>
              </w:rPr>
              <w:t>来自园区供</w:t>
            </w:r>
            <w:r>
              <w:rPr>
                <w:rFonts w:hint="eastAsia"/>
                <w:bCs/>
                <w:color w:val="auto"/>
                <w:highlight w:val="none"/>
                <w:lang w:val="en-US" w:eastAsia="zh-CN"/>
              </w:rPr>
              <w:t>水</w:t>
            </w:r>
            <w:r>
              <w:rPr>
                <w:rFonts w:hint="eastAsia"/>
                <w:bCs/>
                <w:color w:val="auto"/>
                <w:highlight w:val="none"/>
              </w:rPr>
              <w:t>管网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82" w:type="pct"/>
            <w:vAlign w:val="center"/>
          </w:tcPr>
          <w:p>
            <w:pPr>
              <w:pStyle w:val="30"/>
              <w:rPr>
                <w:rFonts w:hint="eastAsia" w:eastAsia="宋体"/>
                <w:bCs/>
                <w:color w:val="auto"/>
                <w:highlight w:val="none"/>
                <w:lang w:val="en-US" w:eastAsia="zh-CN"/>
              </w:rPr>
            </w:pPr>
            <w:r>
              <w:rPr>
                <w:rFonts w:hint="eastAsia"/>
                <w:bCs/>
                <w:color w:val="auto"/>
                <w:highlight w:val="none"/>
                <w:lang w:val="en-US" w:eastAsia="zh-CN"/>
              </w:rPr>
              <w:t>5</w:t>
            </w:r>
          </w:p>
        </w:tc>
        <w:tc>
          <w:tcPr>
            <w:tcW w:w="1440" w:type="pct"/>
            <w:vAlign w:val="center"/>
          </w:tcPr>
          <w:p>
            <w:pPr>
              <w:pStyle w:val="30"/>
              <w:rPr>
                <w:color w:val="auto"/>
                <w:highlight w:val="none"/>
              </w:rPr>
            </w:pPr>
            <w:r>
              <w:rPr>
                <w:rFonts w:hint="eastAsia"/>
                <w:color w:val="auto"/>
                <w:highlight w:val="none"/>
              </w:rPr>
              <w:t>电</w:t>
            </w:r>
          </w:p>
        </w:tc>
        <w:tc>
          <w:tcPr>
            <w:tcW w:w="1229" w:type="pct"/>
            <w:vAlign w:val="center"/>
          </w:tcPr>
          <w:p>
            <w:pPr>
              <w:pStyle w:val="30"/>
              <w:rPr>
                <w:bCs/>
                <w:color w:val="auto"/>
                <w:highlight w:val="none"/>
              </w:rPr>
            </w:pPr>
            <w:r>
              <w:rPr>
                <w:rFonts w:hint="eastAsia"/>
                <w:bCs/>
                <w:color w:val="auto"/>
                <w:highlight w:val="none"/>
              </w:rPr>
              <w:t>780 万 kw·h</w:t>
            </w:r>
          </w:p>
        </w:tc>
        <w:tc>
          <w:tcPr>
            <w:tcW w:w="1646" w:type="pct"/>
            <w:vAlign w:val="center"/>
          </w:tcPr>
          <w:p>
            <w:pPr>
              <w:pStyle w:val="30"/>
              <w:rPr>
                <w:bCs/>
                <w:color w:val="auto"/>
                <w:highlight w:val="none"/>
              </w:rPr>
            </w:pPr>
            <w:r>
              <w:rPr>
                <w:rFonts w:hint="eastAsia"/>
                <w:bCs/>
                <w:color w:val="auto"/>
                <w:highlight w:val="none"/>
              </w:rPr>
              <w:t>来自园区供电系统</w:t>
            </w:r>
          </w:p>
        </w:tc>
      </w:tr>
    </w:tbl>
    <w:p>
      <w:pPr>
        <w:ind w:firstLine="480"/>
        <w:rPr>
          <w:bCs/>
          <w:color w:val="auto"/>
        </w:rPr>
      </w:pPr>
      <w:r>
        <w:rPr>
          <w:rFonts w:hint="eastAsia"/>
          <w:bCs/>
          <w:color w:val="auto"/>
        </w:rPr>
        <w:t>本项目原料聚乙烯颗粒为周边正规塑料造粒企业生产出的再生塑料颗粒料，本项目严禁购入未清洗的废料</w:t>
      </w:r>
      <w:r>
        <w:rPr>
          <w:bCs/>
          <w:color w:val="auto"/>
        </w:rPr>
        <w:t>，严禁从废品回收站直接回收未处理的废料，严禁购入医疗废物和含卤素、含重金属的原料。</w:t>
      </w:r>
    </w:p>
    <w:p>
      <w:pPr>
        <w:ind w:firstLine="482"/>
        <w:rPr>
          <w:b/>
          <w:color w:val="auto"/>
        </w:rPr>
      </w:pPr>
      <w:r>
        <w:rPr>
          <w:b/>
          <w:color w:val="auto"/>
        </w:rPr>
        <w:t>主要原辅材料理化性质：</w:t>
      </w:r>
    </w:p>
    <w:p>
      <w:pPr>
        <w:ind w:firstLine="480"/>
        <w:rPr>
          <w:bCs/>
          <w:color w:val="auto"/>
        </w:rPr>
      </w:pPr>
      <w:r>
        <w:rPr>
          <w:bCs/>
          <w:color w:val="auto"/>
        </w:rPr>
        <w:t>（</w:t>
      </w:r>
      <w:r>
        <w:rPr>
          <w:rFonts w:hint="eastAsia"/>
          <w:bCs/>
          <w:color w:val="auto"/>
        </w:rPr>
        <w:t>1</w:t>
      </w:r>
      <w:r>
        <w:rPr>
          <w:bCs/>
          <w:color w:val="auto"/>
        </w:rPr>
        <w:t>）</w:t>
      </w:r>
      <w:r>
        <w:rPr>
          <w:rFonts w:hint="eastAsia"/>
          <w:bCs/>
          <w:color w:val="auto"/>
        </w:rPr>
        <w:t>塑料颗粒（</w:t>
      </w:r>
      <w:r>
        <w:rPr>
          <w:bCs/>
          <w:color w:val="auto"/>
        </w:rPr>
        <w:t>聚乙烯</w:t>
      </w:r>
      <w:r>
        <w:rPr>
          <w:rFonts w:hint="eastAsia"/>
          <w:bCs/>
          <w:color w:val="auto"/>
        </w:rPr>
        <w:t>）</w:t>
      </w:r>
      <w:r>
        <w:rPr>
          <w:bCs/>
          <w:color w:val="auto"/>
        </w:rPr>
        <w:t>：系指采用高压法自由基聚合制得的聚乙烯。分子链上具有长短不一的侧链，结晶度40％-50％，密度0.91-0.925g/cm</w:t>
      </w:r>
      <w:r>
        <w:rPr>
          <w:bCs/>
          <w:color w:val="auto"/>
          <w:vertAlign w:val="superscript"/>
        </w:rPr>
        <w:t>3</w:t>
      </w:r>
      <w:r>
        <w:rPr>
          <w:bCs/>
          <w:color w:val="auto"/>
        </w:rPr>
        <w:t>，熔点102-112℃。柔软性、延伸性、透明性、电绝缘性和加工性比LLDPE好。耐酸碱和盐类水溶液的腐蚀。在高、中、低压三种聚乙烯中，其耐热性较差，耐化学品性最好，耐溶剂性、透气性、透湿性较差，电性能优良，机械性能较差。低密度聚乙烯的制备由乙烯在压力147兆帕以上、温度200～300℃、采用过氧化物或氧为催化剂进行自由基聚合而得。低密度聚乙烯的用途耐热性、耐溶剂性、透气性、透湿性、机械性能较差，耐化学品性、电性能较好。质地柔软，适于制薄膜、电线、电缆、涂层、薄片、压铸品等。</w:t>
      </w:r>
    </w:p>
    <w:p>
      <w:pPr>
        <w:ind w:firstLine="480"/>
        <w:rPr>
          <w:bCs/>
          <w:color w:val="auto"/>
        </w:rPr>
      </w:pPr>
      <w:r>
        <w:rPr>
          <w:bCs/>
          <w:color w:val="auto"/>
        </w:rPr>
        <w:t>（</w:t>
      </w:r>
      <w:r>
        <w:rPr>
          <w:rFonts w:hint="eastAsia"/>
          <w:bCs/>
          <w:color w:val="auto"/>
        </w:rPr>
        <w:t>2</w:t>
      </w:r>
      <w:r>
        <w:rPr>
          <w:bCs/>
          <w:color w:val="auto"/>
        </w:rPr>
        <w:t>）色母</w:t>
      </w:r>
      <w:r>
        <w:rPr>
          <w:rFonts w:hint="eastAsia"/>
          <w:bCs/>
          <w:color w:val="auto"/>
        </w:rPr>
        <w:t>粒</w:t>
      </w:r>
      <w:r>
        <w:rPr>
          <w:bCs/>
          <w:color w:val="auto"/>
        </w:rPr>
        <w:t>：是由树脂和大量颜料(达50%)或染料配制成高浓度颜色的混合物。色母又名色种，是一种把超常量的颜料或染料均匀载附于树脂之中而制得的聚集体。加工时用少量色母料和未着色树脂掺混，就可达到设计颜料浓度的着色树脂或制品。</w:t>
      </w:r>
    </w:p>
    <w:p>
      <w:pPr>
        <w:ind w:firstLine="480"/>
        <w:rPr>
          <w:bCs/>
          <w:color w:val="auto"/>
        </w:rPr>
      </w:pPr>
      <w:r>
        <w:rPr>
          <w:bCs/>
          <w:color w:val="auto"/>
        </w:rPr>
        <w:t>（</w:t>
      </w:r>
      <w:r>
        <w:rPr>
          <w:rFonts w:hint="eastAsia"/>
          <w:bCs/>
          <w:color w:val="auto"/>
        </w:rPr>
        <w:t>3</w:t>
      </w:r>
      <w:r>
        <w:rPr>
          <w:bCs/>
          <w:color w:val="auto"/>
        </w:rPr>
        <w:t>）消泡</w:t>
      </w:r>
      <w:r>
        <w:rPr>
          <w:rFonts w:hint="eastAsia"/>
          <w:bCs/>
          <w:color w:val="auto"/>
        </w:rPr>
        <w:t>剂</w:t>
      </w:r>
      <w:r>
        <w:rPr>
          <w:bCs/>
          <w:color w:val="auto"/>
        </w:rPr>
        <w:t>：又叫塑料干燥剂、除潮母料、吸水母料，广泛用于注塑，拉丝，吹膜，拔管等塑料制品的生产过程中。</w:t>
      </w:r>
    </w:p>
    <w:p>
      <w:pPr>
        <w:pStyle w:val="7"/>
        <w:rPr>
          <w:color w:val="auto"/>
        </w:rPr>
      </w:pPr>
      <w:r>
        <w:rPr>
          <w:color w:val="auto"/>
        </w:rPr>
        <w:t>3.1.5项目主要生产设备</w:t>
      </w:r>
    </w:p>
    <w:p>
      <w:pPr>
        <w:ind w:firstLine="480"/>
        <w:rPr>
          <w:color w:val="auto"/>
        </w:rPr>
      </w:pPr>
      <w:r>
        <w:rPr>
          <w:color w:val="auto"/>
        </w:rPr>
        <w:t>本项目主要生产设备如下。</w:t>
      </w:r>
    </w:p>
    <w:p>
      <w:pPr>
        <w:pStyle w:val="31"/>
        <w:rPr>
          <w:color w:val="auto"/>
        </w:rPr>
      </w:pPr>
      <w:r>
        <w:rPr>
          <w:color w:val="auto"/>
        </w:rPr>
        <w:t>表3.1-4   本项目主要生产一览表</w:t>
      </w:r>
    </w:p>
    <w:tbl>
      <w:tblPr>
        <w:tblStyle w:val="21"/>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25"/>
        <w:gridCol w:w="2008"/>
        <w:gridCol w:w="2636"/>
        <w:gridCol w:w="1305"/>
        <w:gridCol w:w="20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b/>
                <w:bCs/>
                <w:color w:val="auto"/>
                <w:sz w:val="21"/>
                <w:szCs w:val="21"/>
              </w:rPr>
            </w:pPr>
            <w:r>
              <w:rPr>
                <w:b/>
                <w:bCs/>
                <w:color w:val="auto"/>
                <w:sz w:val="21"/>
                <w:szCs w:val="21"/>
              </w:rPr>
              <w:t>序号</w:t>
            </w:r>
          </w:p>
        </w:tc>
        <w:tc>
          <w:tcPr>
            <w:tcW w:w="1178" w:type="pct"/>
            <w:vAlign w:val="center"/>
          </w:tcPr>
          <w:p>
            <w:pPr>
              <w:pStyle w:val="30"/>
              <w:rPr>
                <w:b/>
                <w:bCs/>
                <w:color w:val="auto"/>
                <w:sz w:val="21"/>
                <w:szCs w:val="21"/>
              </w:rPr>
            </w:pPr>
            <w:r>
              <w:rPr>
                <w:b/>
                <w:bCs/>
                <w:color w:val="auto"/>
                <w:sz w:val="21"/>
                <w:szCs w:val="21"/>
              </w:rPr>
              <w:t>名称</w:t>
            </w:r>
          </w:p>
        </w:tc>
        <w:tc>
          <w:tcPr>
            <w:tcW w:w="1546" w:type="pct"/>
            <w:vAlign w:val="center"/>
          </w:tcPr>
          <w:p>
            <w:pPr>
              <w:pStyle w:val="30"/>
              <w:rPr>
                <w:b/>
                <w:bCs/>
                <w:color w:val="auto"/>
                <w:sz w:val="21"/>
                <w:szCs w:val="21"/>
              </w:rPr>
            </w:pPr>
            <w:r>
              <w:rPr>
                <w:b/>
                <w:bCs/>
                <w:color w:val="auto"/>
                <w:sz w:val="21"/>
                <w:szCs w:val="21"/>
              </w:rPr>
              <w:t>规格型号</w:t>
            </w:r>
          </w:p>
        </w:tc>
        <w:tc>
          <w:tcPr>
            <w:tcW w:w="765" w:type="pct"/>
            <w:vAlign w:val="center"/>
          </w:tcPr>
          <w:p>
            <w:pPr>
              <w:pStyle w:val="30"/>
              <w:rPr>
                <w:b/>
                <w:bCs/>
                <w:color w:val="auto"/>
                <w:sz w:val="21"/>
                <w:szCs w:val="21"/>
              </w:rPr>
            </w:pPr>
            <w:r>
              <w:rPr>
                <w:b/>
                <w:bCs/>
                <w:color w:val="auto"/>
                <w:sz w:val="21"/>
                <w:szCs w:val="21"/>
              </w:rPr>
              <w:t>数量</w:t>
            </w:r>
          </w:p>
        </w:tc>
        <w:tc>
          <w:tcPr>
            <w:tcW w:w="1201" w:type="pct"/>
            <w:vAlign w:val="center"/>
          </w:tcPr>
          <w:p>
            <w:pPr>
              <w:pStyle w:val="30"/>
              <w:rPr>
                <w:b/>
                <w:bCs/>
                <w:color w:val="auto"/>
                <w:sz w:val="21"/>
                <w:szCs w:val="21"/>
              </w:rPr>
            </w:pPr>
            <w:r>
              <w:rPr>
                <w:rFonts w:hint="eastAsia"/>
                <w:b/>
                <w:bCs/>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bCs/>
                <w:color w:val="auto"/>
                <w:sz w:val="21"/>
                <w:szCs w:val="21"/>
              </w:rPr>
            </w:pPr>
            <w:r>
              <w:rPr>
                <w:bCs/>
                <w:color w:val="auto"/>
                <w:sz w:val="21"/>
                <w:szCs w:val="21"/>
              </w:rPr>
              <w:t>1</w:t>
            </w:r>
          </w:p>
        </w:tc>
        <w:tc>
          <w:tcPr>
            <w:tcW w:w="1178" w:type="pct"/>
            <w:vAlign w:val="center"/>
          </w:tcPr>
          <w:p>
            <w:pPr>
              <w:pStyle w:val="30"/>
              <w:rPr>
                <w:bCs/>
                <w:color w:val="auto"/>
                <w:sz w:val="21"/>
                <w:szCs w:val="21"/>
              </w:rPr>
            </w:pPr>
            <w:r>
              <w:rPr>
                <w:rFonts w:hint="eastAsia"/>
                <w:bCs/>
                <w:color w:val="auto"/>
                <w:sz w:val="21"/>
                <w:szCs w:val="21"/>
              </w:rPr>
              <w:t>喂料机</w:t>
            </w:r>
          </w:p>
        </w:tc>
        <w:tc>
          <w:tcPr>
            <w:tcW w:w="1546" w:type="pct"/>
            <w:vAlign w:val="center"/>
          </w:tcPr>
          <w:p>
            <w:pPr>
              <w:pStyle w:val="30"/>
              <w:ind w:firstLine="0" w:firstLineChars="0"/>
              <w:rPr>
                <w:bCs/>
                <w:color w:val="auto"/>
                <w:sz w:val="21"/>
                <w:szCs w:val="21"/>
              </w:rPr>
            </w:pPr>
            <w:r>
              <w:rPr>
                <w:rFonts w:hint="eastAsia"/>
                <w:bCs/>
                <w:color w:val="auto"/>
                <w:sz w:val="21"/>
                <w:szCs w:val="21"/>
              </w:rPr>
              <w:t>/</w:t>
            </w:r>
          </w:p>
        </w:tc>
        <w:tc>
          <w:tcPr>
            <w:tcW w:w="765" w:type="pct"/>
            <w:vAlign w:val="center"/>
          </w:tcPr>
          <w:p>
            <w:pPr>
              <w:pStyle w:val="30"/>
              <w:ind w:firstLine="0" w:firstLineChars="0"/>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restart"/>
            <w:vAlign w:val="center"/>
          </w:tcPr>
          <w:p>
            <w:pPr>
              <w:pStyle w:val="30"/>
              <w:rPr>
                <w:rFonts w:hint="default" w:eastAsia="宋体"/>
                <w:bCs/>
                <w:color w:val="auto"/>
                <w:sz w:val="21"/>
                <w:szCs w:val="21"/>
                <w:lang w:val="en-US" w:eastAsia="zh-CN"/>
              </w:rPr>
            </w:pPr>
            <w:r>
              <w:rPr>
                <w:rFonts w:hint="eastAsia"/>
                <w:bCs/>
                <w:color w:val="auto"/>
                <w:sz w:val="21"/>
                <w:szCs w:val="21"/>
                <w:u w:val="single"/>
                <w:lang w:val="en-US" w:eastAsia="zh-CN"/>
              </w:rPr>
              <w:t>本项目共建设15条双壁波纹管生产线，每条线设计生产能力为7t/24h，项目年生产300d，根据建设单位提供的资料，最终本项目设计生产能力为7*15*300*85%=31500t/a，约为30000t/a。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bCs/>
                <w:color w:val="auto"/>
                <w:sz w:val="21"/>
                <w:szCs w:val="21"/>
              </w:rPr>
            </w:pPr>
            <w:r>
              <w:rPr>
                <w:bCs/>
                <w:color w:val="auto"/>
                <w:sz w:val="21"/>
                <w:szCs w:val="21"/>
              </w:rPr>
              <w:t>2</w:t>
            </w:r>
          </w:p>
        </w:tc>
        <w:tc>
          <w:tcPr>
            <w:tcW w:w="1178" w:type="pct"/>
            <w:vAlign w:val="center"/>
          </w:tcPr>
          <w:p>
            <w:pPr>
              <w:pStyle w:val="30"/>
              <w:rPr>
                <w:bCs/>
                <w:color w:val="auto"/>
                <w:sz w:val="21"/>
                <w:szCs w:val="21"/>
              </w:rPr>
            </w:pPr>
            <w:r>
              <w:rPr>
                <w:rFonts w:hint="eastAsia"/>
                <w:bCs/>
                <w:color w:val="auto"/>
                <w:sz w:val="21"/>
                <w:szCs w:val="21"/>
              </w:rPr>
              <w:t>挤出机</w:t>
            </w:r>
          </w:p>
        </w:tc>
        <w:tc>
          <w:tcPr>
            <w:tcW w:w="1546" w:type="pct"/>
            <w:vAlign w:val="center"/>
          </w:tcPr>
          <w:p>
            <w:pPr>
              <w:pStyle w:val="30"/>
              <w:rPr>
                <w:rFonts w:hint="eastAsia"/>
                <w:bCs/>
                <w:color w:val="auto"/>
                <w:sz w:val="21"/>
                <w:szCs w:val="21"/>
                <w:lang w:val="en-US" w:eastAsia="zh-CN"/>
              </w:rPr>
            </w:pPr>
            <w:r>
              <w:rPr>
                <w:rFonts w:hint="eastAsia"/>
                <w:bCs/>
                <w:color w:val="auto"/>
                <w:sz w:val="21"/>
                <w:szCs w:val="21"/>
                <w:lang w:val="en-US" w:eastAsia="zh-CN"/>
              </w:rPr>
              <w:t>SJPE-75/33、SJPE-90/33、SJPE-120/33、SJPE-45/33、</w:t>
            </w:r>
          </w:p>
          <w:p>
            <w:pPr>
              <w:pStyle w:val="30"/>
              <w:ind w:firstLine="0" w:firstLineChars="0"/>
              <w:jc w:val="center"/>
              <w:rPr>
                <w:bCs/>
                <w:color w:val="auto"/>
                <w:sz w:val="21"/>
                <w:szCs w:val="21"/>
              </w:rPr>
            </w:pPr>
            <w:r>
              <w:rPr>
                <w:rFonts w:hint="eastAsia"/>
                <w:bCs/>
                <w:color w:val="auto"/>
                <w:sz w:val="21"/>
                <w:szCs w:val="21"/>
                <w:lang w:val="en-US" w:eastAsia="zh-CN"/>
              </w:rPr>
              <w:t>SJPE-30/25</w:t>
            </w:r>
          </w:p>
        </w:tc>
        <w:tc>
          <w:tcPr>
            <w:tcW w:w="765" w:type="pct"/>
            <w:vAlign w:val="center"/>
          </w:tcPr>
          <w:p>
            <w:pPr>
              <w:pStyle w:val="30"/>
              <w:ind w:firstLine="0" w:firstLineChars="0"/>
              <w:jc w:val="center"/>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bCs/>
                <w:color w:val="auto"/>
                <w:sz w:val="21"/>
                <w:szCs w:val="21"/>
              </w:rPr>
            </w:pPr>
            <w:r>
              <w:rPr>
                <w:bCs/>
                <w:color w:val="auto"/>
                <w:sz w:val="21"/>
                <w:szCs w:val="21"/>
              </w:rPr>
              <w:t>3</w:t>
            </w:r>
          </w:p>
        </w:tc>
        <w:tc>
          <w:tcPr>
            <w:tcW w:w="1178" w:type="pct"/>
            <w:vAlign w:val="center"/>
          </w:tcPr>
          <w:p>
            <w:pPr>
              <w:pStyle w:val="30"/>
              <w:rPr>
                <w:bCs/>
                <w:color w:val="auto"/>
                <w:sz w:val="21"/>
                <w:szCs w:val="21"/>
              </w:rPr>
            </w:pPr>
            <w:r>
              <w:rPr>
                <w:rFonts w:hint="eastAsia"/>
                <w:bCs/>
                <w:color w:val="auto"/>
                <w:sz w:val="21"/>
                <w:szCs w:val="21"/>
              </w:rPr>
              <w:t>成型机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DSC-300、DSC-600</w:t>
            </w:r>
          </w:p>
        </w:tc>
        <w:tc>
          <w:tcPr>
            <w:tcW w:w="765" w:type="pct"/>
            <w:vAlign w:val="center"/>
          </w:tcPr>
          <w:p>
            <w:pPr>
              <w:ind w:left="0" w:leftChars="0" w:firstLine="0" w:firstLineChars="0"/>
              <w:jc w:val="center"/>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bCs/>
                <w:color w:val="auto"/>
                <w:sz w:val="21"/>
                <w:szCs w:val="21"/>
              </w:rPr>
            </w:pPr>
            <w:r>
              <w:rPr>
                <w:bCs/>
                <w:color w:val="auto"/>
                <w:sz w:val="21"/>
                <w:szCs w:val="21"/>
              </w:rPr>
              <w:t>4</w:t>
            </w:r>
          </w:p>
        </w:tc>
        <w:tc>
          <w:tcPr>
            <w:tcW w:w="1178" w:type="pct"/>
            <w:vAlign w:val="center"/>
          </w:tcPr>
          <w:p>
            <w:pPr>
              <w:pStyle w:val="30"/>
              <w:rPr>
                <w:bCs/>
                <w:color w:val="auto"/>
                <w:sz w:val="21"/>
                <w:szCs w:val="21"/>
              </w:rPr>
            </w:pPr>
            <w:r>
              <w:rPr>
                <w:rFonts w:hint="eastAsia"/>
                <w:bCs/>
                <w:color w:val="auto"/>
                <w:sz w:val="21"/>
                <w:szCs w:val="21"/>
              </w:rPr>
              <w:t>牵引机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DSY-300、DSY-600</w:t>
            </w:r>
          </w:p>
        </w:tc>
        <w:tc>
          <w:tcPr>
            <w:tcW w:w="765" w:type="pct"/>
            <w:vAlign w:val="center"/>
          </w:tcPr>
          <w:p>
            <w:pPr>
              <w:ind w:left="0" w:leftChars="0" w:firstLine="0" w:firstLineChars="0"/>
              <w:jc w:val="center"/>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rPr>
                <w:rFonts w:hint="eastAsia" w:eastAsia="宋体"/>
                <w:bCs/>
                <w:color w:val="auto"/>
                <w:sz w:val="21"/>
                <w:szCs w:val="21"/>
                <w:lang w:val="en-US" w:eastAsia="zh-CN"/>
              </w:rPr>
            </w:pPr>
            <w:r>
              <w:rPr>
                <w:rFonts w:hint="eastAsia"/>
                <w:bCs/>
                <w:color w:val="auto"/>
                <w:sz w:val="21"/>
                <w:szCs w:val="21"/>
                <w:lang w:val="en-US" w:eastAsia="zh-CN"/>
              </w:rPr>
              <w:t>5</w:t>
            </w:r>
          </w:p>
        </w:tc>
        <w:tc>
          <w:tcPr>
            <w:tcW w:w="1178" w:type="pct"/>
            <w:vAlign w:val="center"/>
          </w:tcPr>
          <w:p>
            <w:pPr>
              <w:pStyle w:val="30"/>
              <w:rPr>
                <w:bCs/>
                <w:color w:val="auto"/>
                <w:sz w:val="21"/>
                <w:szCs w:val="21"/>
              </w:rPr>
            </w:pPr>
            <w:r>
              <w:rPr>
                <w:rFonts w:hint="eastAsia"/>
                <w:bCs/>
                <w:color w:val="auto"/>
                <w:sz w:val="21"/>
                <w:szCs w:val="21"/>
              </w:rPr>
              <w:t>切割机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DSQ-300、DSQ-600</w:t>
            </w:r>
          </w:p>
        </w:tc>
        <w:tc>
          <w:tcPr>
            <w:tcW w:w="765" w:type="pct"/>
            <w:vAlign w:val="center"/>
          </w:tcPr>
          <w:p>
            <w:pPr>
              <w:ind w:left="0" w:leftChars="0" w:firstLine="0" w:firstLineChars="0"/>
              <w:jc w:val="center"/>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bCs/>
                <w:color w:val="auto"/>
                <w:sz w:val="21"/>
                <w:szCs w:val="21"/>
              </w:rPr>
              <w:t>6</w:t>
            </w:r>
          </w:p>
        </w:tc>
        <w:tc>
          <w:tcPr>
            <w:tcW w:w="1178" w:type="pct"/>
            <w:vAlign w:val="center"/>
          </w:tcPr>
          <w:p>
            <w:pPr>
              <w:pStyle w:val="30"/>
              <w:rPr>
                <w:bCs/>
                <w:color w:val="auto"/>
                <w:sz w:val="21"/>
                <w:szCs w:val="21"/>
              </w:rPr>
            </w:pPr>
            <w:r>
              <w:rPr>
                <w:rFonts w:hint="eastAsia"/>
                <w:bCs/>
                <w:color w:val="auto"/>
                <w:sz w:val="21"/>
                <w:szCs w:val="21"/>
              </w:rPr>
              <w:t>堆放机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DSD-300、DSD-600</w:t>
            </w:r>
          </w:p>
        </w:tc>
        <w:tc>
          <w:tcPr>
            <w:tcW w:w="765" w:type="pct"/>
            <w:vAlign w:val="center"/>
          </w:tcPr>
          <w:p>
            <w:pPr>
              <w:ind w:left="0" w:leftChars="0" w:firstLine="0" w:firstLineChars="0"/>
              <w:jc w:val="center"/>
              <w:rPr>
                <w:bCs/>
                <w:color w:val="auto"/>
                <w:sz w:val="21"/>
                <w:szCs w:val="21"/>
              </w:rPr>
            </w:pPr>
            <w:r>
              <w:rPr>
                <w:rFonts w:hint="eastAsia"/>
                <w:bCs/>
                <w:color w:val="auto"/>
                <w:sz w:val="21"/>
                <w:szCs w:val="21"/>
                <w:lang w:val="en-US" w:eastAsia="zh-CN"/>
              </w:rPr>
              <w:t>15</w:t>
            </w:r>
            <w:r>
              <w:rPr>
                <w:rFonts w:hint="eastAsia"/>
                <w:bCs/>
                <w:color w:val="auto"/>
                <w:sz w:val="21"/>
                <w:szCs w:val="21"/>
              </w:rPr>
              <w:t>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bCs/>
                <w:color w:val="auto"/>
                <w:sz w:val="21"/>
                <w:szCs w:val="21"/>
              </w:rPr>
              <w:t>7</w:t>
            </w:r>
          </w:p>
        </w:tc>
        <w:tc>
          <w:tcPr>
            <w:tcW w:w="1178" w:type="pct"/>
            <w:vAlign w:val="center"/>
          </w:tcPr>
          <w:p>
            <w:pPr>
              <w:pStyle w:val="30"/>
              <w:rPr>
                <w:bCs/>
                <w:color w:val="auto"/>
                <w:sz w:val="21"/>
                <w:szCs w:val="21"/>
              </w:rPr>
            </w:pPr>
            <w:r>
              <w:rPr>
                <w:rFonts w:hint="eastAsia"/>
                <w:bCs/>
                <w:color w:val="auto"/>
                <w:sz w:val="21"/>
                <w:szCs w:val="21"/>
              </w:rPr>
              <w:t>造粒机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FD-150</w:t>
            </w:r>
          </w:p>
        </w:tc>
        <w:tc>
          <w:tcPr>
            <w:tcW w:w="765" w:type="pct"/>
            <w:vAlign w:val="center"/>
          </w:tcPr>
          <w:p>
            <w:pPr>
              <w:pStyle w:val="30"/>
              <w:ind w:firstLine="0" w:firstLineChars="0"/>
              <w:rPr>
                <w:bCs/>
                <w:color w:val="auto"/>
                <w:sz w:val="21"/>
                <w:szCs w:val="21"/>
              </w:rPr>
            </w:pPr>
            <w:r>
              <w:rPr>
                <w:rFonts w:hint="eastAsia"/>
                <w:bCs/>
                <w:color w:val="auto"/>
                <w:sz w:val="21"/>
                <w:szCs w:val="21"/>
              </w:rPr>
              <w:t>1套</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bCs/>
                <w:color w:val="auto"/>
                <w:sz w:val="21"/>
                <w:szCs w:val="21"/>
              </w:rPr>
              <w:t>8</w:t>
            </w:r>
          </w:p>
        </w:tc>
        <w:tc>
          <w:tcPr>
            <w:tcW w:w="1178" w:type="pct"/>
            <w:vAlign w:val="center"/>
          </w:tcPr>
          <w:p>
            <w:pPr>
              <w:pStyle w:val="30"/>
              <w:rPr>
                <w:bCs/>
                <w:color w:val="auto"/>
                <w:sz w:val="21"/>
                <w:szCs w:val="21"/>
              </w:rPr>
            </w:pPr>
            <w:r>
              <w:rPr>
                <w:rFonts w:hint="eastAsia"/>
                <w:bCs/>
                <w:color w:val="auto"/>
                <w:sz w:val="21"/>
                <w:szCs w:val="21"/>
              </w:rPr>
              <w:t>破碎机</w:t>
            </w:r>
          </w:p>
        </w:tc>
        <w:tc>
          <w:tcPr>
            <w:tcW w:w="1546" w:type="pct"/>
            <w:vAlign w:val="center"/>
          </w:tcPr>
          <w:p>
            <w:pPr>
              <w:pStyle w:val="30"/>
              <w:ind w:firstLine="0" w:firstLineChars="0"/>
              <w:rPr>
                <w:bCs/>
                <w:color w:val="auto"/>
                <w:sz w:val="21"/>
                <w:szCs w:val="21"/>
              </w:rPr>
            </w:pPr>
            <w:r>
              <w:rPr>
                <w:rFonts w:hint="eastAsia"/>
                <w:bCs/>
                <w:color w:val="auto"/>
                <w:sz w:val="21"/>
                <w:szCs w:val="21"/>
              </w:rPr>
              <w:t>/</w:t>
            </w:r>
          </w:p>
        </w:tc>
        <w:tc>
          <w:tcPr>
            <w:tcW w:w="765" w:type="pct"/>
            <w:vAlign w:val="center"/>
          </w:tcPr>
          <w:p>
            <w:pPr>
              <w:pStyle w:val="30"/>
              <w:ind w:firstLine="0" w:firstLineChars="0"/>
              <w:rPr>
                <w:bCs/>
                <w:color w:val="auto"/>
                <w:sz w:val="21"/>
                <w:szCs w:val="21"/>
              </w:rPr>
            </w:pPr>
            <w:r>
              <w:rPr>
                <w:rFonts w:hint="eastAsia"/>
                <w:bCs/>
                <w:color w:val="auto"/>
                <w:sz w:val="21"/>
                <w:szCs w:val="21"/>
              </w:rPr>
              <w:t>1台</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rFonts w:hint="eastAsia"/>
                <w:bCs/>
                <w:color w:val="auto"/>
                <w:sz w:val="21"/>
                <w:szCs w:val="21"/>
              </w:rPr>
              <w:t>9</w:t>
            </w:r>
          </w:p>
        </w:tc>
        <w:tc>
          <w:tcPr>
            <w:tcW w:w="1178" w:type="pct"/>
            <w:vAlign w:val="center"/>
          </w:tcPr>
          <w:p>
            <w:pPr>
              <w:pStyle w:val="30"/>
              <w:rPr>
                <w:bCs/>
                <w:color w:val="auto"/>
                <w:sz w:val="21"/>
                <w:szCs w:val="21"/>
              </w:rPr>
            </w:pPr>
            <w:r>
              <w:rPr>
                <w:rFonts w:hint="eastAsia"/>
                <w:bCs/>
                <w:color w:val="auto"/>
                <w:sz w:val="21"/>
                <w:szCs w:val="21"/>
              </w:rPr>
              <w:t>二级活性炭吸附装置</w:t>
            </w:r>
          </w:p>
        </w:tc>
        <w:tc>
          <w:tcPr>
            <w:tcW w:w="1546" w:type="pct"/>
            <w:vAlign w:val="center"/>
          </w:tcPr>
          <w:p>
            <w:pPr>
              <w:pStyle w:val="30"/>
              <w:ind w:firstLine="0" w:firstLineChars="0"/>
              <w:rPr>
                <w:bCs/>
                <w:color w:val="auto"/>
                <w:sz w:val="21"/>
                <w:szCs w:val="21"/>
              </w:rPr>
            </w:pPr>
            <w:r>
              <w:rPr>
                <w:rFonts w:hint="eastAsia"/>
                <w:bCs/>
                <w:color w:val="auto"/>
                <w:sz w:val="21"/>
                <w:szCs w:val="21"/>
              </w:rPr>
              <w:t>/</w:t>
            </w:r>
          </w:p>
        </w:tc>
        <w:tc>
          <w:tcPr>
            <w:tcW w:w="765" w:type="pct"/>
            <w:vAlign w:val="center"/>
          </w:tcPr>
          <w:p>
            <w:pPr>
              <w:pStyle w:val="30"/>
              <w:ind w:firstLine="0" w:firstLineChars="0"/>
              <w:rPr>
                <w:bCs/>
                <w:color w:val="auto"/>
                <w:sz w:val="21"/>
                <w:szCs w:val="21"/>
              </w:rPr>
            </w:pPr>
            <w:r>
              <w:rPr>
                <w:rFonts w:hint="eastAsia"/>
                <w:bCs/>
                <w:color w:val="auto"/>
                <w:sz w:val="21"/>
                <w:szCs w:val="21"/>
                <w:lang w:val="en-US" w:eastAsia="zh-CN"/>
              </w:rPr>
              <w:t>2</w:t>
            </w:r>
            <w:r>
              <w:rPr>
                <w:rFonts w:hint="eastAsia"/>
                <w:bCs/>
                <w:color w:val="auto"/>
                <w:sz w:val="21"/>
                <w:szCs w:val="21"/>
              </w:rPr>
              <w:t>套</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rFonts w:hint="eastAsia"/>
                <w:bCs/>
                <w:color w:val="auto"/>
                <w:sz w:val="21"/>
                <w:szCs w:val="21"/>
              </w:rPr>
              <w:t>10</w:t>
            </w:r>
          </w:p>
        </w:tc>
        <w:tc>
          <w:tcPr>
            <w:tcW w:w="1178" w:type="pct"/>
            <w:vAlign w:val="center"/>
          </w:tcPr>
          <w:p>
            <w:pPr>
              <w:pStyle w:val="30"/>
              <w:rPr>
                <w:bCs/>
                <w:color w:val="auto"/>
                <w:sz w:val="21"/>
                <w:szCs w:val="21"/>
              </w:rPr>
            </w:pPr>
            <w:r>
              <w:rPr>
                <w:rFonts w:hint="eastAsia"/>
                <w:bCs/>
                <w:color w:val="auto"/>
                <w:sz w:val="21"/>
                <w:szCs w:val="21"/>
              </w:rPr>
              <w:t>真空泵</w:t>
            </w:r>
          </w:p>
        </w:tc>
        <w:tc>
          <w:tcPr>
            <w:tcW w:w="1546" w:type="pct"/>
            <w:vAlign w:val="center"/>
          </w:tcPr>
          <w:p>
            <w:pPr>
              <w:pStyle w:val="30"/>
              <w:ind w:firstLine="0" w:firstLineChars="0"/>
              <w:jc w:val="center"/>
              <w:rPr>
                <w:bCs/>
                <w:color w:val="auto"/>
                <w:sz w:val="21"/>
                <w:szCs w:val="21"/>
              </w:rPr>
            </w:pPr>
            <w:r>
              <w:rPr>
                <w:rFonts w:hint="eastAsia"/>
                <w:bCs/>
                <w:color w:val="auto"/>
                <w:sz w:val="21"/>
                <w:szCs w:val="21"/>
                <w:vertAlign w:val="baseline"/>
                <w:lang w:val="en-US" w:eastAsia="zh-CN"/>
              </w:rPr>
              <w:t>SA2S-75PM  PLUS</w:t>
            </w:r>
          </w:p>
        </w:tc>
        <w:tc>
          <w:tcPr>
            <w:tcW w:w="765" w:type="pct"/>
            <w:vAlign w:val="center"/>
          </w:tcPr>
          <w:p>
            <w:pPr>
              <w:pStyle w:val="30"/>
              <w:ind w:firstLine="0" w:firstLineChars="0"/>
              <w:rPr>
                <w:bCs/>
                <w:color w:val="auto"/>
                <w:sz w:val="21"/>
                <w:szCs w:val="21"/>
              </w:rPr>
            </w:pPr>
            <w:r>
              <w:rPr>
                <w:rFonts w:hint="eastAsia"/>
                <w:bCs/>
                <w:color w:val="auto"/>
                <w:sz w:val="21"/>
                <w:szCs w:val="21"/>
              </w:rPr>
              <w:t>1套</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rFonts w:hint="eastAsia"/>
                <w:bCs/>
                <w:color w:val="auto"/>
                <w:sz w:val="21"/>
                <w:szCs w:val="21"/>
              </w:rPr>
              <w:t>11</w:t>
            </w:r>
          </w:p>
        </w:tc>
        <w:tc>
          <w:tcPr>
            <w:tcW w:w="1178" w:type="pct"/>
            <w:vAlign w:val="center"/>
          </w:tcPr>
          <w:p>
            <w:pPr>
              <w:pStyle w:val="30"/>
              <w:rPr>
                <w:bCs/>
                <w:color w:val="auto"/>
                <w:sz w:val="21"/>
                <w:szCs w:val="21"/>
              </w:rPr>
            </w:pPr>
            <w:r>
              <w:rPr>
                <w:rFonts w:hint="eastAsia"/>
                <w:bCs/>
                <w:color w:val="auto"/>
                <w:sz w:val="21"/>
                <w:szCs w:val="21"/>
              </w:rPr>
              <w:t>冷水机</w:t>
            </w:r>
          </w:p>
        </w:tc>
        <w:tc>
          <w:tcPr>
            <w:tcW w:w="1546" w:type="pct"/>
            <w:vAlign w:val="center"/>
          </w:tcPr>
          <w:p>
            <w:pPr>
              <w:pStyle w:val="30"/>
              <w:ind w:firstLine="0" w:firstLineChars="0"/>
              <w:rPr>
                <w:bCs/>
                <w:color w:val="auto"/>
                <w:sz w:val="21"/>
                <w:szCs w:val="21"/>
              </w:rPr>
            </w:pPr>
            <w:r>
              <w:rPr>
                <w:rFonts w:hint="eastAsia"/>
                <w:bCs/>
                <w:color w:val="auto"/>
                <w:sz w:val="21"/>
                <w:szCs w:val="21"/>
                <w:lang w:val="en-US" w:eastAsia="zh-CN"/>
              </w:rPr>
              <w:t>HTS-50W</w:t>
            </w:r>
          </w:p>
        </w:tc>
        <w:tc>
          <w:tcPr>
            <w:tcW w:w="765" w:type="pct"/>
            <w:vAlign w:val="center"/>
          </w:tcPr>
          <w:p>
            <w:pPr>
              <w:pStyle w:val="30"/>
              <w:ind w:firstLine="0" w:firstLineChars="0"/>
              <w:rPr>
                <w:bCs/>
                <w:color w:val="auto"/>
                <w:sz w:val="21"/>
                <w:szCs w:val="21"/>
              </w:rPr>
            </w:pPr>
            <w:r>
              <w:rPr>
                <w:rFonts w:hint="eastAsia"/>
                <w:bCs/>
                <w:color w:val="auto"/>
                <w:sz w:val="21"/>
                <w:szCs w:val="21"/>
              </w:rPr>
              <w:t>1套</w:t>
            </w:r>
          </w:p>
        </w:tc>
        <w:tc>
          <w:tcPr>
            <w:tcW w:w="1201" w:type="pct"/>
            <w:vMerge w:val="continue"/>
            <w:vAlign w:val="center"/>
          </w:tcPr>
          <w:p>
            <w:pPr>
              <w:pStyle w:val="30"/>
              <w:rPr>
                <w:bCs/>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308" w:type="pct"/>
            <w:vAlign w:val="center"/>
          </w:tcPr>
          <w:p>
            <w:pPr>
              <w:pStyle w:val="30"/>
              <w:ind w:firstLine="0" w:firstLineChars="0"/>
              <w:rPr>
                <w:rFonts w:ascii="Times New Roman" w:hAnsi="Times New Roman" w:eastAsia="宋体" w:cstheme="minorBidi"/>
                <w:bCs/>
                <w:color w:val="auto"/>
                <w:kern w:val="2"/>
                <w:sz w:val="21"/>
                <w:szCs w:val="21"/>
                <w:lang w:val="en-US" w:eastAsia="zh-CN" w:bidi="ar-SA"/>
              </w:rPr>
            </w:pPr>
            <w:r>
              <w:rPr>
                <w:rFonts w:hint="eastAsia"/>
                <w:bCs/>
                <w:color w:val="auto"/>
                <w:sz w:val="21"/>
                <w:szCs w:val="21"/>
              </w:rPr>
              <w:t>12</w:t>
            </w:r>
          </w:p>
        </w:tc>
        <w:tc>
          <w:tcPr>
            <w:tcW w:w="1178" w:type="pct"/>
            <w:vAlign w:val="center"/>
          </w:tcPr>
          <w:p>
            <w:pPr>
              <w:pStyle w:val="30"/>
              <w:rPr>
                <w:bCs/>
                <w:color w:val="auto"/>
                <w:sz w:val="21"/>
                <w:szCs w:val="21"/>
              </w:rPr>
            </w:pPr>
            <w:r>
              <w:rPr>
                <w:rFonts w:hint="eastAsia"/>
                <w:bCs/>
                <w:color w:val="auto"/>
                <w:sz w:val="21"/>
                <w:szCs w:val="21"/>
              </w:rPr>
              <w:t>风机</w:t>
            </w:r>
          </w:p>
        </w:tc>
        <w:tc>
          <w:tcPr>
            <w:tcW w:w="1546" w:type="pct"/>
            <w:vAlign w:val="center"/>
          </w:tcPr>
          <w:p>
            <w:pPr>
              <w:pStyle w:val="30"/>
              <w:rPr>
                <w:bCs/>
                <w:color w:val="auto"/>
                <w:sz w:val="21"/>
                <w:szCs w:val="21"/>
              </w:rPr>
            </w:pPr>
            <w:r>
              <w:rPr>
                <w:rFonts w:hint="eastAsia"/>
                <w:bCs/>
                <w:color w:val="auto"/>
                <w:sz w:val="21"/>
                <w:szCs w:val="21"/>
              </w:rPr>
              <w:t>/</w:t>
            </w:r>
          </w:p>
        </w:tc>
        <w:tc>
          <w:tcPr>
            <w:tcW w:w="765" w:type="pct"/>
            <w:vAlign w:val="center"/>
          </w:tcPr>
          <w:p>
            <w:pPr>
              <w:pStyle w:val="30"/>
              <w:rPr>
                <w:bCs/>
                <w:color w:val="auto"/>
                <w:sz w:val="21"/>
                <w:szCs w:val="21"/>
              </w:rPr>
            </w:pPr>
            <w:r>
              <w:rPr>
                <w:rFonts w:hint="eastAsia"/>
                <w:bCs/>
                <w:color w:val="auto"/>
                <w:sz w:val="21"/>
                <w:szCs w:val="21"/>
                <w:lang w:val="en-US" w:eastAsia="zh-CN"/>
              </w:rPr>
              <w:t>16</w:t>
            </w:r>
            <w:r>
              <w:rPr>
                <w:rFonts w:hint="eastAsia"/>
                <w:bCs/>
                <w:color w:val="auto"/>
                <w:sz w:val="21"/>
                <w:szCs w:val="21"/>
              </w:rPr>
              <w:t>台</w:t>
            </w:r>
          </w:p>
        </w:tc>
        <w:tc>
          <w:tcPr>
            <w:tcW w:w="1201" w:type="pct"/>
            <w:vMerge w:val="continue"/>
            <w:vAlign w:val="center"/>
          </w:tcPr>
          <w:p>
            <w:pPr>
              <w:pStyle w:val="30"/>
              <w:rPr>
                <w:bCs/>
                <w:color w:val="auto"/>
                <w:sz w:val="21"/>
                <w:szCs w:val="21"/>
              </w:rPr>
            </w:pPr>
          </w:p>
        </w:tc>
      </w:tr>
    </w:tbl>
    <w:p>
      <w:pPr>
        <w:ind w:firstLine="480"/>
        <w:rPr>
          <w:color w:val="auto"/>
        </w:rPr>
      </w:pPr>
      <w:r>
        <w:rPr>
          <w:color w:val="auto"/>
        </w:rPr>
        <w:t>根据《产业结构调整指导目录》（2019年本）和《部分工业行业淘汰落后生产工艺装备和产品指导目录》（2010年本）可知，项目所选设备不属于国家淘汰和限制的产业类型，可满足正常生产的需要。</w:t>
      </w:r>
    </w:p>
    <w:p>
      <w:pPr>
        <w:pStyle w:val="6"/>
        <w:rPr>
          <w:color w:val="auto"/>
        </w:rPr>
      </w:pPr>
      <w:bookmarkStart w:id="78" w:name="_Toc15660"/>
      <w:bookmarkStart w:id="79" w:name="_Toc24687"/>
      <w:bookmarkStart w:id="80" w:name="_Toc7074"/>
      <w:r>
        <w:rPr>
          <w:color w:val="auto"/>
        </w:rPr>
        <w:t>3.2公用工程</w:t>
      </w:r>
      <w:bookmarkEnd w:id="78"/>
      <w:bookmarkEnd w:id="79"/>
      <w:bookmarkEnd w:id="80"/>
    </w:p>
    <w:p>
      <w:pPr>
        <w:ind w:firstLine="482"/>
        <w:rPr>
          <w:b/>
          <w:bCs/>
          <w:color w:val="auto"/>
        </w:rPr>
      </w:pPr>
      <w:r>
        <w:rPr>
          <w:rFonts w:hint="eastAsia"/>
          <w:b/>
          <w:bCs/>
          <w:color w:val="auto"/>
        </w:rPr>
        <w:t>1、</w:t>
      </w:r>
      <w:r>
        <w:rPr>
          <w:b/>
          <w:bCs/>
          <w:color w:val="auto"/>
        </w:rPr>
        <w:t>给水</w:t>
      </w:r>
    </w:p>
    <w:p>
      <w:pPr>
        <w:ind w:firstLine="480"/>
        <w:rPr>
          <w:color w:val="auto"/>
        </w:rPr>
      </w:pPr>
      <w:r>
        <w:rPr>
          <w:color w:val="auto"/>
        </w:rPr>
        <w:t>项目供水依托产业园市政管网供应，供厂区生产、生活及消防使用，供水水压为0.25MPa，可满足本项目生产、生活用水的需要。</w:t>
      </w:r>
    </w:p>
    <w:p>
      <w:pPr>
        <w:ind w:firstLine="482"/>
        <w:rPr>
          <w:b/>
          <w:bCs/>
          <w:color w:val="auto"/>
        </w:rPr>
      </w:pPr>
      <w:r>
        <w:rPr>
          <w:b/>
          <w:bCs/>
          <w:color w:val="auto"/>
        </w:rPr>
        <w:t>2、排水</w:t>
      </w:r>
    </w:p>
    <w:p>
      <w:pPr>
        <w:ind w:firstLine="480"/>
        <w:rPr>
          <w:color w:val="auto"/>
          <w:u w:val="single"/>
        </w:rPr>
      </w:pPr>
      <w:r>
        <w:rPr>
          <w:color w:val="auto"/>
        </w:rPr>
        <w:t>生产过程中冷却水循环使用，</w:t>
      </w:r>
      <w:r>
        <w:rPr>
          <w:rFonts w:hint="eastAsia"/>
          <w:color w:val="auto"/>
        </w:rPr>
        <w:t>不外排，</w:t>
      </w:r>
      <w:r>
        <w:rPr>
          <w:color w:val="auto"/>
        </w:rPr>
        <w:t>生活污水经</w:t>
      </w:r>
      <w:r>
        <w:rPr>
          <w:rFonts w:hint="eastAsia"/>
          <w:color w:val="auto"/>
        </w:rPr>
        <w:t>园区</w:t>
      </w:r>
      <w:r>
        <w:rPr>
          <w:color w:val="auto"/>
        </w:rPr>
        <w:t>化粪池预处理后进入汨罗市城市污水处理厂处理，最终排入汨罗江。</w:t>
      </w:r>
    </w:p>
    <w:p>
      <w:pPr>
        <w:ind w:firstLine="482"/>
        <w:rPr>
          <w:b/>
          <w:bCs/>
          <w:color w:val="auto"/>
        </w:rPr>
      </w:pPr>
      <w:r>
        <w:rPr>
          <w:b/>
          <w:bCs/>
          <w:color w:val="auto"/>
        </w:rPr>
        <w:t>3、供电系统</w:t>
      </w:r>
    </w:p>
    <w:p>
      <w:pPr>
        <w:ind w:firstLine="480"/>
        <w:rPr>
          <w:color w:val="auto"/>
        </w:rPr>
      </w:pPr>
      <w:r>
        <w:rPr>
          <w:color w:val="auto"/>
        </w:rPr>
        <w:t>本项目用电来源依托</w:t>
      </w:r>
      <w:r>
        <w:rPr>
          <w:rFonts w:hint="eastAsia"/>
          <w:color w:val="auto"/>
        </w:rPr>
        <w:t>工业园区供电管网</w:t>
      </w:r>
      <w:r>
        <w:rPr>
          <w:color w:val="auto"/>
        </w:rPr>
        <w:t>。</w:t>
      </w:r>
    </w:p>
    <w:p>
      <w:pPr>
        <w:ind w:firstLine="482"/>
        <w:rPr>
          <w:b/>
          <w:bCs/>
          <w:color w:val="auto"/>
        </w:rPr>
      </w:pPr>
      <w:r>
        <w:rPr>
          <w:b/>
          <w:bCs/>
          <w:color w:val="auto"/>
        </w:rPr>
        <w:t>4、储运工程</w:t>
      </w:r>
    </w:p>
    <w:p>
      <w:pPr>
        <w:ind w:firstLine="480"/>
        <w:rPr>
          <w:color w:val="auto"/>
        </w:rPr>
      </w:pPr>
      <w:r>
        <w:rPr>
          <w:color w:val="auto"/>
        </w:rPr>
        <w:t>本项目位于</w:t>
      </w:r>
      <w:r>
        <w:rPr>
          <w:rFonts w:hint="eastAsia"/>
          <w:color w:val="auto"/>
        </w:rPr>
        <w:t>汨罗市新市镇汨罗循环经济产业园G536与青春大道交界处107国道以东</w:t>
      </w:r>
      <w:r>
        <w:rPr>
          <w:color w:val="auto"/>
        </w:rPr>
        <w:t>，项目西侧为G107，交通便利，原辅材料及产品主要通过汽车运输完成。原料储存于本项目生产车间原料区，产品储存于成品区。</w:t>
      </w:r>
    </w:p>
    <w:p>
      <w:pPr>
        <w:ind w:firstLine="482"/>
        <w:rPr>
          <w:b/>
          <w:color w:val="auto"/>
        </w:rPr>
      </w:pPr>
      <w:r>
        <w:rPr>
          <w:b/>
          <w:color w:val="auto"/>
        </w:rPr>
        <w:t>5、消防工程</w:t>
      </w:r>
    </w:p>
    <w:p>
      <w:pPr>
        <w:ind w:firstLine="480"/>
        <w:rPr>
          <w:color w:val="auto"/>
        </w:rPr>
      </w:pPr>
      <w:r>
        <w:rPr>
          <w:color w:val="auto"/>
        </w:rPr>
        <w:t>项目在总体布置上按照消防有关规定配备足够的消防器材，各建筑物内应按规范配置磷酸铵盐干粉灭火器具等移动灭火器材。生产车间的消防设计足够的消火栓系统设施，消防用电由双电源切换箱供给，消防应急灯自带应急电源。建筑设计和建筑物间距能满足防火规范的要求，为保证生产安全、方便疏散，生产车间出入口均设应急指示灯。</w:t>
      </w:r>
    </w:p>
    <w:p>
      <w:pPr>
        <w:ind w:firstLine="482"/>
        <w:rPr>
          <w:b/>
          <w:color w:val="auto"/>
        </w:rPr>
      </w:pPr>
      <w:r>
        <w:rPr>
          <w:rFonts w:hint="eastAsia"/>
          <w:b/>
          <w:color w:val="auto"/>
        </w:rPr>
        <w:t>6、劳动定员</w:t>
      </w:r>
    </w:p>
    <w:p>
      <w:pPr>
        <w:ind w:firstLine="480"/>
        <w:rPr>
          <w:color w:val="auto"/>
        </w:rPr>
      </w:pPr>
      <w:r>
        <w:rPr>
          <w:color w:val="auto"/>
        </w:rPr>
        <w:t>本项目劳动定员</w:t>
      </w:r>
      <w:r>
        <w:rPr>
          <w:rFonts w:hint="eastAsia"/>
          <w:color w:val="auto"/>
        </w:rPr>
        <w:t>30</w:t>
      </w:r>
      <w:r>
        <w:rPr>
          <w:color w:val="auto"/>
        </w:rPr>
        <w:t>人，</w:t>
      </w:r>
      <w:r>
        <w:rPr>
          <w:rFonts w:hint="eastAsia"/>
          <w:color w:val="auto"/>
        </w:rPr>
        <w:t>均就近招募，采用</w:t>
      </w:r>
      <w:r>
        <w:rPr>
          <w:rFonts w:hint="eastAsia"/>
          <w:color w:val="auto"/>
          <w:lang w:val="en-US" w:eastAsia="zh-CN"/>
        </w:rPr>
        <w:t>三</w:t>
      </w:r>
      <w:r>
        <w:rPr>
          <w:rFonts w:hint="eastAsia"/>
          <w:color w:val="auto"/>
        </w:rPr>
        <w:t>班制，每天生产</w:t>
      </w:r>
      <w:r>
        <w:rPr>
          <w:rFonts w:hint="eastAsia"/>
          <w:color w:val="auto"/>
          <w:lang w:val="en-US" w:eastAsia="zh-CN"/>
        </w:rPr>
        <w:t>24</w:t>
      </w:r>
      <w:r>
        <w:rPr>
          <w:rFonts w:hint="eastAsia"/>
          <w:color w:val="auto"/>
        </w:rPr>
        <w:t>小时，年工作时间</w:t>
      </w:r>
      <w:r>
        <w:rPr>
          <w:rFonts w:hint="eastAsia"/>
          <w:color w:val="auto"/>
          <w:lang w:val="en-US" w:eastAsia="zh-CN"/>
        </w:rPr>
        <w:t>300</w:t>
      </w:r>
      <w:r>
        <w:rPr>
          <w:rFonts w:hint="eastAsia"/>
          <w:color w:val="auto"/>
        </w:rPr>
        <w:t>天，不提供食宿。</w:t>
      </w:r>
    </w:p>
    <w:p>
      <w:pPr>
        <w:pStyle w:val="6"/>
        <w:rPr>
          <w:color w:val="auto"/>
        </w:rPr>
      </w:pPr>
      <w:bookmarkStart w:id="81" w:name="_Toc22748"/>
      <w:bookmarkStart w:id="82" w:name="_Toc21153"/>
      <w:bookmarkStart w:id="83" w:name="_Toc1171"/>
      <w:r>
        <w:rPr>
          <w:color w:val="auto"/>
        </w:rPr>
        <w:t>3.3项目总平面布置</w:t>
      </w:r>
      <w:bookmarkEnd w:id="81"/>
      <w:bookmarkEnd w:id="82"/>
      <w:bookmarkEnd w:id="83"/>
    </w:p>
    <w:p>
      <w:pPr>
        <w:ind w:firstLine="480"/>
        <w:rPr>
          <w:rFonts w:hint="default" w:eastAsia="宋体"/>
          <w:color w:val="auto"/>
          <w:u w:val="single"/>
          <w:lang w:val="en-US" w:eastAsia="zh-CN"/>
        </w:rPr>
      </w:pPr>
      <w:bookmarkStart w:id="84" w:name="_Toc4595"/>
      <w:bookmarkStart w:id="85" w:name="_Toc447114849"/>
      <w:bookmarkStart w:id="86" w:name="_Toc447114733"/>
      <w:r>
        <w:rPr>
          <w:color w:val="auto"/>
          <w:u w:val="single"/>
        </w:rPr>
        <w:t>本项目利用现有厂房进行建设，项目主入口位于厂区南侧，靠近公路，方便物料运输。办公生活区域位于厂区</w:t>
      </w:r>
      <w:r>
        <w:rPr>
          <w:rFonts w:hint="eastAsia"/>
          <w:color w:val="auto"/>
          <w:u w:val="single"/>
        </w:rPr>
        <w:t>东南</w:t>
      </w:r>
      <w:r>
        <w:rPr>
          <w:color w:val="auto"/>
          <w:u w:val="single"/>
        </w:rPr>
        <w:t>侧，生产区位于厂区</w:t>
      </w:r>
      <w:r>
        <w:rPr>
          <w:rFonts w:hint="eastAsia"/>
          <w:color w:val="auto"/>
          <w:u w:val="single"/>
        </w:rPr>
        <w:t>南</w:t>
      </w:r>
      <w:r>
        <w:rPr>
          <w:color w:val="auto"/>
          <w:u w:val="single"/>
        </w:rPr>
        <w:t>侧，</w:t>
      </w:r>
      <w:r>
        <w:rPr>
          <w:rFonts w:hint="eastAsia"/>
          <w:color w:val="auto"/>
          <w:u w:val="single"/>
        </w:rPr>
        <w:t>生产区内设置</w:t>
      </w:r>
      <w:r>
        <w:rPr>
          <w:rFonts w:hint="eastAsia"/>
          <w:color w:val="auto"/>
          <w:u w:val="single"/>
          <w:lang w:val="en-US" w:eastAsia="zh-CN"/>
        </w:rPr>
        <w:t>15</w:t>
      </w:r>
      <w:r>
        <w:rPr>
          <w:rFonts w:hint="eastAsia"/>
          <w:color w:val="auto"/>
          <w:u w:val="single"/>
        </w:rPr>
        <w:t>条PE管生产线，北</w:t>
      </w:r>
      <w:r>
        <w:rPr>
          <w:color w:val="auto"/>
          <w:u w:val="single"/>
        </w:rPr>
        <w:t>侧为原料仓库及成品仓库。</w:t>
      </w:r>
      <w:r>
        <w:rPr>
          <w:rFonts w:hint="eastAsia"/>
          <w:color w:val="auto"/>
          <w:u w:val="single"/>
          <w:lang w:val="en-US" w:eastAsia="zh-CN"/>
        </w:rPr>
        <w:t>危废暂存间设置在厂房外西侧，同侧设置了造粒及破碎机，真空泵、循环水池及排气筒设置在厂区东侧，尽量远离西侧居民点，将对居民点的影响降低到最小。</w:t>
      </w:r>
    </w:p>
    <w:p>
      <w:pPr>
        <w:ind w:firstLine="480"/>
        <w:rPr>
          <w:color w:val="auto"/>
        </w:rPr>
      </w:pPr>
      <w:r>
        <w:rPr>
          <w:rFonts w:hint="eastAsia"/>
          <w:color w:val="auto"/>
          <w:u w:val="single"/>
        </w:rPr>
        <w:t>本项目总图布置根据所处位置及周围情况，按照工艺流程的要求，保证了工艺流程通顺，操作方便，结合现场地形，合理的进行功能分区，采用封闭式管理，做到布置紧凑，统一规划，以利于生产管理和环境保护。工程厂区平面布置既考虑了厂区内生产、生活环境，又兼顾了厂区外附近环境情况，对各污染因素采取了有效的防治措施，较大程度地避免了各污染因素对厂区和厂区附近环境的影响，从环保角度分析是比较合理的。综合考虑，本项目厂区总平面布置是较合理。</w:t>
      </w:r>
      <w:r>
        <w:rPr>
          <w:rFonts w:hint="eastAsia"/>
          <w:color w:val="auto"/>
          <w:u w:val="single"/>
          <w:lang w:val="en-US" w:eastAsia="zh-CN"/>
        </w:rPr>
        <w:t>项目西侧为居民点，项目生产线排气筒和主要生产设施尽量远离西侧，尽量对居民点影响保持到最低</w:t>
      </w:r>
      <w:r>
        <w:rPr>
          <w:rFonts w:hint="eastAsia"/>
          <w:color w:val="auto"/>
          <w:u w:val="single"/>
        </w:rPr>
        <w:t>。综合考虑，本项目厂区总平面布置是较合理。</w:t>
      </w:r>
    </w:p>
    <w:p>
      <w:pPr>
        <w:pStyle w:val="7"/>
        <w:rPr>
          <w:color w:val="auto"/>
        </w:rPr>
      </w:pPr>
      <w:r>
        <w:rPr>
          <w:color w:val="auto"/>
        </w:rPr>
        <w:t>3.4施工期污染源分析</w:t>
      </w:r>
      <w:bookmarkEnd w:id="84"/>
    </w:p>
    <w:p>
      <w:pPr>
        <w:ind w:firstLine="480"/>
        <w:rPr>
          <w:color w:val="auto"/>
        </w:rPr>
      </w:pPr>
      <w:r>
        <w:rPr>
          <w:color w:val="auto"/>
        </w:rPr>
        <w:t>本项目租赁</w:t>
      </w:r>
      <w:r>
        <w:rPr>
          <w:rFonts w:hint="eastAsia"/>
          <w:color w:val="auto"/>
        </w:rPr>
        <w:t>汨罗市新市镇汨罗循环经济产业园G536与青春大道交界处107国道以东</w:t>
      </w:r>
      <w:r>
        <w:rPr>
          <w:color w:val="auto"/>
        </w:rPr>
        <w:t>闲置厂房进行生产，不新征地，不新建建筑物，施工期无土建工程，仅少量设备为安装，施工工程量少，强度低，时间短，施工期污染主要有少量粉尘、</w:t>
      </w:r>
      <w:r>
        <w:rPr>
          <w:rFonts w:hint="eastAsia"/>
          <w:color w:val="auto"/>
        </w:rPr>
        <w:t>汽车尾气、</w:t>
      </w:r>
      <w:r>
        <w:rPr>
          <w:color w:val="auto"/>
        </w:rPr>
        <w:t>噪声、</w:t>
      </w:r>
      <w:r>
        <w:rPr>
          <w:rFonts w:hint="eastAsia"/>
          <w:color w:val="auto"/>
        </w:rPr>
        <w:t>设备包装固废</w:t>
      </w:r>
      <w:r>
        <w:rPr>
          <w:color w:val="auto"/>
        </w:rPr>
        <w:t>及生活垃圾、生活污水。</w:t>
      </w:r>
    </w:p>
    <w:p>
      <w:pPr>
        <w:pStyle w:val="6"/>
        <w:rPr>
          <w:color w:val="auto"/>
        </w:rPr>
      </w:pPr>
      <w:bookmarkStart w:id="87" w:name="_Toc29160"/>
      <w:bookmarkStart w:id="88" w:name="_Toc16812"/>
      <w:bookmarkStart w:id="89" w:name="_Toc9248"/>
      <w:r>
        <w:rPr>
          <w:color w:val="auto"/>
        </w:rPr>
        <w:t>3.5营运期污染源分析</w:t>
      </w:r>
      <w:bookmarkEnd w:id="87"/>
      <w:bookmarkEnd w:id="88"/>
      <w:bookmarkEnd w:id="89"/>
    </w:p>
    <w:p>
      <w:pPr>
        <w:pStyle w:val="7"/>
        <w:rPr>
          <w:color w:val="auto"/>
        </w:rPr>
      </w:pPr>
      <w:r>
        <w:rPr>
          <w:color w:val="auto"/>
        </w:rPr>
        <w:t>3.5.1营运期工艺流程及产污环节</w:t>
      </w:r>
    </w:p>
    <w:bookmarkEnd w:id="85"/>
    <w:bookmarkEnd w:id="86"/>
    <w:p>
      <w:pPr>
        <w:ind w:firstLine="480"/>
        <w:rPr>
          <w:color w:val="auto"/>
        </w:rPr>
      </w:pPr>
      <w:r>
        <w:rPr>
          <w:color w:val="auto"/>
        </w:rPr>
        <w:t>本项目产品为</w:t>
      </w:r>
      <w:r>
        <w:rPr>
          <w:bCs/>
          <w:color w:val="auto"/>
        </w:rPr>
        <w:t>PE管材，主要工艺流程及产污环节如下：</w:t>
      </w:r>
    </w:p>
    <w:p>
      <w:pPr>
        <w:pStyle w:val="31"/>
        <w:rPr>
          <w:color w:val="auto"/>
        </w:rPr>
      </w:pPr>
      <w:r>
        <w:rPr>
          <w:sz w:val="21"/>
        </w:rPr>
        <mc:AlternateContent>
          <mc:Choice Requires="wps">
            <w:drawing>
              <wp:anchor distT="0" distB="0" distL="114300" distR="114300" simplePos="0" relativeHeight="251664384" behindDoc="0" locked="0" layoutInCell="1" allowOverlap="1">
                <wp:simplePos x="0" y="0"/>
                <wp:positionH relativeFrom="column">
                  <wp:posOffset>2599055</wp:posOffset>
                </wp:positionH>
                <wp:positionV relativeFrom="paragraph">
                  <wp:posOffset>534670</wp:posOffset>
                </wp:positionV>
                <wp:extent cx="5080" cy="198120"/>
                <wp:effectExtent l="6350" t="0" r="7620" b="11430"/>
                <wp:wrapNone/>
                <wp:docPr id="19" name="直接连接符 19"/>
                <wp:cNvGraphicFramePr/>
                <a:graphic xmlns:a="http://schemas.openxmlformats.org/drawingml/2006/main">
                  <a:graphicData uri="http://schemas.microsoft.com/office/word/2010/wordprocessingShape">
                    <wps:wsp>
                      <wps:cNvCnPr>
                        <a:stCxn id="17" idx="2"/>
                      </wps:cNvCnPr>
                      <wps:spPr>
                        <a:xfrm>
                          <a:off x="3737610" y="1449070"/>
                          <a:ext cx="5080" cy="19812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4.65pt;margin-top:42.1pt;height:15.6pt;width:0.4pt;z-index:251664384;mso-width-relative:page;mso-height-relative:page;" filled="f" stroked="t" coordsize="21600,21600" o:gfxdata="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T3K6tkAAAAKAQAADwAAAAAAAAABACAAAAAiAAAAZHJz&#10;L2Rvd25yZXYueG1sUEsBAhQAFAAAAAgAh07iQCd1n4wDAgAA6QMAAA4AAAAAAAAAAQAgAAAAKAEA&#10;AGRycy9lMm9Eb2MueG1sUEsFBgAAAAAGAAYAWQEAAJ0FAAAAAA==&#10;">
                <v:fill on="f" focussize="0,0"/>
                <v:stroke weight="1pt" color="#000000 [3213]" miterlimit="8" joinstyle="miter"/>
                <v:imagedata o:title=""/>
                <o:lock v:ext="edit" aspectratio="f"/>
              </v:lin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2275205</wp:posOffset>
                </wp:positionH>
                <wp:positionV relativeFrom="paragraph">
                  <wp:posOffset>239395</wp:posOffset>
                </wp:positionV>
                <wp:extent cx="647065" cy="295275"/>
                <wp:effectExtent l="9525" t="9525" r="10160" b="19050"/>
                <wp:wrapNone/>
                <wp:docPr id="17" name="矩形 17"/>
                <wp:cNvGraphicFramePr/>
                <a:graphic xmlns:a="http://schemas.openxmlformats.org/drawingml/2006/main">
                  <a:graphicData uri="http://schemas.microsoft.com/office/word/2010/wordprocessingShape">
                    <wps:wsp>
                      <wps:cNvSpPr/>
                      <wps:spPr>
                        <a:xfrm>
                          <a:off x="3561080" y="1201420"/>
                          <a:ext cx="647065" cy="2952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lang w:val="en-US" w:eastAsia="zh-CN"/>
                              </w:rPr>
                            </w:pPr>
                            <w:r>
                              <w:rPr>
                                <w:rFonts w:hint="eastAsia"/>
                                <w:sz w:val="21"/>
                                <w:szCs w:val="21"/>
                                <w:lang w:val="en-US" w:eastAsia="zh-CN"/>
                              </w:rPr>
                              <w:t>消泡剂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9.15pt;margin-top:18.85pt;height:23.25pt;width:50.95pt;z-index:251663360;v-text-anchor:middle;mso-width-relative:page;mso-height-relative:page;" filled="f" stroked="t" coordsize="21600,21600" o:gfxdata="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UBjok2gAAAAkBAAAPAAAAAAAAAAEAIAAAACIA&#10;AABkcnMvZG93bnJldi54bWxQSwECFAAUAAAACACHTuJA3odHL3kCAADjBAAADgAAAAAAAAABACAA&#10;AAApAQAAZHJzL2Uyb0RvYy54bWxQSwUGAAAAAAYABgBZAQAAFAYAAAAA&#10;">
                <v:fill on="f" focussize="0,0"/>
                <v:stroke weight="1.5pt" color="#000000 [3213]"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eastAsia="宋体"/>
                          <w:lang w:val="en-US" w:eastAsia="zh-CN"/>
                        </w:rPr>
                      </w:pPr>
                      <w:r>
                        <w:rPr>
                          <w:rFonts w:hint="eastAsia"/>
                          <w:sz w:val="21"/>
                          <w:szCs w:val="21"/>
                          <w:lang w:val="en-US" w:eastAsia="zh-CN"/>
                        </w:rPr>
                        <w:t>消泡剂</w:t>
                      </w:r>
                    </w:p>
                  </w:txbxContent>
                </v:textbox>
              </v:rect>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1214120</wp:posOffset>
                </wp:positionH>
                <wp:positionV relativeFrom="paragraph">
                  <wp:posOffset>3454400</wp:posOffset>
                </wp:positionV>
                <wp:extent cx="2548890" cy="371475"/>
                <wp:effectExtent l="0" t="0" r="3810" b="9525"/>
                <wp:wrapNone/>
                <wp:docPr id="5" name="矩形 5"/>
                <wp:cNvGraphicFramePr/>
                <a:graphic xmlns:a="http://schemas.openxmlformats.org/drawingml/2006/main">
                  <a:graphicData uri="http://schemas.microsoft.com/office/word/2010/wordprocessingShape">
                    <wps:wsp>
                      <wps:cNvSpPr/>
                      <wps:spPr>
                        <a:xfrm>
                          <a:off x="3189605" y="4292600"/>
                          <a:ext cx="2548890"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eastAsia="宋体"/>
                                <w:sz w:val="21"/>
                                <w:szCs w:val="21"/>
                                <w:lang w:val="en-US" w:eastAsia="zh-CN"/>
                              </w:rPr>
                            </w:pPr>
                            <w:r>
                              <w:rPr>
                                <w:rFonts w:hint="eastAsia"/>
                                <w:sz w:val="21"/>
                                <w:szCs w:val="21"/>
                                <w:lang w:val="en-US" w:eastAsia="zh-CN"/>
                              </w:rPr>
                              <w:t>切割成型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6pt;margin-top:272pt;height:29.25pt;width:200.7pt;z-index:251660288;v-text-anchor:middle;mso-width-relative:page;mso-height-relative:page;" fillcolor="#FFFFFF [3212]" filled="t" stroked="f" coordsize="21600,21600" o:gfxdata="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LIrB2gAAAAsBAAAPAAAAAAAAAAEA&#10;IAAAACIAAABkcnMvZG93bnJldi54bWxQSwECFAAUAAAACACHTuJA9X1kK38CAADiBAAADgAAAAAA&#10;AAABACAAAAApAQAAZHJzL2Uyb0RvYy54bWxQSwUGAAAAAAYABgBZAQAAGgYAAAAA&#10;">
                <v:fill on="t" focussize="0,0"/>
                <v:stroke on="f" weight="1pt" miterlimit="8" joinstyle="miter"/>
                <v:imagedata o:title=""/>
                <o:lock v:ext="edit" aspectratio="f"/>
                <v:textbox>
                  <w:txbxContent>
                    <w:p>
                      <w:pPr>
                        <w:jc w:val="center"/>
                        <w:rPr>
                          <w:rFonts w:hint="default" w:eastAsia="宋体"/>
                          <w:sz w:val="21"/>
                          <w:szCs w:val="21"/>
                          <w:lang w:val="en-US" w:eastAsia="zh-CN"/>
                        </w:rPr>
                      </w:pPr>
                      <w:r>
                        <w:rPr>
                          <w:rFonts w:hint="eastAsia"/>
                          <w:sz w:val="21"/>
                          <w:szCs w:val="21"/>
                          <w:lang w:val="en-US" w:eastAsia="zh-CN"/>
                        </w:rPr>
                        <w:t>切割成型</w:t>
                      </w:r>
                    </w:p>
                  </w:txbxContent>
                </v:textbox>
              </v:rect>
            </w:pict>
          </mc:Fallback>
        </mc:AlternateContent>
      </w:r>
      <w:r>
        <w:rPr>
          <w:color w:val="auto"/>
        </w:rPr>
        <w:drawing>
          <wp:inline distT="0" distB="0" distL="0" distR="0">
            <wp:extent cx="3886200" cy="4375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l="245" r="-245"/>
                    <a:stretch>
                      <a:fillRect/>
                    </a:stretch>
                  </pic:blipFill>
                  <pic:spPr>
                    <a:xfrm>
                      <a:off x="0" y="0"/>
                      <a:ext cx="3886200" cy="4375150"/>
                    </a:xfrm>
                    <a:prstGeom prst="rect">
                      <a:avLst/>
                    </a:prstGeom>
                    <a:noFill/>
                    <a:ln>
                      <a:noFill/>
                    </a:ln>
                  </pic:spPr>
                </pic:pic>
              </a:graphicData>
            </a:graphic>
          </wp:inline>
        </w:drawing>
      </w:r>
    </w:p>
    <w:p>
      <w:pPr>
        <w:pStyle w:val="31"/>
        <w:rPr>
          <w:color w:val="auto"/>
        </w:rPr>
      </w:pPr>
      <w:r>
        <w:rPr>
          <w:color w:val="auto"/>
        </w:rPr>
        <w:t>图3.5-</w:t>
      </w:r>
      <w:r>
        <w:rPr>
          <w:rFonts w:hint="eastAsia"/>
          <w:color w:val="auto"/>
        </w:rPr>
        <w:t>1</w:t>
      </w:r>
      <w:r>
        <w:rPr>
          <w:color w:val="auto"/>
        </w:rPr>
        <w:t xml:space="preserve">  PE管材生产工艺流程及产污环节图</w:t>
      </w:r>
    </w:p>
    <w:p>
      <w:pPr>
        <w:ind w:firstLine="480"/>
        <w:rPr>
          <w:bCs/>
          <w:color w:val="auto"/>
        </w:rPr>
      </w:pPr>
    </w:p>
    <w:p>
      <w:pPr>
        <w:pStyle w:val="31"/>
        <w:rPr>
          <w:color w:val="auto"/>
        </w:rPr>
      </w:pPr>
      <w:r>
        <w:rPr>
          <w:color w:val="auto"/>
        </w:rPr>
        <w:drawing>
          <wp:inline distT="0" distB="0" distL="0" distR="0">
            <wp:extent cx="3752850" cy="3867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3752850" cy="3867150"/>
                    </a:xfrm>
                    <a:prstGeom prst="rect">
                      <a:avLst/>
                    </a:prstGeom>
                    <a:noFill/>
                    <a:ln>
                      <a:noFill/>
                    </a:ln>
                  </pic:spPr>
                </pic:pic>
              </a:graphicData>
            </a:graphic>
          </wp:inline>
        </w:drawing>
      </w:r>
    </w:p>
    <w:p>
      <w:pPr>
        <w:pStyle w:val="31"/>
        <w:rPr>
          <w:bCs/>
          <w:color w:val="auto"/>
        </w:rPr>
      </w:pPr>
      <w:r>
        <w:rPr>
          <w:bCs/>
          <w:color w:val="auto"/>
        </w:rPr>
        <w:t xml:space="preserve">图3.5-2  </w:t>
      </w:r>
      <w:r>
        <w:rPr>
          <w:rFonts w:hint="eastAsia"/>
          <w:bCs/>
          <w:color w:val="auto"/>
        </w:rPr>
        <w:t>造粒生产线</w:t>
      </w:r>
      <w:r>
        <w:rPr>
          <w:bCs/>
          <w:color w:val="auto"/>
        </w:rPr>
        <w:t>工艺流程及产污环节图</w:t>
      </w:r>
    </w:p>
    <w:p>
      <w:pPr>
        <w:pStyle w:val="7"/>
        <w:rPr>
          <w:color w:val="auto"/>
        </w:rPr>
      </w:pPr>
      <w:r>
        <w:rPr>
          <w:color w:val="auto"/>
        </w:rPr>
        <w:t>3.5.2工艺流程简述</w:t>
      </w:r>
    </w:p>
    <w:p>
      <w:pPr>
        <w:ind w:firstLine="482"/>
        <w:rPr>
          <w:b/>
          <w:bCs/>
          <w:color w:val="auto"/>
        </w:rPr>
      </w:pPr>
      <w:r>
        <w:rPr>
          <w:rFonts w:hint="eastAsia"/>
          <w:b/>
          <w:bCs/>
          <w:color w:val="auto"/>
        </w:rPr>
        <w:t>项目工艺流程简述：</w:t>
      </w:r>
    </w:p>
    <w:p>
      <w:pPr>
        <w:ind w:firstLine="480"/>
        <w:rPr>
          <w:color w:val="auto"/>
          <w:u w:val="single"/>
        </w:rPr>
      </w:pPr>
      <w:r>
        <w:rPr>
          <w:rFonts w:hint="eastAsia"/>
          <w:color w:val="auto"/>
          <w:u w:val="single"/>
        </w:rPr>
        <w:t>本项目外购再生PE颗粒和色母，根据配比投入</w:t>
      </w:r>
      <w:r>
        <w:rPr>
          <w:rFonts w:hint="eastAsia"/>
          <w:color w:val="auto"/>
          <w:u w:val="single"/>
          <w:lang w:val="en-US" w:eastAsia="zh-CN"/>
        </w:rPr>
        <w:t>喂料机</w:t>
      </w:r>
      <w:r>
        <w:rPr>
          <w:rFonts w:hint="eastAsia"/>
          <w:color w:val="auto"/>
          <w:u w:val="single"/>
        </w:rPr>
        <w:t>。此过程中加入的原辅料均为均匀颗粒，整套设备呈密闭状态，无颗粒物外排。搅拌均匀的物料进</w:t>
      </w:r>
      <w:r>
        <w:rPr>
          <w:rFonts w:hint="eastAsia"/>
          <w:color w:val="auto"/>
          <w:u w:val="single"/>
          <w:lang w:val="en-US" w:eastAsia="zh-CN"/>
        </w:rPr>
        <w:t>入</w:t>
      </w:r>
      <w:r>
        <w:rPr>
          <w:rFonts w:hint="eastAsia"/>
          <w:color w:val="auto"/>
          <w:u w:val="single"/>
        </w:rPr>
        <w:t>挤出机进行热熔挤出成型。</w:t>
      </w:r>
    </w:p>
    <w:p>
      <w:pPr>
        <w:ind w:firstLine="480"/>
        <w:rPr>
          <w:color w:val="auto"/>
        </w:rPr>
      </w:pPr>
      <w:r>
        <w:rPr>
          <w:rFonts w:hint="eastAsia"/>
          <w:color w:val="auto"/>
        </w:rPr>
        <w:t>挤出机采用电加热，会产生一定的有机废气以及废气处理产生的废活性炭。挤出后的管材经真空箱进行水冷后进入牵引机，形成产品。真空箱冷却水经循环使用，定期进行补充。</w:t>
      </w:r>
    </w:p>
    <w:p>
      <w:pPr>
        <w:ind w:firstLine="480"/>
        <w:rPr>
          <w:color w:val="auto"/>
        </w:rPr>
      </w:pPr>
      <w:r>
        <w:rPr>
          <w:rFonts w:hint="eastAsia"/>
          <w:color w:val="auto"/>
        </w:rPr>
        <w:t>PE管生产过程会产生一定的边角废料，边角废料经破碎机破碎后（破碎时产生少量破碎粉尘）放入造粒机的进料斗，通过进料输送螺杆稳定地进入热熔，使得原料在熔融状态下经过螺纹块的剪切混炼充分的混合。此过程主要是物料的物理混合，通过电加热方式将造粒温度控制在180~200℃左右，并经过挤出工序挤出成条状，在此控制温度下，塑料颗粒不会发生分解反应。热熔工序挥发气体主要为非甲烷总烃，排放量较小，对PE管挤出机和造粒机采取封闭措施并且上方设置集气罩，将废气收集处理。</w:t>
      </w:r>
    </w:p>
    <w:p>
      <w:pPr>
        <w:ind w:firstLine="480"/>
        <w:rPr>
          <w:bCs/>
          <w:color w:val="auto"/>
          <w:u w:val="single"/>
        </w:rPr>
      </w:pPr>
      <w:r>
        <w:rPr>
          <w:rFonts w:hint="eastAsia"/>
          <w:color w:val="auto"/>
          <w:u w:val="single"/>
        </w:rPr>
        <w:t>边角废料在单螺杆挤出机经过模头挤出成条状，在熔融挤出时，要经过铁丝滤网过滤掉物料中的杂质，再经过冷却槽水冷却，然后经过风机吹干，最后进入</w:t>
      </w:r>
      <w:r>
        <w:rPr>
          <w:rFonts w:hint="eastAsia"/>
          <w:color w:val="auto"/>
          <w:u w:val="single"/>
          <w:lang w:val="en-US" w:eastAsia="zh-CN"/>
        </w:rPr>
        <w:t>造</w:t>
      </w:r>
      <w:r>
        <w:rPr>
          <w:rFonts w:hint="eastAsia"/>
          <w:color w:val="auto"/>
          <w:u w:val="single"/>
        </w:rPr>
        <w:t>粒机切成圆柱状颗粒。此过程中，冷却水是经过冷却循环水池循环使用，使水温保持低温，循环冷却水循环使用不排放，定期补充。再生塑料颗粒回用于PE管生产。</w:t>
      </w:r>
    </w:p>
    <w:p>
      <w:pPr>
        <w:pStyle w:val="7"/>
        <w:rPr>
          <w:color w:val="auto"/>
        </w:rPr>
      </w:pPr>
      <w:r>
        <w:rPr>
          <w:color w:val="auto"/>
        </w:rPr>
        <w:t>3.5.3 产污环节</w:t>
      </w:r>
    </w:p>
    <w:p>
      <w:pPr>
        <w:ind w:firstLine="480"/>
        <w:rPr>
          <w:color w:val="auto"/>
        </w:rPr>
      </w:pPr>
      <w:r>
        <w:rPr>
          <w:color w:val="auto"/>
        </w:rPr>
        <w:t>本项目生产过程中主要产排污节点见下表。</w:t>
      </w:r>
    </w:p>
    <w:p>
      <w:pPr>
        <w:pStyle w:val="31"/>
        <w:rPr>
          <w:color w:val="auto"/>
        </w:rPr>
      </w:pPr>
      <w:r>
        <w:rPr>
          <w:color w:val="auto"/>
        </w:rPr>
        <w:t>表3.5-1 项目运营期产排污节点表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47"/>
        <w:gridCol w:w="1670"/>
        <w:gridCol w:w="1812"/>
        <w:gridCol w:w="42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Align w:val="center"/>
          </w:tcPr>
          <w:p>
            <w:pPr>
              <w:pStyle w:val="30"/>
              <w:rPr>
                <w:b/>
                <w:bCs/>
                <w:color w:val="auto"/>
              </w:rPr>
            </w:pPr>
            <w:r>
              <w:rPr>
                <w:b/>
                <w:bCs/>
                <w:color w:val="auto"/>
              </w:rPr>
              <w:t>污染类别</w:t>
            </w:r>
          </w:p>
        </w:tc>
        <w:tc>
          <w:tcPr>
            <w:tcW w:w="980" w:type="pct"/>
            <w:vAlign w:val="center"/>
          </w:tcPr>
          <w:p>
            <w:pPr>
              <w:pStyle w:val="30"/>
              <w:rPr>
                <w:b/>
                <w:bCs/>
                <w:color w:val="auto"/>
              </w:rPr>
            </w:pPr>
            <w:r>
              <w:rPr>
                <w:b/>
                <w:bCs/>
                <w:color w:val="auto"/>
              </w:rPr>
              <w:t>产污环节</w:t>
            </w:r>
          </w:p>
        </w:tc>
        <w:tc>
          <w:tcPr>
            <w:tcW w:w="1063" w:type="pct"/>
            <w:vAlign w:val="center"/>
          </w:tcPr>
          <w:p>
            <w:pPr>
              <w:pStyle w:val="30"/>
              <w:rPr>
                <w:b/>
                <w:bCs/>
                <w:color w:val="auto"/>
              </w:rPr>
            </w:pPr>
            <w:r>
              <w:rPr>
                <w:b/>
                <w:bCs/>
                <w:color w:val="auto"/>
              </w:rPr>
              <w:t>污染物名称</w:t>
            </w:r>
          </w:p>
        </w:tc>
        <w:tc>
          <w:tcPr>
            <w:tcW w:w="2519" w:type="pct"/>
            <w:vAlign w:val="center"/>
          </w:tcPr>
          <w:p>
            <w:pPr>
              <w:pStyle w:val="30"/>
              <w:rPr>
                <w:b/>
                <w:bCs/>
                <w:color w:val="auto"/>
              </w:rPr>
            </w:pPr>
            <w:r>
              <w:rPr>
                <w:b/>
                <w:bCs/>
                <w:color w:val="auto"/>
              </w:rPr>
              <w:t>排放方式或处理方式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restart"/>
            <w:vAlign w:val="center"/>
          </w:tcPr>
          <w:p>
            <w:pPr>
              <w:pStyle w:val="30"/>
              <w:rPr>
                <w:b/>
                <w:bCs/>
                <w:color w:val="auto"/>
              </w:rPr>
            </w:pPr>
            <w:r>
              <w:rPr>
                <w:color w:val="auto"/>
              </w:rPr>
              <w:t>废气</w:t>
            </w:r>
          </w:p>
        </w:tc>
        <w:tc>
          <w:tcPr>
            <w:tcW w:w="980" w:type="pct"/>
            <w:vAlign w:val="center"/>
          </w:tcPr>
          <w:p>
            <w:pPr>
              <w:pStyle w:val="30"/>
              <w:rPr>
                <w:rFonts w:hint="default" w:eastAsia="宋体"/>
                <w:b/>
                <w:bCs/>
                <w:color w:val="auto"/>
                <w:lang w:val="en-US" w:eastAsia="zh-CN"/>
              </w:rPr>
            </w:pPr>
            <w:r>
              <w:rPr>
                <w:color w:val="auto"/>
              </w:rPr>
              <w:t>挤出成型工段</w:t>
            </w:r>
            <w:r>
              <w:rPr>
                <w:rFonts w:hint="eastAsia"/>
                <w:color w:val="auto"/>
                <w:lang w:eastAsia="zh-CN"/>
              </w:rPr>
              <w:t>、</w:t>
            </w:r>
            <w:r>
              <w:rPr>
                <w:rFonts w:hint="eastAsia"/>
                <w:color w:val="auto"/>
                <w:lang w:val="en-US" w:eastAsia="zh-CN"/>
              </w:rPr>
              <w:t>造粒工段</w:t>
            </w:r>
          </w:p>
        </w:tc>
        <w:tc>
          <w:tcPr>
            <w:tcW w:w="1063" w:type="pct"/>
            <w:vAlign w:val="center"/>
          </w:tcPr>
          <w:p>
            <w:pPr>
              <w:pStyle w:val="30"/>
              <w:rPr>
                <w:b/>
                <w:bCs/>
                <w:color w:val="auto"/>
              </w:rPr>
            </w:pPr>
            <w:r>
              <w:rPr>
                <w:color w:val="auto"/>
              </w:rPr>
              <w:t>非甲烷总烃</w:t>
            </w:r>
          </w:p>
        </w:tc>
        <w:tc>
          <w:tcPr>
            <w:tcW w:w="2519" w:type="pct"/>
            <w:vAlign w:val="center"/>
          </w:tcPr>
          <w:p>
            <w:pPr>
              <w:pStyle w:val="30"/>
              <w:rPr>
                <w:b/>
                <w:bCs/>
                <w:color w:val="auto"/>
              </w:rPr>
            </w:pPr>
            <w:r>
              <w:rPr>
                <w:color w:val="auto"/>
              </w:rPr>
              <w:t>在废气产生口安装集气罩收集废气，废气</w:t>
            </w:r>
            <w:r>
              <w:rPr>
                <w:rFonts w:hint="eastAsia"/>
                <w:color w:val="auto"/>
              </w:rPr>
              <w:t>经两级</w:t>
            </w:r>
            <w:r>
              <w:rPr>
                <w:color w:val="auto"/>
              </w:rPr>
              <w:t>活性炭</w:t>
            </w:r>
            <w:r>
              <w:rPr>
                <w:rFonts w:hint="eastAsia"/>
                <w:color w:val="auto"/>
              </w:rPr>
              <w:t>吸附</w:t>
            </w:r>
            <w:r>
              <w:rPr>
                <w:color w:val="auto"/>
              </w:rPr>
              <w:t>处理后，经</w:t>
            </w:r>
            <w:r>
              <w:rPr>
                <w:rFonts w:hint="eastAsia"/>
                <w:color w:val="auto"/>
                <w:lang w:val="en-US" w:eastAsia="zh-CN"/>
              </w:rPr>
              <w:t>一根</w:t>
            </w:r>
            <w:r>
              <w:rPr>
                <w:rFonts w:hint="eastAsia"/>
                <w:color w:val="auto"/>
                <w:lang w:eastAsia="zh-CN"/>
              </w:rPr>
              <w:t>18m高排气筒</w:t>
            </w:r>
            <w:r>
              <w:rPr>
                <w:color w:val="auto"/>
              </w:rPr>
              <w:t>（</w:t>
            </w:r>
            <w:r>
              <w:rPr>
                <w:rFonts w:hint="eastAsia"/>
                <w:color w:val="auto"/>
              </w:rPr>
              <w:t>DA001</w:t>
            </w:r>
            <w:r>
              <w:rPr>
                <w:color w:val="auto"/>
              </w:rPr>
              <w:t>）排放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highlight w:val="none"/>
              </w:rPr>
            </w:pPr>
            <w:r>
              <w:rPr>
                <w:color w:val="auto"/>
                <w:highlight w:val="none"/>
              </w:rPr>
              <w:t>破碎工段</w:t>
            </w:r>
          </w:p>
        </w:tc>
        <w:tc>
          <w:tcPr>
            <w:tcW w:w="1063" w:type="pct"/>
            <w:vAlign w:val="center"/>
          </w:tcPr>
          <w:p>
            <w:pPr>
              <w:pStyle w:val="30"/>
              <w:rPr>
                <w:color w:val="auto"/>
                <w:highlight w:val="none"/>
              </w:rPr>
            </w:pPr>
            <w:r>
              <w:rPr>
                <w:color w:val="auto"/>
                <w:highlight w:val="none"/>
              </w:rPr>
              <w:t>颗粒物</w:t>
            </w:r>
          </w:p>
        </w:tc>
        <w:tc>
          <w:tcPr>
            <w:tcW w:w="2519" w:type="pct"/>
            <w:vAlign w:val="center"/>
          </w:tcPr>
          <w:p>
            <w:pPr>
              <w:pStyle w:val="30"/>
              <w:rPr>
                <w:rFonts w:hint="default" w:eastAsia="宋体"/>
                <w:color w:val="auto"/>
                <w:highlight w:val="none"/>
                <w:lang w:val="en-US" w:eastAsia="zh-CN"/>
              </w:rPr>
            </w:pPr>
            <w:r>
              <w:rPr>
                <w:rFonts w:hint="eastAsia"/>
                <w:color w:val="auto"/>
                <w:highlight w:val="none"/>
                <w:lang w:val="en-US" w:eastAsia="zh-CN"/>
              </w:rPr>
              <w:t>破碎机废气产生口安装集气罩收集废气，废气通过布袋除尘器处理后经过一根18m高排气筒（DA002）排放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restart"/>
            <w:vAlign w:val="center"/>
          </w:tcPr>
          <w:p>
            <w:pPr>
              <w:pStyle w:val="30"/>
              <w:rPr>
                <w:color w:val="auto"/>
              </w:rPr>
            </w:pPr>
            <w:r>
              <w:rPr>
                <w:color w:val="auto"/>
              </w:rPr>
              <w:t>废水</w:t>
            </w:r>
          </w:p>
        </w:tc>
        <w:tc>
          <w:tcPr>
            <w:tcW w:w="980" w:type="pct"/>
            <w:vAlign w:val="center"/>
          </w:tcPr>
          <w:p>
            <w:pPr>
              <w:pStyle w:val="30"/>
              <w:rPr>
                <w:color w:val="auto"/>
              </w:rPr>
            </w:pPr>
            <w:r>
              <w:rPr>
                <w:color w:val="auto"/>
              </w:rPr>
              <w:t>间接冷却水</w:t>
            </w:r>
          </w:p>
        </w:tc>
        <w:tc>
          <w:tcPr>
            <w:tcW w:w="1063" w:type="pct"/>
            <w:vAlign w:val="center"/>
          </w:tcPr>
          <w:p>
            <w:pPr>
              <w:pStyle w:val="30"/>
              <w:rPr>
                <w:color w:val="auto"/>
              </w:rPr>
            </w:pPr>
            <w:r>
              <w:rPr>
                <w:color w:val="auto"/>
              </w:rPr>
              <w:t>/</w:t>
            </w:r>
          </w:p>
        </w:tc>
        <w:tc>
          <w:tcPr>
            <w:tcW w:w="2519" w:type="pct"/>
            <w:vAlign w:val="center"/>
          </w:tcPr>
          <w:p>
            <w:pPr>
              <w:pStyle w:val="30"/>
              <w:rPr>
                <w:color w:val="auto"/>
              </w:rPr>
            </w:pPr>
            <w:r>
              <w:rPr>
                <w:color w:val="auto"/>
              </w:rPr>
              <w:t>经循环水池后循环使用，不外排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color w:val="auto"/>
              </w:rPr>
              <w:t>生活污水</w:t>
            </w:r>
          </w:p>
        </w:tc>
        <w:tc>
          <w:tcPr>
            <w:tcW w:w="1063" w:type="pct"/>
            <w:vAlign w:val="center"/>
          </w:tcPr>
          <w:p>
            <w:pPr>
              <w:pStyle w:val="30"/>
              <w:rPr>
                <w:color w:val="auto"/>
              </w:rPr>
            </w:pPr>
            <w:r>
              <w:rPr>
                <w:color w:val="auto"/>
              </w:rPr>
              <w:t>COD、BOD</w:t>
            </w:r>
            <w:r>
              <w:rPr>
                <w:color w:val="auto"/>
                <w:vertAlign w:val="subscript"/>
              </w:rPr>
              <w:t>5</w:t>
            </w:r>
            <w:r>
              <w:rPr>
                <w:color w:val="auto"/>
              </w:rPr>
              <w:t>、氨氮、SS</w:t>
            </w:r>
          </w:p>
        </w:tc>
        <w:tc>
          <w:tcPr>
            <w:tcW w:w="2519" w:type="pct"/>
            <w:vAlign w:val="center"/>
          </w:tcPr>
          <w:p>
            <w:pPr>
              <w:pStyle w:val="30"/>
              <w:rPr>
                <w:color w:val="auto"/>
              </w:rPr>
            </w:pPr>
            <w:r>
              <w:rPr>
                <w:color w:val="auto"/>
              </w:rPr>
              <w:t>经化粪池预处理后进入汨罗市城市污水处理厂处理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Align w:val="center"/>
          </w:tcPr>
          <w:p>
            <w:pPr>
              <w:pStyle w:val="30"/>
              <w:rPr>
                <w:color w:val="auto"/>
              </w:rPr>
            </w:pPr>
            <w:r>
              <w:rPr>
                <w:color w:val="auto"/>
              </w:rPr>
              <w:t>噪声</w:t>
            </w:r>
          </w:p>
        </w:tc>
        <w:tc>
          <w:tcPr>
            <w:tcW w:w="980" w:type="pct"/>
            <w:vAlign w:val="center"/>
          </w:tcPr>
          <w:p>
            <w:pPr>
              <w:pStyle w:val="30"/>
              <w:rPr>
                <w:color w:val="auto"/>
              </w:rPr>
            </w:pPr>
            <w:r>
              <w:rPr>
                <w:color w:val="auto"/>
              </w:rPr>
              <w:t>混料、破碎、挤出成型工段</w:t>
            </w:r>
          </w:p>
        </w:tc>
        <w:tc>
          <w:tcPr>
            <w:tcW w:w="1063" w:type="pct"/>
            <w:vAlign w:val="center"/>
          </w:tcPr>
          <w:p>
            <w:pPr>
              <w:pStyle w:val="30"/>
              <w:rPr>
                <w:color w:val="auto"/>
              </w:rPr>
            </w:pPr>
            <w:r>
              <w:rPr>
                <w:color w:val="auto"/>
              </w:rPr>
              <w:t>机械噪声</w:t>
            </w:r>
          </w:p>
        </w:tc>
        <w:tc>
          <w:tcPr>
            <w:tcW w:w="2519" w:type="pct"/>
            <w:vAlign w:val="center"/>
          </w:tcPr>
          <w:p>
            <w:pPr>
              <w:pStyle w:val="30"/>
              <w:rPr>
                <w:color w:val="auto"/>
              </w:rPr>
            </w:pPr>
            <w:r>
              <w:rPr>
                <w:color w:val="auto"/>
              </w:rPr>
              <w:t>基础减振、厂房隔声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restart"/>
            <w:vAlign w:val="center"/>
          </w:tcPr>
          <w:p>
            <w:pPr>
              <w:pStyle w:val="30"/>
              <w:rPr>
                <w:color w:val="auto"/>
              </w:rPr>
            </w:pPr>
            <w:r>
              <w:rPr>
                <w:color w:val="auto"/>
              </w:rPr>
              <w:t>固废</w:t>
            </w:r>
          </w:p>
        </w:tc>
        <w:tc>
          <w:tcPr>
            <w:tcW w:w="980" w:type="pct"/>
            <w:vAlign w:val="center"/>
          </w:tcPr>
          <w:p>
            <w:pPr>
              <w:pStyle w:val="30"/>
              <w:rPr>
                <w:color w:val="auto"/>
              </w:rPr>
            </w:pPr>
            <w:r>
              <w:rPr>
                <w:color w:val="auto"/>
              </w:rPr>
              <w:t>挤出成型和切割工序</w:t>
            </w:r>
          </w:p>
        </w:tc>
        <w:tc>
          <w:tcPr>
            <w:tcW w:w="1063" w:type="pct"/>
            <w:vAlign w:val="center"/>
          </w:tcPr>
          <w:p>
            <w:pPr>
              <w:pStyle w:val="30"/>
              <w:rPr>
                <w:color w:val="auto"/>
              </w:rPr>
            </w:pPr>
            <w:r>
              <w:rPr>
                <w:color w:val="auto"/>
              </w:rPr>
              <w:t>不合格品及边角料</w:t>
            </w:r>
          </w:p>
        </w:tc>
        <w:tc>
          <w:tcPr>
            <w:tcW w:w="2519" w:type="pct"/>
            <w:vAlign w:val="center"/>
          </w:tcPr>
          <w:p>
            <w:pPr>
              <w:pStyle w:val="30"/>
              <w:rPr>
                <w:color w:val="auto"/>
              </w:rPr>
            </w:pPr>
            <w:r>
              <w:rPr>
                <w:color w:val="auto"/>
              </w:rPr>
              <w:t>收集后经破碎后作为原料回用于生产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color w:val="auto"/>
              </w:rPr>
              <w:t>除尘</w:t>
            </w:r>
          </w:p>
        </w:tc>
        <w:tc>
          <w:tcPr>
            <w:tcW w:w="1063" w:type="pct"/>
            <w:vAlign w:val="center"/>
          </w:tcPr>
          <w:p>
            <w:pPr>
              <w:pStyle w:val="30"/>
              <w:rPr>
                <w:color w:val="auto"/>
              </w:rPr>
            </w:pPr>
            <w:r>
              <w:rPr>
                <w:color w:val="auto"/>
              </w:rPr>
              <w:t>粉尘</w:t>
            </w:r>
          </w:p>
        </w:tc>
        <w:tc>
          <w:tcPr>
            <w:tcW w:w="2519" w:type="pct"/>
            <w:vAlign w:val="center"/>
          </w:tcPr>
          <w:p>
            <w:pPr>
              <w:pStyle w:val="30"/>
              <w:rPr>
                <w:color w:val="auto"/>
              </w:rPr>
            </w:pPr>
            <w:r>
              <w:rPr>
                <w:color w:val="auto"/>
              </w:rPr>
              <w:t>作为原料回用于生产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rFonts w:hint="eastAsia"/>
                <w:color w:val="auto"/>
              </w:rPr>
              <w:t>有机废气处置工序</w:t>
            </w:r>
          </w:p>
        </w:tc>
        <w:tc>
          <w:tcPr>
            <w:tcW w:w="1063" w:type="pct"/>
            <w:vAlign w:val="center"/>
          </w:tcPr>
          <w:p>
            <w:pPr>
              <w:pStyle w:val="30"/>
              <w:rPr>
                <w:color w:val="auto"/>
              </w:rPr>
            </w:pPr>
            <w:r>
              <w:rPr>
                <w:color w:val="auto"/>
              </w:rPr>
              <w:t>废活性炭</w:t>
            </w:r>
          </w:p>
        </w:tc>
        <w:tc>
          <w:tcPr>
            <w:tcW w:w="2519" w:type="pct"/>
            <w:vAlign w:val="center"/>
          </w:tcPr>
          <w:p>
            <w:pPr>
              <w:pStyle w:val="30"/>
              <w:rPr>
                <w:color w:val="auto"/>
              </w:rPr>
            </w:pPr>
            <w:r>
              <w:rPr>
                <w:color w:val="auto"/>
              </w:rPr>
              <w:t>委托有资质的单位处置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rFonts w:hint="eastAsia"/>
                <w:color w:val="auto"/>
              </w:rPr>
              <w:t>原料包装</w:t>
            </w:r>
          </w:p>
        </w:tc>
        <w:tc>
          <w:tcPr>
            <w:tcW w:w="1063" w:type="pct"/>
            <w:vAlign w:val="center"/>
          </w:tcPr>
          <w:p>
            <w:pPr>
              <w:pStyle w:val="30"/>
              <w:rPr>
                <w:color w:val="auto"/>
              </w:rPr>
            </w:pPr>
            <w:r>
              <w:rPr>
                <w:rFonts w:hint="eastAsia"/>
                <w:color w:val="auto"/>
              </w:rPr>
              <w:t>废包装材料</w:t>
            </w:r>
          </w:p>
        </w:tc>
        <w:tc>
          <w:tcPr>
            <w:tcW w:w="2519" w:type="pct"/>
            <w:vAlign w:val="center"/>
          </w:tcPr>
          <w:p>
            <w:pPr>
              <w:pStyle w:val="30"/>
              <w:rPr>
                <w:color w:val="auto"/>
              </w:rPr>
            </w:pPr>
            <w:r>
              <w:rPr>
                <w:rFonts w:hint="eastAsia"/>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rFonts w:hint="eastAsia"/>
                <w:color w:val="auto"/>
              </w:rPr>
              <w:t>机器维修养护</w:t>
            </w:r>
          </w:p>
        </w:tc>
        <w:tc>
          <w:tcPr>
            <w:tcW w:w="1063" w:type="pct"/>
            <w:vAlign w:val="center"/>
          </w:tcPr>
          <w:p>
            <w:pPr>
              <w:pStyle w:val="30"/>
              <w:rPr>
                <w:color w:val="auto"/>
              </w:rPr>
            </w:pPr>
            <w:r>
              <w:rPr>
                <w:rFonts w:hint="eastAsia"/>
                <w:color w:val="auto"/>
              </w:rPr>
              <w:t>废机油</w:t>
            </w:r>
          </w:p>
        </w:tc>
        <w:tc>
          <w:tcPr>
            <w:tcW w:w="2519" w:type="pct"/>
            <w:vAlign w:val="center"/>
          </w:tcPr>
          <w:p>
            <w:pPr>
              <w:pStyle w:val="30"/>
              <w:rPr>
                <w:color w:val="auto"/>
              </w:rPr>
            </w:pPr>
            <w:r>
              <w:rPr>
                <w:rFonts w:hint="eastAsia"/>
                <w:color w:val="auto"/>
              </w:rPr>
              <w:t>交由有资质的单位处置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38" w:type="pct"/>
            <w:vMerge w:val="continue"/>
            <w:vAlign w:val="center"/>
          </w:tcPr>
          <w:p>
            <w:pPr>
              <w:pStyle w:val="30"/>
              <w:rPr>
                <w:color w:val="auto"/>
              </w:rPr>
            </w:pPr>
          </w:p>
        </w:tc>
        <w:tc>
          <w:tcPr>
            <w:tcW w:w="980" w:type="pct"/>
            <w:vAlign w:val="center"/>
          </w:tcPr>
          <w:p>
            <w:pPr>
              <w:pStyle w:val="30"/>
              <w:rPr>
                <w:color w:val="auto"/>
              </w:rPr>
            </w:pPr>
            <w:r>
              <w:rPr>
                <w:color w:val="auto"/>
              </w:rPr>
              <w:t>办公、生活</w:t>
            </w:r>
          </w:p>
        </w:tc>
        <w:tc>
          <w:tcPr>
            <w:tcW w:w="1063" w:type="pct"/>
            <w:vAlign w:val="center"/>
          </w:tcPr>
          <w:p>
            <w:pPr>
              <w:pStyle w:val="30"/>
              <w:rPr>
                <w:color w:val="auto"/>
              </w:rPr>
            </w:pPr>
            <w:r>
              <w:rPr>
                <w:color w:val="auto"/>
              </w:rPr>
              <w:t>生活垃圾</w:t>
            </w:r>
          </w:p>
        </w:tc>
        <w:tc>
          <w:tcPr>
            <w:tcW w:w="2519" w:type="pct"/>
            <w:vAlign w:val="center"/>
          </w:tcPr>
          <w:p>
            <w:pPr>
              <w:pStyle w:val="30"/>
              <w:rPr>
                <w:color w:val="auto"/>
              </w:rPr>
            </w:pPr>
            <w:r>
              <w:rPr>
                <w:color w:val="auto"/>
              </w:rPr>
              <w:t>统一收集后交由环卫部门统一清运</w:t>
            </w:r>
          </w:p>
        </w:tc>
      </w:tr>
    </w:tbl>
    <w:p>
      <w:pPr>
        <w:pStyle w:val="6"/>
        <w:rPr>
          <w:color w:val="auto"/>
        </w:rPr>
      </w:pPr>
      <w:bookmarkStart w:id="90" w:name="_Toc15244"/>
      <w:bookmarkStart w:id="91" w:name="_Toc24913"/>
      <w:bookmarkStart w:id="92" w:name="_Toc29852"/>
      <w:r>
        <w:rPr>
          <w:color w:val="auto"/>
        </w:rPr>
        <w:t>3.6项目平衡分析</w:t>
      </w:r>
      <w:bookmarkEnd w:id="90"/>
      <w:bookmarkEnd w:id="91"/>
      <w:bookmarkEnd w:id="92"/>
    </w:p>
    <w:p>
      <w:pPr>
        <w:pStyle w:val="7"/>
        <w:rPr>
          <w:color w:val="auto"/>
        </w:rPr>
      </w:pPr>
      <w:r>
        <w:rPr>
          <w:color w:val="auto"/>
        </w:rPr>
        <w:t>3.6.1 项目物料平衡</w:t>
      </w:r>
    </w:p>
    <w:p>
      <w:pPr>
        <w:ind w:firstLine="480"/>
        <w:rPr>
          <w:color w:val="auto"/>
        </w:rPr>
      </w:pPr>
      <w:r>
        <w:rPr>
          <w:color w:val="auto"/>
        </w:rPr>
        <w:t>本项目物料平衡情况如下。</w:t>
      </w:r>
    </w:p>
    <w:p>
      <w:pPr>
        <w:pStyle w:val="31"/>
        <w:rPr>
          <w:color w:val="auto"/>
        </w:rPr>
      </w:pPr>
    </w:p>
    <w:p>
      <w:pPr>
        <w:pStyle w:val="31"/>
        <w:rPr>
          <w:color w:val="auto"/>
        </w:rPr>
      </w:pPr>
    </w:p>
    <w:p>
      <w:pPr>
        <w:pStyle w:val="31"/>
        <w:jc w:val="both"/>
        <w:rPr>
          <w:color w:val="auto"/>
        </w:rPr>
      </w:pPr>
    </w:p>
    <w:p>
      <w:pPr>
        <w:pStyle w:val="31"/>
        <w:rPr>
          <w:color w:val="auto"/>
        </w:rPr>
      </w:pPr>
      <w:r>
        <w:rPr>
          <w:color w:val="auto"/>
        </w:rPr>
        <w:t>表3.6-1 项目物料平衡表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99"/>
        <w:gridCol w:w="2182"/>
        <w:gridCol w:w="2182"/>
        <w:gridCol w:w="20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512" w:type="pct"/>
            <w:gridSpan w:val="2"/>
            <w:vAlign w:val="center"/>
          </w:tcPr>
          <w:p>
            <w:pPr>
              <w:pStyle w:val="30"/>
              <w:rPr>
                <w:b/>
                <w:bCs/>
                <w:color w:val="auto"/>
                <w:highlight w:val="none"/>
              </w:rPr>
            </w:pPr>
            <w:r>
              <w:rPr>
                <w:b/>
                <w:bCs/>
                <w:color w:val="auto"/>
                <w:highlight w:val="none"/>
              </w:rPr>
              <w:t>入方</w:t>
            </w:r>
          </w:p>
        </w:tc>
        <w:tc>
          <w:tcPr>
            <w:tcW w:w="2488" w:type="pct"/>
            <w:gridSpan w:val="2"/>
            <w:vAlign w:val="center"/>
          </w:tcPr>
          <w:p>
            <w:pPr>
              <w:pStyle w:val="30"/>
              <w:rPr>
                <w:b/>
                <w:bCs/>
                <w:color w:val="auto"/>
                <w:highlight w:val="none"/>
              </w:rPr>
            </w:pPr>
            <w:r>
              <w:rPr>
                <w:b/>
                <w:bCs/>
                <w:color w:val="auto"/>
                <w:highlight w:val="none"/>
              </w:rPr>
              <w:t>出方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32" w:type="pct"/>
            <w:vAlign w:val="center"/>
          </w:tcPr>
          <w:p>
            <w:pPr>
              <w:pStyle w:val="30"/>
              <w:rPr>
                <w:color w:val="auto"/>
                <w:highlight w:val="none"/>
              </w:rPr>
            </w:pPr>
            <w:r>
              <w:rPr>
                <w:color w:val="auto"/>
                <w:highlight w:val="none"/>
              </w:rPr>
              <w:t>物料名称</w:t>
            </w:r>
          </w:p>
        </w:tc>
        <w:tc>
          <w:tcPr>
            <w:tcW w:w="1280" w:type="pct"/>
            <w:vAlign w:val="center"/>
          </w:tcPr>
          <w:p>
            <w:pPr>
              <w:pStyle w:val="30"/>
              <w:rPr>
                <w:color w:val="auto"/>
                <w:highlight w:val="none"/>
              </w:rPr>
            </w:pPr>
            <w:r>
              <w:rPr>
                <w:color w:val="auto"/>
                <w:highlight w:val="none"/>
              </w:rPr>
              <w:t>数量（t/a）</w:t>
            </w:r>
          </w:p>
        </w:tc>
        <w:tc>
          <w:tcPr>
            <w:tcW w:w="1280" w:type="pct"/>
            <w:vAlign w:val="center"/>
          </w:tcPr>
          <w:p>
            <w:pPr>
              <w:pStyle w:val="30"/>
              <w:rPr>
                <w:color w:val="auto"/>
                <w:highlight w:val="none"/>
              </w:rPr>
            </w:pPr>
            <w:r>
              <w:rPr>
                <w:color w:val="auto"/>
                <w:highlight w:val="none"/>
              </w:rPr>
              <w:t>物料名称</w:t>
            </w:r>
          </w:p>
        </w:tc>
        <w:tc>
          <w:tcPr>
            <w:tcW w:w="1208" w:type="pct"/>
            <w:vAlign w:val="center"/>
          </w:tcPr>
          <w:p>
            <w:pPr>
              <w:pStyle w:val="30"/>
              <w:rPr>
                <w:color w:val="auto"/>
                <w:highlight w:val="none"/>
              </w:rPr>
            </w:pPr>
            <w:r>
              <w:rPr>
                <w:color w:val="auto"/>
                <w:highlight w:val="none"/>
              </w:rPr>
              <w:t>数量（t/a）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000" w:type="pct"/>
            <w:gridSpan w:val="4"/>
            <w:vAlign w:val="center"/>
          </w:tcPr>
          <w:p>
            <w:pPr>
              <w:pStyle w:val="30"/>
              <w:rPr>
                <w:color w:val="auto"/>
                <w:highlight w:val="none"/>
              </w:rPr>
            </w:pPr>
            <w:r>
              <w:rPr>
                <w:rFonts w:hint="eastAsia"/>
                <w:color w:val="auto"/>
                <w:highlight w:val="none"/>
              </w:rPr>
              <w:t>PE管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32" w:type="pct"/>
            <w:vAlign w:val="center"/>
          </w:tcPr>
          <w:p>
            <w:pPr>
              <w:pStyle w:val="30"/>
              <w:rPr>
                <w:color w:val="auto"/>
                <w:highlight w:val="none"/>
              </w:rPr>
            </w:pPr>
            <w:r>
              <w:rPr>
                <w:rFonts w:hint="eastAsia"/>
                <w:color w:val="auto"/>
                <w:highlight w:val="none"/>
              </w:rPr>
              <w:t>再生塑料颗粒</w:t>
            </w:r>
          </w:p>
        </w:tc>
        <w:tc>
          <w:tcPr>
            <w:tcW w:w="1280" w:type="pct"/>
            <w:vAlign w:val="center"/>
          </w:tcPr>
          <w:p>
            <w:pPr>
              <w:pStyle w:val="30"/>
              <w:rPr>
                <w:rFonts w:hint="default" w:eastAsia="宋体"/>
                <w:color w:val="auto"/>
                <w:highlight w:val="none"/>
                <w:lang w:val="en-US" w:eastAsia="zh-CN"/>
              </w:rPr>
            </w:pPr>
            <w:r>
              <w:rPr>
                <w:rFonts w:hint="eastAsia"/>
                <w:color w:val="auto"/>
                <w:highlight w:val="none"/>
                <w:lang w:val="en-US" w:eastAsia="zh-CN"/>
              </w:rPr>
              <w:t>28211.9925</w:t>
            </w:r>
          </w:p>
        </w:tc>
        <w:tc>
          <w:tcPr>
            <w:tcW w:w="1280" w:type="pct"/>
            <w:vAlign w:val="center"/>
          </w:tcPr>
          <w:p>
            <w:pPr>
              <w:pStyle w:val="30"/>
              <w:rPr>
                <w:color w:val="auto"/>
                <w:highlight w:val="none"/>
              </w:rPr>
            </w:pPr>
            <w:r>
              <w:rPr>
                <w:rFonts w:hint="eastAsia"/>
                <w:color w:val="auto"/>
                <w:highlight w:val="none"/>
              </w:rPr>
              <w:t>产生</w:t>
            </w:r>
            <w:r>
              <w:rPr>
                <w:color w:val="auto"/>
                <w:highlight w:val="none"/>
              </w:rPr>
              <w:t>的</w:t>
            </w:r>
            <w:r>
              <w:rPr>
                <w:rFonts w:hint="eastAsia"/>
                <w:color w:val="auto"/>
                <w:highlight w:val="none"/>
              </w:rPr>
              <w:t>非甲烷总烃</w:t>
            </w:r>
          </w:p>
        </w:tc>
        <w:tc>
          <w:tcPr>
            <w:tcW w:w="1208" w:type="pct"/>
            <w:vAlign w:val="center"/>
          </w:tcPr>
          <w:p>
            <w:pPr>
              <w:pStyle w:val="30"/>
              <w:rPr>
                <w:rFonts w:hint="default" w:eastAsia="宋体"/>
                <w:color w:val="auto"/>
                <w:highlight w:val="none"/>
                <w:lang w:val="en-US" w:eastAsia="zh-CN"/>
              </w:rPr>
            </w:pPr>
            <w:r>
              <w:rPr>
                <w:rFonts w:hint="eastAsia"/>
                <w:color w:val="auto"/>
                <w:highlight w:val="none"/>
                <w:lang w:val="en-US" w:eastAsia="zh-CN"/>
              </w:rPr>
              <w:t>11.88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1232" w:type="pct"/>
            <w:vAlign w:val="center"/>
          </w:tcPr>
          <w:p>
            <w:pPr>
              <w:pStyle w:val="30"/>
              <w:rPr>
                <w:color w:val="auto"/>
                <w:highlight w:val="none"/>
              </w:rPr>
            </w:pPr>
            <w:r>
              <w:rPr>
                <w:color w:val="auto"/>
                <w:highlight w:val="none"/>
              </w:rPr>
              <w:t>色母</w:t>
            </w:r>
            <w:r>
              <w:rPr>
                <w:rFonts w:hint="eastAsia"/>
                <w:color w:val="auto"/>
                <w:highlight w:val="none"/>
              </w:rPr>
              <w:t>粒</w:t>
            </w:r>
          </w:p>
        </w:tc>
        <w:tc>
          <w:tcPr>
            <w:tcW w:w="1280" w:type="pct"/>
            <w:vAlign w:val="center"/>
          </w:tcPr>
          <w:p>
            <w:pPr>
              <w:pStyle w:val="30"/>
              <w:rPr>
                <w:rFonts w:hint="default" w:eastAsia="宋体"/>
                <w:color w:val="auto"/>
                <w:highlight w:val="none"/>
                <w:lang w:val="en-US" w:eastAsia="zh-CN"/>
              </w:rPr>
            </w:pPr>
            <w:r>
              <w:rPr>
                <w:rFonts w:hint="eastAsia"/>
                <w:color w:val="auto"/>
                <w:highlight w:val="none"/>
                <w:lang w:val="en-US" w:eastAsia="zh-CN"/>
              </w:rPr>
              <w:t>900</w:t>
            </w:r>
          </w:p>
        </w:tc>
        <w:tc>
          <w:tcPr>
            <w:tcW w:w="1280" w:type="pct"/>
            <w:vAlign w:val="center"/>
          </w:tcPr>
          <w:p>
            <w:pPr>
              <w:pStyle w:val="30"/>
              <w:rPr>
                <w:color w:val="auto"/>
                <w:highlight w:val="none"/>
              </w:rPr>
            </w:pPr>
            <w:r>
              <w:rPr>
                <w:rFonts w:hint="eastAsia"/>
                <w:color w:val="auto"/>
                <w:highlight w:val="none"/>
                <w:lang w:val="en-US" w:eastAsia="zh-CN"/>
              </w:rPr>
              <w:t>产生</w:t>
            </w:r>
            <w:r>
              <w:rPr>
                <w:rFonts w:hint="eastAsia"/>
                <w:color w:val="auto"/>
                <w:highlight w:val="none"/>
              </w:rPr>
              <w:t>的颗粒物</w:t>
            </w:r>
          </w:p>
        </w:tc>
        <w:tc>
          <w:tcPr>
            <w:tcW w:w="1208" w:type="pct"/>
            <w:vAlign w:val="center"/>
          </w:tcPr>
          <w:p>
            <w:pPr>
              <w:pStyle w:val="30"/>
              <w:rPr>
                <w:rFonts w:hint="default" w:eastAsia="宋体"/>
                <w:color w:val="auto"/>
                <w:highlight w:val="none"/>
                <w:lang w:val="en-US" w:eastAsia="zh-CN"/>
              </w:rPr>
            </w:pPr>
            <w:r>
              <w:rPr>
                <w:rFonts w:hint="eastAsia"/>
                <w:color w:val="auto"/>
                <w:highlight w:val="none"/>
                <w:lang w:val="en-US" w:eastAsia="zh-CN"/>
              </w:rPr>
              <w:t>0.1125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32" w:type="pct"/>
            <w:vAlign w:val="center"/>
          </w:tcPr>
          <w:p>
            <w:pPr>
              <w:pStyle w:val="30"/>
              <w:rPr>
                <w:color w:val="auto"/>
                <w:highlight w:val="none"/>
              </w:rPr>
            </w:pPr>
            <w:r>
              <w:rPr>
                <w:color w:val="auto"/>
                <w:highlight w:val="none"/>
              </w:rPr>
              <w:t>消泡</w:t>
            </w:r>
            <w:r>
              <w:rPr>
                <w:rFonts w:hint="eastAsia"/>
                <w:color w:val="auto"/>
                <w:highlight w:val="none"/>
              </w:rPr>
              <w:t>剂</w:t>
            </w:r>
          </w:p>
        </w:tc>
        <w:tc>
          <w:tcPr>
            <w:tcW w:w="1280" w:type="pct"/>
            <w:vAlign w:val="center"/>
          </w:tcPr>
          <w:p>
            <w:pPr>
              <w:pStyle w:val="30"/>
              <w:rPr>
                <w:rFonts w:hint="default" w:eastAsia="宋体"/>
                <w:color w:val="auto"/>
                <w:highlight w:val="none"/>
                <w:lang w:val="en-US" w:eastAsia="zh-CN"/>
              </w:rPr>
            </w:pPr>
            <w:r>
              <w:rPr>
                <w:rFonts w:hint="eastAsia"/>
                <w:color w:val="auto"/>
                <w:highlight w:val="none"/>
                <w:lang w:val="en-US" w:eastAsia="zh-CN"/>
              </w:rPr>
              <w:t>900</w:t>
            </w:r>
          </w:p>
        </w:tc>
        <w:tc>
          <w:tcPr>
            <w:tcW w:w="1280" w:type="pct"/>
            <w:vAlign w:val="center"/>
          </w:tcPr>
          <w:p>
            <w:pPr>
              <w:pStyle w:val="30"/>
              <w:rPr>
                <w:color w:val="auto"/>
                <w:highlight w:val="none"/>
              </w:rPr>
            </w:pPr>
            <w:r>
              <w:rPr>
                <w:rFonts w:hint="eastAsia"/>
                <w:color w:val="auto"/>
                <w:highlight w:val="none"/>
              </w:rPr>
              <w:t>产品</w:t>
            </w:r>
          </w:p>
        </w:tc>
        <w:tc>
          <w:tcPr>
            <w:tcW w:w="1208" w:type="pct"/>
            <w:vAlign w:val="center"/>
          </w:tcPr>
          <w:p>
            <w:pPr>
              <w:pStyle w:val="30"/>
              <w:rPr>
                <w:rFonts w:hint="default" w:eastAsia="宋体"/>
                <w:color w:val="auto"/>
                <w:highlight w:val="none"/>
                <w:lang w:val="en-US" w:eastAsia="zh-CN"/>
              </w:rPr>
            </w:pPr>
            <w:r>
              <w:rPr>
                <w:rFonts w:hint="eastAsia"/>
                <w:color w:val="auto"/>
                <w:highlight w:val="none"/>
                <w:lang w:val="en-US" w:eastAsia="zh-CN"/>
              </w:rPr>
              <w:t>30000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232" w:type="pct"/>
            <w:vAlign w:val="center"/>
          </w:tcPr>
          <w:p>
            <w:pPr>
              <w:pStyle w:val="30"/>
              <w:rPr>
                <w:color w:val="auto"/>
                <w:highlight w:val="none"/>
              </w:rPr>
            </w:pPr>
            <w:r>
              <w:rPr>
                <w:rFonts w:hint="eastAsia"/>
                <w:color w:val="auto"/>
                <w:highlight w:val="none"/>
              </w:rPr>
              <w:t>总计</w:t>
            </w:r>
          </w:p>
        </w:tc>
        <w:tc>
          <w:tcPr>
            <w:tcW w:w="1280" w:type="pct"/>
            <w:vAlign w:val="center"/>
          </w:tcPr>
          <w:p>
            <w:pPr>
              <w:pStyle w:val="30"/>
              <w:rPr>
                <w:rFonts w:hint="default"/>
                <w:color w:val="auto"/>
                <w:highlight w:val="none"/>
                <w:lang w:val="en-US"/>
              </w:rPr>
            </w:pPr>
            <w:r>
              <w:rPr>
                <w:rFonts w:hint="eastAsia"/>
                <w:color w:val="auto"/>
                <w:highlight w:val="none"/>
                <w:lang w:val="en-US" w:eastAsia="zh-CN"/>
              </w:rPr>
              <w:t>30011.9925</w:t>
            </w:r>
          </w:p>
        </w:tc>
        <w:tc>
          <w:tcPr>
            <w:tcW w:w="1280" w:type="pct"/>
            <w:vAlign w:val="center"/>
          </w:tcPr>
          <w:p>
            <w:pPr>
              <w:pStyle w:val="30"/>
              <w:rPr>
                <w:color w:val="auto"/>
                <w:highlight w:val="none"/>
              </w:rPr>
            </w:pPr>
            <w:r>
              <w:rPr>
                <w:rFonts w:hint="eastAsia"/>
                <w:color w:val="auto"/>
                <w:highlight w:val="none"/>
              </w:rPr>
              <w:t>总计</w:t>
            </w:r>
          </w:p>
        </w:tc>
        <w:tc>
          <w:tcPr>
            <w:tcW w:w="1208" w:type="pct"/>
            <w:vAlign w:val="center"/>
          </w:tcPr>
          <w:p>
            <w:pPr>
              <w:pStyle w:val="30"/>
              <w:rPr>
                <w:rFonts w:hint="default" w:eastAsia="宋体"/>
                <w:color w:val="auto"/>
                <w:highlight w:val="none"/>
                <w:lang w:val="en-US" w:eastAsia="zh-CN"/>
              </w:rPr>
            </w:pPr>
            <w:r>
              <w:rPr>
                <w:rFonts w:hint="eastAsia"/>
                <w:color w:val="auto"/>
                <w:highlight w:val="none"/>
                <w:lang w:val="en-US" w:eastAsia="zh-CN"/>
              </w:rPr>
              <w:t>30011.9925</w:t>
            </w:r>
          </w:p>
        </w:tc>
      </w:tr>
    </w:tbl>
    <w:p>
      <w:pPr>
        <w:pStyle w:val="7"/>
        <w:rPr>
          <w:color w:val="auto"/>
        </w:rPr>
      </w:pPr>
      <w:r>
        <w:rPr>
          <w:color w:val="auto"/>
        </w:rPr>
        <w:t>3.6.2 项目水平衡</w:t>
      </w:r>
    </w:p>
    <w:p>
      <w:pPr>
        <w:ind w:firstLine="482"/>
        <w:rPr>
          <w:b/>
          <w:bCs/>
          <w:color w:val="auto"/>
        </w:rPr>
      </w:pPr>
      <w:bookmarkStart w:id="93" w:name="_Hlk130670190"/>
      <w:r>
        <w:rPr>
          <w:b/>
          <w:bCs/>
          <w:color w:val="auto"/>
        </w:rPr>
        <w:t>（1）生活用水</w:t>
      </w:r>
    </w:p>
    <w:p>
      <w:pPr>
        <w:ind w:firstLine="480"/>
        <w:rPr>
          <w:color w:val="auto"/>
        </w:rPr>
      </w:pPr>
      <w:r>
        <w:rPr>
          <w:rFonts w:hint="eastAsia"/>
          <w:color w:val="auto"/>
        </w:rPr>
        <w:t>本项目职工30人，厂区内不提供食宿，年工作</w:t>
      </w:r>
      <w:r>
        <w:rPr>
          <w:rFonts w:hint="eastAsia"/>
          <w:color w:val="auto"/>
          <w:lang w:val="en-US" w:eastAsia="zh-CN"/>
        </w:rPr>
        <w:t>300</w:t>
      </w:r>
      <w:r>
        <w:rPr>
          <w:rFonts w:hint="eastAsia"/>
          <w:color w:val="auto"/>
        </w:rPr>
        <w:t>天，根据《湖南省用水定额》（</w:t>
      </w:r>
      <w:r>
        <w:rPr>
          <w:color w:val="auto"/>
        </w:rPr>
        <w:t>DB43/T388-2020</w:t>
      </w:r>
      <w:r>
        <w:rPr>
          <w:rFonts w:hint="eastAsia"/>
          <w:color w:val="auto"/>
        </w:rPr>
        <w:t>），并结合实际情况，生活用水量按照 50</w:t>
      </w:r>
      <w:r>
        <w:rPr>
          <w:color w:val="auto"/>
        </w:rPr>
        <w:t>L/</w:t>
      </w:r>
      <w:r>
        <w:rPr>
          <w:rFonts w:hint="eastAsia"/>
          <w:color w:val="auto"/>
        </w:rPr>
        <w:t>人</w:t>
      </w:r>
      <w:r>
        <w:rPr>
          <w:color w:val="auto"/>
        </w:rPr>
        <w:t xml:space="preserve">•d </w:t>
      </w:r>
      <w:r>
        <w:rPr>
          <w:rFonts w:hint="eastAsia"/>
          <w:color w:val="auto"/>
        </w:rPr>
        <w:t>计算，则生活用水量为1.5 m</w:t>
      </w:r>
      <w:r>
        <w:rPr>
          <w:rFonts w:hint="eastAsia"/>
          <w:color w:val="auto"/>
          <w:vertAlign w:val="superscript"/>
        </w:rPr>
        <w:t>3</w:t>
      </w:r>
      <w:r>
        <w:rPr>
          <w:rFonts w:hint="eastAsia"/>
          <w:color w:val="auto"/>
        </w:rPr>
        <w:t>/d（420 m</w:t>
      </w:r>
      <w:r>
        <w:rPr>
          <w:rFonts w:hint="eastAsia"/>
          <w:color w:val="auto"/>
          <w:vertAlign w:val="superscript"/>
        </w:rPr>
        <w:t>3</w:t>
      </w:r>
      <w:r>
        <w:rPr>
          <w:rFonts w:hint="eastAsia"/>
          <w:color w:val="auto"/>
        </w:rPr>
        <w:t>/a），根据《</w:t>
      </w:r>
      <w:r>
        <w:rPr>
          <w:rFonts w:hint="eastAsia"/>
          <w:color w:val="auto"/>
          <w:lang w:eastAsia="zh-CN"/>
        </w:rPr>
        <w:t>排放源统计调查产排污核算方法和系数手册</w:t>
      </w:r>
      <w:r>
        <w:rPr>
          <w:rFonts w:hint="eastAsia"/>
          <w:color w:val="auto"/>
        </w:rPr>
        <w:t xml:space="preserve">》，生活污水排放系数以用水量的 </w:t>
      </w:r>
      <w:r>
        <w:rPr>
          <w:color w:val="auto"/>
        </w:rPr>
        <w:t>80%</w:t>
      </w:r>
      <w:r>
        <w:rPr>
          <w:rFonts w:hint="eastAsia"/>
          <w:color w:val="auto"/>
        </w:rPr>
        <w:t>计，则生活污水排水量为1.2 m</w:t>
      </w:r>
      <w:r>
        <w:rPr>
          <w:rFonts w:hint="eastAsia"/>
          <w:color w:val="auto"/>
          <w:vertAlign w:val="superscript"/>
        </w:rPr>
        <w:t>3</w:t>
      </w:r>
      <w:r>
        <w:rPr>
          <w:rFonts w:hint="eastAsia"/>
          <w:color w:val="auto"/>
        </w:rPr>
        <w:t>/d（336 m</w:t>
      </w:r>
      <w:r>
        <w:rPr>
          <w:rFonts w:hint="eastAsia"/>
          <w:color w:val="auto"/>
          <w:vertAlign w:val="superscript"/>
        </w:rPr>
        <w:t>3</w:t>
      </w:r>
      <w:r>
        <w:rPr>
          <w:rFonts w:hint="eastAsia"/>
          <w:color w:val="auto"/>
        </w:rPr>
        <w:t>/a）。</w:t>
      </w:r>
    </w:p>
    <w:p>
      <w:pPr>
        <w:ind w:firstLine="482"/>
        <w:rPr>
          <w:b/>
          <w:bCs/>
          <w:color w:val="auto"/>
        </w:rPr>
      </w:pPr>
      <w:r>
        <w:rPr>
          <w:b/>
          <w:bCs/>
          <w:color w:val="auto"/>
        </w:rPr>
        <w:t>（2）冷却用水</w:t>
      </w:r>
    </w:p>
    <w:p>
      <w:pPr>
        <w:ind w:firstLine="480"/>
        <w:rPr>
          <w:color w:val="auto"/>
        </w:rPr>
      </w:pPr>
      <w:r>
        <w:rPr>
          <w:color w:val="auto"/>
        </w:rPr>
        <w:t>项目生产过程中需要用水进行冷却定型，冷却水对水质要求不高，进循环池后循环使用，不外排。</w:t>
      </w:r>
    </w:p>
    <w:p>
      <w:pPr>
        <w:ind w:firstLine="480"/>
        <w:rPr>
          <w:color w:val="auto"/>
        </w:rPr>
      </w:pPr>
      <w:r>
        <w:rPr>
          <w:color w:val="auto"/>
        </w:rPr>
        <w:t>水循环冷却会因为水汽的蒸发损失水量，本项目有一个循环水池，循环水</w:t>
      </w:r>
      <w:r>
        <w:rPr>
          <w:rFonts w:hint="eastAsia"/>
          <w:color w:val="auto"/>
          <w:lang w:val="en-US" w:eastAsia="zh-CN"/>
        </w:rPr>
        <w:t>池容量</w:t>
      </w:r>
      <w:r>
        <w:rPr>
          <w:color w:val="auto"/>
        </w:rPr>
        <w:t>约为</w:t>
      </w:r>
      <w:r>
        <w:rPr>
          <w:rFonts w:hint="eastAsia"/>
          <w:color w:val="auto"/>
          <w:lang w:val="en-US" w:eastAsia="zh-CN"/>
        </w:rPr>
        <w:t>128m</w:t>
      </w:r>
      <w:r>
        <w:rPr>
          <w:rFonts w:hint="eastAsia"/>
          <w:color w:val="auto"/>
          <w:vertAlign w:val="superscript"/>
        </w:rPr>
        <w:t>3</w:t>
      </w:r>
      <w:r>
        <w:rPr>
          <w:color w:val="auto"/>
        </w:rPr>
        <w:t>/d，</w:t>
      </w:r>
      <w:r>
        <w:rPr>
          <w:rFonts w:hint="eastAsia"/>
          <w:color w:val="auto"/>
          <w:lang w:val="en-US" w:eastAsia="zh-CN"/>
        </w:rPr>
        <w:t>根据建设单位提供的资料</w:t>
      </w:r>
      <w:r>
        <w:rPr>
          <w:color w:val="auto"/>
        </w:rPr>
        <w:t>，本项目循环水蒸发损失量约为</w:t>
      </w:r>
      <w:r>
        <w:rPr>
          <w:rFonts w:hint="eastAsia"/>
          <w:color w:val="auto"/>
          <w:lang w:val="en-US" w:eastAsia="zh-CN"/>
        </w:rPr>
        <w:t>1.6</w:t>
      </w:r>
      <w:r>
        <w:rPr>
          <w:rFonts w:hint="eastAsia"/>
          <w:color w:val="auto"/>
        </w:rPr>
        <w:t>m</w:t>
      </w:r>
      <w:r>
        <w:rPr>
          <w:rFonts w:hint="eastAsia"/>
          <w:color w:val="auto"/>
          <w:vertAlign w:val="superscript"/>
        </w:rPr>
        <w:t>3</w:t>
      </w:r>
      <w:r>
        <w:rPr>
          <w:color w:val="auto"/>
        </w:rPr>
        <w:t>/d，</w:t>
      </w:r>
      <w:r>
        <w:rPr>
          <w:rFonts w:hint="eastAsia"/>
          <w:color w:val="auto"/>
          <w:lang w:val="en-US" w:eastAsia="zh-CN"/>
        </w:rPr>
        <w:t>504</w:t>
      </w:r>
      <w:r>
        <w:rPr>
          <w:rFonts w:hint="eastAsia"/>
          <w:color w:val="auto"/>
        </w:rPr>
        <w:t>m</w:t>
      </w:r>
      <w:r>
        <w:rPr>
          <w:rFonts w:hint="eastAsia"/>
          <w:color w:val="auto"/>
          <w:vertAlign w:val="superscript"/>
        </w:rPr>
        <w:t>3</w:t>
      </w:r>
      <w:r>
        <w:rPr>
          <w:color w:val="auto"/>
        </w:rPr>
        <w:t>/a，补充水量为</w:t>
      </w:r>
      <w:r>
        <w:rPr>
          <w:rFonts w:hint="eastAsia"/>
          <w:color w:val="auto"/>
          <w:lang w:val="en-US" w:eastAsia="zh-CN"/>
        </w:rPr>
        <w:t>504</w:t>
      </w:r>
      <w:r>
        <w:rPr>
          <w:rFonts w:hint="eastAsia"/>
          <w:color w:val="auto"/>
        </w:rPr>
        <w:t>m</w:t>
      </w:r>
      <w:r>
        <w:rPr>
          <w:rFonts w:hint="eastAsia"/>
          <w:color w:val="auto"/>
          <w:vertAlign w:val="superscript"/>
        </w:rPr>
        <w:t>3</w:t>
      </w:r>
      <w:r>
        <w:rPr>
          <w:color w:val="auto"/>
        </w:rPr>
        <w:t>/a。</w:t>
      </w:r>
    </w:p>
    <w:bookmarkEnd w:id="93"/>
    <w:p>
      <w:pPr>
        <w:ind w:firstLine="480"/>
        <w:rPr>
          <w:color w:val="auto"/>
        </w:rPr>
      </w:pPr>
      <w:r>
        <w:rPr>
          <w:color w:val="auto"/>
        </w:rPr>
        <w:t>水平衡情况见下图：</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269865" cy="2329180"/>
            <wp:effectExtent l="0" t="0" r="0" b="0"/>
            <wp:docPr id="8" name="ECB019B1-382A-4266-B25C-5B523AA43C14-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1" descr="wps"/>
                    <pic:cNvPicPr>
                      <a:picLocks noChangeAspect="1"/>
                    </pic:cNvPicPr>
                  </pic:nvPicPr>
                  <pic:blipFill>
                    <a:blip r:embed="rId33"/>
                    <a:stretch>
                      <a:fillRect/>
                    </a:stretch>
                  </pic:blipFill>
                  <pic:spPr>
                    <a:xfrm>
                      <a:off x="0" y="0"/>
                      <a:ext cx="5269865" cy="2329180"/>
                    </a:xfrm>
                    <a:prstGeom prst="rect">
                      <a:avLst/>
                    </a:prstGeom>
                  </pic:spPr>
                </pic:pic>
              </a:graphicData>
            </a:graphic>
          </wp:inline>
        </w:drawing>
      </w:r>
    </w:p>
    <w:p>
      <w:pPr>
        <w:pStyle w:val="31"/>
        <w:rPr>
          <w:color w:val="auto"/>
        </w:rPr>
      </w:pPr>
      <w:r>
        <w:rPr>
          <w:color w:val="auto"/>
        </w:rPr>
        <w:t>图3.6-1  项目水平衡图（单位：m³/</w:t>
      </w:r>
      <w:r>
        <w:rPr>
          <w:rFonts w:hint="eastAsia"/>
          <w:color w:val="auto"/>
        </w:rPr>
        <w:t>a</w:t>
      </w:r>
      <w:r>
        <w:rPr>
          <w:color w:val="auto"/>
        </w:rPr>
        <w:t>）</w:t>
      </w:r>
    </w:p>
    <w:p>
      <w:pPr>
        <w:pStyle w:val="6"/>
        <w:rPr>
          <w:color w:val="auto"/>
        </w:rPr>
      </w:pPr>
      <w:bookmarkStart w:id="94" w:name="_Toc4712"/>
      <w:bookmarkStart w:id="95" w:name="_Toc17282"/>
      <w:bookmarkStart w:id="96" w:name="_Toc10437"/>
      <w:r>
        <w:rPr>
          <w:color w:val="auto"/>
        </w:rPr>
        <w:t>3.7污染源强核算</w:t>
      </w:r>
      <w:bookmarkEnd w:id="94"/>
      <w:bookmarkEnd w:id="95"/>
      <w:bookmarkEnd w:id="96"/>
    </w:p>
    <w:p>
      <w:pPr>
        <w:pStyle w:val="7"/>
        <w:rPr>
          <w:color w:val="auto"/>
        </w:rPr>
      </w:pPr>
      <w:r>
        <w:rPr>
          <w:color w:val="auto"/>
        </w:rPr>
        <w:t>3.7.1废气污染源</w:t>
      </w:r>
    </w:p>
    <w:p>
      <w:pPr>
        <w:ind w:firstLine="480"/>
        <w:rPr>
          <w:color w:val="auto"/>
        </w:rPr>
      </w:pPr>
      <w:r>
        <w:rPr>
          <w:color w:val="auto"/>
        </w:rPr>
        <w:t>本项目生产过程中主要废气为破碎工段产生的粉尘和</w:t>
      </w:r>
      <w:r>
        <w:rPr>
          <w:rFonts w:hint="eastAsia"/>
          <w:color w:val="auto"/>
        </w:rPr>
        <w:t>熔融</w:t>
      </w:r>
      <w:r>
        <w:rPr>
          <w:color w:val="auto"/>
        </w:rPr>
        <w:t>挤出工段产生的非甲烷总烃。</w:t>
      </w:r>
    </w:p>
    <w:p>
      <w:pPr>
        <w:ind w:firstLine="482"/>
        <w:rPr>
          <w:b/>
          <w:bCs/>
          <w:color w:val="auto"/>
        </w:rPr>
      </w:pPr>
      <w:r>
        <w:rPr>
          <w:b/>
          <w:bCs/>
          <w:color w:val="auto"/>
        </w:rPr>
        <w:t>1、破碎</w:t>
      </w:r>
      <w:r>
        <w:rPr>
          <w:rFonts w:hint="eastAsia"/>
          <w:b/>
          <w:bCs/>
          <w:color w:val="auto"/>
        </w:rPr>
        <w:t>粉尘</w:t>
      </w:r>
    </w:p>
    <w:p>
      <w:pPr>
        <w:ind w:firstLine="480"/>
        <w:rPr>
          <w:color w:val="auto"/>
        </w:rPr>
      </w:pPr>
      <w:r>
        <w:rPr>
          <w:color w:val="auto"/>
        </w:rPr>
        <w:t>根据《</w:t>
      </w:r>
      <w:r>
        <w:rPr>
          <w:rFonts w:hint="eastAsia"/>
          <w:color w:val="auto"/>
          <w:lang w:eastAsia="zh-CN"/>
        </w:rPr>
        <w:t>排放源统计调查产排污核算方法和系数手册</w:t>
      </w:r>
      <w:r>
        <w:rPr>
          <w:color w:val="auto"/>
        </w:rPr>
        <w:t>》中292</w:t>
      </w:r>
      <w:r>
        <w:rPr>
          <w:bCs/>
          <w:color w:val="auto"/>
        </w:rPr>
        <w:t>塑料制品行业系数手册及4220非金属废料和碎屑加工处理行业系数手册，本项目破碎的产污系数如下：</w:t>
      </w:r>
    </w:p>
    <w:p>
      <w:pPr>
        <w:pStyle w:val="31"/>
        <w:rPr>
          <w:color w:val="auto"/>
        </w:rPr>
      </w:pPr>
      <w:r>
        <w:rPr>
          <w:color w:val="auto"/>
        </w:rPr>
        <w:t>表3.7-</w:t>
      </w:r>
      <w:r>
        <w:rPr>
          <w:rFonts w:hint="eastAsia"/>
          <w:color w:val="auto"/>
        </w:rPr>
        <w:t>1</w:t>
      </w:r>
      <w:r>
        <w:rPr>
          <w:color w:val="auto"/>
        </w:rPr>
        <w:t xml:space="preserve"> </w:t>
      </w:r>
      <w:r>
        <w:rPr>
          <w:rFonts w:hint="eastAsia"/>
          <w:color w:val="auto"/>
        </w:rPr>
        <w:t xml:space="preserve"> </w:t>
      </w:r>
      <w:r>
        <w:rPr>
          <w:color w:val="auto"/>
        </w:rPr>
        <w:t>非金属废料和碎屑加工处理行业产排污系数一览表</w:t>
      </w:r>
    </w:p>
    <w:tbl>
      <w:tblPr>
        <w:tblStyle w:val="2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3"/>
        <w:gridCol w:w="1226"/>
        <w:gridCol w:w="907"/>
        <w:gridCol w:w="907"/>
        <w:gridCol w:w="667"/>
        <w:gridCol w:w="705"/>
        <w:gridCol w:w="942"/>
        <w:gridCol w:w="803"/>
        <w:gridCol w:w="803"/>
        <w:gridCol w:w="8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399" w:type="pct"/>
            <w:vAlign w:val="center"/>
          </w:tcPr>
          <w:p>
            <w:pPr>
              <w:pStyle w:val="30"/>
              <w:rPr>
                <w:b/>
                <w:bCs/>
                <w:color w:val="auto"/>
              </w:rPr>
            </w:pPr>
            <w:r>
              <w:rPr>
                <w:b/>
                <w:bCs/>
                <w:color w:val="auto"/>
              </w:rPr>
              <w:t>原料名称</w:t>
            </w:r>
          </w:p>
        </w:tc>
        <w:tc>
          <w:tcPr>
            <w:tcW w:w="724" w:type="pct"/>
            <w:vAlign w:val="center"/>
          </w:tcPr>
          <w:p>
            <w:pPr>
              <w:pStyle w:val="30"/>
              <w:rPr>
                <w:b/>
                <w:bCs/>
                <w:color w:val="auto"/>
              </w:rPr>
            </w:pPr>
            <w:r>
              <w:rPr>
                <w:b/>
                <w:bCs/>
                <w:color w:val="auto"/>
              </w:rPr>
              <w:t>产品名称</w:t>
            </w:r>
          </w:p>
        </w:tc>
        <w:tc>
          <w:tcPr>
            <w:tcW w:w="537" w:type="pct"/>
            <w:vAlign w:val="center"/>
          </w:tcPr>
          <w:p>
            <w:pPr>
              <w:pStyle w:val="30"/>
              <w:rPr>
                <w:b/>
                <w:bCs/>
                <w:color w:val="auto"/>
              </w:rPr>
            </w:pPr>
            <w:r>
              <w:rPr>
                <w:b/>
                <w:bCs/>
                <w:color w:val="auto"/>
              </w:rPr>
              <w:t>工艺名称</w:t>
            </w:r>
          </w:p>
        </w:tc>
        <w:tc>
          <w:tcPr>
            <w:tcW w:w="537" w:type="pct"/>
            <w:vAlign w:val="center"/>
          </w:tcPr>
          <w:p>
            <w:pPr>
              <w:pStyle w:val="30"/>
              <w:rPr>
                <w:b/>
                <w:bCs/>
                <w:color w:val="auto"/>
              </w:rPr>
            </w:pPr>
            <w:r>
              <w:rPr>
                <w:b/>
                <w:bCs/>
                <w:color w:val="auto"/>
              </w:rPr>
              <w:t>规模等级</w:t>
            </w:r>
          </w:p>
        </w:tc>
        <w:tc>
          <w:tcPr>
            <w:tcW w:w="814" w:type="pct"/>
            <w:gridSpan w:val="2"/>
            <w:vAlign w:val="center"/>
          </w:tcPr>
          <w:p>
            <w:pPr>
              <w:pStyle w:val="30"/>
              <w:rPr>
                <w:b/>
                <w:bCs/>
                <w:color w:val="auto"/>
              </w:rPr>
            </w:pPr>
            <w:r>
              <w:rPr>
                <w:b/>
                <w:bCs/>
                <w:color w:val="auto"/>
              </w:rPr>
              <w:t>污染物指标</w:t>
            </w:r>
          </w:p>
        </w:tc>
        <w:tc>
          <w:tcPr>
            <w:tcW w:w="557" w:type="pct"/>
            <w:vAlign w:val="center"/>
          </w:tcPr>
          <w:p>
            <w:pPr>
              <w:pStyle w:val="30"/>
              <w:rPr>
                <w:b/>
                <w:bCs/>
                <w:color w:val="auto"/>
              </w:rPr>
            </w:pPr>
            <w:r>
              <w:rPr>
                <w:b/>
                <w:bCs/>
                <w:color w:val="auto"/>
              </w:rPr>
              <w:t>系数单位</w:t>
            </w:r>
          </w:p>
        </w:tc>
        <w:tc>
          <w:tcPr>
            <w:tcW w:w="476" w:type="pct"/>
            <w:vAlign w:val="center"/>
          </w:tcPr>
          <w:p>
            <w:pPr>
              <w:pStyle w:val="30"/>
              <w:rPr>
                <w:b/>
                <w:bCs/>
                <w:color w:val="auto"/>
              </w:rPr>
            </w:pPr>
            <w:r>
              <w:rPr>
                <w:b/>
                <w:bCs/>
                <w:color w:val="auto"/>
              </w:rPr>
              <w:t>产污系数</w:t>
            </w:r>
          </w:p>
        </w:tc>
        <w:tc>
          <w:tcPr>
            <w:tcW w:w="476" w:type="pct"/>
            <w:vAlign w:val="center"/>
          </w:tcPr>
          <w:p>
            <w:pPr>
              <w:pStyle w:val="30"/>
              <w:rPr>
                <w:rFonts w:hint="default" w:eastAsia="宋体"/>
                <w:b/>
                <w:bCs/>
                <w:color w:val="auto"/>
                <w:lang w:val="en-US" w:eastAsia="zh-CN"/>
              </w:rPr>
            </w:pPr>
            <w:r>
              <w:rPr>
                <w:rFonts w:hint="eastAsia"/>
                <w:b/>
                <w:bCs/>
                <w:color w:val="auto"/>
                <w:lang w:val="en-US" w:eastAsia="zh-CN"/>
              </w:rPr>
              <w:t>治理技术名称</w:t>
            </w:r>
          </w:p>
        </w:tc>
        <w:tc>
          <w:tcPr>
            <w:tcW w:w="476" w:type="pct"/>
            <w:vAlign w:val="center"/>
          </w:tcPr>
          <w:p>
            <w:pPr>
              <w:pStyle w:val="30"/>
              <w:rPr>
                <w:rFonts w:hint="default" w:eastAsia="宋体"/>
                <w:b/>
                <w:bCs/>
                <w:color w:val="auto"/>
                <w:lang w:val="en-US" w:eastAsia="zh-CN"/>
              </w:rPr>
            </w:pPr>
            <w:r>
              <w:rPr>
                <w:rFonts w:hint="eastAsia"/>
                <w:b/>
                <w:bCs/>
                <w:color w:val="auto"/>
                <w:lang w:val="en-US" w:eastAsia="zh-CN"/>
              </w:rPr>
              <w:t>去除效率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399" w:type="pct"/>
            <w:vAlign w:val="center"/>
          </w:tcPr>
          <w:p>
            <w:pPr>
              <w:pStyle w:val="30"/>
              <w:rPr>
                <w:color w:val="auto"/>
              </w:rPr>
            </w:pPr>
            <w:r>
              <w:rPr>
                <w:color w:val="auto"/>
              </w:rPr>
              <w:t>废PE/PP</w:t>
            </w:r>
          </w:p>
        </w:tc>
        <w:tc>
          <w:tcPr>
            <w:tcW w:w="724" w:type="pct"/>
            <w:vAlign w:val="center"/>
          </w:tcPr>
          <w:p>
            <w:pPr>
              <w:pStyle w:val="30"/>
              <w:rPr>
                <w:color w:val="auto"/>
              </w:rPr>
            </w:pPr>
            <w:r>
              <w:rPr>
                <w:color w:val="auto"/>
              </w:rPr>
              <w:t>再生塑料粒子</w:t>
            </w:r>
          </w:p>
        </w:tc>
        <w:tc>
          <w:tcPr>
            <w:tcW w:w="537" w:type="pct"/>
            <w:vAlign w:val="center"/>
          </w:tcPr>
          <w:p>
            <w:pPr>
              <w:pStyle w:val="30"/>
              <w:rPr>
                <w:color w:val="auto"/>
              </w:rPr>
            </w:pPr>
            <w:r>
              <w:rPr>
                <w:color w:val="auto"/>
              </w:rPr>
              <w:t>干法破碎</w:t>
            </w:r>
          </w:p>
        </w:tc>
        <w:tc>
          <w:tcPr>
            <w:tcW w:w="537" w:type="pct"/>
            <w:vAlign w:val="center"/>
          </w:tcPr>
          <w:p>
            <w:pPr>
              <w:pStyle w:val="30"/>
              <w:rPr>
                <w:color w:val="auto"/>
              </w:rPr>
            </w:pPr>
            <w:r>
              <w:rPr>
                <w:color w:val="auto"/>
              </w:rPr>
              <w:t>所有规模</w:t>
            </w:r>
          </w:p>
        </w:tc>
        <w:tc>
          <w:tcPr>
            <w:tcW w:w="396" w:type="pct"/>
            <w:vAlign w:val="center"/>
          </w:tcPr>
          <w:p>
            <w:pPr>
              <w:pStyle w:val="30"/>
              <w:rPr>
                <w:color w:val="auto"/>
              </w:rPr>
            </w:pPr>
            <w:r>
              <w:rPr>
                <w:color w:val="auto"/>
              </w:rPr>
              <w:t>废气</w:t>
            </w:r>
          </w:p>
        </w:tc>
        <w:tc>
          <w:tcPr>
            <w:tcW w:w="417" w:type="pct"/>
            <w:vAlign w:val="center"/>
          </w:tcPr>
          <w:p>
            <w:pPr>
              <w:pStyle w:val="30"/>
              <w:rPr>
                <w:color w:val="auto"/>
              </w:rPr>
            </w:pPr>
            <w:r>
              <w:rPr>
                <w:color w:val="auto"/>
              </w:rPr>
              <w:t>颗粒物</w:t>
            </w:r>
          </w:p>
        </w:tc>
        <w:tc>
          <w:tcPr>
            <w:tcW w:w="557" w:type="pct"/>
            <w:vAlign w:val="center"/>
          </w:tcPr>
          <w:p>
            <w:pPr>
              <w:pStyle w:val="30"/>
              <w:rPr>
                <w:color w:val="auto"/>
              </w:rPr>
            </w:pPr>
            <w:r>
              <w:rPr>
                <w:color w:val="auto"/>
              </w:rPr>
              <w:t>克/吨-产品</w:t>
            </w:r>
          </w:p>
        </w:tc>
        <w:tc>
          <w:tcPr>
            <w:tcW w:w="476" w:type="pct"/>
            <w:vAlign w:val="center"/>
          </w:tcPr>
          <w:p>
            <w:pPr>
              <w:pStyle w:val="30"/>
              <w:rPr>
                <w:color w:val="auto"/>
              </w:rPr>
            </w:pPr>
            <w:r>
              <w:rPr>
                <w:color w:val="auto"/>
              </w:rPr>
              <w:t>375</w:t>
            </w:r>
          </w:p>
        </w:tc>
        <w:tc>
          <w:tcPr>
            <w:tcW w:w="476" w:type="pct"/>
            <w:vAlign w:val="center"/>
          </w:tcPr>
          <w:p>
            <w:pPr>
              <w:pStyle w:val="30"/>
              <w:rPr>
                <w:rFonts w:hint="eastAsia" w:eastAsia="宋体"/>
                <w:color w:val="auto"/>
                <w:lang w:val="en-US" w:eastAsia="zh-CN"/>
              </w:rPr>
            </w:pPr>
            <w:r>
              <w:rPr>
                <w:rFonts w:hint="eastAsia"/>
                <w:color w:val="auto"/>
                <w:lang w:val="en-US" w:eastAsia="zh-CN"/>
              </w:rPr>
              <w:t>袋式除尘</w:t>
            </w:r>
          </w:p>
        </w:tc>
        <w:tc>
          <w:tcPr>
            <w:tcW w:w="476" w:type="pct"/>
            <w:vAlign w:val="center"/>
          </w:tcPr>
          <w:p>
            <w:pPr>
              <w:pStyle w:val="30"/>
              <w:rPr>
                <w:rFonts w:hint="default" w:eastAsia="宋体"/>
                <w:color w:val="auto"/>
                <w:lang w:val="en-US" w:eastAsia="zh-CN"/>
              </w:rPr>
            </w:pPr>
            <w:r>
              <w:rPr>
                <w:rFonts w:hint="eastAsia"/>
                <w:color w:val="auto"/>
                <w:lang w:val="en-US" w:eastAsia="zh-CN"/>
              </w:rPr>
              <w:t>95%</w:t>
            </w:r>
          </w:p>
        </w:tc>
      </w:tr>
    </w:tbl>
    <w:p>
      <w:pPr>
        <w:widowControl w:val="0"/>
        <w:tabs>
          <w:tab w:val="left" w:pos="4678"/>
        </w:tabs>
        <w:spacing w:line="360" w:lineRule="auto"/>
        <w:ind w:firstLine="480" w:firstLineChars="200"/>
        <w:jc w:val="left"/>
        <w:rPr>
          <w:rFonts w:hint="eastAsia" w:eastAsia="宋体"/>
          <w:color w:val="auto"/>
          <w:lang w:eastAsia="zh-CN"/>
        </w:rPr>
      </w:pPr>
      <w:r>
        <w:rPr>
          <w:rFonts w:hint="eastAsia"/>
          <w:color w:val="auto"/>
        </w:rPr>
        <w:t>本项目</w:t>
      </w:r>
      <w:r>
        <w:rPr>
          <w:rFonts w:hint="eastAsia"/>
          <w:bCs/>
          <w:color w:val="auto"/>
        </w:rPr>
        <w:t>PE管产生</w:t>
      </w:r>
      <w:r>
        <w:rPr>
          <w:rFonts w:hint="eastAsia"/>
          <w:color w:val="auto"/>
        </w:rPr>
        <w:t>的边角料和不合格品破碎造粒会产生破碎粉尘，根据企业提供的资料，本项目全部采用新设备，废管率较低</w:t>
      </w:r>
      <w:r>
        <w:rPr>
          <w:rFonts w:hint="eastAsia"/>
          <w:bCs/>
          <w:color w:val="auto"/>
        </w:rPr>
        <w:t>，</w:t>
      </w:r>
      <w:r>
        <w:rPr>
          <w:bCs/>
          <w:color w:val="auto"/>
        </w:rPr>
        <w:t>不合格成品及边角料约占</w:t>
      </w:r>
      <w:r>
        <w:rPr>
          <w:rFonts w:hint="eastAsia"/>
          <w:bCs/>
          <w:color w:val="auto"/>
        </w:rPr>
        <w:t>1</w:t>
      </w:r>
      <w:r>
        <w:rPr>
          <w:bCs/>
          <w:color w:val="auto"/>
        </w:rPr>
        <w:t>%</w:t>
      </w:r>
      <w:r>
        <w:rPr>
          <w:rFonts w:hint="eastAsia"/>
          <w:bCs/>
          <w:color w:val="auto"/>
        </w:rPr>
        <w:t>，</w:t>
      </w:r>
      <w:r>
        <w:rPr>
          <w:bCs/>
          <w:color w:val="auto"/>
        </w:rPr>
        <w:t>本项目年产PE管材共</w:t>
      </w:r>
      <w:r>
        <w:rPr>
          <w:rFonts w:hint="eastAsia"/>
          <w:bCs/>
          <w:color w:val="auto"/>
          <w:lang w:val="en-US" w:eastAsia="zh-CN"/>
        </w:rPr>
        <w:t>3</w:t>
      </w:r>
      <w:r>
        <w:rPr>
          <w:rFonts w:hint="eastAsia"/>
          <w:bCs/>
          <w:color w:val="auto"/>
        </w:rPr>
        <w:t>万</w:t>
      </w:r>
      <w:r>
        <w:rPr>
          <w:bCs/>
          <w:color w:val="auto"/>
        </w:rPr>
        <w:t>吨，</w:t>
      </w:r>
      <w:r>
        <w:rPr>
          <w:rFonts w:hint="eastAsia"/>
          <w:bCs/>
          <w:color w:val="auto"/>
        </w:rPr>
        <w:t>即需要破碎回用的边角料和不合格品约为</w:t>
      </w:r>
      <w:r>
        <w:rPr>
          <w:rFonts w:hint="eastAsia"/>
          <w:bCs/>
          <w:color w:val="auto"/>
          <w:lang w:val="en-US" w:eastAsia="zh-CN"/>
        </w:rPr>
        <w:t>3</w:t>
      </w:r>
      <w:r>
        <w:rPr>
          <w:rFonts w:hint="eastAsia"/>
          <w:bCs/>
          <w:color w:val="auto"/>
        </w:rPr>
        <w:t>00t。破碎造粒后回用于生产，根据上表</w:t>
      </w:r>
      <w:r>
        <w:rPr>
          <w:color w:val="auto"/>
        </w:rPr>
        <w:t>产污系数表，本项目破碎粉尘产生量为</w:t>
      </w:r>
      <w:r>
        <w:rPr>
          <w:rFonts w:hint="eastAsia"/>
          <w:color w:val="auto"/>
        </w:rPr>
        <w:t>0.</w:t>
      </w:r>
      <w:r>
        <w:rPr>
          <w:rFonts w:hint="eastAsia"/>
          <w:color w:val="auto"/>
          <w:lang w:val="en-US" w:eastAsia="zh-CN"/>
        </w:rPr>
        <w:t>1125</w:t>
      </w:r>
      <w:r>
        <w:rPr>
          <w:color w:val="auto"/>
        </w:rPr>
        <w:t>t/a</w:t>
      </w:r>
      <w:r>
        <w:rPr>
          <w:rFonts w:hint="eastAsia"/>
          <w:color w:val="auto"/>
        </w:rPr>
        <w:t>（</w:t>
      </w:r>
      <w:r>
        <w:rPr>
          <w:color w:val="auto"/>
        </w:rPr>
        <w:t>0.</w:t>
      </w:r>
      <w:r>
        <w:rPr>
          <w:rFonts w:hint="eastAsia"/>
          <w:color w:val="auto"/>
          <w:lang w:val="en-US" w:eastAsia="zh-CN"/>
        </w:rPr>
        <w:t>0251</w:t>
      </w:r>
      <w:r>
        <w:rPr>
          <w:rFonts w:hint="eastAsia"/>
          <w:color w:val="auto"/>
        </w:rPr>
        <w:t>kg/h）</w:t>
      </w:r>
      <w:r>
        <w:rPr>
          <w:rFonts w:hint="eastAsia"/>
          <w:color w:val="auto"/>
          <w:lang w:eastAsia="zh-CN"/>
        </w:rPr>
        <w:t>。</w:t>
      </w:r>
    </w:p>
    <w:p>
      <w:pPr>
        <w:widowControl w:val="0"/>
        <w:tabs>
          <w:tab w:val="left" w:pos="4678"/>
        </w:tabs>
        <w:spacing w:line="360" w:lineRule="auto"/>
        <w:ind w:firstLine="480" w:firstLineChars="200"/>
        <w:jc w:val="left"/>
        <w:rPr>
          <w:rFonts w:hint="default" w:ascii="Times New Roman" w:hAnsi="Times New Roman" w:cs="Times New Roman"/>
          <w:b w:val="0"/>
          <w:bCs/>
          <w:color w:val="auto"/>
          <w:spacing w:val="-10"/>
          <w:sz w:val="24"/>
          <w:szCs w:val="24"/>
          <w:u w:val="single"/>
          <w:lang w:val="en-US" w:eastAsia="zh-CN"/>
        </w:rPr>
      </w:pPr>
      <w:r>
        <w:rPr>
          <w:rFonts w:hint="default" w:ascii="Times New Roman" w:hAnsi="Times New Roman" w:cs="Times New Roman"/>
          <w:u w:val="single"/>
          <w:lang w:eastAsia="zh-CN"/>
        </w:rPr>
        <w:t>综上所述，本项目颗粒物产生量为</w:t>
      </w:r>
      <w:r>
        <w:rPr>
          <w:rFonts w:hint="eastAsia"/>
          <w:color w:val="auto"/>
          <w:u w:val="single"/>
        </w:rPr>
        <w:t>0.</w:t>
      </w:r>
      <w:r>
        <w:rPr>
          <w:rFonts w:hint="eastAsia"/>
          <w:color w:val="auto"/>
          <w:u w:val="single"/>
          <w:lang w:val="en-US" w:eastAsia="zh-CN"/>
        </w:rPr>
        <w:t>1125</w:t>
      </w:r>
      <w:r>
        <w:rPr>
          <w:color w:val="auto"/>
          <w:u w:val="single"/>
        </w:rPr>
        <w:t>t/a</w:t>
      </w:r>
      <w:r>
        <w:rPr>
          <w:rFonts w:hint="eastAsia"/>
          <w:color w:val="auto"/>
          <w:u w:val="single"/>
        </w:rPr>
        <w:t>（</w:t>
      </w:r>
      <w:r>
        <w:rPr>
          <w:color w:val="auto"/>
          <w:u w:val="single"/>
        </w:rPr>
        <w:t>0.</w:t>
      </w:r>
      <w:r>
        <w:rPr>
          <w:rFonts w:hint="eastAsia"/>
          <w:color w:val="auto"/>
          <w:u w:val="single"/>
          <w:lang w:val="en-US" w:eastAsia="zh-CN"/>
        </w:rPr>
        <w:t>0156</w:t>
      </w:r>
      <w:r>
        <w:rPr>
          <w:rFonts w:hint="eastAsia"/>
          <w:color w:val="auto"/>
          <w:u w:val="single"/>
        </w:rPr>
        <w:t>kg/h）</w:t>
      </w:r>
      <w:r>
        <w:rPr>
          <w:rFonts w:hint="default" w:ascii="Times New Roman" w:hAnsi="Times New Roman" w:cs="Times New Roman"/>
          <w:u w:val="single"/>
          <w:lang w:val="en-US" w:eastAsia="zh-CN"/>
        </w:rPr>
        <w:t>，</w:t>
      </w:r>
      <w:r>
        <w:rPr>
          <w:rFonts w:hint="default" w:ascii="Times New Roman" w:hAnsi="Times New Roman" w:cs="Times New Roman"/>
          <w:b w:val="0"/>
          <w:bCs/>
          <w:color w:val="auto"/>
          <w:spacing w:val="-10"/>
          <w:sz w:val="24"/>
          <w:szCs w:val="24"/>
          <w:u w:val="single"/>
          <w:lang w:val="en-US" w:eastAsia="zh-CN"/>
        </w:rPr>
        <w:t>在产</w:t>
      </w:r>
      <w:r>
        <w:rPr>
          <w:rFonts w:hint="eastAsia" w:ascii="Times New Roman" w:hAnsi="Times New Roman" w:cs="Times New Roman"/>
          <w:b w:val="0"/>
          <w:bCs/>
          <w:color w:val="auto"/>
          <w:spacing w:val="-10"/>
          <w:sz w:val="24"/>
          <w:szCs w:val="24"/>
          <w:u w:val="single"/>
          <w:lang w:val="en-US" w:eastAsia="zh-CN"/>
        </w:rPr>
        <w:t>尘点</w:t>
      </w:r>
      <w:r>
        <w:rPr>
          <w:rFonts w:hint="default" w:ascii="Times New Roman" w:hAnsi="Times New Roman" w:cs="Times New Roman"/>
          <w:b w:val="0"/>
          <w:bCs/>
          <w:color w:val="auto"/>
          <w:spacing w:val="-10"/>
          <w:sz w:val="24"/>
          <w:szCs w:val="24"/>
          <w:u w:val="single"/>
          <w:lang w:val="en-US" w:eastAsia="zh-CN"/>
        </w:rPr>
        <w:t>设置集气罩，集气罩单独设置开关</w:t>
      </w:r>
      <w:r>
        <w:rPr>
          <w:rFonts w:hint="eastAsia" w:ascii="Times New Roman" w:hAnsi="Times New Roman" w:cs="Times New Roman"/>
          <w:b w:val="0"/>
          <w:bCs/>
          <w:color w:val="auto"/>
          <w:spacing w:val="-10"/>
          <w:sz w:val="24"/>
          <w:szCs w:val="24"/>
          <w:u w:val="single"/>
          <w:lang w:val="en-US" w:eastAsia="zh-CN"/>
        </w:rPr>
        <w:t>，</w:t>
      </w:r>
      <w:r>
        <w:rPr>
          <w:rFonts w:hint="default" w:ascii="Times New Roman" w:hAnsi="Times New Roman" w:cs="Times New Roman"/>
          <w:b w:val="0"/>
          <w:bCs/>
          <w:color w:val="auto"/>
          <w:spacing w:val="-10"/>
          <w:sz w:val="24"/>
          <w:szCs w:val="24"/>
          <w:u w:val="single"/>
          <w:lang w:val="en-US" w:eastAsia="zh-CN"/>
        </w:rPr>
        <w:t>集气罩收集后通过袋式除尘器处理，处理后通过</w:t>
      </w:r>
      <w:r>
        <w:rPr>
          <w:rFonts w:hint="eastAsia" w:cs="Times New Roman"/>
          <w:b w:val="0"/>
          <w:bCs/>
          <w:color w:val="auto"/>
          <w:spacing w:val="-10"/>
          <w:sz w:val="24"/>
          <w:szCs w:val="24"/>
          <w:u w:val="single"/>
          <w:lang w:val="en-US" w:eastAsia="zh-CN"/>
        </w:rPr>
        <w:t>18m高排气筒</w:t>
      </w:r>
      <w:r>
        <w:rPr>
          <w:rFonts w:hint="eastAsia" w:ascii="Times New Roman" w:hAnsi="Times New Roman" w:cs="Times New Roman"/>
          <w:b w:val="0"/>
          <w:bCs/>
          <w:color w:val="auto"/>
          <w:spacing w:val="-10"/>
          <w:sz w:val="24"/>
          <w:szCs w:val="24"/>
          <w:u w:val="single"/>
          <w:lang w:val="en-US" w:eastAsia="zh-CN"/>
        </w:rPr>
        <w:t>（</w:t>
      </w:r>
      <w:r>
        <w:rPr>
          <w:rFonts w:hint="eastAsia" w:cs="Times New Roman"/>
          <w:b w:val="0"/>
          <w:bCs/>
          <w:color w:val="auto"/>
          <w:spacing w:val="-10"/>
          <w:sz w:val="24"/>
          <w:szCs w:val="24"/>
          <w:u w:val="single"/>
          <w:lang w:val="en-US" w:eastAsia="zh-CN"/>
        </w:rPr>
        <w:t>DA002</w:t>
      </w:r>
      <w:r>
        <w:rPr>
          <w:rFonts w:hint="eastAsia" w:ascii="Times New Roman" w:hAnsi="Times New Roman" w:cs="Times New Roman"/>
          <w:b w:val="0"/>
          <w:bCs/>
          <w:color w:val="auto"/>
          <w:spacing w:val="-10"/>
          <w:sz w:val="24"/>
          <w:szCs w:val="24"/>
          <w:u w:val="single"/>
          <w:lang w:val="en-US" w:eastAsia="zh-CN"/>
        </w:rPr>
        <w:t>）</w:t>
      </w:r>
      <w:r>
        <w:rPr>
          <w:rFonts w:hint="default" w:ascii="Times New Roman" w:hAnsi="Times New Roman" w:cs="Times New Roman"/>
          <w:b w:val="0"/>
          <w:bCs/>
          <w:color w:val="auto"/>
          <w:spacing w:val="-10"/>
          <w:sz w:val="24"/>
          <w:szCs w:val="24"/>
          <w:u w:val="single"/>
          <w:lang w:val="en-US" w:eastAsia="zh-CN"/>
        </w:rPr>
        <w:t>排放，</w:t>
      </w:r>
      <w:r>
        <w:rPr>
          <w:rFonts w:hint="default" w:ascii="Times New Roman" w:hAnsi="Times New Roman" w:cs="Times New Roman"/>
          <w:b w:val="0"/>
          <w:bCs/>
          <w:color w:val="auto"/>
          <w:spacing w:val="-10"/>
          <w:sz w:val="24"/>
          <w:szCs w:val="24"/>
          <w:highlight w:val="none"/>
          <w:u w:val="single"/>
          <w:lang w:val="en-US" w:eastAsia="zh-CN"/>
        </w:rPr>
        <w:t>集气罩收集效率</w:t>
      </w:r>
      <w:r>
        <w:rPr>
          <w:rFonts w:hint="eastAsia" w:ascii="Times New Roman" w:hAnsi="Times New Roman" w:cs="Times New Roman"/>
          <w:b w:val="0"/>
          <w:bCs/>
          <w:color w:val="auto"/>
          <w:spacing w:val="-10"/>
          <w:sz w:val="24"/>
          <w:szCs w:val="24"/>
          <w:highlight w:val="none"/>
          <w:u w:val="single"/>
          <w:lang w:val="en-US" w:eastAsia="zh-CN"/>
        </w:rPr>
        <w:t>约</w:t>
      </w:r>
      <w:r>
        <w:rPr>
          <w:rFonts w:hint="default" w:ascii="Times New Roman" w:hAnsi="Times New Roman" w:cs="Times New Roman"/>
          <w:b w:val="0"/>
          <w:bCs/>
          <w:color w:val="auto"/>
          <w:spacing w:val="-10"/>
          <w:sz w:val="24"/>
          <w:szCs w:val="24"/>
          <w:highlight w:val="none"/>
          <w:u w:val="single"/>
          <w:lang w:val="en-US" w:eastAsia="zh-CN"/>
        </w:rPr>
        <w:t>为</w:t>
      </w:r>
      <w:r>
        <w:rPr>
          <w:rFonts w:hint="eastAsia" w:ascii="Times New Roman" w:hAnsi="Times New Roman" w:cs="Times New Roman"/>
          <w:b w:val="0"/>
          <w:bCs/>
          <w:color w:val="auto"/>
          <w:spacing w:val="-10"/>
          <w:sz w:val="24"/>
          <w:szCs w:val="24"/>
          <w:highlight w:val="none"/>
          <w:u w:val="single"/>
          <w:lang w:val="en-US" w:eastAsia="zh-CN"/>
        </w:rPr>
        <w:t>80</w:t>
      </w:r>
      <w:r>
        <w:rPr>
          <w:rFonts w:hint="default" w:ascii="Times New Roman" w:hAnsi="Times New Roman" w:cs="Times New Roman"/>
          <w:b w:val="0"/>
          <w:bCs/>
          <w:color w:val="auto"/>
          <w:spacing w:val="-10"/>
          <w:sz w:val="24"/>
          <w:szCs w:val="24"/>
          <w:highlight w:val="none"/>
          <w:u w:val="single"/>
          <w:lang w:val="en-US" w:eastAsia="zh-CN"/>
        </w:rPr>
        <w:t>%、袋式除尘效率取95%，风机的风量为</w:t>
      </w:r>
      <w:r>
        <w:rPr>
          <w:rFonts w:hint="eastAsia" w:ascii="Times New Roman" w:hAnsi="Times New Roman" w:cs="Times New Roman"/>
          <w:b w:val="0"/>
          <w:bCs/>
          <w:color w:val="auto"/>
          <w:spacing w:val="-10"/>
          <w:sz w:val="24"/>
          <w:szCs w:val="24"/>
          <w:highlight w:val="none"/>
          <w:u w:val="single"/>
          <w:lang w:val="en-US" w:eastAsia="zh-CN"/>
        </w:rPr>
        <w:t>2</w:t>
      </w:r>
      <w:r>
        <w:rPr>
          <w:rFonts w:hint="default" w:ascii="Times New Roman" w:hAnsi="Times New Roman" w:cs="Times New Roman"/>
          <w:b w:val="0"/>
          <w:bCs/>
          <w:color w:val="auto"/>
          <w:spacing w:val="-10"/>
          <w:sz w:val="24"/>
          <w:szCs w:val="24"/>
          <w:highlight w:val="none"/>
          <w:u w:val="single"/>
          <w:lang w:val="en-US" w:eastAsia="zh-CN"/>
        </w:rPr>
        <w:t>000m</w:t>
      </w:r>
      <w:r>
        <w:rPr>
          <w:rFonts w:hint="default" w:ascii="Times New Roman" w:hAnsi="Times New Roman" w:cs="Times New Roman"/>
          <w:b w:val="0"/>
          <w:bCs/>
          <w:color w:val="auto"/>
          <w:spacing w:val="-10"/>
          <w:sz w:val="24"/>
          <w:szCs w:val="24"/>
          <w:highlight w:val="none"/>
          <w:u w:val="single"/>
          <w:vertAlign w:val="superscript"/>
          <w:lang w:val="en-US" w:eastAsia="zh-CN"/>
        </w:rPr>
        <w:t>3</w:t>
      </w:r>
      <w:r>
        <w:rPr>
          <w:rFonts w:hint="default" w:ascii="Times New Roman" w:hAnsi="Times New Roman" w:cs="Times New Roman"/>
          <w:b w:val="0"/>
          <w:bCs/>
          <w:color w:val="auto"/>
          <w:spacing w:val="-10"/>
          <w:sz w:val="24"/>
          <w:szCs w:val="24"/>
          <w:highlight w:val="none"/>
          <w:u w:val="single"/>
          <w:lang w:val="en-US" w:eastAsia="zh-CN"/>
        </w:rPr>
        <w:t>/h，则有组织排放的颗粒物</w:t>
      </w:r>
      <w:r>
        <w:rPr>
          <w:rFonts w:hint="eastAsia" w:ascii="Times New Roman" w:hAnsi="Times New Roman" w:cs="Times New Roman"/>
          <w:b w:val="0"/>
          <w:bCs/>
          <w:color w:val="auto"/>
          <w:spacing w:val="-10"/>
          <w:sz w:val="24"/>
          <w:szCs w:val="24"/>
          <w:highlight w:val="none"/>
          <w:u w:val="single"/>
          <w:lang w:val="en-US" w:eastAsia="zh-CN"/>
        </w:rPr>
        <w:t>约</w:t>
      </w:r>
      <w:r>
        <w:rPr>
          <w:rFonts w:hint="default" w:ascii="Times New Roman" w:hAnsi="Times New Roman" w:cs="Times New Roman"/>
          <w:b w:val="0"/>
          <w:bCs/>
          <w:color w:val="auto"/>
          <w:spacing w:val="-10"/>
          <w:sz w:val="24"/>
          <w:szCs w:val="24"/>
          <w:highlight w:val="none"/>
          <w:u w:val="single"/>
          <w:lang w:val="en-US" w:eastAsia="zh-CN"/>
        </w:rPr>
        <w:t>为</w:t>
      </w:r>
      <w:r>
        <w:rPr>
          <w:rFonts w:hint="eastAsia" w:ascii="Times New Roman" w:hAnsi="Times New Roman" w:cs="Times New Roman"/>
          <w:b w:val="0"/>
          <w:bCs/>
          <w:color w:val="auto"/>
          <w:spacing w:val="-10"/>
          <w:sz w:val="24"/>
          <w:szCs w:val="24"/>
          <w:highlight w:val="none"/>
          <w:u w:val="single"/>
          <w:lang w:val="en-US" w:eastAsia="zh-CN"/>
        </w:rPr>
        <w:t>0.0045</w:t>
      </w:r>
      <w:r>
        <w:rPr>
          <w:rFonts w:hint="default" w:ascii="Times New Roman" w:hAnsi="Times New Roman" w:cs="Times New Roman"/>
          <w:b w:val="0"/>
          <w:bCs/>
          <w:color w:val="auto"/>
          <w:spacing w:val="-10"/>
          <w:sz w:val="24"/>
          <w:szCs w:val="24"/>
          <w:highlight w:val="none"/>
          <w:u w:val="single"/>
          <w:lang w:val="en-US" w:eastAsia="zh-CN"/>
        </w:rPr>
        <w:t>t/a，即排放速率</w:t>
      </w:r>
      <w:r>
        <w:rPr>
          <w:rFonts w:hint="eastAsia" w:ascii="Times New Roman" w:hAnsi="Times New Roman" w:cs="Times New Roman"/>
          <w:b w:val="0"/>
          <w:bCs/>
          <w:color w:val="auto"/>
          <w:spacing w:val="-10"/>
          <w:sz w:val="24"/>
          <w:szCs w:val="24"/>
          <w:highlight w:val="none"/>
          <w:u w:val="single"/>
          <w:lang w:val="en-US" w:eastAsia="zh-CN"/>
        </w:rPr>
        <w:t>约</w:t>
      </w:r>
      <w:r>
        <w:rPr>
          <w:rFonts w:hint="default" w:ascii="Times New Roman" w:hAnsi="Times New Roman" w:cs="Times New Roman"/>
          <w:b w:val="0"/>
          <w:bCs/>
          <w:color w:val="auto"/>
          <w:spacing w:val="-10"/>
          <w:sz w:val="24"/>
          <w:szCs w:val="24"/>
          <w:highlight w:val="none"/>
          <w:u w:val="single"/>
          <w:lang w:val="en-US" w:eastAsia="zh-CN"/>
        </w:rPr>
        <w:t>为</w:t>
      </w:r>
      <w:r>
        <w:rPr>
          <w:rFonts w:hint="eastAsia" w:ascii="Times New Roman" w:hAnsi="Times New Roman" w:cs="Times New Roman"/>
          <w:b w:val="0"/>
          <w:bCs/>
          <w:color w:val="auto"/>
          <w:spacing w:val="-10"/>
          <w:sz w:val="24"/>
          <w:szCs w:val="24"/>
          <w:highlight w:val="none"/>
          <w:u w:val="single"/>
          <w:lang w:val="en-US" w:eastAsia="zh-CN"/>
        </w:rPr>
        <w:t>0.00</w:t>
      </w:r>
      <w:r>
        <w:rPr>
          <w:rFonts w:hint="eastAsia" w:cs="Times New Roman"/>
          <w:b w:val="0"/>
          <w:bCs/>
          <w:color w:val="auto"/>
          <w:spacing w:val="-10"/>
          <w:sz w:val="24"/>
          <w:szCs w:val="24"/>
          <w:highlight w:val="none"/>
          <w:u w:val="single"/>
          <w:lang w:val="en-US" w:eastAsia="zh-CN"/>
        </w:rPr>
        <w:t>07</w:t>
      </w:r>
      <w:r>
        <w:rPr>
          <w:rFonts w:hint="eastAsia" w:ascii="Times New Roman" w:hAnsi="Times New Roman" w:cs="Times New Roman"/>
          <w:b w:val="0"/>
          <w:bCs/>
          <w:color w:val="auto"/>
          <w:spacing w:val="-10"/>
          <w:sz w:val="24"/>
          <w:szCs w:val="24"/>
          <w:highlight w:val="none"/>
          <w:u w:val="single"/>
          <w:lang w:val="en-US" w:eastAsia="zh-CN"/>
        </w:rPr>
        <w:t>k</w:t>
      </w:r>
      <w:r>
        <w:rPr>
          <w:rFonts w:hint="default" w:ascii="Times New Roman" w:hAnsi="Times New Roman" w:cs="Times New Roman"/>
          <w:b w:val="0"/>
          <w:bCs/>
          <w:color w:val="auto"/>
          <w:spacing w:val="-10"/>
          <w:sz w:val="24"/>
          <w:szCs w:val="24"/>
          <w:highlight w:val="none"/>
          <w:u w:val="single"/>
          <w:lang w:val="en-US" w:eastAsia="zh-CN"/>
        </w:rPr>
        <w:t>g/h，排放浓度为</w:t>
      </w:r>
      <w:r>
        <w:rPr>
          <w:rFonts w:hint="eastAsia" w:ascii="Times New Roman" w:hAnsi="Times New Roman" w:cs="Times New Roman"/>
          <w:b w:val="0"/>
          <w:bCs/>
          <w:color w:val="auto"/>
          <w:spacing w:val="-10"/>
          <w:sz w:val="24"/>
          <w:szCs w:val="24"/>
          <w:highlight w:val="none"/>
          <w:u w:val="single"/>
          <w:lang w:val="en-US" w:eastAsia="zh-CN"/>
        </w:rPr>
        <w:t>0.</w:t>
      </w:r>
      <w:r>
        <w:rPr>
          <w:rFonts w:hint="eastAsia" w:cs="Times New Roman"/>
          <w:b w:val="0"/>
          <w:bCs/>
          <w:color w:val="auto"/>
          <w:spacing w:val="-10"/>
          <w:sz w:val="24"/>
          <w:szCs w:val="24"/>
          <w:highlight w:val="none"/>
          <w:u w:val="single"/>
          <w:lang w:val="en-US" w:eastAsia="zh-CN"/>
        </w:rPr>
        <w:t>35</w:t>
      </w:r>
      <w:r>
        <w:rPr>
          <w:rFonts w:hint="default" w:ascii="Times New Roman" w:hAnsi="Times New Roman" w:cs="Times New Roman"/>
          <w:b w:val="0"/>
          <w:bCs/>
          <w:color w:val="auto"/>
          <w:spacing w:val="-10"/>
          <w:sz w:val="24"/>
          <w:szCs w:val="24"/>
          <w:highlight w:val="none"/>
          <w:u w:val="single"/>
          <w:lang w:val="en-US" w:eastAsia="zh-CN"/>
        </w:rPr>
        <w:t>mg/m</w:t>
      </w:r>
      <w:r>
        <w:rPr>
          <w:rFonts w:hint="default" w:ascii="Times New Roman" w:hAnsi="Times New Roman" w:cs="Times New Roman"/>
          <w:b w:val="0"/>
          <w:bCs/>
          <w:color w:val="auto"/>
          <w:spacing w:val="-10"/>
          <w:sz w:val="24"/>
          <w:szCs w:val="24"/>
          <w:highlight w:val="none"/>
          <w:u w:val="single"/>
          <w:vertAlign w:val="superscript"/>
          <w:lang w:val="en-US" w:eastAsia="zh-CN"/>
        </w:rPr>
        <w:t>3</w:t>
      </w:r>
      <w:r>
        <w:rPr>
          <w:rFonts w:hint="default" w:ascii="Times New Roman" w:hAnsi="Times New Roman" w:cs="Times New Roman"/>
          <w:b w:val="0"/>
          <w:bCs/>
          <w:color w:val="auto"/>
          <w:spacing w:val="-10"/>
          <w:sz w:val="24"/>
          <w:szCs w:val="24"/>
          <w:highlight w:val="none"/>
          <w:u w:val="single"/>
          <w:lang w:val="en-US" w:eastAsia="zh-CN"/>
        </w:rPr>
        <w:t>。</w:t>
      </w:r>
    </w:p>
    <w:p>
      <w:pPr>
        <w:widowControl w:val="0"/>
        <w:tabs>
          <w:tab w:val="left" w:pos="4678"/>
        </w:tabs>
        <w:spacing w:line="360" w:lineRule="auto"/>
        <w:ind w:firstLine="480" w:firstLineChars="200"/>
        <w:jc w:val="left"/>
        <w:rPr>
          <w:rFonts w:hint="default" w:ascii="Times New Roman" w:hAnsi="Times New Roman" w:eastAsia="宋体"/>
          <w:bCs/>
          <w:color w:val="auto"/>
          <w:u w:val="single"/>
          <w:lang w:val="en-US" w:eastAsia="zh-CN"/>
        </w:rPr>
      </w:pPr>
      <w:r>
        <w:rPr>
          <w:rFonts w:hint="eastAsia" w:ascii="Times New Roman" w:hAnsi="Times New Roman" w:eastAsia="宋体"/>
          <w:bCs/>
          <w:color w:val="auto"/>
          <w:u w:val="single"/>
          <w:lang w:val="en-US" w:eastAsia="zh-CN"/>
        </w:rPr>
        <w:t>本项目产生的颗粒物20%未被集气罩收集，无组织排放。项目各生产设备均位于厂房内，加强厂房的封闭性，降低无组织粉尘对周围环境的影响，</w:t>
      </w:r>
      <w:r>
        <w:rPr>
          <w:rFonts w:hint="default" w:ascii="Times New Roman" w:hAnsi="Times New Roman" w:eastAsia="宋体"/>
          <w:bCs/>
          <w:color w:val="auto"/>
          <w:u w:val="single"/>
          <w:lang w:val="en-US" w:eastAsia="zh-CN"/>
        </w:rPr>
        <w:t>无组织排放的颗粒</w:t>
      </w:r>
      <w:r>
        <w:rPr>
          <w:rFonts w:hint="eastAsia" w:ascii="Times New Roman" w:hAnsi="Times New Roman" w:eastAsia="宋体"/>
          <w:bCs/>
          <w:color w:val="auto"/>
          <w:u w:val="single"/>
          <w:lang w:val="en-US" w:eastAsia="zh-CN"/>
        </w:rPr>
        <w:t>约</w:t>
      </w:r>
      <w:r>
        <w:rPr>
          <w:rFonts w:hint="default" w:ascii="Times New Roman" w:hAnsi="Times New Roman" w:eastAsia="宋体"/>
          <w:bCs/>
          <w:color w:val="auto"/>
          <w:u w:val="single"/>
          <w:lang w:val="en-US" w:eastAsia="zh-CN"/>
        </w:rPr>
        <w:t>为</w:t>
      </w:r>
      <w:r>
        <w:rPr>
          <w:rFonts w:hint="eastAsia" w:ascii="Times New Roman" w:hAnsi="Times New Roman" w:eastAsia="宋体"/>
          <w:bCs/>
          <w:color w:val="auto"/>
          <w:u w:val="single"/>
          <w:lang w:val="en-US" w:eastAsia="zh-CN"/>
        </w:rPr>
        <w:t>0.0225</w:t>
      </w:r>
      <w:r>
        <w:rPr>
          <w:rFonts w:hint="default" w:ascii="Times New Roman" w:hAnsi="Times New Roman" w:eastAsia="宋体"/>
          <w:bCs/>
          <w:color w:val="auto"/>
          <w:u w:val="single"/>
          <w:lang w:val="en-US" w:eastAsia="zh-CN"/>
        </w:rPr>
        <w:t>t/a，</w:t>
      </w:r>
      <w:r>
        <w:rPr>
          <w:rFonts w:hint="eastAsia" w:ascii="Times New Roman" w:hAnsi="Times New Roman" w:eastAsia="宋体"/>
          <w:bCs/>
          <w:color w:val="auto"/>
          <w:u w:val="single"/>
          <w:lang w:val="en-US" w:eastAsia="zh-CN"/>
        </w:rPr>
        <w:t>0.00</w:t>
      </w:r>
      <w:r>
        <w:rPr>
          <w:rFonts w:hint="eastAsia"/>
          <w:bCs/>
          <w:color w:val="auto"/>
          <w:u w:val="single"/>
          <w:lang w:val="en-US" w:eastAsia="zh-CN"/>
        </w:rPr>
        <w:t>32</w:t>
      </w:r>
      <w:r>
        <w:rPr>
          <w:rFonts w:hint="default" w:ascii="Times New Roman" w:hAnsi="Times New Roman" w:eastAsia="宋体"/>
          <w:bCs/>
          <w:color w:val="auto"/>
          <w:u w:val="single"/>
          <w:lang w:val="en-US" w:eastAsia="zh-CN"/>
        </w:rPr>
        <w:t>kg/h。</w:t>
      </w:r>
    </w:p>
    <w:p>
      <w:pPr>
        <w:ind w:firstLine="480"/>
        <w:rPr>
          <w:color w:val="auto"/>
        </w:rPr>
      </w:pPr>
    </w:p>
    <w:p>
      <w:pPr>
        <w:pStyle w:val="2"/>
      </w:pPr>
    </w:p>
    <w:p>
      <w:pPr>
        <w:ind w:firstLine="482"/>
        <w:rPr>
          <w:b/>
          <w:bCs/>
          <w:color w:val="auto"/>
        </w:rPr>
      </w:pPr>
      <w:r>
        <w:rPr>
          <w:b/>
          <w:bCs/>
          <w:color w:val="auto"/>
        </w:rPr>
        <w:t>2、挤出废气</w:t>
      </w:r>
    </w:p>
    <w:p>
      <w:pPr>
        <w:ind w:firstLine="482"/>
        <w:rPr>
          <w:b/>
          <w:bCs/>
          <w:color w:val="auto"/>
        </w:rPr>
      </w:pPr>
      <w:r>
        <w:rPr>
          <w:b/>
          <w:bCs/>
          <w:color w:val="auto"/>
        </w:rPr>
        <w:t>（1）</w:t>
      </w:r>
      <w:r>
        <w:rPr>
          <w:rFonts w:hint="eastAsia"/>
          <w:b/>
          <w:bCs/>
          <w:color w:val="auto"/>
        </w:rPr>
        <w:t>非甲烷总烃</w:t>
      </w:r>
    </w:p>
    <w:p>
      <w:pPr>
        <w:ind w:firstLine="480"/>
        <w:rPr>
          <w:color w:val="auto"/>
          <w:u w:val="single"/>
        </w:rPr>
      </w:pPr>
      <w:r>
        <w:rPr>
          <w:color w:val="auto"/>
          <w:u w:val="single"/>
        </w:rPr>
        <w:t>项目PE管生产和造粒工艺均包含热熔挤出，热熔挤出工序会产生非甲烷总烃，</w:t>
      </w:r>
      <w:r>
        <w:rPr>
          <w:rFonts w:hint="eastAsia"/>
          <w:color w:val="auto"/>
          <w:u w:val="single"/>
          <w:lang w:val="en-US" w:eastAsia="zh-CN"/>
        </w:rPr>
        <w:t>根据《空气污染物排放和控制手册》（美国国家环保局）的资料显示，在无控制措施时，非甲烷总烃的排放量为原料的0.035%。</w:t>
      </w:r>
      <w:r>
        <w:rPr>
          <w:color w:val="auto"/>
          <w:u w:val="single"/>
        </w:rPr>
        <w:t>本项目年产PE管材</w:t>
      </w:r>
      <w:r>
        <w:rPr>
          <w:rFonts w:hint="eastAsia"/>
          <w:color w:val="auto"/>
          <w:u w:val="single"/>
          <w:lang w:val="en-US" w:eastAsia="zh-CN"/>
        </w:rPr>
        <w:t>3</w:t>
      </w:r>
      <w:r>
        <w:rPr>
          <w:rFonts w:hint="eastAsia"/>
          <w:color w:val="auto"/>
          <w:u w:val="single"/>
        </w:rPr>
        <w:t>万</w:t>
      </w:r>
      <w:r>
        <w:rPr>
          <w:color w:val="auto"/>
          <w:u w:val="single"/>
        </w:rPr>
        <w:t>吨，则本项目熔融挤出工段产生的挥发性有机物产生量</w:t>
      </w:r>
      <w:r>
        <w:rPr>
          <w:rFonts w:hint="eastAsia"/>
          <w:color w:val="auto"/>
          <w:u w:val="single"/>
          <w:lang w:val="en-US" w:eastAsia="zh-CN"/>
        </w:rPr>
        <w:t>约</w:t>
      </w:r>
      <w:r>
        <w:rPr>
          <w:color w:val="auto"/>
          <w:u w:val="single"/>
        </w:rPr>
        <w:t>为</w:t>
      </w:r>
      <w:r>
        <w:rPr>
          <w:rFonts w:hint="eastAsia"/>
          <w:color w:val="auto"/>
          <w:u w:val="single"/>
          <w:lang w:val="en-US" w:eastAsia="zh-CN"/>
        </w:rPr>
        <w:t>10.5</w:t>
      </w:r>
      <w:r>
        <w:rPr>
          <w:color w:val="auto"/>
          <w:u w:val="single"/>
        </w:rPr>
        <w:t>t/a</w:t>
      </w:r>
      <w:r>
        <w:rPr>
          <w:rFonts w:hint="eastAsia"/>
          <w:color w:val="auto"/>
          <w:u w:val="single"/>
        </w:rPr>
        <w:t>（</w:t>
      </w:r>
      <w:r>
        <w:rPr>
          <w:rFonts w:hint="eastAsia"/>
          <w:color w:val="auto"/>
          <w:u w:val="single"/>
          <w:lang w:val="en-US" w:eastAsia="zh-CN"/>
        </w:rPr>
        <w:t>1.46</w:t>
      </w:r>
      <w:r>
        <w:rPr>
          <w:rFonts w:hint="eastAsia"/>
          <w:color w:val="auto"/>
          <w:u w:val="single"/>
        </w:rPr>
        <w:t>kg/h)</w:t>
      </w:r>
      <w:r>
        <w:rPr>
          <w:color w:val="auto"/>
          <w:u w:val="single"/>
        </w:rPr>
        <w:t>。</w:t>
      </w:r>
    </w:p>
    <w:p>
      <w:pPr>
        <w:ind w:firstLine="480"/>
        <w:rPr>
          <w:color w:val="auto"/>
          <w:highlight w:val="yellow"/>
          <w:u w:val="single"/>
        </w:rPr>
      </w:pPr>
      <w:r>
        <w:rPr>
          <w:color w:val="auto"/>
          <w:u w:val="single"/>
        </w:rPr>
        <w:t>本项目拟在</w:t>
      </w:r>
      <w:r>
        <w:rPr>
          <w:rFonts w:hint="eastAsia"/>
          <w:color w:val="auto"/>
          <w:u w:val="single"/>
        </w:rPr>
        <w:t>各</w:t>
      </w:r>
      <w:r>
        <w:rPr>
          <w:color w:val="auto"/>
          <w:u w:val="single"/>
        </w:rPr>
        <w:t>挤出机废气产生口安装集气罩收集废气，废气</w:t>
      </w:r>
      <w:r>
        <w:rPr>
          <w:rFonts w:hint="eastAsia"/>
          <w:color w:val="auto"/>
          <w:u w:val="single"/>
        </w:rPr>
        <w:t>经两级</w:t>
      </w:r>
      <w:r>
        <w:rPr>
          <w:color w:val="auto"/>
          <w:u w:val="single"/>
        </w:rPr>
        <w:t>活性炭吸附处理后，经</w:t>
      </w:r>
      <w:r>
        <w:rPr>
          <w:rFonts w:hint="eastAsia"/>
          <w:color w:val="auto"/>
          <w:u w:val="single"/>
          <w:lang w:val="en-US" w:eastAsia="zh-CN"/>
        </w:rPr>
        <w:t>过一根</w:t>
      </w:r>
      <w:r>
        <w:rPr>
          <w:rFonts w:hint="eastAsia"/>
          <w:color w:val="auto"/>
          <w:u w:val="single"/>
          <w:lang w:eastAsia="zh-CN"/>
        </w:rPr>
        <w:t>18m高排气筒</w:t>
      </w:r>
      <w:r>
        <w:rPr>
          <w:color w:val="auto"/>
          <w:u w:val="single"/>
        </w:rPr>
        <w:t>（</w:t>
      </w:r>
      <w:r>
        <w:rPr>
          <w:rFonts w:hint="eastAsia"/>
          <w:color w:val="auto"/>
          <w:u w:val="single"/>
        </w:rPr>
        <w:t>DA001</w:t>
      </w:r>
      <w:r>
        <w:rPr>
          <w:color w:val="auto"/>
          <w:u w:val="single"/>
        </w:rPr>
        <w:t>）排放，</w:t>
      </w:r>
      <w:r>
        <w:rPr>
          <w:rFonts w:hint="eastAsia"/>
          <w:color w:val="auto"/>
          <w:u w:val="single"/>
        </w:rPr>
        <w:t>本项目共</w:t>
      </w:r>
      <w:r>
        <w:rPr>
          <w:rFonts w:hint="eastAsia"/>
          <w:color w:val="auto"/>
          <w:u w:val="single"/>
          <w:lang w:val="en-US" w:eastAsia="zh-CN"/>
        </w:rPr>
        <w:t>15</w:t>
      </w:r>
      <w:r>
        <w:rPr>
          <w:rFonts w:hint="eastAsia"/>
          <w:color w:val="auto"/>
          <w:u w:val="single"/>
        </w:rPr>
        <w:t>条PE管材生产线，一条造粒生产线，在每一条生产线设置集气罩及风机，</w:t>
      </w:r>
      <w:r>
        <w:rPr>
          <w:rFonts w:hint="eastAsia"/>
          <w:color w:val="auto"/>
          <w:u w:val="single"/>
          <w:lang w:val="en-US" w:eastAsia="zh-CN"/>
        </w:rPr>
        <w:t>根据建设单位提供的资料</w:t>
      </w:r>
      <w:r>
        <w:rPr>
          <w:rFonts w:hint="eastAsia"/>
          <w:color w:val="auto"/>
          <w:highlight w:val="none"/>
          <w:u w:val="single"/>
          <w:lang w:val="en-US" w:eastAsia="zh-CN"/>
        </w:rPr>
        <w:t>，</w:t>
      </w:r>
      <w:r>
        <w:rPr>
          <w:rFonts w:hint="eastAsia"/>
          <w:color w:val="auto"/>
          <w:highlight w:val="none"/>
          <w:u w:val="single"/>
        </w:rPr>
        <w:t>每台风机风量为</w:t>
      </w:r>
      <w:r>
        <w:rPr>
          <w:rFonts w:hint="eastAsia"/>
          <w:color w:val="auto"/>
          <w:highlight w:val="none"/>
          <w:u w:val="single"/>
          <w:lang w:val="en-US" w:eastAsia="zh-CN"/>
        </w:rPr>
        <w:t>20</w:t>
      </w:r>
      <w:r>
        <w:rPr>
          <w:rFonts w:hint="eastAsia"/>
          <w:color w:val="auto"/>
          <w:highlight w:val="none"/>
          <w:u w:val="single"/>
        </w:rPr>
        <w:t>00</w:t>
      </w:r>
      <w:r>
        <w:rPr>
          <w:color w:val="auto"/>
          <w:highlight w:val="none"/>
          <w:u w:val="single"/>
        </w:rPr>
        <w:t>m</w:t>
      </w:r>
      <w:r>
        <w:rPr>
          <w:color w:val="auto"/>
          <w:highlight w:val="none"/>
          <w:u w:val="single"/>
          <w:vertAlign w:val="superscript"/>
        </w:rPr>
        <w:t>3</w:t>
      </w:r>
      <w:r>
        <w:rPr>
          <w:color w:val="auto"/>
          <w:highlight w:val="none"/>
          <w:u w:val="single"/>
        </w:rPr>
        <w:t>/h，</w:t>
      </w:r>
      <w:r>
        <w:rPr>
          <w:rFonts w:hint="eastAsia"/>
          <w:color w:val="auto"/>
          <w:highlight w:val="none"/>
          <w:u w:val="single"/>
        </w:rPr>
        <w:t>则风机总风量为</w:t>
      </w:r>
      <w:r>
        <w:rPr>
          <w:rFonts w:hint="eastAsia"/>
          <w:color w:val="auto"/>
          <w:highlight w:val="none"/>
          <w:u w:val="single"/>
          <w:lang w:val="en-US" w:eastAsia="zh-CN"/>
        </w:rPr>
        <w:t>32</w:t>
      </w:r>
      <w:r>
        <w:rPr>
          <w:rFonts w:hint="eastAsia"/>
          <w:color w:val="auto"/>
          <w:highlight w:val="none"/>
          <w:u w:val="single"/>
        </w:rPr>
        <w:t>000</w:t>
      </w:r>
      <w:r>
        <w:rPr>
          <w:color w:val="auto"/>
          <w:highlight w:val="none"/>
          <w:u w:val="single"/>
        </w:rPr>
        <w:t>m</w:t>
      </w:r>
      <w:r>
        <w:rPr>
          <w:color w:val="auto"/>
          <w:highlight w:val="none"/>
          <w:u w:val="single"/>
          <w:vertAlign w:val="superscript"/>
        </w:rPr>
        <w:t>3</w:t>
      </w:r>
      <w:r>
        <w:rPr>
          <w:color w:val="auto"/>
          <w:highlight w:val="none"/>
          <w:u w:val="single"/>
        </w:rPr>
        <w:t>/h</w:t>
      </w:r>
      <w:r>
        <w:rPr>
          <w:rFonts w:hint="eastAsia"/>
          <w:color w:val="auto"/>
          <w:highlight w:val="none"/>
          <w:u w:val="single"/>
          <w:lang w:val="en-US" w:eastAsia="zh-CN"/>
        </w:rPr>
        <w:t>。项目主要产排污环节为挤出机产生的有机废气，挤出机为密闭设备，仅出口处有机废气逸散，采用密闭式</w:t>
      </w:r>
      <w:r>
        <w:rPr>
          <w:color w:val="auto"/>
          <w:highlight w:val="none"/>
          <w:u w:val="single"/>
        </w:rPr>
        <w:t>集气罩对</w:t>
      </w:r>
      <w:r>
        <w:rPr>
          <w:rFonts w:hint="eastAsia"/>
          <w:color w:val="auto"/>
          <w:highlight w:val="none"/>
          <w:u w:val="single"/>
          <w:lang w:val="en-US" w:eastAsia="zh-CN"/>
        </w:rPr>
        <w:t>挤出机出口处排放的</w:t>
      </w:r>
      <w:r>
        <w:rPr>
          <w:color w:val="auto"/>
          <w:highlight w:val="none"/>
          <w:u w:val="single"/>
        </w:rPr>
        <w:t>有机废气</w:t>
      </w:r>
      <w:r>
        <w:rPr>
          <w:rFonts w:hint="eastAsia"/>
          <w:color w:val="auto"/>
          <w:highlight w:val="none"/>
          <w:u w:val="single"/>
          <w:lang w:val="en-US" w:eastAsia="zh-CN"/>
        </w:rPr>
        <w:t>进行负压收集，</w:t>
      </w:r>
      <w:r>
        <w:rPr>
          <w:color w:val="auto"/>
          <w:highlight w:val="none"/>
          <w:u w:val="single"/>
        </w:rPr>
        <w:t>收集效率约</w:t>
      </w:r>
      <w:r>
        <w:rPr>
          <w:rFonts w:hint="eastAsia"/>
          <w:color w:val="auto"/>
          <w:highlight w:val="none"/>
          <w:u w:val="single"/>
          <w:lang w:val="en-US" w:eastAsia="zh-CN"/>
        </w:rPr>
        <w:t>可达80</w:t>
      </w:r>
      <w:r>
        <w:rPr>
          <w:color w:val="auto"/>
          <w:highlight w:val="none"/>
          <w:u w:val="single"/>
        </w:rPr>
        <w:t>%，</w:t>
      </w:r>
      <w:r>
        <w:rPr>
          <w:rFonts w:hint="eastAsia"/>
          <w:color w:val="auto"/>
          <w:highlight w:val="none"/>
          <w:u w:val="single"/>
        </w:rPr>
        <w:t>本项目采用两级活性炭吸附，活性炭</w:t>
      </w:r>
      <w:r>
        <w:rPr>
          <w:color w:val="auto"/>
          <w:highlight w:val="none"/>
          <w:u w:val="single"/>
        </w:rPr>
        <w:t>去除效率</w:t>
      </w:r>
      <w:r>
        <w:rPr>
          <w:rFonts w:hint="eastAsia"/>
          <w:color w:val="auto"/>
          <w:highlight w:val="none"/>
          <w:u w:val="single"/>
          <w:lang w:val="en-US" w:eastAsia="zh-CN"/>
        </w:rPr>
        <w:t>约</w:t>
      </w:r>
      <w:r>
        <w:rPr>
          <w:color w:val="auto"/>
          <w:highlight w:val="none"/>
          <w:u w:val="single"/>
        </w:rPr>
        <w:t>为</w:t>
      </w:r>
      <w:r>
        <w:rPr>
          <w:rFonts w:hint="eastAsia"/>
          <w:color w:val="auto"/>
          <w:highlight w:val="none"/>
          <w:u w:val="single"/>
          <w:lang w:val="en-US" w:eastAsia="zh-CN"/>
        </w:rPr>
        <w:t>40</w:t>
      </w:r>
      <w:r>
        <w:rPr>
          <w:color w:val="auto"/>
          <w:highlight w:val="none"/>
          <w:u w:val="single"/>
        </w:rPr>
        <w:t>%，则本</w:t>
      </w:r>
      <w:r>
        <w:rPr>
          <w:rFonts w:hint="eastAsia"/>
          <w:color w:val="auto"/>
          <w:highlight w:val="none"/>
          <w:u w:val="single"/>
          <w:lang w:val="en-US" w:eastAsia="zh-CN"/>
        </w:rPr>
        <w:t>工段</w:t>
      </w:r>
      <w:r>
        <w:rPr>
          <w:color w:val="auto"/>
          <w:highlight w:val="none"/>
          <w:u w:val="single"/>
        </w:rPr>
        <w:t>挥发性有机物有组织排放量</w:t>
      </w:r>
      <w:r>
        <w:rPr>
          <w:rFonts w:hint="eastAsia"/>
          <w:color w:val="auto"/>
          <w:highlight w:val="none"/>
          <w:u w:val="single"/>
          <w:lang w:val="en-US" w:eastAsia="zh-CN"/>
        </w:rPr>
        <w:t>总</w:t>
      </w:r>
      <w:r>
        <w:rPr>
          <w:color w:val="auto"/>
          <w:highlight w:val="none"/>
          <w:u w:val="single"/>
        </w:rPr>
        <w:t>为</w:t>
      </w:r>
      <w:r>
        <w:rPr>
          <w:rFonts w:hint="eastAsia"/>
          <w:color w:val="auto"/>
          <w:highlight w:val="none"/>
          <w:u w:val="single"/>
          <w:lang w:val="en-US" w:eastAsia="zh-CN"/>
        </w:rPr>
        <w:t>5.04</w:t>
      </w:r>
      <w:r>
        <w:rPr>
          <w:color w:val="auto"/>
          <w:highlight w:val="none"/>
          <w:u w:val="single"/>
        </w:rPr>
        <w:t>t/a（</w:t>
      </w:r>
      <w:r>
        <w:rPr>
          <w:rFonts w:hint="eastAsia"/>
          <w:color w:val="auto"/>
          <w:highlight w:val="none"/>
          <w:u w:val="single"/>
          <w:lang w:val="en-US" w:eastAsia="zh-CN"/>
        </w:rPr>
        <w:t>0.7</w:t>
      </w:r>
      <w:r>
        <w:rPr>
          <w:color w:val="auto"/>
          <w:highlight w:val="none"/>
          <w:u w:val="single"/>
        </w:rPr>
        <w:t>kg/h）</w:t>
      </w:r>
      <w:r>
        <w:rPr>
          <w:rFonts w:hint="eastAsia"/>
          <w:color w:val="auto"/>
          <w:highlight w:val="none"/>
          <w:u w:val="single"/>
          <w:vertAlign w:val="baseline"/>
          <w:lang w:val="en-US" w:eastAsia="zh-CN"/>
        </w:rPr>
        <w:t>，</w:t>
      </w:r>
      <w:r>
        <w:rPr>
          <w:color w:val="auto"/>
          <w:highlight w:val="none"/>
          <w:u w:val="single"/>
        </w:rPr>
        <w:t>无组织排放量为</w:t>
      </w:r>
      <w:r>
        <w:rPr>
          <w:rFonts w:hint="eastAsia"/>
          <w:color w:val="auto"/>
          <w:highlight w:val="none"/>
          <w:u w:val="single"/>
          <w:lang w:val="en-US" w:eastAsia="zh-CN"/>
        </w:rPr>
        <w:t>2.1</w:t>
      </w:r>
      <w:r>
        <w:rPr>
          <w:color w:val="auto"/>
          <w:highlight w:val="none"/>
          <w:u w:val="single"/>
        </w:rPr>
        <w:t>t/a</w:t>
      </w:r>
      <w:r>
        <w:rPr>
          <w:rFonts w:hint="eastAsia"/>
          <w:color w:val="auto"/>
          <w:highlight w:val="none"/>
          <w:u w:val="single"/>
          <w:lang w:eastAsia="zh-CN"/>
        </w:rPr>
        <w:t>（</w:t>
      </w:r>
      <w:r>
        <w:rPr>
          <w:rFonts w:hint="eastAsia"/>
          <w:color w:val="auto"/>
          <w:highlight w:val="none"/>
          <w:u w:val="single"/>
          <w:lang w:val="en-US" w:eastAsia="zh-CN"/>
        </w:rPr>
        <w:t>0.2917）</w:t>
      </w:r>
      <w:r>
        <w:rPr>
          <w:color w:val="auto"/>
          <w:highlight w:val="none"/>
          <w:u w:val="single"/>
        </w:rPr>
        <w:t>kg/h。</w:t>
      </w:r>
    </w:p>
    <w:p>
      <w:pPr>
        <w:numPr>
          <w:ilvl w:val="0"/>
          <w:numId w:val="4"/>
        </w:numPr>
        <w:ind w:firstLine="482"/>
        <w:rPr>
          <w:rFonts w:hint="eastAsia"/>
          <w:b/>
          <w:bCs/>
          <w:color w:val="auto"/>
          <w:lang w:val="en-US" w:eastAsia="zh-CN"/>
        </w:rPr>
      </w:pPr>
      <w:r>
        <w:rPr>
          <w:rFonts w:hint="eastAsia"/>
          <w:b/>
          <w:bCs/>
          <w:color w:val="auto"/>
          <w:lang w:val="en-US" w:eastAsia="zh-CN"/>
        </w:rPr>
        <w:t>造粒废气</w:t>
      </w:r>
    </w:p>
    <w:p>
      <w:pPr>
        <w:ind w:firstLine="480"/>
        <w:rPr>
          <w:rFonts w:hint="eastAsia"/>
          <w:color w:val="auto"/>
          <w:highlight w:val="none"/>
          <w:u w:val="single"/>
          <w:lang w:val="en-US" w:eastAsia="zh-CN"/>
        </w:rPr>
      </w:pPr>
      <w:r>
        <w:rPr>
          <w:rFonts w:hint="eastAsia"/>
          <w:color w:val="auto"/>
          <w:highlight w:val="none"/>
          <w:u w:val="single"/>
          <w:lang w:val="en-US" w:eastAsia="zh-CN"/>
        </w:rPr>
        <w:t>项目拟设置一条造粒生产线，该生产线仅回收本项目产生的废边角料，根据建设单位提供的资料，项目年产PE管材3万吨，废边角料约为300t/a。 主要产排污环节为造粒产生的有机废气，根据《排放源统计调查产排污核算方法和系数手册》中292塑料制品行业系数手册，本项目造粒产排污系数如下：</w:t>
      </w:r>
    </w:p>
    <w:p>
      <w:pPr>
        <w:pStyle w:val="31"/>
        <w:rPr>
          <w:color w:val="auto"/>
        </w:rPr>
      </w:pPr>
      <w:r>
        <w:rPr>
          <w:color w:val="auto"/>
        </w:rPr>
        <w:t>表3.7-</w:t>
      </w:r>
      <w:r>
        <w:rPr>
          <w:rFonts w:hint="eastAsia"/>
          <w:color w:val="auto"/>
          <w:lang w:val="en-US" w:eastAsia="zh-CN"/>
        </w:rPr>
        <w:t>2</w:t>
      </w:r>
      <w:r>
        <w:rPr>
          <w:color w:val="auto"/>
        </w:rPr>
        <w:t xml:space="preserve"> </w:t>
      </w:r>
      <w:r>
        <w:rPr>
          <w:rFonts w:hint="eastAsia"/>
          <w:color w:val="auto"/>
        </w:rPr>
        <w:t xml:space="preserve"> </w:t>
      </w:r>
      <w:r>
        <w:rPr>
          <w:rFonts w:hint="eastAsia"/>
          <w:color w:val="auto"/>
          <w:lang w:val="en-US" w:eastAsia="zh-CN"/>
        </w:rPr>
        <w:t>塑料零件及其他塑料制品制造</w:t>
      </w:r>
      <w:r>
        <w:rPr>
          <w:color w:val="auto"/>
        </w:rPr>
        <w:t>行业产排污系数一览表</w:t>
      </w:r>
    </w:p>
    <w:tbl>
      <w:tblPr>
        <w:tblStyle w:val="21"/>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3"/>
        <w:gridCol w:w="1226"/>
        <w:gridCol w:w="907"/>
        <w:gridCol w:w="907"/>
        <w:gridCol w:w="667"/>
        <w:gridCol w:w="705"/>
        <w:gridCol w:w="942"/>
        <w:gridCol w:w="803"/>
        <w:gridCol w:w="803"/>
        <w:gridCol w:w="8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399" w:type="pct"/>
            <w:vAlign w:val="center"/>
          </w:tcPr>
          <w:p>
            <w:pPr>
              <w:pStyle w:val="30"/>
              <w:rPr>
                <w:b/>
                <w:bCs/>
                <w:color w:val="auto"/>
              </w:rPr>
            </w:pPr>
            <w:r>
              <w:rPr>
                <w:b/>
                <w:bCs/>
                <w:color w:val="auto"/>
              </w:rPr>
              <w:t>原料名称</w:t>
            </w:r>
          </w:p>
        </w:tc>
        <w:tc>
          <w:tcPr>
            <w:tcW w:w="724" w:type="pct"/>
            <w:vAlign w:val="center"/>
          </w:tcPr>
          <w:p>
            <w:pPr>
              <w:pStyle w:val="30"/>
              <w:rPr>
                <w:b/>
                <w:bCs/>
                <w:color w:val="auto"/>
              </w:rPr>
            </w:pPr>
            <w:r>
              <w:rPr>
                <w:b/>
                <w:bCs/>
                <w:color w:val="auto"/>
              </w:rPr>
              <w:t>产品名称</w:t>
            </w:r>
          </w:p>
        </w:tc>
        <w:tc>
          <w:tcPr>
            <w:tcW w:w="537" w:type="pct"/>
            <w:vAlign w:val="center"/>
          </w:tcPr>
          <w:p>
            <w:pPr>
              <w:pStyle w:val="30"/>
              <w:rPr>
                <w:b/>
                <w:bCs/>
                <w:color w:val="auto"/>
              </w:rPr>
            </w:pPr>
            <w:r>
              <w:rPr>
                <w:b/>
                <w:bCs/>
                <w:color w:val="auto"/>
              </w:rPr>
              <w:t>工艺名称</w:t>
            </w:r>
          </w:p>
        </w:tc>
        <w:tc>
          <w:tcPr>
            <w:tcW w:w="537" w:type="pct"/>
            <w:vAlign w:val="center"/>
          </w:tcPr>
          <w:p>
            <w:pPr>
              <w:pStyle w:val="30"/>
              <w:rPr>
                <w:b/>
                <w:bCs/>
                <w:color w:val="auto"/>
              </w:rPr>
            </w:pPr>
            <w:r>
              <w:rPr>
                <w:b/>
                <w:bCs/>
                <w:color w:val="auto"/>
              </w:rPr>
              <w:t>规模等级</w:t>
            </w:r>
          </w:p>
        </w:tc>
        <w:tc>
          <w:tcPr>
            <w:tcW w:w="814" w:type="pct"/>
            <w:gridSpan w:val="2"/>
            <w:vAlign w:val="center"/>
          </w:tcPr>
          <w:p>
            <w:pPr>
              <w:pStyle w:val="30"/>
              <w:rPr>
                <w:b/>
                <w:bCs/>
                <w:color w:val="auto"/>
              </w:rPr>
            </w:pPr>
            <w:r>
              <w:rPr>
                <w:b/>
                <w:bCs/>
                <w:color w:val="auto"/>
              </w:rPr>
              <w:t>污染物指标</w:t>
            </w:r>
          </w:p>
        </w:tc>
        <w:tc>
          <w:tcPr>
            <w:tcW w:w="557" w:type="pct"/>
            <w:vAlign w:val="center"/>
          </w:tcPr>
          <w:p>
            <w:pPr>
              <w:pStyle w:val="30"/>
              <w:rPr>
                <w:b/>
                <w:bCs/>
                <w:color w:val="auto"/>
              </w:rPr>
            </w:pPr>
            <w:r>
              <w:rPr>
                <w:b/>
                <w:bCs/>
                <w:color w:val="auto"/>
              </w:rPr>
              <w:t>系数单位</w:t>
            </w:r>
          </w:p>
        </w:tc>
        <w:tc>
          <w:tcPr>
            <w:tcW w:w="476" w:type="pct"/>
            <w:vAlign w:val="center"/>
          </w:tcPr>
          <w:p>
            <w:pPr>
              <w:pStyle w:val="30"/>
              <w:rPr>
                <w:b/>
                <w:bCs/>
                <w:color w:val="auto"/>
              </w:rPr>
            </w:pPr>
            <w:r>
              <w:rPr>
                <w:b/>
                <w:bCs/>
                <w:color w:val="auto"/>
              </w:rPr>
              <w:t>产污系数</w:t>
            </w:r>
          </w:p>
        </w:tc>
        <w:tc>
          <w:tcPr>
            <w:tcW w:w="476" w:type="pct"/>
            <w:vAlign w:val="center"/>
          </w:tcPr>
          <w:p>
            <w:pPr>
              <w:pStyle w:val="30"/>
              <w:rPr>
                <w:rFonts w:hint="default" w:eastAsia="宋体"/>
                <w:b/>
                <w:bCs/>
                <w:color w:val="auto"/>
                <w:lang w:val="en-US" w:eastAsia="zh-CN"/>
              </w:rPr>
            </w:pPr>
            <w:r>
              <w:rPr>
                <w:rFonts w:hint="eastAsia"/>
                <w:b/>
                <w:bCs/>
                <w:color w:val="auto"/>
                <w:lang w:val="en-US" w:eastAsia="zh-CN"/>
              </w:rPr>
              <w:t>治理技术名称</w:t>
            </w:r>
          </w:p>
        </w:tc>
        <w:tc>
          <w:tcPr>
            <w:tcW w:w="476" w:type="pct"/>
            <w:vAlign w:val="center"/>
          </w:tcPr>
          <w:p>
            <w:pPr>
              <w:pStyle w:val="30"/>
              <w:rPr>
                <w:rFonts w:hint="default" w:eastAsia="宋体"/>
                <w:b/>
                <w:bCs/>
                <w:color w:val="auto"/>
                <w:lang w:val="en-US" w:eastAsia="zh-CN"/>
              </w:rPr>
            </w:pPr>
            <w:r>
              <w:rPr>
                <w:rFonts w:hint="eastAsia"/>
                <w:b/>
                <w:bCs/>
                <w:color w:val="auto"/>
                <w:lang w:val="en-US" w:eastAsia="zh-CN"/>
              </w:rPr>
              <w:t>去除效率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399" w:type="pct"/>
            <w:vAlign w:val="center"/>
          </w:tcPr>
          <w:p>
            <w:pPr>
              <w:pStyle w:val="30"/>
              <w:rPr>
                <w:color w:val="auto"/>
              </w:rPr>
            </w:pPr>
            <w:r>
              <w:rPr>
                <w:color w:val="auto"/>
              </w:rPr>
              <w:t>废PE/PP</w:t>
            </w:r>
          </w:p>
        </w:tc>
        <w:tc>
          <w:tcPr>
            <w:tcW w:w="724" w:type="pct"/>
            <w:vAlign w:val="center"/>
          </w:tcPr>
          <w:p>
            <w:pPr>
              <w:pStyle w:val="30"/>
              <w:rPr>
                <w:color w:val="auto"/>
              </w:rPr>
            </w:pPr>
            <w:r>
              <w:rPr>
                <w:color w:val="auto"/>
              </w:rPr>
              <w:t>再生塑料粒子</w:t>
            </w:r>
          </w:p>
        </w:tc>
        <w:tc>
          <w:tcPr>
            <w:tcW w:w="537" w:type="pct"/>
            <w:vAlign w:val="center"/>
          </w:tcPr>
          <w:p>
            <w:pPr>
              <w:pStyle w:val="30"/>
              <w:rPr>
                <w:rFonts w:hint="eastAsia" w:eastAsia="宋体"/>
                <w:color w:val="auto"/>
                <w:lang w:eastAsia="zh-CN"/>
              </w:rPr>
            </w:pPr>
            <w:r>
              <w:rPr>
                <w:rFonts w:hint="eastAsia"/>
                <w:color w:val="auto"/>
                <w:lang w:val="en-US" w:eastAsia="zh-CN"/>
              </w:rPr>
              <w:t>造粒</w:t>
            </w:r>
          </w:p>
        </w:tc>
        <w:tc>
          <w:tcPr>
            <w:tcW w:w="537" w:type="pct"/>
            <w:vAlign w:val="center"/>
          </w:tcPr>
          <w:p>
            <w:pPr>
              <w:pStyle w:val="30"/>
              <w:rPr>
                <w:color w:val="auto"/>
              </w:rPr>
            </w:pPr>
            <w:r>
              <w:rPr>
                <w:color w:val="auto"/>
              </w:rPr>
              <w:t>所有规模</w:t>
            </w:r>
          </w:p>
        </w:tc>
        <w:tc>
          <w:tcPr>
            <w:tcW w:w="396" w:type="pct"/>
            <w:vAlign w:val="center"/>
          </w:tcPr>
          <w:p>
            <w:pPr>
              <w:pStyle w:val="30"/>
              <w:rPr>
                <w:color w:val="auto"/>
              </w:rPr>
            </w:pPr>
            <w:r>
              <w:rPr>
                <w:color w:val="auto"/>
              </w:rPr>
              <w:t>废气</w:t>
            </w:r>
          </w:p>
        </w:tc>
        <w:tc>
          <w:tcPr>
            <w:tcW w:w="417" w:type="pct"/>
            <w:vAlign w:val="center"/>
          </w:tcPr>
          <w:p>
            <w:pPr>
              <w:pStyle w:val="30"/>
              <w:rPr>
                <w:rFonts w:hint="default" w:eastAsia="宋体"/>
                <w:color w:val="auto"/>
                <w:lang w:val="en-US" w:eastAsia="zh-CN"/>
              </w:rPr>
            </w:pPr>
            <w:r>
              <w:rPr>
                <w:rFonts w:hint="eastAsia"/>
                <w:color w:val="auto"/>
                <w:lang w:val="en-US" w:eastAsia="zh-CN"/>
              </w:rPr>
              <w:t>挥发性有机物</w:t>
            </w:r>
          </w:p>
        </w:tc>
        <w:tc>
          <w:tcPr>
            <w:tcW w:w="557" w:type="pct"/>
            <w:vAlign w:val="center"/>
          </w:tcPr>
          <w:p>
            <w:pPr>
              <w:pStyle w:val="30"/>
              <w:rPr>
                <w:color w:val="auto"/>
              </w:rPr>
            </w:pPr>
            <w:r>
              <w:rPr>
                <w:rFonts w:hint="eastAsia"/>
                <w:color w:val="auto"/>
                <w:lang w:val="en-US" w:eastAsia="zh-CN"/>
              </w:rPr>
              <w:t>千</w:t>
            </w:r>
            <w:r>
              <w:rPr>
                <w:color w:val="auto"/>
              </w:rPr>
              <w:t>克/吨-产品</w:t>
            </w:r>
          </w:p>
        </w:tc>
        <w:tc>
          <w:tcPr>
            <w:tcW w:w="476" w:type="pct"/>
            <w:vAlign w:val="center"/>
          </w:tcPr>
          <w:p>
            <w:pPr>
              <w:pStyle w:val="30"/>
              <w:rPr>
                <w:rFonts w:hint="default" w:eastAsia="宋体"/>
                <w:color w:val="auto"/>
                <w:lang w:val="en-US" w:eastAsia="zh-CN"/>
              </w:rPr>
            </w:pPr>
            <w:r>
              <w:rPr>
                <w:rFonts w:hint="eastAsia"/>
                <w:color w:val="auto"/>
                <w:lang w:val="en-US" w:eastAsia="zh-CN"/>
              </w:rPr>
              <w:t>4.60</w:t>
            </w:r>
          </w:p>
        </w:tc>
        <w:tc>
          <w:tcPr>
            <w:tcW w:w="476" w:type="pct"/>
            <w:vAlign w:val="center"/>
          </w:tcPr>
          <w:p>
            <w:pPr>
              <w:pStyle w:val="30"/>
              <w:rPr>
                <w:rFonts w:hint="default" w:eastAsia="宋体"/>
                <w:color w:val="auto"/>
                <w:lang w:val="en-US" w:eastAsia="zh-CN"/>
              </w:rPr>
            </w:pPr>
            <w:r>
              <w:rPr>
                <w:rFonts w:hint="eastAsia"/>
                <w:color w:val="auto"/>
                <w:lang w:val="en-US" w:eastAsia="zh-CN"/>
              </w:rPr>
              <w:t>活性炭吸附</w:t>
            </w:r>
          </w:p>
        </w:tc>
        <w:tc>
          <w:tcPr>
            <w:tcW w:w="476" w:type="pct"/>
            <w:vAlign w:val="center"/>
          </w:tcPr>
          <w:p>
            <w:pPr>
              <w:pStyle w:val="30"/>
              <w:rPr>
                <w:rFonts w:hint="default" w:eastAsia="宋体"/>
                <w:color w:val="auto"/>
                <w:lang w:val="en-US" w:eastAsia="zh-CN"/>
              </w:rPr>
            </w:pPr>
            <w:r>
              <w:rPr>
                <w:rFonts w:hint="eastAsia"/>
                <w:color w:val="auto"/>
                <w:lang w:val="en-US" w:eastAsia="zh-CN"/>
              </w:rPr>
              <w:t>21%</w:t>
            </w:r>
          </w:p>
        </w:tc>
      </w:tr>
    </w:tbl>
    <w:p>
      <w:pPr>
        <w:ind w:firstLine="480"/>
        <w:rPr>
          <w:rFonts w:hint="default" w:eastAsia="宋体"/>
          <w:color w:val="auto"/>
          <w:u w:val="single"/>
          <w:lang w:val="en-US" w:eastAsia="zh-CN"/>
        </w:rPr>
      </w:pPr>
      <w:r>
        <w:rPr>
          <w:rFonts w:hint="eastAsia"/>
          <w:color w:val="auto"/>
          <w:u w:val="single"/>
          <w:lang w:val="en-US" w:eastAsia="zh-CN"/>
        </w:rPr>
        <w:t>本项目拟在造粒机废气产生口安装集气罩收集废气，</w:t>
      </w:r>
      <w:r>
        <w:rPr>
          <w:color w:val="auto"/>
          <w:u w:val="single"/>
        </w:rPr>
        <w:t>废气</w:t>
      </w:r>
      <w:r>
        <w:rPr>
          <w:rFonts w:hint="eastAsia"/>
          <w:color w:val="auto"/>
          <w:u w:val="single"/>
        </w:rPr>
        <w:t>经两级</w:t>
      </w:r>
      <w:r>
        <w:rPr>
          <w:color w:val="auto"/>
          <w:u w:val="single"/>
        </w:rPr>
        <w:t>活性炭吸附处理后，经</w:t>
      </w:r>
      <w:r>
        <w:rPr>
          <w:rFonts w:hint="eastAsia"/>
          <w:color w:val="auto"/>
          <w:u w:val="single"/>
          <w:lang w:val="en-US" w:eastAsia="zh-CN"/>
        </w:rPr>
        <w:t>过一根</w:t>
      </w:r>
      <w:r>
        <w:rPr>
          <w:rFonts w:hint="eastAsia"/>
          <w:color w:val="auto"/>
          <w:u w:val="single"/>
          <w:lang w:eastAsia="zh-CN"/>
        </w:rPr>
        <w:t>18m高排气筒</w:t>
      </w:r>
      <w:r>
        <w:rPr>
          <w:color w:val="auto"/>
          <w:u w:val="single"/>
        </w:rPr>
        <w:t>（</w:t>
      </w:r>
      <w:r>
        <w:rPr>
          <w:rFonts w:hint="eastAsia"/>
          <w:color w:val="auto"/>
          <w:u w:val="single"/>
        </w:rPr>
        <w:t>DA001</w:t>
      </w:r>
      <w:r>
        <w:rPr>
          <w:color w:val="auto"/>
          <w:u w:val="single"/>
        </w:rPr>
        <w:t>）排放</w:t>
      </w:r>
      <w:r>
        <w:rPr>
          <w:rFonts w:hint="eastAsia"/>
          <w:color w:val="auto"/>
          <w:u w:val="single"/>
          <w:lang w:eastAsia="zh-CN"/>
        </w:rPr>
        <w:t>，</w:t>
      </w:r>
      <w:r>
        <w:rPr>
          <w:rFonts w:hint="eastAsia"/>
          <w:color w:val="auto"/>
          <w:u w:val="single"/>
          <w:lang w:val="en-US" w:eastAsia="zh-CN"/>
        </w:rPr>
        <w:t>风机风量为2000m</w:t>
      </w:r>
      <w:r>
        <w:rPr>
          <w:rFonts w:hint="eastAsia"/>
          <w:color w:val="auto"/>
          <w:u w:val="single"/>
          <w:vertAlign w:val="superscript"/>
          <w:lang w:val="en-US" w:eastAsia="zh-CN"/>
        </w:rPr>
        <w:t>3</w:t>
      </w:r>
      <w:r>
        <w:rPr>
          <w:rFonts w:hint="eastAsia"/>
          <w:color w:val="auto"/>
          <w:u w:val="single"/>
          <w:lang w:val="en-US" w:eastAsia="zh-CN"/>
        </w:rPr>
        <w:t>/h。造粒机为密闭设备，采用密闭式集气罩对造粒机出口处排放的有机废气进行负压收集，收集效率约可达80%，该生产线产生的有机废气进入两级活性炭吸附后进入18m高排气筒（DA001）排放，两级活性炭吸附处理效率约为40%，则本工段产生的挥发性有机物产生量约为1.38t/a（0.1916kg/h），有组织排放量约为0.6624t/a(0.092kg/h)，无组织排放量约为0.276t/a(0.0383kg/h)。</w:t>
      </w:r>
    </w:p>
    <w:p>
      <w:pPr>
        <w:numPr>
          <w:ilvl w:val="0"/>
          <w:numId w:val="4"/>
        </w:numPr>
        <w:ind w:firstLine="482"/>
        <w:rPr>
          <w:rFonts w:hint="eastAsia"/>
          <w:b/>
          <w:bCs/>
          <w:color w:val="auto"/>
          <w:lang w:val="en-US" w:eastAsia="zh-CN"/>
        </w:rPr>
      </w:pPr>
      <w:r>
        <w:rPr>
          <w:rFonts w:hint="eastAsia"/>
          <w:b/>
          <w:bCs/>
          <w:color w:val="auto"/>
          <w:lang w:val="en-US" w:eastAsia="zh-CN"/>
        </w:rPr>
        <w:t>臭气</w:t>
      </w:r>
    </w:p>
    <w:p>
      <w:pPr>
        <w:ind w:firstLine="480"/>
        <w:rPr>
          <w:color w:val="auto"/>
        </w:rPr>
      </w:pPr>
      <w:r>
        <w:rPr>
          <w:color w:val="auto"/>
        </w:rPr>
        <w:t>项目树脂受热挤出时会产生少量的臭气，难以定量。根据项目工艺设计，臭气经排风装置加强车间通风处理，经采取上述措施后，臭气可以得到有效削减，排放臭气对车间操作环境及周围大气环境影响较小，本次评价不做定量分析。</w:t>
      </w:r>
    </w:p>
    <w:p>
      <w:pPr>
        <w:ind w:firstLine="480"/>
        <w:rPr>
          <w:color w:val="auto"/>
        </w:rPr>
      </w:pPr>
      <w:r>
        <w:rPr>
          <w:color w:val="auto"/>
        </w:rPr>
        <w:t>综上所述，本项目废气污染物产排量详见下表。</w:t>
      </w:r>
    </w:p>
    <w:p>
      <w:pPr>
        <w:pStyle w:val="31"/>
        <w:rPr>
          <w:color w:val="auto"/>
        </w:rPr>
      </w:pPr>
      <w:r>
        <w:rPr>
          <w:color w:val="auto"/>
        </w:rPr>
        <w:t>表3.7-3   废气污染源强核算结果及相关参数一览表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659"/>
        <w:gridCol w:w="835"/>
        <w:gridCol w:w="1035"/>
        <w:gridCol w:w="871"/>
        <w:gridCol w:w="1357"/>
        <w:gridCol w:w="1219"/>
        <w:gridCol w:w="1035"/>
        <w:gridCol w:w="8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tblHeader/>
          <w:jc w:val="center"/>
        </w:trPr>
        <w:tc>
          <w:tcPr>
            <w:tcW w:w="373" w:type="pct"/>
            <w:vMerge w:val="restart"/>
            <w:vAlign w:val="center"/>
          </w:tcPr>
          <w:p>
            <w:pPr>
              <w:pStyle w:val="30"/>
              <w:rPr>
                <w:b/>
                <w:bCs/>
                <w:color w:val="auto"/>
              </w:rPr>
            </w:pPr>
            <w:r>
              <w:rPr>
                <w:b/>
                <w:bCs/>
                <w:color w:val="auto"/>
              </w:rPr>
              <w:t>装置/工序</w:t>
            </w:r>
          </w:p>
        </w:tc>
        <w:tc>
          <w:tcPr>
            <w:tcW w:w="387" w:type="pct"/>
            <w:vMerge w:val="restart"/>
            <w:vAlign w:val="center"/>
          </w:tcPr>
          <w:p>
            <w:pPr>
              <w:pStyle w:val="30"/>
              <w:rPr>
                <w:b/>
                <w:bCs/>
                <w:color w:val="auto"/>
              </w:rPr>
            </w:pPr>
            <w:r>
              <w:rPr>
                <w:rFonts w:hint="eastAsia"/>
                <w:b/>
                <w:bCs/>
                <w:color w:val="auto"/>
              </w:rPr>
              <w:t>污染物种类</w:t>
            </w:r>
          </w:p>
        </w:tc>
        <w:tc>
          <w:tcPr>
            <w:tcW w:w="489" w:type="pct"/>
            <w:vMerge w:val="restart"/>
            <w:vAlign w:val="center"/>
          </w:tcPr>
          <w:p>
            <w:pPr>
              <w:pStyle w:val="30"/>
              <w:rPr>
                <w:b/>
                <w:bCs/>
                <w:color w:val="auto"/>
              </w:rPr>
            </w:pPr>
            <w:r>
              <w:rPr>
                <w:rFonts w:hint="eastAsia"/>
                <w:b/>
                <w:bCs/>
                <w:color w:val="auto"/>
              </w:rPr>
              <w:t>排放形式</w:t>
            </w:r>
          </w:p>
        </w:tc>
        <w:tc>
          <w:tcPr>
            <w:tcW w:w="1118" w:type="pct"/>
            <w:gridSpan w:val="2"/>
            <w:vAlign w:val="center"/>
          </w:tcPr>
          <w:p>
            <w:pPr>
              <w:pStyle w:val="30"/>
              <w:rPr>
                <w:b/>
                <w:bCs/>
                <w:color w:val="auto"/>
              </w:rPr>
            </w:pPr>
            <w:r>
              <w:rPr>
                <w:b/>
                <w:bCs/>
                <w:color w:val="auto"/>
              </w:rPr>
              <w:t>污染物产生</w:t>
            </w:r>
            <w:r>
              <w:rPr>
                <w:rFonts w:hint="eastAsia"/>
                <w:b/>
                <w:bCs/>
                <w:color w:val="auto"/>
              </w:rPr>
              <w:t>情况</w:t>
            </w:r>
          </w:p>
        </w:tc>
        <w:tc>
          <w:tcPr>
            <w:tcW w:w="796" w:type="pct"/>
            <w:vMerge w:val="restart"/>
            <w:vAlign w:val="center"/>
          </w:tcPr>
          <w:p>
            <w:pPr>
              <w:pStyle w:val="30"/>
              <w:rPr>
                <w:b/>
                <w:bCs/>
                <w:color w:val="auto"/>
              </w:rPr>
            </w:pPr>
            <w:r>
              <w:rPr>
                <w:rFonts w:hint="eastAsia"/>
                <w:b/>
                <w:bCs/>
                <w:color w:val="auto"/>
              </w:rPr>
              <w:t>收集处理效率</w:t>
            </w:r>
          </w:p>
        </w:tc>
        <w:tc>
          <w:tcPr>
            <w:tcW w:w="1835" w:type="pct"/>
            <w:gridSpan w:val="3"/>
            <w:vAlign w:val="center"/>
          </w:tcPr>
          <w:p>
            <w:pPr>
              <w:pStyle w:val="30"/>
              <w:rPr>
                <w:b/>
                <w:bCs/>
                <w:color w:val="auto"/>
              </w:rPr>
            </w:pPr>
            <w:r>
              <w:rPr>
                <w:rFonts w:hint="eastAsia"/>
                <w:b/>
                <w:bCs/>
                <w:color w:val="auto"/>
              </w:rPr>
              <w:t>污染物排放情况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tblHeader/>
          <w:jc w:val="center"/>
        </w:trPr>
        <w:tc>
          <w:tcPr>
            <w:tcW w:w="373" w:type="pct"/>
            <w:vMerge w:val="continue"/>
            <w:vAlign w:val="center"/>
          </w:tcPr>
          <w:p>
            <w:pPr>
              <w:pStyle w:val="30"/>
              <w:rPr>
                <w:b/>
                <w:bCs/>
                <w:color w:val="auto"/>
              </w:rPr>
            </w:pPr>
          </w:p>
        </w:tc>
        <w:tc>
          <w:tcPr>
            <w:tcW w:w="387" w:type="pct"/>
            <w:vMerge w:val="continue"/>
            <w:vAlign w:val="center"/>
          </w:tcPr>
          <w:p>
            <w:pPr>
              <w:pStyle w:val="30"/>
              <w:rPr>
                <w:b/>
                <w:bCs/>
                <w:color w:val="auto"/>
              </w:rPr>
            </w:pPr>
          </w:p>
        </w:tc>
        <w:tc>
          <w:tcPr>
            <w:tcW w:w="489" w:type="pct"/>
            <w:vMerge w:val="continue"/>
            <w:vAlign w:val="center"/>
          </w:tcPr>
          <w:p>
            <w:pPr>
              <w:pStyle w:val="30"/>
              <w:rPr>
                <w:b/>
                <w:bCs/>
                <w:color w:val="auto"/>
              </w:rPr>
            </w:pPr>
          </w:p>
        </w:tc>
        <w:tc>
          <w:tcPr>
            <w:tcW w:w="607" w:type="pct"/>
            <w:vAlign w:val="center"/>
          </w:tcPr>
          <w:p>
            <w:pPr>
              <w:pStyle w:val="30"/>
              <w:rPr>
                <w:b/>
                <w:bCs/>
                <w:color w:val="auto"/>
              </w:rPr>
            </w:pPr>
            <w:r>
              <w:rPr>
                <w:b/>
                <w:bCs/>
                <w:color w:val="auto"/>
              </w:rPr>
              <w:t>产生速率（kg/h）</w:t>
            </w:r>
          </w:p>
        </w:tc>
        <w:tc>
          <w:tcPr>
            <w:tcW w:w="511" w:type="pct"/>
            <w:vAlign w:val="center"/>
          </w:tcPr>
          <w:p>
            <w:pPr>
              <w:pStyle w:val="30"/>
              <w:rPr>
                <w:b/>
                <w:bCs/>
                <w:color w:val="auto"/>
              </w:rPr>
            </w:pPr>
            <w:r>
              <w:rPr>
                <w:b/>
                <w:bCs/>
                <w:color w:val="auto"/>
              </w:rPr>
              <w:t>产生量（t/a）</w:t>
            </w:r>
          </w:p>
        </w:tc>
        <w:tc>
          <w:tcPr>
            <w:tcW w:w="796" w:type="pct"/>
            <w:vMerge w:val="continue"/>
            <w:vAlign w:val="center"/>
          </w:tcPr>
          <w:p>
            <w:pPr>
              <w:pStyle w:val="30"/>
              <w:rPr>
                <w:b/>
                <w:bCs/>
                <w:color w:val="auto"/>
              </w:rPr>
            </w:pPr>
          </w:p>
        </w:tc>
        <w:tc>
          <w:tcPr>
            <w:tcW w:w="715" w:type="pct"/>
            <w:vAlign w:val="center"/>
          </w:tcPr>
          <w:p>
            <w:pPr>
              <w:pStyle w:val="30"/>
              <w:rPr>
                <w:b/>
                <w:bCs/>
                <w:color w:val="auto"/>
              </w:rPr>
            </w:pPr>
            <w:r>
              <w:rPr>
                <w:b/>
                <w:bCs/>
                <w:color w:val="auto"/>
              </w:rPr>
              <w:t>浓度（mg/m</w:t>
            </w:r>
            <w:r>
              <w:rPr>
                <w:b/>
                <w:bCs/>
                <w:color w:val="auto"/>
                <w:vertAlign w:val="superscript"/>
              </w:rPr>
              <w:t>3</w:t>
            </w:r>
            <w:r>
              <w:rPr>
                <w:b/>
                <w:bCs/>
                <w:color w:val="auto"/>
              </w:rPr>
              <w:t>）</w:t>
            </w:r>
          </w:p>
        </w:tc>
        <w:tc>
          <w:tcPr>
            <w:tcW w:w="607" w:type="pct"/>
            <w:vAlign w:val="center"/>
          </w:tcPr>
          <w:p>
            <w:pPr>
              <w:pStyle w:val="30"/>
              <w:rPr>
                <w:b/>
                <w:bCs/>
                <w:color w:val="auto"/>
              </w:rPr>
            </w:pPr>
            <w:r>
              <w:rPr>
                <w:b/>
                <w:bCs/>
                <w:color w:val="auto"/>
              </w:rPr>
              <w:t>排放速率（kg/h）</w:t>
            </w:r>
          </w:p>
        </w:tc>
        <w:tc>
          <w:tcPr>
            <w:tcW w:w="512" w:type="pct"/>
            <w:vAlign w:val="center"/>
          </w:tcPr>
          <w:p>
            <w:pPr>
              <w:pStyle w:val="30"/>
              <w:rPr>
                <w:b/>
                <w:bCs/>
                <w:color w:val="auto"/>
              </w:rPr>
            </w:pPr>
            <w:r>
              <w:rPr>
                <w:b/>
                <w:bCs/>
                <w:color w:val="auto"/>
              </w:rPr>
              <w:t>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373" w:type="pct"/>
            <w:vMerge w:val="restart"/>
            <w:vAlign w:val="center"/>
          </w:tcPr>
          <w:p>
            <w:pPr>
              <w:pStyle w:val="30"/>
              <w:rPr>
                <w:rFonts w:hint="default" w:eastAsia="宋体"/>
                <w:color w:val="auto"/>
                <w:lang w:val="en-US" w:eastAsia="zh-CN"/>
              </w:rPr>
            </w:pPr>
            <w:r>
              <w:rPr>
                <w:color w:val="auto"/>
              </w:rPr>
              <w:t>挤出</w:t>
            </w:r>
            <w:r>
              <w:rPr>
                <w:rFonts w:hint="eastAsia"/>
                <w:color w:val="auto"/>
                <w:lang w:eastAsia="zh-CN"/>
              </w:rPr>
              <w:t>、</w:t>
            </w:r>
            <w:r>
              <w:rPr>
                <w:rFonts w:hint="eastAsia"/>
                <w:color w:val="auto"/>
                <w:lang w:val="en-US" w:eastAsia="zh-CN"/>
              </w:rPr>
              <w:t>造粒</w:t>
            </w:r>
          </w:p>
        </w:tc>
        <w:tc>
          <w:tcPr>
            <w:tcW w:w="387" w:type="pct"/>
            <w:vMerge w:val="restart"/>
            <w:vAlign w:val="center"/>
          </w:tcPr>
          <w:p>
            <w:pPr>
              <w:pStyle w:val="30"/>
              <w:rPr>
                <w:color w:val="auto"/>
              </w:rPr>
            </w:pPr>
            <w:r>
              <w:rPr>
                <w:rFonts w:hint="eastAsia"/>
                <w:color w:val="auto"/>
              </w:rPr>
              <w:t>非甲烷总烃</w:t>
            </w:r>
          </w:p>
        </w:tc>
        <w:tc>
          <w:tcPr>
            <w:tcW w:w="489" w:type="pct"/>
            <w:vAlign w:val="center"/>
          </w:tcPr>
          <w:p>
            <w:pPr>
              <w:pStyle w:val="30"/>
              <w:rPr>
                <w:rFonts w:hint="default" w:eastAsia="宋体"/>
                <w:color w:val="auto"/>
                <w:lang w:val="en-US" w:eastAsia="zh-CN"/>
              </w:rPr>
            </w:pPr>
            <w:r>
              <w:rPr>
                <w:rFonts w:hint="eastAsia"/>
                <w:color w:val="auto"/>
                <w:lang w:val="en-US" w:eastAsia="zh-CN"/>
              </w:rPr>
              <w:t>DA001</w:t>
            </w:r>
          </w:p>
        </w:tc>
        <w:tc>
          <w:tcPr>
            <w:tcW w:w="607" w:type="pct"/>
            <w:vMerge w:val="restart"/>
            <w:vAlign w:val="center"/>
          </w:tcPr>
          <w:p>
            <w:pPr>
              <w:pStyle w:val="30"/>
              <w:rPr>
                <w:rFonts w:hint="default" w:eastAsia="宋体"/>
                <w:color w:val="auto"/>
                <w:lang w:val="en-US" w:eastAsia="zh-CN"/>
              </w:rPr>
            </w:pPr>
            <w:r>
              <w:rPr>
                <w:rFonts w:hint="eastAsia"/>
                <w:color w:val="auto"/>
                <w:lang w:val="en-US" w:eastAsia="zh-CN"/>
              </w:rPr>
              <w:t>1.6516</w:t>
            </w:r>
          </w:p>
        </w:tc>
        <w:tc>
          <w:tcPr>
            <w:tcW w:w="511" w:type="pct"/>
            <w:vMerge w:val="restart"/>
            <w:vAlign w:val="center"/>
          </w:tcPr>
          <w:p>
            <w:pPr>
              <w:pStyle w:val="30"/>
              <w:rPr>
                <w:rFonts w:hint="default" w:eastAsia="宋体"/>
                <w:color w:val="auto"/>
                <w:lang w:val="en-US" w:eastAsia="zh-CN"/>
              </w:rPr>
            </w:pPr>
            <w:r>
              <w:rPr>
                <w:rFonts w:hint="eastAsia"/>
                <w:color w:val="auto"/>
                <w:lang w:val="en-US" w:eastAsia="zh-CN"/>
              </w:rPr>
              <w:t>11.88</w:t>
            </w:r>
          </w:p>
        </w:tc>
        <w:tc>
          <w:tcPr>
            <w:tcW w:w="796" w:type="pct"/>
            <w:vAlign w:val="center"/>
          </w:tcPr>
          <w:p>
            <w:pPr>
              <w:pStyle w:val="30"/>
              <w:rPr>
                <w:color w:val="auto"/>
              </w:rPr>
            </w:pPr>
            <w:r>
              <w:rPr>
                <w:rFonts w:hint="eastAsia"/>
                <w:color w:val="auto"/>
              </w:rPr>
              <w:t>收集效率</w:t>
            </w:r>
            <w:r>
              <w:rPr>
                <w:rFonts w:hint="eastAsia"/>
                <w:color w:val="auto"/>
                <w:lang w:val="en-US" w:eastAsia="zh-CN"/>
              </w:rPr>
              <w:t>8</w:t>
            </w:r>
            <w:r>
              <w:rPr>
                <w:rFonts w:hint="eastAsia"/>
                <w:color w:val="auto"/>
              </w:rPr>
              <w:t>0%，处理效率</w:t>
            </w:r>
            <w:r>
              <w:rPr>
                <w:rFonts w:hint="eastAsia"/>
                <w:color w:val="auto"/>
                <w:lang w:val="en-US" w:eastAsia="zh-CN"/>
              </w:rPr>
              <w:t>40</w:t>
            </w:r>
            <w:r>
              <w:rPr>
                <w:rFonts w:hint="eastAsia"/>
                <w:color w:val="auto"/>
              </w:rPr>
              <w:t>%</w:t>
            </w:r>
          </w:p>
        </w:tc>
        <w:tc>
          <w:tcPr>
            <w:tcW w:w="715" w:type="pct"/>
            <w:vAlign w:val="center"/>
          </w:tcPr>
          <w:p>
            <w:pPr>
              <w:pStyle w:val="30"/>
              <w:rPr>
                <w:rFonts w:hint="default" w:eastAsia="宋体"/>
                <w:color w:val="auto"/>
                <w:lang w:val="en-US" w:eastAsia="zh-CN"/>
              </w:rPr>
            </w:pPr>
            <w:r>
              <w:rPr>
                <w:rFonts w:hint="eastAsia"/>
                <w:color w:val="auto"/>
                <w:lang w:val="en-US" w:eastAsia="zh-CN"/>
              </w:rPr>
              <w:t>24.75</w:t>
            </w:r>
          </w:p>
        </w:tc>
        <w:tc>
          <w:tcPr>
            <w:tcW w:w="607" w:type="pct"/>
            <w:vAlign w:val="center"/>
          </w:tcPr>
          <w:p>
            <w:pPr>
              <w:pStyle w:val="30"/>
              <w:rPr>
                <w:rFonts w:hint="default" w:eastAsia="宋体"/>
                <w:color w:val="auto"/>
                <w:lang w:val="en-US" w:eastAsia="zh-CN"/>
              </w:rPr>
            </w:pPr>
            <w:r>
              <w:rPr>
                <w:rFonts w:hint="eastAsia"/>
                <w:color w:val="auto"/>
                <w:lang w:val="en-US" w:eastAsia="zh-CN"/>
              </w:rPr>
              <w:t>0.792</w:t>
            </w:r>
          </w:p>
        </w:tc>
        <w:tc>
          <w:tcPr>
            <w:tcW w:w="512" w:type="pct"/>
            <w:vAlign w:val="center"/>
          </w:tcPr>
          <w:p>
            <w:pPr>
              <w:pStyle w:val="30"/>
              <w:rPr>
                <w:rFonts w:hint="default" w:eastAsia="宋体"/>
                <w:color w:val="auto"/>
                <w:lang w:val="en-US" w:eastAsia="zh-CN"/>
              </w:rPr>
            </w:pPr>
            <w:r>
              <w:rPr>
                <w:rFonts w:hint="eastAsia"/>
                <w:color w:val="auto"/>
                <w:lang w:val="en-US" w:eastAsia="zh-CN"/>
              </w:rPr>
              <w:t>5.7024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373" w:type="pct"/>
            <w:vMerge w:val="continue"/>
            <w:vAlign w:val="center"/>
          </w:tcPr>
          <w:p>
            <w:pPr>
              <w:pStyle w:val="30"/>
              <w:rPr>
                <w:color w:val="auto"/>
              </w:rPr>
            </w:pPr>
          </w:p>
        </w:tc>
        <w:tc>
          <w:tcPr>
            <w:tcW w:w="387" w:type="pct"/>
            <w:vMerge w:val="continue"/>
            <w:vAlign w:val="center"/>
          </w:tcPr>
          <w:p>
            <w:pPr>
              <w:pStyle w:val="30"/>
              <w:rPr>
                <w:color w:val="auto"/>
              </w:rPr>
            </w:pPr>
          </w:p>
        </w:tc>
        <w:tc>
          <w:tcPr>
            <w:tcW w:w="489" w:type="pct"/>
            <w:vAlign w:val="center"/>
          </w:tcPr>
          <w:p>
            <w:pPr>
              <w:pStyle w:val="30"/>
              <w:rPr>
                <w:color w:val="auto"/>
              </w:rPr>
            </w:pPr>
            <w:r>
              <w:rPr>
                <w:rFonts w:hint="eastAsia"/>
                <w:color w:val="auto"/>
              </w:rPr>
              <w:t>无组织</w:t>
            </w:r>
          </w:p>
        </w:tc>
        <w:tc>
          <w:tcPr>
            <w:tcW w:w="607" w:type="pct"/>
            <w:vMerge w:val="continue"/>
            <w:vAlign w:val="center"/>
          </w:tcPr>
          <w:p>
            <w:pPr>
              <w:pStyle w:val="30"/>
              <w:ind w:firstLine="0" w:firstLineChars="0"/>
              <w:rPr>
                <w:rFonts w:hint="default" w:eastAsia="宋体"/>
                <w:color w:val="auto"/>
                <w:lang w:val="en-US" w:eastAsia="zh-CN"/>
              </w:rPr>
            </w:pPr>
          </w:p>
        </w:tc>
        <w:tc>
          <w:tcPr>
            <w:tcW w:w="511" w:type="pct"/>
            <w:vMerge w:val="continue"/>
            <w:vAlign w:val="center"/>
          </w:tcPr>
          <w:p>
            <w:pPr>
              <w:pStyle w:val="30"/>
              <w:ind w:firstLine="0" w:firstLineChars="0"/>
              <w:rPr>
                <w:rFonts w:hint="default" w:eastAsia="宋体"/>
                <w:color w:val="auto"/>
                <w:lang w:val="en-US" w:eastAsia="zh-CN"/>
              </w:rPr>
            </w:pPr>
          </w:p>
        </w:tc>
        <w:tc>
          <w:tcPr>
            <w:tcW w:w="796" w:type="pct"/>
            <w:vAlign w:val="center"/>
          </w:tcPr>
          <w:p>
            <w:pPr>
              <w:pStyle w:val="30"/>
              <w:rPr>
                <w:color w:val="auto"/>
              </w:rPr>
            </w:pPr>
            <w:r>
              <w:rPr>
                <w:rFonts w:hint="eastAsia"/>
                <w:color w:val="auto"/>
              </w:rPr>
              <w:t>/</w:t>
            </w:r>
          </w:p>
        </w:tc>
        <w:tc>
          <w:tcPr>
            <w:tcW w:w="715" w:type="pct"/>
            <w:vAlign w:val="center"/>
          </w:tcPr>
          <w:p>
            <w:pPr>
              <w:pStyle w:val="30"/>
              <w:rPr>
                <w:color w:val="auto"/>
              </w:rPr>
            </w:pPr>
            <w:r>
              <w:rPr>
                <w:rFonts w:hint="eastAsia"/>
                <w:color w:val="auto"/>
              </w:rPr>
              <w:t>/</w:t>
            </w:r>
          </w:p>
        </w:tc>
        <w:tc>
          <w:tcPr>
            <w:tcW w:w="607" w:type="pct"/>
            <w:vAlign w:val="center"/>
          </w:tcPr>
          <w:p>
            <w:pPr>
              <w:pStyle w:val="30"/>
              <w:ind w:firstLine="0" w:firstLineChars="0"/>
              <w:rPr>
                <w:rFonts w:hint="default" w:eastAsia="宋体"/>
                <w:color w:val="auto"/>
                <w:lang w:val="en-US" w:eastAsia="zh-CN"/>
              </w:rPr>
            </w:pPr>
            <w:r>
              <w:rPr>
                <w:rFonts w:hint="eastAsia"/>
                <w:color w:val="auto"/>
                <w:lang w:val="en-US" w:eastAsia="zh-CN"/>
              </w:rPr>
              <w:t>0.33</w:t>
            </w:r>
          </w:p>
        </w:tc>
        <w:tc>
          <w:tcPr>
            <w:tcW w:w="512" w:type="pct"/>
            <w:vAlign w:val="center"/>
          </w:tcPr>
          <w:p>
            <w:pPr>
              <w:pStyle w:val="30"/>
              <w:ind w:firstLine="0" w:firstLineChars="0"/>
              <w:rPr>
                <w:rFonts w:hint="default" w:eastAsia="宋体"/>
                <w:color w:val="auto"/>
                <w:lang w:val="en-US" w:eastAsia="zh-CN"/>
              </w:rPr>
            </w:pPr>
            <w:r>
              <w:rPr>
                <w:rFonts w:hint="eastAsia"/>
                <w:color w:val="auto"/>
                <w:lang w:val="en-US" w:eastAsia="zh-CN"/>
              </w:rPr>
              <w:t>2.376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373" w:type="pct"/>
            <w:vMerge w:val="restart"/>
            <w:vAlign w:val="center"/>
          </w:tcPr>
          <w:p>
            <w:pPr>
              <w:pStyle w:val="30"/>
              <w:rPr>
                <w:color w:val="auto"/>
              </w:rPr>
            </w:pPr>
            <w:r>
              <w:rPr>
                <w:rFonts w:hint="eastAsia"/>
                <w:color w:val="auto"/>
              </w:rPr>
              <w:t>破碎</w:t>
            </w:r>
          </w:p>
        </w:tc>
        <w:tc>
          <w:tcPr>
            <w:tcW w:w="387" w:type="pct"/>
            <w:vMerge w:val="restart"/>
            <w:vAlign w:val="center"/>
          </w:tcPr>
          <w:p>
            <w:pPr>
              <w:pStyle w:val="30"/>
              <w:rPr>
                <w:rFonts w:hint="eastAsia" w:eastAsia="宋体"/>
                <w:color w:val="auto"/>
                <w:lang w:val="en-US" w:eastAsia="zh-CN"/>
              </w:rPr>
            </w:pPr>
            <w:r>
              <w:rPr>
                <w:rFonts w:hint="eastAsia"/>
                <w:color w:val="auto"/>
                <w:lang w:val="en-US" w:eastAsia="zh-CN"/>
              </w:rPr>
              <w:t>颗粒物</w:t>
            </w:r>
          </w:p>
        </w:tc>
        <w:tc>
          <w:tcPr>
            <w:tcW w:w="489" w:type="pct"/>
            <w:vAlign w:val="center"/>
          </w:tcPr>
          <w:p>
            <w:pPr>
              <w:pStyle w:val="30"/>
              <w:rPr>
                <w:rFonts w:hint="default"/>
                <w:color w:val="auto"/>
                <w:lang w:val="en-US" w:eastAsia="zh-CN"/>
              </w:rPr>
            </w:pPr>
            <w:r>
              <w:rPr>
                <w:rFonts w:hint="eastAsia"/>
                <w:color w:val="auto"/>
                <w:lang w:val="en-US" w:eastAsia="zh-CN"/>
              </w:rPr>
              <w:t>DA002</w:t>
            </w:r>
          </w:p>
        </w:tc>
        <w:tc>
          <w:tcPr>
            <w:tcW w:w="607" w:type="pct"/>
            <w:vAlign w:val="center"/>
          </w:tcPr>
          <w:p>
            <w:pPr>
              <w:pStyle w:val="30"/>
              <w:rPr>
                <w:rFonts w:hint="default" w:eastAsia="宋体"/>
                <w:color w:val="auto"/>
                <w:lang w:val="en-US" w:eastAsia="zh-CN"/>
              </w:rPr>
            </w:pPr>
            <w:r>
              <w:rPr>
                <w:rFonts w:hint="eastAsia"/>
                <w:color w:val="auto"/>
                <w:lang w:val="en-US" w:eastAsia="zh-CN"/>
              </w:rPr>
              <w:t>0.0156</w:t>
            </w:r>
          </w:p>
        </w:tc>
        <w:tc>
          <w:tcPr>
            <w:tcW w:w="511" w:type="pct"/>
            <w:vAlign w:val="center"/>
          </w:tcPr>
          <w:p>
            <w:pPr>
              <w:pStyle w:val="30"/>
              <w:rPr>
                <w:rFonts w:hint="default" w:eastAsia="宋体"/>
                <w:color w:val="auto"/>
                <w:lang w:val="en-US" w:eastAsia="zh-CN"/>
              </w:rPr>
            </w:pPr>
            <w:r>
              <w:rPr>
                <w:rFonts w:hint="eastAsia"/>
                <w:color w:val="auto"/>
                <w:lang w:val="en-US" w:eastAsia="zh-CN"/>
              </w:rPr>
              <w:t>0.1125</w:t>
            </w:r>
          </w:p>
        </w:tc>
        <w:tc>
          <w:tcPr>
            <w:tcW w:w="796" w:type="pct"/>
            <w:vAlign w:val="center"/>
          </w:tcPr>
          <w:p>
            <w:pPr>
              <w:pStyle w:val="30"/>
              <w:rPr>
                <w:color w:val="auto"/>
              </w:rPr>
            </w:pPr>
            <w:r>
              <w:rPr>
                <w:rFonts w:hint="eastAsia"/>
                <w:color w:val="auto"/>
              </w:rPr>
              <w:t>收集效率</w:t>
            </w:r>
            <w:r>
              <w:rPr>
                <w:rFonts w:hint="eastAsia"/>
                <w:color w:val="auto"/>
                <w:lang w:val="en-US" w:eastAsia="zh-CN"/>
              </w:rPr>
              <w:t>8</w:t>
            </w:r>
            <w:r>
              <w:rPr>
                <w:rFonts w:hint="eastAsia"/>
                <w:color w:val="auto"/>
              </w:rPr>
              <w:t>0%，处理效率</w:t>
            </w:r>
            <w:r>
              <w:rPr>
                <w:rFonts w:hint="eastAsia"/>
                <w:color w:val="auto"/>
                <w:lang w:val="en-US" w:eastAsia="zh-CN"/>
              </w:rPr>
              <w:t>95</w:t>
            </w:r>
            <w:r>
              <w:rPr>
                <w:rFonts w:hint="eastAsia"/>
                <w:color w:val="auto"/>
              </w:rPr>
              <w:t>%</w:t>
            </w:r>
          </w:p>
        </w:tc>
        <w:tc>
          <w:tcPr>
            <w:tcW w:w="715" w:type="pct"/>
            <w:vAlign w:val="center"/>
          </w:tcPr>
          <w:p>
            <w:pPr>
              <w:pStyle w:val="30"/>
              <w:rPr>
                <w:rFonts w:hint="default" w:eastAsia="宋体"/>
                <w:color w:val="auto"/>
                <w:lang w:val="en-US" w:eastAsia="zh-CN"/>
              </w:rPr>
            </w:pPr>
            <w:r>
              <w:rPr>
                <w:rFonts w:hint="eastAsia"/>
                <w:color w:val="auto"/>
                <w:lang w:val="en-US" w:eastAsia="zh-CN"/>
              </w:rPr>
              <w:t>0.35</w:t>
            </w:r>
          </w:p>
        </w:tc>
        <w:tc>
          <w:tcPr>
            <w:tcW w:w="607" w:type="pct"/>
            <w:vAlign w:val="center"/>
          </w:tcPr>
          <w:p>
            <w:pPr>
              <w:pStyle w:val="30"/>
              <w:rPr>
                <w:rFonts w:hint="default" w:eastAsia="宋体"/>
                <w:color w:val="auto"/>
                <w:lang w:val="en-US" w:eastAsia="zh-CN"/>
              </w:rPr>
            </w:pPr>
            <w:r>
              <w:rPr>
                <w:rFonts w:hint="eastAsia"/>
                <w:color w:val="auto"/>
                <w:lang w:val="en-US" w:eastAsia="zh-CN"/>
              </w:rPr>
              <w:t>0.0007</w:t>
            </w:r>
          </w:p>
        </w:tc>
        <w:tc>
          <w:tcPr>
            <w:tcW w:w="512" w:type="pct"/>
            <w:vAlign w:val="center"/>
          </w:tcPr>
          <w:p>
            <w:pPr>
              <w:pStyle w:val="30"/>
              <w:rPr>
                <w:rFonts w:hint="default" w:eastAsia="宋体"/>
                <w:color w:val="auto"/>
                <w:lang w:val="en-US" w:eastAsia="zh-CN"/>
              </w:rPr>
            </w:pPr>
            <w:r>
              <w:rPr>
                <w:rFonts w:hint="eastAsia"/>
                <w:color w:val="auto"/>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373" w:type="pct"/>
            <w:vMerge w:val="continue"/>
            <w:vAlign w:val="center"/>
          </w:tcPr>
          <w:p>
            <w:pPr>
              <w:pStyle w:val="30"/>
              <w:rPr>
                <w:rFonts w:hint="eastAsia"/>
                <w:color w:val="auto"/>
              </w:rPr>
            </w:pPr>
          </w:p>
        </w:tc>
        <w:tc>
          <w:tcPr>
            <w:tcW w:w="387" w:type="pct"/>
            <w:vMerge w:val="continue"/>
            <w:vAlign w:val="center"/>
          </w:tcPr>
          <w:p>
            <w:pPr>
              <w:pStyle w:val="30"/>
              <w:rPr>
                <w:rFonts w:hint="eastAsia"/>
                <w:color w:val="auto"/>
              </w:rPr>
            </w:pPr>
          </w:p>
        </w:tc>
        <w:tc>
          <w:tcPr>
            <w:tcW w:w="489" w:type="pct"/>
            <w:vAlign w:val="center"/>
          </w:tcPr>
          <w:p>
            <w:pPr>
              <w:pStyle w:val="30"/>
              <w:ind w:firstLine="0" w:firstLineChars="0"/>
              <w:rPr>
                <w:rFonts w:hint="eastAsia" w:ascii="Times New Roman" w:hAnsi="Times New Roman" w:eastAsia="宋体" w:cstheme="minorBidi"/>
                <w:color w:val="auto"/>
                <w:kern w:val="2"/>
                <w:sz w:val="21"/>
                <w:szCs w:val="22"/>
                <w:lang w:val="en-US" w:eastAsia="zh-CN" w:bidi="ar-SA"/>
              </w:rPr>
            </w:pPr>
            <w:r>
              <w:rPr>
                <w:rFonts w:hint="eastAsia"/>
                <w:color w:val="auto"/>
                <w:lang w:val="en-US" w:eastAsia="zh-CN"/>
              </w:rPr>
              <w:t>无组织</w:t>
            </w:r>
          </w:p>
        </w:tc>
        <w:tc>
          <w:tcPr>
            <w:tcW w:w="60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0.0156</w:t>
            </w:r>
          </w:p>
        </w:tc>
        <w:tc>
          <w:tcPr>
            <w:tcW w:w="511"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0.1125</w:t>
            </w:r>
          </w:p>
        </w:tc>
        <w:tc>
          <w:tcPr>
            <w:tcW w:w="796"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w:t>
            </w:r>
          </w:p>
        </w:tc>
        <w:tc>
          <w:tcPr>
            <w:tcW w:w="715"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w:t>
            </w:r>
          </w:p>
        </w:tc>
        <w:tc>
          <w:tcPr>
            <w:tcW w:w="60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0.0032</w:t>
            </w:r>
          </w:p>
        </w:tc>
        <w:tc>
          <w:tcPr>
            <w:tcW w:w="512"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0.0225</w:t>
            </w:r>
          </w:p>
        </w:tc>
      </w:tr>
    </w:tbl>
    <w:p>
      <w:pPr>
        <w:ind w:firstLine="482"/>
        <w:rPr>
          <w:b/>
          <w:color w:val="auto"/>
        </w:rPr>
      </w:pPr>
      <w:r>
        <w:rPr>
          <w:b/>
          <w:color w:val="auto"/>
        </w:rPr>
        <w:t>4、非正常排放废气</w:t>
      </w:r>
    </w:p>
    <w:p>
      <w:pPr>
        <w:ind w:firstLine="480"/>
        <w:rPr>
          <w:color w:val="auto"/>
        </w:rPr>
      </w:pPr>
      <w:r>
        <w:rPr>
          <w:color w:val="auto"/>
        </w:rPr>
        <w:t>根据《环境影响评价技术导则 大气环境》（HJ2.2-2018）中对废气非正常排放的定义“生产过程中开停车（工、炉）、设备检修、工艺设备运转异常等非正常工况下的污染物排放，以及污染物排放控制措施达不到应有效率等情况下的排放”。本评价非正常排放主要考虑废气处理装置失效的情况，具体非正常排放情况见下表。本项目废气非正常排放主要为各废气治理装置运行不正常时出现的异常排放，本项目非正常排放按最不利情况，即处理效率为0的极端情况考虑，其异常排污情况见下表。</w:t>
      </w:r>
    </w:p>
    <w:p>
      <w:pPr>
        <w:pStyle w:val="31"/>
        <w:rPr>
          <w:color w:val="auto"/>
        </w:rPr>
      </w:pPr>
      <w:r>
        <w:rPr>
          <w:color w:val="auto"/>
        </w:rPr>
        <w:t>表3.7-4   废气非正常排放情况</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57" w:type="dxa"/>
          <w:bottom w:w="0" w:type="dxa"/>
          <w:right w:w="57" w:type="dxa"/>
        </w:tblCellMar>
      </w:tblPr>
      <w:tblGrid>
        <w:gridCol w:w="1773"/>
        <w:gridCol w:w="2271"/>
        <w:gridCol w:w="1012"/>
        <w:gridCol w:w="1292"/>
        <w:gridCol w:w="1043"/>
        <w:gridCol w:w="102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1053" w:type="pct"/>
            <w:vAlign w:val="center"/>
          </w:tcPr>
          <w:p>
            <w:pPr>
              <w:pStyle w:val="30"/>
              <w:rPr>
                <w:b/>
                <w:bCs/>
                <w:color w:val="auto"/>
              </w:rPr>
            </w:pPr>
            <w:r>
              <w:rPr>
                <w:b/>
                <w:bCs/>
                <w:color w:val="auto"/>
              </w:rPr>
              <w:t>非正常排放源</w:t>
            </w:r>
          </w:p>
        </w:tc>
        <w:tc>
          <w:tcPr>
            <w:tcW w:w="1348" w:type="pct"/>
            <w:vAlign w:val="center"/>
          </w:tcPr>
          <w:p>
            <w:pPr>
              <w:pStyle w:val="30"/>
              <w:rPr>
                <w:b/>
                <w:bCs/>
                <w:color w:val="auto"/>
              </w:rPr>
            </w:pPr>
            <w:r>
              <w:rPr>
                <w:b/>
                <w:bCs/>
                <w:color w:val="auto"/>
              </w:rPr>
              <w:t>非正常排放原因</w:t>
            </w:r>
          </w:p>
        </w:tc>
        <w:tc>
          <w:tcPr>
            <w:tcW w:w="601" w:type="pct"/>
            <w:vAlign w:val="center"/>
          </w:tcPr>
          <w:p>
            <w:pPr>
              <w:pStyle w:val="30"/>
              <w:rPr>
                <w:b/>
                <w:bCs/>
                <w:color w:val="auto"/>
              </w:rPr>
            </w:pPr>
            <w:r>
              <w:rPr>
                <w:b/>
                <w:bCs/>
                <w:color w:val="auto"/>
              </w:rPr>
              <w:t>污染物</w:t>
            </w:r>
          </w:p>
        </w:tc>
        <w:tc>
          <w:tcPr>
            <w:tcW w:w="767" w:type="pct"/>
            <w:vAlign w:val="center"/>
          </w:tcPr>
          <w:p>
            <w:pPr>
              <w:pStyle w:val="30"/>
              <w:rPr>
                <w:b/>
                <w:bCs/>
                <w:color w:val="auto"/>
              </w:rPr>
            </w:pPr>
            <w:r>
              <w:rPr>
                <w:b/>
                <w:bCs/>
                <w:color w:val="auto"/>
              </w:rPr>
              <w:t>非正常排放速率(kg/h)</w:t>
            </w:r>
          </w:p>
        </w:tc>
        <w:tc>
          <w:tcPr>
            <w:tcW w:w="619" w:type="pct"/>
            <w:vAlign w:val="center"/>
          </w:tcPr>
          <w:p>
            <w:pPr>
              <w:pStyle w:val="30"/>
              <w:rPr>
                <w:b/>
                <w:bCs/>
                <w:color w:val="auto"/>
              </w:rPr>
            </w:pPr>
            <w:r>
              <w:rPr>
                <w:b/>
                <w:bCs/>
                <w:color w:val="auto"/>
              </w:rPr>
              <w:t>单次持续时间(h)</w:t>
            </w:r>
          </w:p>
        </w:tc>
        <w:tc>
          <w:tcPr>
            <w:tcW w:w="611" w:type="pct"/>
            <w:vAlign w:val="center"/>
          </w:tcPr>
          <w:p>
            <w:pPr>
              <w:pStyle w:val="30"/>
              <w:rPr>
                <w:b/>
                <w:bCs/>
                <w:color w:val="auto"/>
              </w:rPr>
            </w:pPr>
            <w:r>
              <w:rPr>
                <w:b/>
                <w:bCs/>
                <w:color w:val="auto"/>
              </w:rPr>
              <w:t>年发生频次(次)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283" w:hRule="atLeast"/>
          <w:jc w:val="center"/>
        </w:trPr>
        <w:tc>
          <w:tcPr>
            <w:tcW w:w="1053" w:type="pct"/>
            <w:vAlign w:val="center"/>
          </w:tcPr>
          <w:p>
            <w:pPr>
              <w:pStyle w:val="30"/>
              <w:rPr>
                <w:color w:val="auto"/>
              </w:rPr>
            </w:pPr>
            <w:r>
              <w:rPr>
                <w:rFonts w:hint="eastAsia"/>
                <w:color w:val="auto"/>
              </w:rPr>
              <w:t>挤出</w:t>
            </w:r>
            <w:r>
              <w:rPr>
                <w:rFonts w:hint="eastAsia"/>
                <w:color w:val="auto"/>
                <w:lang w:eastAsia="zh-CN"/>
              </w:rPr>
              <w:t>、</w:t>
            </w:r>
            <w:r>
              <w:rPr>
                <w:rFonts w:hint="eastAsia"/>
                <w:color w:val="auto"/>
                <w:lang w:val="en-US" w:eastAsia="zh-CN"/>
              </w:rPr>
              <w:t>造粒</w:t>
            </w:r>
            <w:r>
              <w:rPr>
                <w:rFonts w:hint="eastAsia"/>
                <w:color w:val="auto"/>
              </w:rPr>
              <w:t>废气</w:t>
            </w:r>
          </w:p>
        </w:tc>
        <w:tc>
          <w:tcPr>
            <w:tcW w:w="1348" w:type="pct"/>
            <w:vAlign w:val="center"/>
          </w:tcPr>
          <w:p>
            <w:pPr>
              <w:pStyle w:val="30"/>
              <w:rPr>
                <w:color w:val="auto"/>
              </w:rPr>
            </w:pPr>
            <w:r>
              <w:rPr>
                <w:color w:val="auto"/>
              </w:rPr>
              <w:t>废气处理设施故障</w:t>
            </w:r>
          </w:p>
        </w:tc>
        <w:tc>
          <w:tcPr>
            <w:tcW w:w="601" w:type="pct"/>
            <w:vAlign w:val="center"/>
          </w:tcPr>
          <w:p>
            <w:pPr>
              <w:pStyle w:val="30"/>
              <w:rPr>
                <w:color w:val="auto"/>
              </w:rPr>
            </w:pPr>
            <w:r>
              <w:rPr>
                <w:rFonts w:hint="eastAsia"/>
                <w:color w:val="auto"/>
              </w:rPr>
              <w:t>非甲烷总烃</w:t>
            </w:r>
          </w:p>
        </w:tc>
        <w:tc>
          <w:tcPr>
            <w:tcW w:w="767" w:type="pct"/>
            <w:vAlign w:val="center"/>
          </w:tcPr>
          <w:p>
            <w:pPr>
              <w:pStyle w:val="30"/>
              <w:rPr>
                <w:rFonts w:hint="default" w:eastAsia="宋体"/>
                <w:color w:val="auto"/>
                <w:lang w:val="en-US" w:eastAsia="zh-CN"/>
              </w:rPr>
            </w:pPr>
            <w:r>
              <w:rPr>
                <w:rFonts w:hint="eastAsia"/>
                <w:color w:val="auto"/>
                <w:lang w:val="en-US" w:eastAsia="zh-CN"/>
              </w:rPr>
              <w:t>0.792</w:t>
            </w:r>
          </w:p>
        </w:tc>
        <w:tc>
          <w:tcPr>
            <w:tcW w:w="619" w:type="pct"/>
            <w:vAlign w:val="center"/>
          </w:tcPr>
          <w:p>
            <w:pPr>
              <w:pStyle w:val="30"/>
              <w:rPr>
                <w:color w:val="auto"/>
              </w:rPr>
            </w:pPr>
            <w:r>
              <w:rPr>
                <w:color w:val="auto"/>
              </w:rPr>
              <w:t>0.5</w:t>
            </w:r>
          </w:p>
        </w:tc>
        <w:tc>
          <w:tcPr>
            <w:tcW w:w="611" w:type="pct"/>
            <w:vAlign w:val="center"/>
          </w:tcPr>
          <w:p>
            <w:pPr>
              <w:pStyle w:val="30"/>
              <w:rPr>
                <w:color w:val="auto"/>
              </w:rPr>
            </w:pPr>
            <w:r>
              <w:rPr>
                <w:color w:val="auto"/>
              </w:rPr>
              <w:t>1</w:t>
            </w:r>
          </w:p>
        </w:tc>
      </w:tr>
    </w:tbl>
    <w:p>
      <w:pPr>
        <w:pStyle w:val="7"/>
        <w:rPr>
          <w:color w:val="auto"/>
        </w:rPr>
      </w:pPr>
      <w:r>
        <w:rPr>
          <w:color w:val="auto"/>
        </w:rPr>
        <w:t>3.7.2废水污染源</w:t>
      </w:r>
    </w:p>
    <w:p>
      <w:pPr>
        <w:ind w:firstLine="480"/>
        <w:rPr>
          <w:color w:val="auto"/>
        </w:rPr>
      </w:pPr>
      <w:r>
        <w:rPr>
          <w:color w:val="auto"/>
        </w:rPr>
        <w:t>本项目主要废水有冷却定型所用的间接冷却水及生活污水。冷却水循环使用，不外排，生活污水经</w:t>
      </w:r>
      <w:r>
        <w:rPr>
          <w:rFonts w:hint="eastAsia"/>
          <w:color w:val="auto"/>
        </w:rPr>
        <w:t>园区</w:t>
      </w:r>
      <w:r>
        <w:rPr>
          <w:color w:val="auto"/>
        </w:rPr>
        <w:t>化粪池预处理后进入汨罗市城市污水处理厂处理</w:t>
      </w:r>
      <w:r>
        <w:rPr>
          <w:rFonts w:hint="eastAsia"/>
          <w:color w:val="auto"/>
        </w:rPr>
        <w:t>，最终排入汨罗江。</w:t>
      </w:r>
    </w:p>
    <w:p>
      <w:pPr>
        <w:ind w:firstLine="480"/>
        <w:rPr>
          <w:color w:val="auto"/>
        </w:rPr>
      </w:pPr>
      <w:r>
        <w:rPr>
          <w:color w:val="auto"/>
        </w:rPr>
        <w:t>（1）冷却水</w:t>
      </w:r>
    </w:p>
    <w:p>
      <w:pPr>
        <w:ind w:firstLine="480"/>
        <w:rPr>
          <w:color w:val="auto"/>
        </w:rPr>
      </w:pPr>
      <w:r>
        <w:rPr>
          <w:color w:val="auto"/>
        </w:rPr>
        <w:t>生产用水主要为冷却定型时所用的间接冷却水，主要用于模具冷却，冷却水经循环池后回用，不外排。</w:t>
      </w:r>
      <w:r>
        <w:rPr>
          <w:rFonts w:hint="eastAsia"/>
          <w:color w:val="auto"/>
        </w:rPr>
        <w:t>本项目设置了一个</w:t>
      </w:r>
      <w:r>
        <w:rPr>
          <w:rFonts w:hint="eastAsia"/>
          <w:color w:val="auto"/>
          <w:lang w:eastAsia="zh-CN"/>
        </w:rPr>
        <w:t>128m</w:t>
      </w:r>
      <w:r>
        <w:rPr>
          <w:color w:val="auto"/>
          <w:vertAlign w:val="superscript"/>
        </w:rPr>
        <w:t>3</w:t>
      </w:r>
      <w:r>
        <w:rPr>
          <w:rFonts w:hint="eastAsia"/>
          <w:color w:val="auto"/>
        </w:rPr>
        <w:t>的循环水池，</w:t>
      </w:r>
      <w:r>
        <w:rPr>
          <w:color w:val="auto"/>
        </w:rPr>
        <w:t>水循环会因为水汽的蒸发损失水量，循环水池补充水量约为</w:t>
      </w:r>
      <w:r>
        <w:rPr>
          <w:rFonts w:hint="eastAsia"/>
          <w:color w:val="auto"/>
          <w:lang w:val="en-US" w:eastAsia="zh-CN"/>
        </w:rPr>
        <w:t>1.6</w:t>
      </w:r>
      <w:r>
        <w:rPr>
          <w:color w:val="auto"/>
        </w:rPr>
        <w:t>m</w:t>
      </w:r>
      <w:r>
        <w:rPr>
          <w:color w:val="auto"/>
          <w:vertAlign w:val="superscript"/>
        </w:rPr>
        <w:t>3</w:t>
      </w:r>
      <w:r>
        <w:rPr>
          <w:color w:val="auto"/>
        </w:rPr>
        <w:t>/d，</w:t>
      </w:r>
      <w:r>
        <w:rPr>
          <w:rFonts w:hint="eastAsia"/>
          <w:color w:val="auto"/>
          <w:lang w:val="en-US" w:eastAsia="zh-CN"/>
        </w:rPr>
        <w:t>504</w:t>
      </w:r>
      <w:r>
        <w:rPr>
          <w:color w:val="auto"/>
        </w:rPr>
        <w:t>m</w:t>
      </w:r>
      <w:r>
        <w:rPr>
          <w:color w:val="auto"/>
          <w:vertAlign w:val="superscript"/>
        </w:rPr>
        <w:t>3</w:t>
      </w:r>
      <w:r>
        <w:rPr>
          <w:color w:val="auto"/>
        </w:rPr>
        <w:t>/a。</w:t>
      </w:r>
    </w:p>
    <w:p>
      <w:pPr>
        <w:ind w:firstLine="480"/>
        <w:rPr>
          <w:color w:val="auto"/>
        </w:rPr>
      </w:pPr>
      <w:r>
        <w:rPr>
          <w:color w:val="auto"/>
        </w:rPr>
        <w:t>（2）生活污水</w:t>
      </w:r>
    </w:p>
    <w:p>
      <w:pPr>
        <w:ind w:firstLine="480"/>
        <w:rPr>
          <w:color w:val="auto"/>
        </w:rPr>
      </w:pPr>
      <w:r>
        <w:rPr>
          <w:rFonts w:hint="eastAsia"/>
          <w:color w:val="auto"/>
        </w:rPr>
        <w:t>生活用水：本项目职工30人，厂区内不提供食宿，年工作</w:t>
      </w:r>
      <w:r>
        <w:rPr>
          <w:rFonts w:hint="eastAsia"/>
          <w:color w:val="auto"/>
          <w:lang w:val="en-US" w:eastAsia="zh-CN"/>
        </w:rPr>
        <w:t>300</w:t>
      </w:r>
      <w:r>
        <w:rPr>
          <w:rFonts w:hint="eastAsia"/>
          <w:color w:val="auto"/>
        </w:rPr>
        <w:t>天，根据《湖南省用水定额》（</w:t>
      </w:r>
      <w:r>
        <w:rPr>
          <w:color w:val="auto"/>
        </w:rPr>
        <w:t>DB43/T388-2020</w:t>
      </w:r>
      <w:r>
        <w:rPr>
          <w:rFonts w:hint="eastAsia"/>
          <w:color w:val="auto"/>
        </w:rPr>
        <w:t>），并结合实际情况，生活用水量按照50</w:t>
      </w:r>
      <w:r>
        <w:rPr>
          <w:color w:val="auto"/>
        </w:rPr>
        <w:t>L/</w:t>
      </w:r>
      <w:r>
        <w:rPr>
          <w:rFonts w:hint="eastAsia"/>
          <w:color w:val="auto"/>
        </w:rPr>
        <w:t>人</w:t>
      </w:r>
      <w:r>
        <w:rPr>
          <w:color w:val="auto"/>
        </w:rPr>
        <w:t>•d</w:t>
      </w:r>
      <w:r>
        <w:rPr>
          <w:rFonts w:hint="eastAsia"/>
          <w:color w:val="auto"/>
        </w:rPr>
        <w:t>计算，则生活用水量为1.5m</w:t>
      </w:r>
      <w:r>
        <w:rPr>
          <w:rFonts w:hint="eastAsia"/>
          <w:color w:val="auto"/>
          <w:vertAlign w:val="superscript"/>
        </w:rPr>
        <w:t>3</w:t>
      </w:r>
      <w:r>
        <w:rPr>
          <w:rFonts w:hint="eastAsia"/>
          <w:color w:val="auto"/>
        </w:rPr>
        <w:t>/d（420 m</w:t>
      </w:r>
      <w:r>
        <w:rPr>
          <w:rFonts w:hint="eastAsia"/>
          <w:color w:val="auto"/>
          <w:vertAlign w:val="superscript"/>
        </w:rPr>
        <w:t>3</w:t>
      </w:r>
      <w:r>
        <w:rPr>
          <w:rFonts w:hint="eastAsia"/>
          <w:color w:val="auto"/>
        </w:rPr>
        <w:t xml:space="preserve">/a），根据《第二次全国污染源普查生活污染源产排污系数手册（试用版）》，生活污水排放系数以用水量的 </w:t>
      </w:r>
      <w:r>
        <w:rPr>
          <w:color w:val="auto"/>
        </w:rPr>
        <w:t>80%</w:t>
      </w:r>
      <w:r>
        <w:rPr>
          <w:rFonts w:hint="eastAsia"/>
          <w:color w:val="auto"/>
        </w:rPr>
        <w:t>计，则生活污水排水量为1.2 m</w:t>
      </w:r>
      <w:r>
        <w:rPr>
          <w:rFonts w:hint="eastAsia"/>
          <w:color w:val="auto"/>
          <w:vertAlign w:val="superscript"/>
        </w:rPr>
        <w:t>3</w:t>
      </w:r>
      <w:r>
        <w:rPr>
          <w:rFonts w:hint="eastAsia"/>
          <w:color w:val="auto"/>
        </w:rPr>
        <w:t>/d（336 m</w:t>
      </w:r>
      <w:r>
        <w:rPr>
          <w:rFonts w:hint="eastAsia"/>
          <w:color w:val="auto"/>
          <w:vertAlign w:val="superscript"/>
        </w:rPr>
        <w:t>3</w:t>
      </w:r>
      <w:r>
        <w:rPr>
          <w:rFonts w:hint="eastAsia"/>
          <w:color w:val="auto"/>
        </w:rPr>
        <w:t>/a）。</w:t>
      </w:r>
      <w:r>
        <w:rPr>
          <w:color w:val="auto"/>
        </w:rPr>
        <w:t>生活废水中CODcr、BOD</w:t>
      </w:r>
      <w:r>
        <w:rPr>
          <w:color w:val="auto"/>
          <w:vertAlign w:val="subscript"/>
        </w:rPr>
        <w:t>5</w:t>
      </w:r>
      <w:r>
        <w:rPr>
          <w:color w:val="auto"/>
        </w:rPr>
        <w:t>、SS、NH</w:t>
      </w:r>
      <w:r>
        <w:rPr>
          <w:color w:val="auto"/>
          <w:vertAlign w:val="subscript"/>
        </w:rPr>
        <w:t>3</w:t>
      </w:r>
      <w:r>
        <w:rPr>
          <w:color w:val="auto"/>
        </w:rPr>
        <w:t>-N的平均</w:t>
      </w:r>
      <w:r>
        <w:rPr>
          <w:rFonts w:hint="eastAsia"/>
          <w:color w:val="auto"/>
        </w:rPr>
        <w:t>产生</w:t>
      </w:r>
      <w:r>
        <w:rPr>
          <w:color w:val="auto"/>
        </w:rPr>
        <w:t>浓度分别约为3</w:t>
      </w:r>
      <w:r>
        <w:rPr>
          <w:rFonts w:hint="eastAsia"/>
          <w:color w:val="auto"/>
        </w:rPr>
        <w:t>0</w:t>
      </w:r>
      <w:r>
        <w:rPr>
          <w:color w:val="auto"/>
        </w:rPr>
        <w:t>0mg/L、200mg/L、</w:t>
      </w:r>
      <w:r>
        <w:rPr>
          <w:rFonts w:hint="eastAsia"/>
          <w:color w:val="auto"/>
        </w:rPr>
        <w:t>30</w:t>
      </w:r>
      <w:r>
        <w:rPr>
          <w:color w:val="auto"/>
        </w:rPr>
        <w:t>0mg/L、</w:t>
      </w:r>
      <w:r>
        <w:rPr>
          <w:rFonts w:hint="eastAsia"/>
          <w:color w:val="auto"/>
        </w:rPr>
        <w:t>30</w:t>
      </w:r>
      <w:r>
        <w:rPr>
          <w:color w:val="auto"/>
        </w:rPr>
        <w:t>mg/L，则CODcr、BOD</w:t>
      </w:r>
      <w:r>
        <w:rPr>
          <w:color w:val="auto"/>
          <w:vertAlign w:val="subscript"/>
        </w:rPr>
        <w:t>5</w:t>
      </w:r>
      <w:r>
        <w:rPr>
          <w:color w:val="auto"/>
        </w:rPr>
        <w:t>、SS、NH</w:t>
      </w:r>
      <w:r>
        <w:rPr>
          <w:color w:val="auto"/>
          <w:vertAlign w:val="subscript"/>
        </w:rPr>
        <w:t>3</w:t>
      </w:r>
      <w:r>
        <w:rPr>
          <w:color w:val="auto"/>
        </w:rPr>
        <w:t>-N产生量分别为</w:t>
      </w:r>
      <w:r>
        <w:rPr>
          <w:rFonts w:hint="eastAsia"/>
          <w:color w:val="auto"/>
        </w:rPr>
        <w:t>0.126t</w:t>
      </w:r>
      <w:r>
        <w:rPr>
          <w:color w:val="auto"/>
        </w:rPr>
        <w:t>/a、</w:t>
      </w:r>
      <w:r>
        <w:rPr>
          <w:rFonts w:hint="eastAsia"/>
          <w:color w:val="auto"/>
        </w:rPr>
        <w:t>0.084t</w:t>
      </w:r>
      <w:r>
        <w:rPr>
          <w:color w:val="auto"/>
        </w:rPr>
        <w:t>/a、</w:t>
      </w:r>
      <w:r>
        <w:rPr>
          <w:rFonts w:hint="eastAsia"/>
          <w:color w:val="auto"/>
        </w:rPr>
        <w:t>0.126t</w:t>
      </w:r>
      <w:r>
        <w:rPr>
          <w:color w:val="auto"/>
        </w:rPr>
        <w:t>/a、0.</w:t>
      </w:r>
      <w:r>
        <w:rPr>
          <w:rFonts w:hint="eastAsia"/>
          <w:color w:val="auto"/>
        </w:rPr>
        <w:t>0126t</w:t>
      </w:r>
      <w:r>
        <w:rPr>
          <w:color w:val="auto"/>
        </w:rPr>
        <w:t>/a。生活污水经化粪池处理达到《污水综合排放标准》</w:t>
      </w:r>
      <w:r>
        <w:rPr>
          <w:rFonts w:hint="eastAsia"/>
          <w:color w:val="auto"/>
        </w:rPr>
        <w:t>（GB8978-1996）</w:t>
      </w:r>
      <w:r>
        <w:rPr>
          <w:color w:val="auto"/>
        </w:rPr>
        <w:t>中三级标准及汨罗市城市污水处理厂接管标准的较严值后排入园区生活污水管网进入汨罗市城市污水处理厂处理，最终排入汨罗江。</w:t>
      </w:r>
    </w:p>
    <w:p>
      <w:pPr>
        <w:pStyle w:val="7"/>
        <w:rPr>
          <w:color w:val="auto"/>
        </w:rPr>
      </w:pPr>
      <w:r>
        <w:rPr>
          <w:color w:val="auto"/>
        </w:rPr>
        <w:t>3.7.3噪声污染源</w:t>
      </w:r>
    </w:p>
    <w:p>
      <w:pPr>
        <w:ind w:firstLine="480"/>
        <w:rPr>
          <w:color w:val="auto"/>
        </w:rPr>
      </w:pPr>
      <w:r>
        <w:rPr>
          <w:color w:val="auto"/>
        </w:rPr>
        <w:t>本项目生产中使用的设备较多，大多会产生一定的噪声。主要噪声设备有：破碎机、挤出机</w:t>
      </w:r>
      <w:r>
        <w:rPr>
          <w:rFonts w:hint="eastAsia"/>
          <w:color w:val="auto"/>
        </w:rPr>
        <w:t>、风机</w:t>
      </w:r>
      <w:r>
        <w:rPr>
          <w:color w:val="auto"/>
        </w:rPr>
        <w:t>等，噪声源约7</w:t>
      </w:r>
      <w:r>
        <w:rPr>
          <w:rFonts w:hint="eastAsia"/>
          <w:color w:val="auto"/>
        </w:rPr>
        <w:t>0</w:t>
      </w:r>
      <w:r>
        <w:rPr>
          <w:color w:val="auto"/>
        </w:rPr>
        <w:t>~90dB（A），建设方拟采取安装减振垫、消音器、隔声等措施减少对周围环境干扰，通过设备的总图优化布置等使高噪声设备尽量位于场地内部。项目各噪声设备的种类源强具体情况见下表：</w:t>
      </w:r>
    </w:p>
    <w:p>
      <w:pPr>
        <w:pStyle w:val="31"/>
        <w:rPr>
          <w:color w:val="auto"/>
        </w:rPr>
      </w:pPr>
      <w:r>
        <w:rPr>
          <w:color w:val="auto"/>
        </w:rPr>
        <w:t>表3.7-5   本项目主要生产一览表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06"/>
        <w:gridCol w:w="1934"/>
        <w:gridCol w:w="1485"/>
        <w:gridCol w:w="1844"/>
        <w:gridCol w:w="22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
                <w:bCs/>
                <w:color w:val="auto"/>
              </w:rPr>
            </w:pPr>
            <w:r>
              <w:rPr>
                <w:b/>
                <w:bCs/>
                <w:color w:val="auto"/>
              </w:rPr>
              <w:t>序号</w:t>
            </w:r>
          </w:p>
        </w:tc>
        <w:tc>
          <w:tcPr>
            <w:tcW w:w="1134" w:type="pct"/>
            <w:vAlign w:val="center"/>
          </w:tcPr>
          <w:p>
            <w:pPr>
              <w:pStyle w:val="30"/>
              <w:rPr>
                <w:b/>
                <w:bCs/>
                <w:color w:val="auto"/>
              </w:rPr>
            </w:pPr>
            <w:r>
              <w:rPr>
                <w:b/>
                <w:bCs/>
                <w:color w:val="auto"/>
              </w:rPr>
              <w:t>名称</w:t>
            </w:r>
          </w:p>
        </w:tc>
        <w:tc>
          <w:tcPr>
            <w:tcW w:w="871" w:type="pct"/>
            <w:vAlign w:val="center"/>
          </w:tcPr>
          <w:p>
            <w:pPr>
              <w:pStyle w:val="30"/>
              <w:rPr>
                <w:b/>
                <w:bCs/>
                <w:color w:val="auto"/>
              </w:rPr>
            </w:pPr>
            <w:r>
              <w:rPr>
                <w:b/>
                <w:bCs/>
                <w:color w:val="auto"/>
              </w:rPr>
              <w:t>数量</w:t>
            </w:r>
          </w:p>
        </w:tc>
        <w:tc>
          <w:tcPr>
            <w:tcW w:w="1081" w:type="pct"/>
            <w:vAlign w:val="center"/>
          </w:tcPr>
          <w:p>
            <w:pPr>
              <w:pStyle w:val="30"/>
              <w:rPr>
                <w:b/>
                <w:bCs/>
                <w:color w:val="auto"/>
              </w:rPr>
            </w:pPr>
            <w:r>
              <w:rPr>
                <w:rFonts w:hint="eastAsia"/>
                <w:b/>
                <w:bCs/>
                <w:color w:val="auto"/>
              </w:rPr>
              <w:t>单台源强</w:t>
            </w:r>
            <w:r>
              <w:rPr>
                <w:b/>
                <w:bCs/>
                <w:color w:val="auto"/>
              </w:rPr>
              <w:t>dB（A）</w:t>
            </w:r>
          </w:p>
        </w:tc>
        <w:tc>
          <w:tcPr>
            <w:tcW w:w="1321" w:type="pct"/>
            <w:vAlign w:val="center"/>
          </w:tcPr>
          <w:p>
            <w:pPr>
              <w:pStyle w:val="30"/>
              <w:rPr>
                <w:b/>
                <w:bCs/>
                <w:color w:val="auto"/>
              </w:rPr>
            </w:pPr>
            <w:r>
              <w:rPr>
                <w:b/>
                <w:bCs/>
                <w:color w:val="auto"/>
              </w:rPr>
              <w:t>降噪措施及效果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bCs/>
                <w:color w:val="auto"/>
              </w:rPr>
              <w:t>1</w:t>
            </w:r>
          </w:p>
        </w:tc>
        <w:tc>
          <w:tcPr>
            <w:tcW w:w="1134" w:type="pct"/>
            <w:vAlign w:val="center"/>
          </w:tcPr>
          <w:p>
            <w:pPr>
              <w:pStyle w:val="30"/>
              <w:rPr>
                <w:bCs/>
                <w:color w:val="auto"/>
              </w:rPr>
            </w:pPr>
            <w:r>
              <w:rPr>
                <w:rFonts w:hint="eastAsia"/>
                <w:bCs/>
                <w:color w:val="auto"/>
              </w:rPr>
              <w:t>喂料机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80</w:t>
            </w:r>
          </w:p>
        </w:tc>
        <w:tc>
          <w:tcPr>
            <w:tcW w:w="1321" w:type="pct"/>
            <w:vMerge w:val="restart"/>
            <w:vAlign w:val="center"/>
          </w:tcPr>
          <w:p>
            <w:pPr>
              <w:pStyle w:val="30"/>
              <w:rPr>
                <w:bCs/>
                <w:color w:val="auto"/>
              </w:rPr>
            </w:pPr>
            <w:r>
              <w:rPr>
                <w:color w:val="auto"/>
              </w:rPr>
              <w:t>设备基础减震、厂房及建筑材料隔声、吸声等措施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590" w:type="pct"/>
            <w:vAlign w:val="center"/>
          </w:tcPr>
          <w:p>
            <w:pPr>
              <w:pStyle w:val="30"/>
              <w:rPr>
                <w:bCs/>
                <w:color w:val="auto"/>
              </w:rPr>
            </w:pPr>
            <w:r>
              <w:rPr>
                <w:bCs/>
                <w:color w:val="auto"/>
              </w:rPr>
              <w:t>2</w:t>
            </w:r>
          </w:p>
        </w:tc>
        <w:tc>
          <w:tcPr>
            <w:tcW w:w="1134" w:type="pct"/>
            <w:vAlign w:val="center"/>
          </w:tcPr>
          <w:p>
            <w:pPr>
              <w:pStyle w:val="30"/>
              <w:rPr>
                <w:bCs/>
                <w:color w:val="auto"/>
              </w:rPr>
            </w:pPr>
            <w:r>
              <w:rPr>
                <w:rFonts w:hint="eastAsia"/>
                <w:bCs/>
                <w:color w:val="auto"/>
              </w:rPr>
              <w:t>挤出机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80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590" w:type="pct"/>
            <w:vAlign w:val="center"/>
          </w:tcPr>
          <w:p>
            <w:pPr>
              <w:pStyle w:val="30"/>
              <w:rPr>
                <w:bCs/>
                <w:color w:val="auto"/>
              </w:rPr>
            </w:pPr>
            <w:r>
              <w:rPr>
                <w:bCs/>
                <w:color w:val="auto"/>
              </w:rPr>
              <w:t>3</w:t>
            </w:r>
          </w:p>
        </w:tc>
        <w:tc>
          <w:tcPr>
            <w:tcW w:w="1134" w:type="pct"/>
            <w:vAlign w:val="center"/>
          </w:tcPr>
          <w:p>
            <w:pPr>
              <w:pStyle w:val="30"/>
              <w:rPr>
                <w:bCs/>
                <w:color w:val="auto"/>
              </w:rPr>
            </w:pPr>
            <w:r>
              <w:rPr>
                <w:rFonts w:hint="eastAsia"/>
                <w:bCs/>
                <w:color w:val="auto"/>
              </w:rPr>
              <w:t>成型机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70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bCs/>
                <w:color w:val="auto"/>
              </w:rPr>
              <w:t>4</w:t>
            </w:r>
          </w:p>
        </w:tc>
        <w:tc>
          <w:tcPr>
            <w:tcW w:w="1134" w:type="pct"/>
            <w:vAlign w:val="center"/>
          </w:tcPr>
          <w:p>
            <w:pPr>
              <w:pStyle w:val="30"/>
              <w:rPr>
                <w:bCs/>
                <w:color w:val="auto"/>
              </w:rPr>
            </w:pPr>
            <w:r>
              <w:rPr>
                <w:rFonts w:hint="eastAsia"/>
                <w:bCs/>
                <w:color w:val="auto"/>
              </w:rPr>
              <w:t>牵引机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75</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bCs/>
                <w:color w:val="auto"/>
              </w:rPr>
              <w:t>6</w:t>
            </w:r>
          </w:p>
        </w:tc>
        <w:tc>
          <w:tcPr>
            <w:tcW w:w="1134" w:type="pct"/>
            <w:vAlign w:val="center"/>
          </w:tcPr>
          <w:p>
            <w:pPr>
              <w:pStyle w:val="30"/>
              <w:rPr>
                <w:bCs/>
                <w:color w:val="auto"/>
              </w:rPr>
            </w:pPr>
            <w:r>
              <w:rPr>
                <w:rFonts w:hint="eastAsia"/>
                <w:bCs/>
                <w:color w:val="auto"/>
              </w:rPr>
              <w:t>切割机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80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bCs/>
                <w:color w:val="auto"/>
              </w:rPr>
              <w:t>7</w:t>
            </w:r>
          </w:p>
        </w:tc>
        <w:tc>
          <w:tcPr>
            <w:tcW w:w="1134" w:type="pct"/>
            <w:vAlign w:val="center"/>
          </w:tcPr>
          <w:p>
            <w:pPr>
              <w:pStyle w:val="30"/>
              <w:rPr>
                <w:bCs/>
                <w:color w:val="auto"/>
              </w:rPr>
            </w:pPr>
            <w:r>
              <w:rPr>
                <w:rFonts w:hint="eastAsia"/>
                <w:bCs/>
                <w:color w:val="auto"/>
              </w:rPr>
              <w:t>堆放机</w:t>
            </w:r>
          </w:p>
        </w:tc>
        <w:tc>
          <w:tcPr>
            <w:tcW w:w="871" w:type="pct"/>
            <w:vAlign w:val="center"/>
          </w:tcPr>
          <w:p>
            <w:pPr>
              <w:pStyle w:val="30"/>
              <w:rPr>
                <w:bCs/>
                <w:color w:val="auto"/>
              </w:rPr>
            </w:pPr>
            <w:r>
              <w:rPr>
                <w:rFonts w:hint="eastAsia"/>
                <w:bCs/>
                <w:color w:val="auto"/>
                <w:lang w:val="en-US" w:eastAsia="zh-CN"/>
              </w:rPr>
              <w:t>15</w:t>
            </w:r>
            <w:r>
              <w:rPr>
                <w:rFonts w:hint="eastAsia"/>
                <w:bCs/>
                <w:color w:val="auto"/>
              </w:rPr>
              <w:t>台</w:t>
            </w:r>
          </w:p>
        </w:tc>
        <w:tc>
          <w:tcPr>
            <w:tcW w:w="1081" w:type="pct"/>
            <w:vAlign w:val="center"/>
          </w:tcPr>
          <w:p>
            <w:pPr>
              <w:pStyle w:val="30"/>
              <w:rPr>
                <w:bCs/>
                <w:color w:val="auto"/>
              </w:rPr>
            </w:pPr>
            <w:r>
              <w:rPr>
                <w:rFonts w:hint="eastAsia"/>
                <w:bCs/>
                <w:color w:val="auto"/>
              </w:rPr>
              <w:t>70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bCs/>
                <w:color w:val="auto"/>
              </w:rPr>
              <w:t>8</w:t>
            </w:r>
          </w:p>
        </w:tc>
        <w:tc>
          <w:tcPr>
            <w:tcW w:w="1134" w:type="pct"/>
            <w:vAlign w:val="center"/>
          </w:tcPr>
          <w:p>
            <w:pPr>
              <w:pStyle w:val="30"/>
              <w:rPr>
                <w:bCs/>
                <w:color w:val="auto"/>
              </w:rPr>
            </w:pPr>
            <w:r>
              <w:rPr>
                <w:rFonts w:hint="eastAsia"/>
                <w:bCs/>
                <w:color w:val="auto"/>
              </w:rPr>
              <w:t>造粒机</w:t>
            </w:r>
          </w:p>
        </w:tc>
        <w:tc>
          <w:tcPr>
            <w:tcW w:w="871" w:type="pct"/>
            <w:vAlign w:val="center"/>
          </w:tcPr>
          <w:p>
            <w:pPr>
              <w:pStyle w:val="30"/>
              <w:rPr>
                <w:bCs/>
                <w:color w:val="auto"/>
              </w:rPr>
            </w:pPr>
            <w:r>
              <w:rPr>
                <w:rFonts w:hint="eastAsia"/>
                <w:bCs/>
                <w:color w:val="auto"/>
              </w:rPr>
              <w:t>1套</w:t>
            </w:r>
          </w:p>
        </w:tc>
        <w:tc>
          <w:tcPr>
            <w:tcW w:w="1081" w:type="pct"/>
            <w:vAlign w:val="center"/>
          </w:tcPr>
          <w:p>
            <w:pPr>
              <w:pStyle w:val="30"/>
              <w:rPr>
                <w:bCs/>
                <w:color w:val="auto"/>
              </w:rPr>
            </w:pPr>
            <w:r>
              <w:rPr>
                <w:rFonts w:hint="eastAsia"/>
                <w:bCs/>
                <w:color w:val="auto"/>
              </w:rPr>
              <w:t>80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590" w:type="pct"/>
            <w:vAlign w:val="center"/>
          </w:tcPr>
          <w:p>
            <w:pPr>
              <w:pStyle w:val="30"/>
              <w:rPr>
                <w:bCs/>
                <w:color w:val="auto"/>
              </w:rPr>
            </w:pPr>
            <w:r>
              <w:rPr>
                <w:rFonts w:hint="eastAsia"/>
                <w:bCs/>
                <w:color w:val="auto"/>
              </w:rPr>
              <w:t>9</w:t>
            </w:r>
          </w:p>
        </w:tc>
        <w:tc>
          <w:tcPr>
            <w:tcW w:w="1134" w:type="pct"/>
            <w:vAlign w:val="center"/>
          </w:tcPr>
          <w:p>
            <w:pPr>
              <w:pStyle w:val="30"/>
              <w:rPr>
                <w:bCs/>
                <w:color w:val="auto"/>
              </w:rPr>
            </w:pPr>
            <w:r>
              <w:rPr>
                <w:rFonts w:hint="eastAsia"/>
                <w:bCs/>
                <w:color w:val="auto"/>
              </w:rPr>
              <w:t>破碎机</w:t>
            </w:r>
          </w:p>
        </w:tc>
        <w:tc>
          <w:tcPr>
            <w:tcW w:w="871" w:type="pct"/>
            <w:vAlign w:val="center"/>
          </w:tcPr>
          <w:p>
            <w:pPr>
              <w:pStyle w:val="30"/>
              <w:rPr>
                <w:bCs/>
                <w:color w:val="auto"/>
              </w:rPr>
            </w:pPr>
            <w:r>
              <w:rPr>
                <w:rFonts w:hint="eastAsia"/>
                <w:bCs/>
                <w:color w:val="auto"/>
              </w:rPr>
              <w:t>1台</w:t>
            </w:r>
          </w:p>
        </w:tc>
        <w:tc>
          <w:tcPr>
            <w:tcW w:w="1081" w:type="pct"/>
            <w:vAlign w:val="center"/>
          </w:tcPr>
          <w:p>
            <w:pPr>
              <w:pStyle w:val="30"/>
              <w:rPr>
                <w:bCs/>
                <w:color w:val="auto"/>
              </w:rPr>
            </w:pPr>
            <w:r>
              <w:rPr>
                <w:rFonts w:hint="eastAsia"/>
                <w:bCs/>
                <w:color w:val="auto"/>
              </w:rPr>
              <w:t>90</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bCs/>
                <w:color w:val="auto"/>
              </w:rPr>
            </w:pPr>
            <w:r>
              <w:rPr>
                <w:rFonts w:hint="eastAsia"/>
                <w:bCs/>
                <w:color w:val="auto"/>
              </w:rPr>
              <w:t>10</w:t>
            </w:r>
          </w:p>
        </w:tc>
        <w:tc>
          <w:tcPr>
            <w:tcW w:w="1134" w:type="pct"/>
            <w:vAlign w:val="center"/>
          </w:tcPr>
          <w:p>
            <w:pPr>
              <w:pStyle w:val="30"/>
              <w:rPr>
                <w:bCs/>
                <w:color w:val="auto"/>
              </w:rPr>
            </w:pPr>
            <w:r>
              <w:rPr>
                <w:rFonts w:hint="eastAsia"/>
                <w:bCs/>
                <w:color w:val="auto"/>
              </w:rPr>
              <w:t>风机</w:t>
            </w:r>
          </w:p>
        </w:tc>
        <w:tc>
          <w:tcPr>
            <w:tcW w:w="871" w:type="pct"/>
            <w:vAlign w:val="center"/>
          </w:tcPr>
          <w:p>
            <w:pPr>
              <w:pStyle w:val="30"/>
              <w:rPr>
                <w:bCs/>
                <w:color w:val="auto"/>
              </w:rPr>
            </w:pPr>
            <w:r>
              <w:rPr>
                <w:rFonts w:hint="eastAsia"/>
                <w:bCs/>
                <w:color w:val="auto"/>
                <w:lang w:val="en-US" w:eastAsia="zh-CN"/>
              </w:rPr>
              <w:t>16</w:t>
            </w:r>
            <w:r>
              <w:rPr>
                <w:rFonts w:hint="eastAsia"/>
                <w:bCs/>
                <w:color w:val="auto"/>
              </w:rPr>
              <w:t>台</w:t>
            </w:r>
          </w:p>
        </w:tc>
        <w:tc>
          <w:tcPr>
            <w:tcW w:w="1081" w:type="pct"/>
            <w:vAlign w:val="center"/>
          </w:tcPr>
          <w:p>
            <w:pPr>
              <w:pStyle w:val="30"/>
              <w:rPr>
                <w:bCs/>
                <w:color w:val="auto"/>
              </w:rPr>
            </w:pPr>
            <w:r>
              <w:rPr>
                <w:rFonts w:hint="eastAsia"/>
                <w:bCs/>
                <w:color w:val="auto"/>
              </w:rPr>
              <w:t>75</w:t>
            </w:r>
          </w:p>
        </w:tc>
        <w:tc>
          <w:tcPr>
            <w:tcW w:w="1321" w:type="pct"/>
            <w:vMerge w:val="continue"/>
            <w:vAlign w:val="center"/>
          </w:tcPr>
          <w:p>
            <w:pPr>
              <w:pStyle w:val="30"/>
              <w:rPr>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590" w:type="pct"/>
            <w:vAlign w:val="center"/>
          </w:tcPr>
          <w:p>
            <w:pPr>
              <w:pStyle w:val="30"/>
              <w:rPr>
                <w:rFonts w:hint="default" w:eastAsia="宋体"/>
                <w:bCs/>
                <w:color w:val="auto"/>
                <w:lang w:val="en-US" w:eastAsia="zh-CN"/>
              </w:rPr>
            </w:pPr>
            <w:r>
              <w:rPr>
                <w:rFonts w:hint="eastAsia"/>
                <w:bCs/>
                <w:color w:val="auto"/>
                <w:lang w:val="en-US" w:eastAsia="zh-CN"/>
              </w:rPr>
              <w:t>11</w:t>
            </w:r>
          </w:p>
        </w:tc>
        <w:tc>
          <w:tcPr>
            <w:tcW w:w="1134" w:type="pct"/>
            <w:vAlign w:val="center"/>
          </w:tcPr>
          <w:p>
            <w:pPr>
              <w:pStyle w:val="30"/>
              <w:rPr>
                <w:rFonts w:hint="default" w:eastAsia="宋体"/>
                <w:bCs/>
                <w:color w:val="auto"/>
                <w:lang w:val="en-US" w:eastAsia="zh-CN"/>
              </w:rPr>
            </w:pPr>
            <w:r>
              <w:rPr>
                <w:rFonts w:hint="eastAsia"/>
                <w:bCs/>
                <w:color w:val="auto"/>
                <w:lang w:val="en-US" w:eastAsia="zh-CN"/>
              </w:rPr>
              <w:t>真空泵</w:t>
            </w:r>
          </w:p>
        </w:tc>
        <w:tc>
          <w:tcPr>
            <w:tcW w:w="871" w:type="pct"/>
            <w:vAlign w:val="center"/>
          </w:tcPr>
          <w:p>
            <w:pPr>
              <w:pStyle w:val="30"/>
              <w:rPr>
                <w:rFonts w:hint="default"/>
                <w:bCs/>
                <w:color w:val="auto"/>
                <w:lang w:val="en-US" w:eastAsia="zh-CN"/>
              </w:rPr>
            </w:pPr>
            <w:r>
              <w:rPr>
                <w:rFonts w:hint="eastAsia"/>
                <w:bCs/>
                <w:color w:val="auto"/>
                <w:lang w:val="en-US" w:eastAsia="zh-CN"/>
              </w:rPr>
              <w:t>1台</w:t>
            </w:r>
          </w:p>
        </w:tc>
        <w:tc>
          <w:tcPr>
            <w:tcW w:w="1081" w:type="pct"/>
            <w:vAlign w:val="center"/>
          </w:tcPr>
          <w:p>
            <w:pPr>
              <w:pStyle w:val="30"/>
              <w:rPr>
                <w:rFonts w:hint="default" w:eastAsia="宋体"/>
                <w:bCs/>
                <w:color w:val="auto"/>
                <w:lang w:val="en-US" w:eastAsia="zh-CN"/>
              </w:rPr>
            </w:pPr>
            <w:r>
              <w:rPr>
                <w:rFonts w:hint="eastAsia"/>
                <w:bCs/>
                <w:color w:val="auto"/>
                <w:lang w:val="en-US" w:eastAsia="zh-CN"/>
              </w:rPr>
              <w:t>90</w:t>
            </w:r>
          </w:p>
        </w:tc>
        <w:tc>
          <w:tcPr>
            <w:tcW w:w="1321" w:type="pct"/>
            <w:vMerge w:val="continue"/>
            <w:vAlign w:val="center"/>
          </w:tcPr>
          <w:p>
            <w:pPr>
              <w:pStyle w:val="30"/>
              <w:rPr>
                <w:bCs/>
                <w:color w:val="auto"/>
              </w:rPr>
            </w:pPr>
          </w:p>
        </w:tc>
      </w:tr>
    </w:tbl>
    <w:p>
      <w:pPr>
        <w:pStyle w:val="7"/>
        <w:rPr>
          <w:color w:val="auto"/>
        </w:rPr>
      </w:pPr>
      <w:r>
        <w:rPr>
          <w:color w:val="auto"/>
        </w:rPr>
        <w:t>3.7.4固体废物</w:t>
      </w:r>
    </w:p>
    <w:p>
      <w:pPr>
        <w:ind w:firstLine="480"/>
        <w:rPr>
          <w:color w:val="auto"/>
        </w:rPr>
      </w:pPr>
      <w:r>
        <w:rPr>
          <w:color w:val="auto"/>
        </w:rPr>
        <w:t>本项目产生的固体废物为不合格成品及边角料、</w:t>
      </w:r>
      <w:r>
        <w:rPr>
          <w:rFonts w:hint="eastAsia"/>
          <w:color w:val="auto"/>
        </w:rPr>
        <w:t>回收</w:t>
      </w:r>
      <w:r>
        <w:rPr>
          <w:color w:val="auto"/>
        </w:rPr>
        <w:t>粉尘、</w:t>
      </w:r>
      <w:r>
        <w:rPr>
          <w:rFonts w:hint="eastAsia"/>
          <w:color w:val="auto"/>
        </w:rPr>
        <w:t>废包装材料、</w:t>
      </w:r>
      <w:r>
        <w:rPr>
          <w:color w:val="auto"/>
        </w:rPr>
        <w:t>废活性炭、</w:t>
      </w:r>
      <w:r>
        <w:rPr>
          <w:rFonts w:hint="eastAsia"/>
          <w:color w:val="auto"/>
        </w:rPr>
        <w:t>废机油、</w:t>
      </w:r>
      <w:r>
        <w:rPr>
          <w:color w:val="auto"/>
        </w:rPr>
        <w:t>生活垃圾。</w:t>
      </w:r>
    </w:p>
    <w:p>
      <w:pPr>
        <w:ind w:firstLine="482"/>
        <w:rPr>
          <w:b/>
          <w:bCs/>
          <w:color w:val="auto"/>
        </w:rPr>
      </w:pPr>
      <w:r>
        <w:rPr>
          <w:b/>
          <w:bCs/>
          <w:color w:val="auto"/>
        </w:rPr>
        <w:t>（1）不合格成品及边角料</w:t>
      </w:r>
    </w:p>
    <w:p>
      <w:pPr>
        <w:ind w:firstLine="480"/>
        <w:rPr>
          <w:color w:val="auto"/>
        </w:rPr>
      </w:pPr>
      <w:r>
        <w:rPr>
          <w:color w:val="auto"/>
        </w:rPr>
        <w:t>项目在熔融挤出及修整切割工序会产生一定量的不合格成品及边角料。</w:t>
      </w:r>
      <w:r>
        <w:rPr>
          <w:rFonts w:hint="eastAsia"/>
          <w:color w:val="auto"/>
        </w:rPr>
        <w:t>本项目全部采用新设备，废管率较低，</w:t>
      </w:r>
      <w:r>
        <w:rPr>
          <w:color w:val="auto"/>
        </w:rPr>
        <w:t>不合格成品及边角料约占</w:t>
      </w:r>
      <w:r>
        <w:rPr>
          <w:rFonts w:hint="eastAsia"/>
          <w:color w:val="auto"/>
        </w:rPr>
        <w:t>1</w:t>
      </w:r>
      <w:r>
        <w:rPr>
          <w:color w:val="auto"/>
        </w:rPr>
        <w:t>%，不合格产品及边角料产生量为</w:t>
      </w:r>
      <w:r>
        <w:rPr>
          <w:rFonts w:hint="eastAsia"/>
          <w:color w:val="auto"/>
          <w:lang w:val="en-US" w:eastAsia="zh-CN"/>
        </w:rPr>
        <w:t>3</w:t>
      </w:r>
      <w:r>
        <w:rPr>
          <w:rFonts w:hint="eastAsia"/>
          <w:color w:val="auto"/>
        </w:rPr>
        <w:t>00</w:t>
      </w:r>
      <w:r>
        <w:rPr>
          <w:color w:val="auto"/>
        </w:rPr>
        <w:t>吨，不合格产品及边角料收集破碎后作为原料回用于生产。</w:t>
      </w:r>
    </w:p>
    <w:p>
      <w:pPr>
        <w:ind w:firstLine="482"/>
        <w:rPr>
          <w:b/>
          <w:bCs/>
          <w:color w:val="auto"/>
        </w:rPr>
      </w:pPr>
      <w:r>
        <w:rPr>
          <w:b/>
          <w:bCs/>
          <w:color w:val="auto"/>
        </w:rPr>
        <w:t>（2）</w:t>
      </w:r>
      <w:r>
        <w:rPr>
          <w:rFonts w:hint="eastAsia"/>
          <w:b/>
          <w:bCs/>
          <w:color w:val="auto"/>
        </w:rPr>
        <w:t>回收</w:t>
      </w:r>
      <w:r>
        <w:rPr>
          <w:b/>
          <w:bCs/>
          <w:color w:val="auto"/>
        </w:rPr>
        <w:t>粉尘</w:t>
      </w:r>
    </w:p>
    <w:p>
      <w:pPr>
        <w:ind w:firstLine="480"/>
        <w:rPr>
          <w:color w:val="auto"/>
        </w:rPr>
      </w:pPr>
      <w:r>
        <w:rPr>
          <w:color w:val="auto"/>
        </w:rPr>
        <w:t>本项目在破碎工段</w:t>
      </w:r>
      <w:r>
        <w:rPr>
          <w:rFonts w:hint="eastAsia"/>
          <w:color w:val="auto"/>
          <w:lang w:val="en-US" w:eastAsia="zh-CN"/>
        </w:rPr>
        <w:t>产生的粉尘通过布袋除尘器处理后</w:t>
      </w:r>
      <w:r>
        <w:rPr>
          <w:color w:val="auto"/>
        </w:rPr>
        <w:t>会</w:t>
      </w:r>
      <w:r>
        <w:rPr>
          <w:rFonts w:hint="eastAsia"/>
          <w:color w:val="auto"/>
          <w:lang w:val="en-US" w:eastAsia="zh-CN"/>
        </w:rPr>
        <w:t>收集到</w:t>
      </w:r>
      <w:r>
        <w:rPr>
          <w:color w:val="auto"/>
        </w:rPr>
        <w:t>一定量的粉尘</w:t>
      </w:r>
      <w:r>
        <w:rPr>
          <w:rFonts w:hint="eastAsia"/>
          <w:color w:val="auto"/>
        </w:rPr>
        <w:t>，</w:t>
      </w:r>
      <w:r>
        <w:rPr>
          <w:color w:val="auto"/>
        </w:rPr>
        <w:t>根据计算，回收的颗粒物量约为</w:t>
      </w:r>
      <w:r>
        <w:rPr>
          <w:rFonts w:hint="eastAsia"/>
          <w:color w:val="auto"/>
          <w:lang w:val="en-US" w:eastAsia="zh-CN"/>
        </w:rPr>
        <w:t>0.0855</w:t>
      </w:r>
      <w:r>
        <w:rPr>
          <w:color w:val="auto"/>
        </w:rPr>
        <w:t>t/a，其主要成分与原材料一致，可作为原料回用于生产。</w:t>
      </w:r>
    </w:p>
    <w:p>
      <w:pPr>
        <w:ind w:firstLine="482"/>
        <w:rPr>
          <w:b/>
          <w:bCs/>
          <w:color w:val="auto"/>
        </w:rPr>
      </w:pPr>
      <w:r>
        <w:rPr>
          <w:rFonts w:hint="eastAsia"/>
          <w:b/>
          <w:bCs/>
          <w:color w:val="auto"/>
        </w:rPr>
        <w:t>（3）废包装材料</w:t>
      </w:r>
    </w:p>
    <w:p>
      <w:pPr>
        <w:ind w:firstLine="480"/>
        <w:rPr>
          <w:color w:val="auto"/>
        </w:rPr>
      </w:pPr>
      <w:r>
        <w:rPr>
          <w:color w:val="auto"/>
        </w:rPr>
        <w:t>项目运营过程中会产生废包装材料，其产生量约为</w:t>
      </w:r>
      <w:r>
        <w:rPr>
          <w:rFonts w:hint="eastAsia"/>
          <w:color w:val="auto"/>
        </w:rPr>
        <w:t>5</w:t>
      </w:r>
      <w:r>
        <w:rPr>
          <w:color w:val="auto"/>
        </w:rPr>
        <w:t>t/a，收集后外售。</w:t>
      </w:r>
    </w:p>
    <w:p>
      <w:pPr>
        <w:ind w:firstLine="482"/>
        <w:rPr>
          <w:b/>
          <w:bCs/>
          <w:color w:val="auto"/>
        </w:rPr>
      </w:pPr>
      <w:r>
        <w:rPr>
          <w:b/>
          <w:bCs/>
          <w:color w:val="auto"/>
        </w:rPr>
        <w:t>（</w:t>
      </w:r>
      <w:r>
        <w:rPr>
          <w:rFonts w:hint="eastAsia"/>
          <w:b/>
          <w:bCs/>
          <w:color w:val="auto"/>
        </w:rPr>
        <w:t>4</w:t>
      </w:r>
      <w:r>
        <w:rPr>
          <w:b/>
          <w:bCs/>
          <w:color w:val="auto"/>
        </w:rPr>
        <w:t>）废活性炭</w:t>
      </w:r>
    </w:p>
    <w:p>
      <w:pPr>
        <w:ind w:firstLine="480"/>
        <w:rPr>
          <w:color w:val="auto"/>
          <w:highlight w:val="none"/>
        </w:rPr>
      </w:pPr>
      <w:r>
        <w:rPr>
          <w:color w:val="auto"/>
          <w:highlight w:val="none"/>
        </w:rPr>
        <w:t>项目在熔融挤出工段会产生一定量的有机废气</w:t>
      </w:r>
      <w:r>
        <w:rPr>
          <w:rFonts w:hint="eastAsia"/>
          <w:color w:val="auto"/>
          <w:highlight w:val="none"/>
        </w:rPr>
        <w:t>，</w:t>
      </w:r>
      <w:r>
        <w:rPr>
          <w:color w:val="auto"/>
          <w:highlight w:val="none"/>
        </w:rPr>
        <w:t>有机废气经集气罩收集后采取</w:t>
      </w:r>
      <w:r>
        <w:rPr>
          <w:rFonts w:hint="eastAsia"/>
          <w:color w:val="auto"/>
          <w:highlight w:val="none"/>
        </w:rPr>
        <w:t>两级</w:t>
      </w:r>
      <w:r>
        <w:rPr>
          <w:color w:val="auto"/>
          <w:highlight w:val="none"/>
        </w:rPr>
        <w:t>活性炭吸附处理，</w:t>
      </w:r>
      <w:r>
        <w:rPr>
          <w:rFonts w:hint="eastAsia"/>
          <w:color w:val="auto"/>
          <w:highlight w:val="none"/>
        </w:rPr>
        <w:t>本项目活性炭吸附非甲烷总烃的量</w:t>
      </w:r>
      <w:r>
        <w:rPr>
          <w:rFonts w:hint="eastAsia"/>
          <w:color w:val="auto"/>
          <w:highlight w:val="none"/>
          <w:lang w:val="en-US" w:eastAsia="zh-CN"/>
        </w:rPr>
        <w:t>约</w:t>
      </w:r>
      <w:r>
        <w:rPr>
          <w:rFonts w:hint="eastAsia"/>
          <w:color w:val="auto"/>
          <w:highlight w:val="none"/>
        </w:rPr>
        <w:t>为</w:t>
      </w:r>
      <w:r>
        <w:rPr>
          <w:rFonts w:hint="eastAsia"/>
          <w:color w:val="auto"/>
          <w:highlight w:val="none"/>
          <w:lang w:val="en-US" w:eastAsia="zh-CN"/>
        </w:rPr>
        <w:t>3.8</w:t>
      </w:r>
      <w:r>
        <w:rPr>
          <w:rFonts w:hint="eastAsia"/>
          <w:color w:val="auto"/>
          <w:highlight w:val="none"/>
        </w:rPr>
        <w:t xml:space="preserve"> t/a</w:t>
      </w:r>
      <w:r>
        <w:rPr>
          <w:color w:val="auto"/>
          <w:highlight w:val="none"/>
        </w:rPr>
        <w:t>。根据类比，1t活性炭可吸附有机废气0.4-0.5t（本环评以0.</w:t>
      </w:r>
      <w:r>
        <w:rPr>
          <w:rFonts w:hint="eastAsia"/>
          <w:color w:val="auto"/>
          <w:highlight w:val="none"/>
          <w:lang w:val="en-US" w:eastAsia="zh-CN"/>
        </w:rPr>
        <w:t>5</w:t>
      </w:r>
      <w:r>
        <w:rPr>
          <w:color w:val="auto"/>
          <w:highlight w:val="none"/>
        </w:rPr>
        <w:t>t计）</w:t>
      </w:r>
      <w:r>
        <w:rPr>
          <w:rFonts w:hint="eastAsia"/>
          <w:color w:val="auto"/>
          <w:highlight w:val="none"/>
        </w:rPr>
        <w:t>。则需要</w:t>
      </w:r>
      <w:r>
        <w:rPr>
          <w:rFonts w:hint="eastAsia"/>
          <w:color w:val="auto"/>
          <w:highlight w:val="none"/>
          <w:lang w:val="en-US" w:eastAsia="zh-CN"/>
        </w:rPr>
        <w:t>7.6</w:t>
      </w:r>
      <w:r>
        <w:rPr>
          <w:rFonts w:hint="eastAsia"/>
          <w:color w:val="auto"/>
          <w:highlight w:val="none"/>
        </w:rPr>
        <w:t xml:space="preserve"> t活性炭，因此本项目每年废活性炭的产生量为</w:t>
      </w:r>
      <w:r>
        <w:rPr>
          <w:rFonts w:hint="eastAsia"/>
          <w:color w:val="auto"/>
          <w:highlight w:val="none"/>
          <w:lang w:val="en-US" w:eastAsia="zh-CN"/>
        </w:rPr>
        <w:t>11.4</w:t>
      </w:r>
      <w:r>
        <w:rPr>
          <w:rFonts w:hint="eastAsia"/>
          <w:color w:val="auto"/>
          <w:highlight w:val="none"/>
        </w:rPr>
        <w:t>t/a（包括吸附的有机废气），随着吸附时间增长活性炭的吸附效率会降低，为了确保活性炭的吸附效率，需定期更换活性炭。活性炭需一个月更换一次，则本项目运行过程中需12次活性炭。</w:t>
      </w:r>
      <w:r>
        <w:rPr>
          <w:color w:val="auto"/>
          <w:highlight w:val="none"/>
        </w:rPr>
        <w:t>对照《国家危险废物名录》（2021年），废活性炭分类编号为HW49，代码为900-039-49，暂存于危废暂存间，定期交由资质公司处理。</w:t>
      </w:r>
    </w:p>
    <w:p>
      <w:pPr>
        <w:ind w:firstLine="482"/>
        <w:rPr>
          <w:b/>
          <w:bCs/>
          <w:color w:val="auto"/>
          <w:highlight w:val="none"/>
        </w:rPr>
      </w:pPr>
      <w:r>
        <w:rPr>
          <w:b/>
          <w:bCs/>
          <w:color w:val="auto"/>
          <w:highlight w:val="none"/>
        </w:rPr>
        <w:t>（</w:t>
      </w:r>
      <w:r>
        <w:rPr>
          <w:rFonts w:hint="eastAsia"/>
          <w:b/>
          <w:bCs/>
          <w:color w:val="auto"/>
          <w:highlight w:val="none"/>
        </w:rPr>
        <w:t>5</w:t>
      </w:r>
      <w:r>
        <w:rPr>
          <w:b/>
          <w:bCs/>
          <w:color w:val="auto"/>
          <w:highlight w:val="none"/>
        </w:rPr>
        <w:t>）废机油</w:t>
      </w:r>
    </w:p>
    <w:p>
      <w:pPr>
        <w:ind w:firstLine="480"/>
        <w:rPr>
          <w:color w:val="auto"/>
        </w:rPr>
      </w:pPr>
      <w:r>
        <w:rPr>
          <w:color w:val="auto"/>
        </w:rPr>
        <w:t>本项目在设备使用和维修过程中会产生一定量的废机油，这部分废物属于危险废物，对照《国家危险废物名录》（2021年），分类编号为HW08，代码为 900-249-08。根据建设方提供的资料数据，废机油产生量为0.</w:t>
      </w:r>
      <w:r>
        <w:rPr>
          <w:rFonts w:hint="eastAsia"/>
          <w:color w:val="auto"/>
        </w:rPr>
        <w:t>1</w:t>
      </w:r>
      <w:r>
        <w:rPr>
          <w:color w:val="auto"/>
        </w:rPr>
        <w:t>t/a，暂存于危废暂存间，定期交由资质公司处理。</w:t>
      </w:r>
    </w:p>
    <w:p>
      <w:pPr>
        <w:ind w:firstLine="482"/>
        <w:rPr>
          <w:b/>
          <w:bCs/>
          <w:color w:val="auto"/>
        </w:rPr>
      </w:pPr>
      <w:r>
        <w:rPr>
          <w:b/>
          <w:bCs/>
          <w:color w:val="auto"/>
        </w:rPr>
        <w:t>（</w:t>
      </w:r>
      <w:r>
        <w:rPr>
          <w:rFonts w:hint="eastAsia"/>
          <w:b/>
          <w:bCs/>
          <w:color w:val="auto"/>
        </w:rPr>
        <w:t>6</w:t>
      </w:r>
      <w:r>
        <w:rPr>
          <w:b/>
          <w:bCs/>
          <w:color w:val="auto"/>
        </w:rPr>
        <w:t>）生活垃圾</w:t>
      </w:r>
    </w:p>
    <w:p>
      <w:pPr>
        <w:ind w:firstLine="480"/>
        <w:rPr>
          <w:color w:val="auto"/>
        </w:rPr>
      </w:pPr>
      <w:r>
        <w:rPr>
          <w:bCs/>
          <w:color w:val="auto"/>
        </w:rPr>
        <w:t>项目劳动定员</w:t>
      </w:r>
      <w:r>
        <w:rPr>
          <w:rFonts w:hint="eastAsia"/>
          <w:bCs/>
          <w:color w:val="auto"/>
        </w:rPr>
        <w:t>30</w:t>
      </w:r>
      <w:r>
        <w:rPr>
          <w:bCs/>
          <w:color w:val="auto"/>
        </w:rPr>
        <w:t>人，</w:t>
      </w:r>
      <w:r>
        <w:rPr>
          <w:rFonts w:hint="eastAsia"/>
          <w:bCs/>
          <w:color w:val="auto"/>
        </w:rPr>
        <w:t>不</w:t>
      </w:r>
      <w:r>
        <w:rPr>
          <w:bCs/>
          <w:color w:val="auto"/>
        </w:rPr>
        <w:t>在厂食宿，年工作</w:t>
      </w:r>
      <w:r>
        <w:rPr>
          <w:rFonts w:hint="eastAsia"/>
          <w:bCs/>
          <w:color w:val="auto"/>
          <w:lang w:val="en-US" w:eastAsia="zh-CN"/>
        </w:rPr>
        <w:t>300</w:t>
      </w:r>
      <w:r>
        <w:rPr>
          <w:bCs/>
          <w:color w:val="auto"/>
        </w:rPr>
        <w:t>天，人员生活垃圾产生量按</w:t>
      </w:r>
      <w:r>
        <w:rPr>
          <w:rFonts w:hint="eastAsia"/>
          <w:bCs/>
          <w:color w:val="auto"/>
        </w:rPr>
        <w:t>0.5</w:t>
      </w:r>
      <w:r>
        <w:rPr>
          <w:bCs/>
          <w:color w:val="auto"/>
        </w:rPr>
        <w:t>kg/d人计算，则运营期生活垃圾产生量为</w:t>
      </w:r>
      <w:r>
        <w:rPr>
          <w:rFonts w:hint="eastAsia"/>
          <w:bCs/>
          <w:color w:val="auto"/>
        </w:rPr>
        <w:t>4.</w:t>
      </w:r>
      <w:r>
        <w:rPr>
          <w:rFonts w:hint="eastAsia"/>
          <w:bCs/>
          <w:color w:val="auto"/>
          <w:lang w:val="en-US" w:eastAsia="zh-CN"/>
        </w:rPr>
        <w:t>5</w:t>
      </w:r>
      <w:r>
        <w:rPr>
          <w:bCs/>
          <w:color w:val="auto"/>
        </w:rPr>
        <w:t>t/a。</w:t>
      </w:r>
      <w:r>
        <w:rPr>
          <w:color w:val="auto"/>
        </w:rPr>
        <w:t>本项目生活垃圾收集后交由环卫部门统一清运处理</w:t>
      </w:r>
      <w:r>
        <w:rPr>
          <w:rFonts w:hint="eastAsia"/>
          <w:color w:val="auto"/>
        </w:rPr>
        <w:t>。</w:t>
      </w:r>
    </w:p>
    <w:p>
      <w:pPr>
        <w:pStyle w:val="31"/>
        <w:rPr>
          <w:color w:val="auto"/>
        </w:rPr>
      </w:pPr>
      <w:r>
        <w:rPr>
          <w:color w:val="auto"/>
        </w:rPr>
        <w:t>表3.7-6  本项目固废产生处置情况表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28"/>
        <w:gridCol w:w="1362"/>
        <w:gridCol w:w="1200"/>
        <w:gridCol w:w="1946"/>
        <w:gridCol w:w="1498"/>
        <w:gridCol w:w="17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b/>
                <w:bCs/>
                <w:color w:val="auto"/>
              </w:rPr>
            </w:pPr>
            <w:r>
              <w:rPr>
                <w:b/>
                <w:bCs/>
                <w:color w:val="auto"/>
              </w:rPr>
              <w:t>序号</w:t>
            </w:r>
          </w:p>
        </w:tc>
        <w:tc>
          <w:tcPr>
            <w:tcW w:w="799" w:type="pct"/>
            <w:vAlign w:val="center"/>
          </w:tcPr>
          <w:p>
            <w:pPr>
              <w:pStyle w:val="30"/>
              <w:rPr>
                <w:b/>
                <w:bCs/>
                <w:color w:val="auto"/>
              </w:rPr>
            </w:pPr>
            <w:r>
              <w:rPr>
                <w:b/>
                <w:bCs/>
                <w:color w:val="auto"/>
              </w:rPr>
              <w:t>类别</w:t>
            </w:r>
          </w:p>
        </w:tc>
        <w:tc>
          <w:tcPr>
            <w:tcW w:w="704" w:type="pct"/>
            <w:vAlign w:val="center"/>
          </w:tcPr>
          <w:p>
            <w:pPr>
              <w:pStyle w:val="30"/>
              <w:rPr>
                <w:b/>
                <w:bCs/>
                <w:color w:val="auto"/>
              </w:rPr>
            </w:pPr>
            <w:r>
              <w:rPr>
                <w:b/>
                <w:bCs/>
                <w:color w:val="auto"/>
              </w:rPr>
              <w:t>数量（t/a）</w:t>
            </w:r>
          </w:p>
        </w:tc>
        <w:tc>
          <w:tcPr>
            <w:tcW w:w="1142" w:type="pct"/>
            <w:vAlign w:val="center"/>
          </w:tcPr>
          <w:p>
            <w:pPr>
              <w:pStyle w:val="30"/>
              <w:rPr>
                <w:b/>
                <w:bCs/>
                <w:color w:val="auto"/>
              </w:rPr>
            </w:pPr>
            <w:r>
              <w:rPr>
                <w:b/>
                <w:bCs/>
                <w:color w:val="auto"/>
              </w:rPr>
              <w:t>废物属性</w:t>
            </w:r>
          </w:p>
        </w:tc>
        <w:tc>
          <w:tcPr>
            <w:tcW w:w="879" w:type="pct"/>
            <w:vAlign w:val="center"/>
          </w:tcPr>
          <w:p>
            <w:pPr>
              <w:pStyle w:val="30"/>
              <w:rPr>
                <w:b/>
                <w:bCs/>
                <w:color w:val="auto"/>
              </w:rPr>
            </w:pPr>
            <w:r>
              <w:rPr>
                <w:b/>
                <w:bCs/>
                <w:color w:val="auto"/>
              </w:rPr>
              <w:t>贮存场所</w:t>
            </w:r>
          </w:p>
        </w:tc>
        <w:tc>
          <w:tcPr>
            <w:tcW w:w="1049" w:type="pct"/>
            <w:vAlign w:val="center"/>
          </w:tcPr>
          <w:p>
            <w:pPr>
              <w:pStyle w:val="30"/>
              <w:rPr>
                <w:b/>
                <w:bCs/>
                <w:color w:val="auto"/>
              </w:rPr>
            </w:pPr>
            <w:r>
              <w:rPr>
                <w:b/>
                <w:bCs/>
                <w:color w:val="auto"/>
              </w:rPr>
              <w:t>处理方式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color w:val="auto"/>
              </w:rPr>
              <w:t>1</w:t>
            </w:r>
          </w:p>
        </w:tc>
        <w:tc>
          <w:tcPr>
            <w:tcW w:w="799" w:type="pct"/>
            <w:vAlign w:val="center"/>
          </w:tcPr>
          <w:p>
            <w:pPr>
              <w:pStyle w:val="30"/>
              <w:rPr>
                <w:color w:val="auto"/>
              </w:rPr>
            </w:pPr>
            <w:r>
              <w:rPr>
                <w:color w:val="auto"/>
              </w:rPr>
              <w:t>不合格成品及边角料</w:t>
            </w:r>
          </w:p>
        </w:tc>
        <w:tc>
          <w:tcPr>
            <w:tcW w:w="704" w:type="pct"/>
            <w:vAlign w:val="center"/>
          </w:tcPr>
          <w:p>
            <w:pPr>
              <w:pStyle w:val="30"/>
              <w:rPr>
                <w:rFonts w:hint="default" w:eastAsia="宋体"/>
                <w:color w:val="auto"/>
                <w:lang w:val="en-US" w:eastAsia="zh-CN"/>
              </w:rPr>
            </w:pPr>
            <w:r>
              <w:rPr>
                <w:rFonts w:hint="eastAsia"/>
                <w:color w:val="auto"/>
                <w:lang w:val="en-US" w:eastAsia="zh-CN"/>
              </w:rPr>
              <w:t>300</w:t>
            </w:r>
          </w:p>
        </w:tc>
        <w:tc>
          <w:tcPr>
            <w:tcW w:w="1142" w:type="pct"/>
            <w:vAlign w:val="center"/>
          </w:tcPr>
          <w:p>
            <w:pPr>
              <w:pStyle w:val="30"/>
              <w:rPr>
                <w:color w:val="auto"/>
              </w:rPr>
            </w:pPr>
            <w:r>
              <w:rPr>
                <w:color w:val="auto"/>
              </w:rPr>
              <w:t>一般固废</w:t>
            </w:r>
            <w:r>
              <w:rPr>
                <w:rFonts w:hint="eastAsia"/>
                <w:color w:val="auto"/>
              </w:rPr>
              <w:t>，编号为292-001-06</w:t>
            </w:r>
          </w:p>
        </w:tc>
        <w:tc>
          <w:tcPr>
            <w:tcW w:w="879" w:type="pct"/>
            <w:vMerge w:val="restart"/>
            <w:vAlign w:val="center"/>
          </w:tcPr>
          <w:p>
            <w:pPr>
              <w:pStyle w:val="30"/>
              <w:rPr>
                <w:color w:val="auto"/>
              </w:rPr>
            </w:pPr>
            <w:r>
              <w:rPr>
                <w:color w:val="auto"/>
              </w:rPr>
              <w:t>一般固废暂存间</w:t>
            </w:r>
          </w:p>
        </w:tc>
        <w:tc>
          <w:tcPr>
            <w:tcW w:w="1049" w:type="pct"/>
            <w:vAlign w:val="center"/>
          </w:tcPr>
          <w:p>
            <w:pPr>
              <w:pStyle w:val="30"/>
              <w:rPr>
                <w:color w:val="auto"/>
              </w:rPr>
            </w:pPr>
            <w:r>
              <w:rPr>
                <w:color w:val="auto"/>
              </w:rPr>
              <w:t>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color w:val="auto"/>
              </w:rPr>
              <w:t>2</w:t>
            </w:r>
          </w:p>
        </w:tc>
        <w:tc>
          <w:tcPr>
            <w:tcW w:w="799" w:type="pct"/>
            <w:vAlign w:val="center"/>
          </w:tcPr>
          <w:p>
            <w:pPr>
              <w:pStyle w:val="30"/>
              <w:rPr>
                <w:color w:val="auto"/>
              </w:rPr>
            </w:pPr>
            <w:r>
              <w:rPr>
                <w:rFonts w:hint="eastAsia"/>
                <w:color w:val="auto"/>
              </w:rPr>
              <w:t>回收</w:t>
            </w:r>
            <w:r>
              <w:rPr>
                <w:color w:val="auto"/>
              </w:rPr>
              <w:t>粉尘</w:t>
            </w:r>
          </w:p>
        </w:tc>
        <w:tc>
          <w:tcPr>
            <w:tcW w:w="704" w:type="pct"/>
            <w:vAlign w:val="center"/>
          </w:tcPr>
          <w:p>
            <w:pPr>
              <w:pStyle w:val="30"/>
              <w:rPr>
                <w:rFonts w:hint="default" w:eastAsia="宋体"/>
                <w:color w:val="auto"/>
                <w:lang w:val="en-US" w:eastAsia="zh-CN"/>
              </w:rPr>
            </w:pPr>
            <w:r>
              <w:rPr>
                <w:rFonts w:hint="eastAsia"/>
                <w:color w:val="auto"/>
                <w:lang w:val="en-US" w:eastAsia="zh-CN"/>
              </w:rPr>
              <w:t>0.0855</w:t>
            </w:r>
          </w:p>
        </w:tc>
        <w:tc>
          <w:tcPr>
            <w:tcW w:w="1142" w:type="pct"/>
            <w:vAlign w:val="center"/>
          </w:tcPr>
          <w:p>
            <w:pPr>
              <w:pStyle w:val="30"/>
              <w:rPr>
                <w:color w:val="auto"/>
              </w:rPr>
            </w:pPr>
            <w:r>
              <w:rPr>
                <w:color w:val="auto"/>
              </w:rPr>
              <w:t>一般固废</w:t>
            </w:r>
            <w:r>
              <w:rPr>
                <w:rFonts w:hint="eastAsia"/>
                <w:color w:val="auto"/>
              </w:rPr>
              <w:t>，编号为292-001-06</w:t>
            </w:r>
          </w:p>
        </w:tc>
        <w:tc>
          <w:tcPr>
            <w:tcW w:w="879" w:type="pct"/>
            <w:vMerge w:val="continue"/>
            <w:vAlign w:val="center"/>
          </w:tcPr>
          <w:p>
            <w:pPr>
              <w:pStyle w:val="30"/>
              <w:rPr>
                <w:color w:val="auto"/>
              </w:rPr>
            </w:pPr>
          </w:p>
        </w:tc>
        <w:tc>
          <w:tcPr>
            <w:tcW w:w="1049" w:type="pct"/>
            <w:vAlign w:val="center"/>
          </w:tcPr>
          <w:p>
            <w:pPr>
              <w:pStyle w:val="30"/>
              <w:rPr>
                <w:color w:val="auto"/>
              </w:rPr>
            </w:pPr>
            <w:r>
              <w:rPr>
                <w:color w:val="auto"/>
              </w:rPr>
              <w:t>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color w:val="auto"/>
              </w:rPr>
              <w:t>3</w:t>
            </w:r>
          </w:p>
        </w:tc>
        <w:tc>
          <w:tcPr>
            <w:tcW w:w="799" w:type="pct"/>
            <w:vAlign w:val="center"/>
          </w:tcPr>
          <w:p>
            <w:pPr>
              <w:pStyle w:val="30"/>
              <w:rPr>
                <w:color w:val="auto"/>
              </w:rPr>
            </w:pPr>
            <w:r>
              <w:rPr>
                <w:color w:val="auto"/>
              </w:rPr>
              <w:t>废包装材料</w:t>
            </w:r>
          </w:p>
        </w:tc>
        <w:tc>
          <w:tcPr>
            <w:tcW w:w="704" w:type="pct"/>
            <w:vAlign w:val="center"/>
          </w:tcPr>
          <w:p>
            <w:pPr>
              <w:pStyle w:val="30"/>
              <w:rPr>
                <w:color w:val="auto"/>
              </w:rPr>
            </w:pPr>
            <w:r>
              <w:rPr>
                <w:rFonts w:hint="eastAsia"/>
                <w:color w:val="auto"/>
              </w:rPr>
              <w:t>5</w:t>
            </w:r>
          </w:p>
        </w:tc>
        <w:tc>
          <w:tcPr>
            <w:tcW w:w="1142" w:type="pct"/>
            <w:vAlign w:val="center"/>
          </w:tcPr>
          <w:p>
            <w:pPr>
              <w:pStyle w:val="30"/>
              <w:rPr>
                <w:color w:val="auto"/>
              </w:rPr>
            </w:pPr>
            <w:r>
              <w:rPr>
                <w:color w:val="auto"/>
              </w:rPr>
              <w:t>一般固废</w:t>
            </w:r>
            <w:r>
              <w:rPr>
                <w:rFonts w:hint="eastAsia"/>
                <w:color w:val="auto"/>
              </w:rPr>
              <w:t>，编号为292-001-07</w:t>
            </w:r>
          </w:p>
        </w:tc>
        <w:tc>
          <w:tcPr>
            <w:tcW w:w="879" w:type="pct"/>
            <w:vMerge w:val="continue"/>
            <w:vAlign w:val="center"/>
          </w:tcPr>
          <w:p>
            <w:pPr>
              <w:pStyle w:val="30"/>
              <w:rPr>
                <w:color w:val="auto"/>
              </w:rPr>
            </w:pPr>
          </w:p>
        </w:tc>
        <w:tc>
          <w:tcPr>
            <w:tcW w:w="1049" w:type="pct"/>
            <w:vAlign w:val="center"/>
          </w:tcPr>
          <w:p>
            <w:pPr>
              <w:pStyle w:val="30"/>
              <w:rPr>
                <w:color w:val="auto"/>
              </w:rPr>
            </w:pPr>
            <w:r>
              <w:rPr>
                <w:rFonts w:hint="eastAsia"/>
                <w:color w:val="auto"/>
              </w:rPr>
              <w:t>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rFonts w:hint="eastAsia"/>
                <w:color w:val="auto"/>
              </w:rPr>
              <w:t>4</w:t>
            </w:r>
          </w:p>
        </w:tc>
        <w:tc>
          <w:tcPr>
            <w:tcW w:w="799" w:type="pct"/>
            <w:vAlign w:val="center"/>
          </w:tcPr>
          <w:p>
            <w:pPr>
              <w:pStyle w:val="30"/>
              <w:rPr>
                <w:color w:val="auto"/>
              </w:rPr>
            </w:pPr>
            <w:r>
              <w:rPr>
                <w:color w:val="auto"/>
              </w:rPr>
              <w:t>废机油</w:t>
            </w:r>
          </w:p>
        </w:tc>
        <w:tc>
          <w:tcPr>
            <w:tcW w:w="704" w:type="pct"/>
            <w:vAlign w:val="center"/>
          </w:tcPr>
          <w:p>
            <w:pPr>
              <w:pStyle w:val="30"/>
              <w:rPr>
                <w:color w:val="auto"/>
              </w:rPr>
            </w:pPr>
            <w:r>
              <w:rPr>
                <w:rFonts w:hint="eastAsia"/>
                <w:color w:val="auto"/>
              </w:rPr>
              <w:t>0.1</w:t>
            </w:r>
          </w:p>
        </w:tc>
        <w:tc>
          <w:tcPr>
            <w:tcW w:w="1142" w:type="pct"/>
            <w:vAlign w:val="center"/>
          </w:tcPr>
          <w:p>
            <w:pPr>
              <w:pStyle w:val="30"/>
              <w:rPr>
                <w:color w:val="auto"/>
              </w:rPr>
            </w:pPr>
            <w:r>
              <w:rPr>
                <w:color w:val="auto"/>
              </w:rPr>
              <w:t>危险废物HW08（900-249-08）</w:t>
            </w:r>
          </w:p>
        </w:tc>
        <w:tc>
          <w:tcPr>
            <w:tcW w:w="879" w:type="pct"/>
            <w:vMerge w:val="restart"/>
            <w:vAlign w:val="center"/>
          </w:tcPr>
          <w:p>
            <w:pPr>
              <w:pStyle w:val="30"/>
              <w:rPr>
                <w:color w:val="auto"/>
              </w:rPr>
            </w:pPr>
            <w:r>
              <w:rPr>
                <w:color w:val="auto"/>
              </w:rPr>
              <w:t>危险废物暂存间</w:t>
            </w:r>
          </w:p>
        </w:tc>
        <w:tc>
          <w:tcPr>
            <w:tcW w:w="1049" w:type="pct"/>
            <w:vMerge w:val="restart"/>
            <w:vAlign w:val="center"/>
          </w:tcPr>
          <w:p>
            <w:pPr>
              <w:pStyle w:val="30"/>
              <w:rPr>
                <w:color w:val="auto"/>
              </w:rPr>
            </w:pPr>
            <w:r>
              <w:rPr>
                <w:color w:val="auto"/>
              </w:rPr>
              <w:t>交由有资质的单位处置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rFonts w:hint="eastAsia"/>
                <w:color w:val="auto"/>
              </w:rPr>
              <w:t>5</w:t>
            </w:r>
          </w:p>
        </w:tc>
        <w:tc>
          <w:tcPr>
            <w:tcW w:w="799" w:type="pct"/>
            <w:vAlign w:val="center"/>
          </w:tcPr>
          <w:p>
            <w:pPr>
              <w:pStyle w:val="30"/>
              <w:rPr>
                <w:color w:val="auto"/>
              </w:rPr>
            </w:pPr>
            <w:r>
              <w:rPr>
                <w:color w:val="auto"/>
              </w:rPr>
              <w:t>废活性炭</w:t>
            </w:r>
          </w:p>
        </w:tc>
        <w:tc>
          <w:tcPr>
            <w:tcW w:w="704" w:type="pct"/>
            <w:vAlign w:val="center"/>
          </w:tcPr>
          <w:p>
            <w:pPr>
              <w:pStyle w:val="30"/>
              <w:rPr>
                <w:rFonts w:hint="default" w:eastAsia="宋体"/>
                <w:color w:val="auto"/>
                <w:lang w:val="en-US" w:eastAsia="zh-CN"/>
              </w:rPr>
            </w:pPr>
            <w:r>
              <w:rPr>
                <w:rFonts w:hint="eastAsia"/>
                <w:color w:val="auto"/>
                <w:lang w:val="en-US" w:eastAsia="zh-CN"/>
              </w:rPr>
              <w:t>11.4</w:t>
            </w:r>
          </w:p>
        </w:tc>
        <w:tc>
          <w:tcPr>
            <w:tcW w:w="1142" w:type="pct"/>
            <w:vAlign w:val="center"/>
          </w:tcPr>
          <w:p>
            <w:pPr>
              <w:pStyle w:val="30"/>
              <w:rPr>
                <w:color w:val="auto"/>
              </w:rPr>
            </w:pPr>
            <w:r>
              <w:rPr>
                <w:color w:val="auto"/>
              </w:rPr>
              <w:t>危险废物HW49（900-039-49）</w:t>
            </w:r>
          </w:p>
        </w:tc>
        <w:tc>
          <w:tcPr>
            <w:tcW w:w="879" w:type="pct"/>
            <w:vMerge w:val="continue"/>
            <w:vAlign w:val="center"/>
          </w:tcPr>
          <w:p>
            <w:pPr>
              <w:pStyle w:val="30"/>
              <w:rPr>
                <w:color w:val="auto"/>
              </w:rPr>
            </w:pPr>
          </w:p>
        </w:tc>
        <w:tc>
          <w:tcPr>
            <w:tcW w:w="1049"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27" w:type="pct"/>
            <w:vAlign w:val="center"/>
          </w:tcPr>
          <w:p>
            <w:pPr>
              <w:pStyle w:val="30"/>
              <w:rPr>
                <w:color w:val="auto"/>
              </w:rPr>
            </w:pPr>
            <w:r>
              <w:rPr>
                <w:rFonts w:hint="eastAsia"/>
                <w:color w:val="auto"/>
              </w:rPr>
              <w:t>6</w:t>
            </w:r>
          </w:p>
        </w:tc>
        <w:tc>
          <w:tcPr>
            <w:tcW w:w="799" w:type="pct"/>
            <w:vAlign w:val="center"/>
          </w:tcPr>
          <w:p>
            <w:pPr>
              <w:pStyle w:val="30"/>
              <w:rPr>
                <w:color w:val="auto"/>
              </w:rPr>
            </w:pPr>
            <w:r>
              <w:rPr>
                <w:color w:val="auto"/>
              </w:rPr>
              <w:t>生活垃圾</w:t>
            </w:r>
          </w:p>
        </w:tc>
        <w:tc>
          <w:tcPr>
            <w:tcW w:w="704" w:type="pct"/>
            <w:vAlign w:val="center"/>
          </w:tcPr>
          <w:p>
            <w:pPr>
              <w:pStyle w:val="30"/>
              <w:rPr>
                <w:rFonts w:hint="eastAsia" w:eastAsia="宋体"/>
                <w:color w:val="auto"/>
                <w:lang w:eastAsia="zh-CN"/>
              </w:rPr>
            </w:pPr>
            <w:r>
              <w:rPr>
                <w:rFonts w:hint="eastAsia"/>
                <w:color w:val="auto"/>
              </w:rPr>
              <w:t>4.</w:t>
            </w:r>
            <w:r>
              <w:rPr>
                <w:rFonts w:hint="eastAsia"/>
                <w:color w:val="auto"/>
                <w:lang w:val="en-US" w:eastAsia="zh-CN"/>
              </w:rPr>
              <w:t>5</w:t>
            </w:r>
          </w:p>
        </w:tc>
        <w:tc>
          <w:tcPr>
            <w:tcW w:w="1142" w:type="pct"/>
            <w:vAlign w:val="center"/>
          </w:tcPr>
          <w:p>
            <w:pPr>
              <w:pStyle w:val="30"/>
              <w:rPr>
                <w:color w:val="auto"/>
              </w:rPr>
            </w:pPr>
            <w:r>
              <w:rPr>
                <w:color w:val="auto"/>
              </w:rPr>
              <w:t>生活垃圾</w:t>
            </w:r>
          </w:p>
        </w:tc>
        <w:tc>
          <w:tcPr>
            <w:tcW w:w="879" w:type="pct"/>
            <w:vAlign w:val="center"/>
          </w:tcPr>
          <w:p>
            <w:pPr>
              <w:pStyle w:val="30"/>
              <w:rPr>
                <w:color w:val="auto"/>
              </w:rPr>
            </w:pPr>
            <w:r>
              <w:rPr>
                <w:color w:val="auto"/>
              </w:rPr>
              <w:t>垃圾桶</w:t>
            </w:r>
          </w:p>
        </w:tc>
        <w:tc>
          <w:tcPr>
            <w:tcW w:w="1049" w:type="pct"/>
            <w:vAlign w:val="center"/>
          </w:tcPr>
          <w:p>
            <w:pPr>
              <w:pStyle w:val="30"/>
              <w:rPr>
                <w:color w:val="auto"/>
              </w:rPr>
            </w:pPr>
            <w:r>
              <w:rPr>
                <w:color w:val="auto"/>
              </w:rPr>
              <w:t>环卫部门统一清运</w:t>
            </w:r>
          </w:p>
        </w:tc>
      </w:tr>
    </w:tbl>
    <w:p>
      <w:pPr>
        <w:pStyle w:val="6"/>
        <w:rPr>
          <w:color w:val="auto"/>
        </w:rPr>
      </w:pPr>
      <w:bookmarkStart w:id="97" w:name="_Toc28572"/>
      <w:bookmarkStart w:id="98" w:name="_Toc14747"/>
      <w:bookmarkStart w:id="99" w:name="_Toc32201"/>
      <w:r>
        <w:rPr>
          <w:color w:val="auto"/>
        </w:rPr>
        <w:t>3.8项目污染源汇总</w:t>
      </w:r>
      <w:bookmarkEnd w:id="97"/>
      <w:bookmarkEnd w:id="98"/>
      <w:bookmarkEnd w:id="99"/>
    </w:p>
    <w:p>
      <w:pPr>
        <w:ind w:firstLine="480"/>
        <w:rPr>
          <w:color w:val="auto"/>
        </w:rPr>
      </w:pPr>
      <w:r>
        <w:rPr>
          <w:color w:val="auto"/>
        </w:rPr>
        <w:t>通过上述工程分析，本项目污染源汇总情况见下表。</w:t>
      </w:r>
    </w:p>
    <w:p>
      <w:pPr>
        <w:ind w:firstLine="480"/>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1"/>
        <w:rPr>
          <w:color w:val="auto"/>
        </w:rPr>
      </w:pPr>
      <w:r>
        <w:rPr>
          <w:color w:val="auto"/>
        </w:rPr>
        <w:t xml:space="preserve">表3.8-1    本项目污染物产生及排放情况汇总表 </w:t>
      </w:r>
    </w:p>
    <w:tbl>
      <w:tblPr>
        <w:tblStyle w:val="21"/>
        <w:tblW w:w="142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9"/>
        <w:gridCol w:w="1071"/>
        <w:gridCol w:w="1108"/>
        <w:gridCol w:w="1331"/>
        <w:gridCol w:w="1671"/>
        <w:gridCol w:w="1560"/>
        <w:gridCol w:w="1275"/>
        <w:gridCol w:w="1276"/>
        <w:gridCol w:w="1276"/>
        <w:gridCol w:w="31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restart"/>
            <w:vAlign w:val="center"/>
          </w:tcPr>
          <w:p>
            <w:pPr>
              <w:pStyle w:val="30"/>
              <w:rPr>
                <w:color w:val="auto"/>
              </w:rPr>
            </w:pPr>
            <w:bookmarkStart w:id="100" w:name="_Hlk509235414"/>
            <w:r>
              <w:rPr>
                <w:color w:val="auto"/>
              </w:rPr>
              <w:t>废水</w:t>
            </w:r>
          </w:p>
        </w:tc>
        <w:tc>
          <w:tcPr>
            <w:tcW w:w="1071" w:type="dxa"/>
            <w:vMerge w:val="restart"/>
            <w:vAlign w:val="center"/>
          </w:tcPr>
          <w:p>
            <w:pPr>
              <w:pStyle w:val="30"/>
              <w:rPr>
                <w:b/>
                <w:bCs/>
                <w:color w:val="auto"/>
              </w:rPr>
            </w:pPr>
            <w:r>
              <w:rPr>
                <w:b/>
                <w:bCs/>
                <w:color w:val="auto"/>
              </w:rPr>
              <w:t>废水类型</w:t>
            </w:r>
          </w:p>
        </w:tc>
        <w:tc>
          <w:tcPr>
            <w:tcW w:w="2439" w:type="dxa"/>
            <w:gridSpan w:val="2"/>
            <w:vMerge w:val="restart"/>
            <w:vAlign w:val="center"/>
          </w:tcPr>
          <w:p>
            <w:pPr>
              <w:pStyle w:val="30"/>
              <w:rPr>
                <w:b/>
                <w:bCs/>
                <w:color w:val="auto"/>
              </w:rPr>
            </w:pPr>
            <w:r>
              <w:rPr>
                <w:b/>
                <w:bCs/>
                <w:color w:val="auto"/>
              </w:rPr>
              <w:t>污染物</w:t>
            </w:r>
          </w:p>
        </w:tc>
        <w:tc>
          <w:tcPr>
            <w:tcW w:w="3231" w:type="dxa"/>
            <w:gridSpan w:val="2"/>
            <w:vAlign w:val="center"/>
          </w:tcPr>
          <w:p>
            <w:pPr>
              <w:pStyle w:val="30"/>
              <w:rPr>
                <w:b/>
                <w:bCs/>
                <w:color w:val="auto"/>
              </w:rPr>
            </w:pPr>
            <w:r>
              <w:rPr>
                <w:b/>
                <w:bCs/>
                <w:color w:val="auto"/>
              </w:rPr>
              <w:t>产生情况</w:t>
            </w:r>
          </w:p>
        </w:tc>
        <w:tc>
          <w:tcPr>
            <w:tcW w:w="3827" w:type="dxa"/>
            <w:gridSpan w:val="3"/>
            <w:vAlign w:val="center"/>
          </w:tcPr>
          <w:p>
            <w:pPr>
              <w:pStyle w:val="30"/>
              <w:rPr>
                <w:b/>
                <w:bCs/>
                <w:color w:val="auto"/>
              </w:rPr>
            </w:pPr>
            <w:r>
              <w:rPr>
                <w:b/>
                <w:bCs/>
                <w:color w:val="auto"/>
              </w:rPr>
              <w:t>排放情况</w:t>
            </w:r>
          </w:p>
        </w:tc>
        <w:tc>
          <w:tcPr>
            <w:tcW w:w="3169" w:type="dxa"/>
            <w:vMerge w:val="restart"/>
            <w:vAlign w:val="center"/>
          </w:tcPr>
          <w:p>
            <w:pPr>
              <w:pStyle w:val="30"/>
              <w:rPr>
                <w:b/>
                <w:bCs/>
                <w:color w:val="auto"/>
              </w:rPr>
            </w:pPr>
            <w:r>
              <w:rPr>
                <w:b/>
                <w:bCs/>
                <w:color w:val="auto"/>
              </w:rPr>
              <w:t>治理措施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b/>
                <w:bCs/>
                <w:color w:val="auto"/>
              </w:rPr>
            </w:pPr>
          </w:p>
        </w:tc>
        <w:tc>
          <w:tcPr>
            <w:tcW w:w="2439" w:type="dxa"/>
            <w:gridSpan w:val="2"/>
            <w:vMerge w:val="continue"/>
            <w:vAlign w:val="center"/>
          </w:tcPr>
          <w:p>
            <w:pPr>
              <w:pStyle w:val="30"/>
              <w:rPr>
                <w:b/>
                <w:bCs/>
                <w:color w:val="auto"/>
              </w:rPr>
            </w:pPr>
          </w:p>
        </w:tc>
        <w:tc>
          <w:tcPr>
            <w:tcW w:w="1671" w:type="dxa"/>
            <w:vAlign w:val="center"/>
          </w:tcPr>
          <w:p>
            <w:pPr>
              <w:pStyle w:val="30"/>
              <w:rPr>
                <w:b/>
                <w:bCs/>
                <w:color w:val="auto"/>
              </w:rPr>
            </w:pPr>
            <w:r>
              <w:rPr>
                <w:b/>
                <w:bCs/>
                <w:color w:val="auto"/>
              </w:rPr>
              <w:t>产生浓度(</w:t>
            </w:r>
            <w:r>
              <w:rPr>
                <w:b/>
                <w:bCs/>
                <w:color w:val="auto"/>
                <w:lang w:val="nl-NL"/>
              </w:rPr>
              <w:t>mg/L</w:t>
            </w:r>
            <w:r>
              <w:rPr>
                <w:b/>
                <w:bCs/>
                <w:color w:val="auto"/>
              </w:rPr>
              <w:t>)</w:t>
            </w:r>
          </w:p>
        </w:tc>
        <w:tc>
          <w:tcPr>
            <w:tcW w:w="1560" w:type="dxa"/>
            <w:vAlign w:val="center"/>
          </w:tcPr>
          <w:p>
            <w:pPr>
              <w:pStyle w:val="30"/>
              <w:rPr>
                <w:b/>
                <w:bCs/>
                <w:color w:val="auto"/>
              </w:rPr>
            </w:pPr>
            <w:r>
              <w:rPr>
                <w:b/>
                <w:bCs/>
                <w:color w:val="auto"/>
              </w:rPr>
              <w:t>产生量(t/a)</w:t>
            </w:r>
          </w:p>
        </w:tc>
        <w:tc>
          <w:tcPr>
            <w:tcW w:w="2551" w:type="dxa"/>
            <w:gridSpan w:val="2"/>
            <w:vAlign w:val="center"/>
          </w:tcPr>
          <w:p>
            <w:pPr>
              <w:pStyle w:val="30"/>
              <w:rPr>
                <w:b/>
                <w:bCs/>
                <w:color w:val="auto"/>
              </w:rPr>
            </w:pPr>
            <w:r>
              <w:rPr>
                <w:b/>
                <w:bCs/>
                <w:color w:val="auto"/>
              </w:rPr>
              <w:t>排放浓度(</w:t>
            </w:r>
            <w:r>
              <w:rPr>
                <w:b/>
                <w:bCs/>
                <w:color w:val="auto"/>
                <w:lang w:val="nl-NL"/>
              </w:rPr>
              <w:t>mg/L</w:t>
            </w:r>
            <w:r>
              <w:rPr>
                <w:b/>
                <w:bCs/>
                <w:color w:val="auto"/>
              </w:rPr>
              <w:t>)</w:t>
            </w:r>
          </w:p>
        </w:tc>
        <w:tc>
          <w:tcPr>
            <w:tcW w:w="1276" w:type="dxa"/>
            <w:vAlign w:val="center"/>
          </w:tcPr>
          <w:p>
            <w:pPr>
              <w:pStyle w:val="30"/>
              <w:rPr>
                <w:b/>
                <w:bCs/>
                <w:color w:val="auto"/>
              </w:rPr>
            </w:pPr>
            <w:r>
              <w:rPr>
                <w:b/>
                <w:bCs/>
                <w:color w:val="auto"/>
              </w:rPr>
              <w:t>排放量(t/a)</w:t>
            </w:r>
          </w:p>
        </w:tc>
        <w:tc>
          <w:tcPr>
            <w:tcW w:w="316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restart"/>
            <w:vAlign w:val="center"/>
          </w:tcPr>
          <w:p>
            <w:pPr>
              <w:pStyle w:val="30"/>
              <w:rPr>
                <w:color w:val="auto"/>
              </w:rPr>
            </w:pPr>
            <w:r>
              <w:rPr>
                <w:color w:val="auto"/>
              </w:rPr>
              <w:t>生活污水</w:t>
            </w:r>
          </w:p>
        </w:tc>
        <w:tc>
          <w:tcPr>
            <w:tcW w:w="2439" w:type="dxa"/>
            <w:gridSpan w:val="2"/>
            <w:vAlign w:val="center"/>
          </w:tcPr>
          <w:p>
            <w:pPr>
              <w:pStyle w:val="30"/>
              <w:rPr>
                <w:rFonts w:cs="Times New Roman"/>
                <w:color w:val="auto"/>
              </w:rPr>
            </w:pPr>
            <w:r>
              <w:rPr>
                <w:rFonts w:cs="Times New Roman"/>
                <w:color w:val="auto"/>
              </w:rPr>
              <w:t>水量</w:t>
            </w:r>
          </w:p>
        </w:tc>
        <w:tc>
          <w:tcPr>
            <w:tcW w:w="1671" w:type="dxa"/>
            <w:vAlign w:val="center"/>
          </w:tcPr>
          <w:p>
            <w:pPr>
              <w:pStyle w:val="30"/>
              <w:rPr>
                <w:rFonts w:cs="Times New Roman"/>
                <w:color w:val="auto"/>
              </w:rPr>
            </w:pPr>
            <w:r>
              <w:rPr>
                <w:rFonts w:cs="Times New Roman"/>
                <w:color w:val="auto"/>
              </w:rPr>
              <w:t>/</w:t>
            </w:r>
          </w:p>
        </w:tc>
        <w:tc>
          <w:tcPr>
            <w:tcW w:w="1560" w:type="dxa"/>
            <w:vAlign w:val="center"/>
          </w:tcPr>
          <w:p>
            <w:pPr>
              <w:pStyle w:val="30"/>
              <w:rPr>
                <w:rFonts w:cs="Times New Roman"/>
                <w:color w:val="auto"/>
              </w:rPr>
            </w:pPr>
            <w:r>
              <w:rPr>
                <w:rFonts w:hint="eastAsia" w:cs="Times New Roman"/>
                <w:color w:val="auto"/>
              </w:rPr>
              <w:t>420</w:t>
            </w:r>
          </w:p>
        </w:tc>
        <w:tc>
          <w:tcPr>
            <w:tcW w:w="2551" w:type="dxa"/>
            <w:gridSpan w:val="2"/>
            <w:vAlign w:val="center"/>
          </w:tcPr>
          <w:p>
            <w:pPr>
              <w:pStyle w:val="30"/>
              <w:rPr>
                <w:rFonts w:cs="Times New Roman"/>
                <w:color w:val="auto"/>
              </w:rPr>
            </w:pPr>
            <w:r>
              <w:rPr>
                <w:rFonts w:cs="Times New Roman"/>
                <w:color w:val="auto"/>
              </w:rPr>
              <w:t>/</w:t>
            </w:r>
          </w:p>
        </w:tc>
        <w:tc>
          <w:tcPr>
            <w:tcW w:w="1276" w:type="dxa"/>
            <w:vAlign w:val="center"/>
          </w:tcPr>
          <w:p>
            <w:pPr>
              <w:pStyle w:val="30"/>
              <w:rPr>
                <w:rFonts w:cs="Times New Roman"/>
                <w:color w:val="auto"/>
              </w:rPr>
            </w:pPr>
            <w:r>
              <w:rPr>
                <w:rFonts w:cs="Times New Roman"/>
                <w:color w:val="auto"/>
              </w:rPr>
              <w:t>/</w:t>
            </w:r>
          </w:p>
        </w:tc>
        <w:tc>
          <w:tcPr>
            <w:tcW w:w="3169" w:type="dxa"/>
            <w:vMerge w:val="restart"/>
            <w:vAlign w:val="center"/>
          </w:tcPr>
          <w:p>
            <w:pPr>
              <w:pStyle w:val="30"/>
              <w:rPr>
                <w:rFonts w:cs="Times New Roman"/>
                <w:color w:val="auto"/>
              </w:rPr>
            </w:pPr>
            <w:r>
              <w:rPr>
                <w:rFonts w:hint="eastAsia" w:cs="Times New Roman"/>
                <w:color w:val="auto"/>
              </w:rPr>
              <w:t>生活污水经园区化粪池预处理后进入汨罗市城市污水处理厂处理，最终排入汨罗江。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cs="Times New Roman"/>
                <w:color w:val="auto"/>
              </w:rPr>
              <w:t>COD</w:t>
            </w:r>
          </w:p>
        </w:tc>
        <w:tc>
          <w:tcPr>
            <w:tcW w:w="1671" w:type="dxa"/>
            <w:vAlign w:val="center"/>
          </w:tcPr>
          <w:p>
            <w:pPr>
              <w:pStyle w:val="30"/>
              <w:rPr>
                <w:rFonts w:cs="Times New Roman"/>
                <w:color w:val="auto"/>
              </w:rPr>
            </w:pPr>
            <w:r>
              <w:rPr>
                <w:rFonts w:cs="Times New Roman"/>
                <w:color w:val="auto"/>
              </w:rPr>
              <w:t>300</w:t>
            </w:r>
          </w:p>
        </w:tc>
        <w:tc>
          <w:tcPr>
            <w:tcW w:w="1560" w:type="dxa"/>
            <w:vAlign w:val="center"/>
          </w:tcPr>
          <w:p>
            <w:pPr>
              <w:pStyle w:val="30"/>
              <w:rPr>
                <w:rFonts w:cs="Times New Roman"/>
                <w:color w:val="auto"/>
              </w:rPr>
            </w:pPr>
            <w:r>
              <w:rPr>
                <w:rFonts w:hint="eastAsia" w:cs="Times New Roman"/>
                <w:color w:val="auto"/>
              </w:rPr>
              <w:t>0.126</w:t>
            </w:r>
          </w:p>
        </w:tc>
        <w:tc>
          <w:tcPr>
            <w:tcW w:w="2551" w:type="dxa"/>
            <w:gridSpan w:val="2"/>
            <w:vAlign w:val="center"/>
          </w:tcPr>
          <w:p>
            <w:pPr>
              <w:pStyle w:val="30"/>
              <w:rPr>
                <w:rFonts w:cs="Times New Roman"/>
                <w:color w:val="auto"/>
              </w:rPr>
            </w:pPr>
            <w:r>
              <w:rPr>
                <w:rFonts w:cs="Times New Roman"/>
                <w:color w:val="auto"/>
              </w:rPr>
              <w:t>/</w:t>
            </w:r>
          </w:p>
        </w:tc>
        <w:tc>
          <w:tcPr>
            <w:tcW w:w="1276" w:type="dxa"/>
            <w:vAlign w:val="center"/>
          </w:tcPr>
          <w:p>
            <w:pPr>
              <w:pStyle w:val="30"/>
              <w:rPr>
                <w:rFonts w:cs="Times New Roman"/>
                <w:color w:val="auto"/>
              </w:rPr>
            </w:pPr>
            <w:r>
              <w:rPr>
                <w:rFonts w:cs="Times New Roman"/>
                <w:color w:val="auto"/>
              </w:rPr>
              <w:t>/</w:t>
            </w:r>
          </w:p>
        </w:tc>
        <w:tc>
          <w:tcPr>
            <w:tcW w:w="316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cs="Times New Roman"/>
                <w:color w:val="auto"/>
              </w:rPr>
              <w:t>BOD</w:t>
            </w:r>
            <w:r>
              <w:rPr>
                <w:rFonts w:cs="Times New Roman"/>
                <w:color w:val="auto"/>
                <w:vertAlign w:val="subscript"/>
              </w:rPr>
              <w:t>5</w:t>
            </w:r>
          </w:p>
        </w:tc>
        <w:tc>
          <w:tcPr>
            <w:tcW w:w="1671" w:type="dxa"/>
            <w:vAlign w:val="center"/>
          </w:tcPr>
          <w:p>
            <w:pPr>
              <w:pStyle w:val="30"/>
              <w:rPr>
                <w:rFonts w:cs="Times New Roman"/>
                <w:color w:val="auto"/>
              </w:rPr>
            </w:pPr>
            <w:r>
              <w:rPr>
                <w:rFonts w:cs="Times New Roman"/>
                <w:color w:val="auto"/>
              </w:rPr>
              <w:t>200</w:t>
            </w:r>
          </w:p>
        </w:tc>
        <w:tc>
          <w:tcPr>
            <w:tcW w:w="1560" w:type="dxa"/>
            <w:vAlign w:val="center"/>
          </w:tcPr>
          <w:p>
            <w:pPr>
              <w:pStyle w:val="30"/>
              <w:rPr>
                <w:rFonts w:cs="Times New Roman"/>
                <w:color w:val="auto"/>
              </w:rPr>
            </w:pPr>
            <w:r>
              <w:rPr>
                <w:rFonts w:hint="eastAsia" w:cs="Times New Roman"/>
                <w:color w:val="auto"/>
              </w:rPr>
              <w:t>0.084</w:t>
            </w:r>
          </w:p>
        </w:tc>
        <w:tc>
          <w:tcPr>
            <w:tcW w:w="2551" w:type="dxa"/>
            <w:gridSpan w:val="2"/>
            <w:vAlign w:val="center"/>
          </w:tcPr>
          <w:p>
            <w:pPr>
              <w:pStyle w:val="30"/>
              <w:rPr>
                <w:rFonts w:cs="Times New Roman"/>
                <w:color w:val="auto"/>
              </w:rPr>
            </w:pPr>
            <w:r>
              <w:rPr>
                <w:rFonts w:cs="Times New Roman"/>
                <w:color w:val="auto"/>
              </w:rPr>
              <w:t>/</w:t>
            </w:r>
          </w:p>
        </w:tc>
        <w:tc>
          <w:tcPr>
            <w:tcW w:w="1276" w:type="dxa"/>
            <w:vAlign w:val="center"/>
          </w:tcPr>
          <w:p>
            <w:pPr>
              <w:pStyle w:val="30"/>
              <w:rPr>
                <w:rFonts w:cs="Times New Roman"/>
                <w:color w:val="auto"/>
              </w:rPr>
            </w:pPr>
            <w:r>
              <w:rPr>
                <w:rFonts w:cs="Times New Roman"/>
                <w:color w:val="auto"/>
              </w:rPr>
              <w:t>/</w:t>
            </w:r>
          </w:p>
        </w:tc>
        <w:tc>
          <w:tcPr>
            <w:tcW w:w="316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cs="Times New Roman"/>
                <w:color w:val="auto"/>
              </w:rPr>
              <w:t>SS</w:t>
            </w:r>
          </w:p>
        </w:tc>
        <w:tc>
          <w:tcPr>
            <w:tcW w:w="1671" w:type="dxa"/>
            <w:vAlign w:val="center"/>
          </w:tcPr>
          <w:p>
            <w:pPr>
              <w:pStyle w:val="30"/>
              <w:rPr>
                <w:rFonts w:cs="Times New Roman"/>
                <w:color w:val="auto"/>
              </w:rPr>
            </w:pPr>
            <w:r>
              <w:rPr>
                <w:rFonts w:cs="Times New Roman"/>
                <w:color w:val="auto"/>
              </w:rPr>
              <w:t>300</w:t>
            </w:r>
          </w:p>
        </w:tc>
        <w:tc>
          <w:tcPr>
            <w:tcW w:w="1560" w:type="dxa"/>
            <w:vAlign w:val="center"/>
          </w:tcPr>
          <w:p>
            <w:pPr>
              <w:pStyle w:val="30"/>
              <w:rPr>
                <w:rFonts w:cs="Times New Roman"/>
                <w:color w:val="auto"/>
              </w:rPr>
            </w:pPr>
            <w:r>
              <w:rPr>
                <w:rFonts w:hint="eastAsia" w:cs="Times New Roman"/>
                <w:color w:val="auto"/>
              </w:rPr>
              <w:t>0.126</w:t>
            </w:r>
          </w:p>
        </w:tc>
        <w:tc>
          <w:tcPr>
            <w:tcW w:w="2551" w:type="dxa"/>
            <w:gridSpan w:val="2"/>
            <w:vAlign w:val="center"/>
          </w:tcPr>
          <w:p>
            <w:pPr>
              <w:pStyle w:val="30"/>
              <w:rPr>
                <w:rFonts w:cs="Times New Roman"/>
                <w:color w:val="auto"/>
              </w:rPr>
            </w:pPr>
            <w:r>
              <w:rPr>
                <w:rFonts w:cs="Times New Roman"/>
                <w:color w:val="auto"/>
              </w:rPr>
              <w:t>/</w:t>
            </w:r>
          </w:p>
        </w:tc>
        <w:tc>
          <w:tcPr>
            <w:tcW w:w="1276" w:type="dxa"/>
            <w:vAlign w:val="center"/>
          </w:tcPr>
          <w:p>
            <w:pPr>
              <w:pStyle w:val="30"/>
              <w:rPr>
                <w:rFonts w:cs="Times New Roman"/>
                <w:color w:val="auto"/>
              </w:rPr>
            </w:pPr>
            <w:r>
              <w:rPr>
                <w:rFonts w:cs="Times New Roman"/>
                <w:color w:val="auto"/>
              </w:rPr>
              <w:t>/</w:t>
            </w:r>
          </w:p>
        </w:tc>
        <w:tc>
          <w:tcPr>
            <w:tcW w:w="316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cs="Times New Roman"/>
                <w:color w:val="auto"/>
              </w:rPr>
              <w:t>氨氮</w:t>
            </w:r>
          </w:p>
        </w:tc>
        <w:tc>
          <w:tcPr>
            <w:tcW w:w="1671" w:type="dxa"/>
            <w:vAlign w:val="center"/>
          </w:tcPr>
          <w:p>
            <w:pPr>
              <w:pStyle w:val="30"/>
              <w:rPr>
                <w:rFonts w:cs="Times New Roman"/>
                <w:color w:val="auto"/>
              </w:rPr>
            </w:pPr>
            <w:r>
              <w:rPr>
                <w:rFonts w:cs="Times New Roman"/>
                <w:color w:val="auto"/>
              </w:rPr>
              <w:t>30</w:t>
            </w:r>
          </w:p>
        </w:tc>
        <w:tc>
          <w:tcPr>
            <w:tcW w:w="1560" w:type="dxa"/>
            <w:vAlign w:val="center"/>
          </w:tcPr>
          <w:p>
            <w:pPr>
              <w:pStyle w:val="30"/>
              <w:rPr>
                <w:rFonts w:cs="Times New Roman"/>
                <w:color w:val="auto"/>
              </w:rPr>
            </w:pPr>
            <w:r>
              <w:rPr>
                <w:rFonts w:hint="eastAsia" w:cs="Times New Roman"/>
                <w:color w:val="auto"/>
              </w:rPr>
              <w:t>0.0126</w:t>
            </w:r>
          </w:p>
        </w:tc>
        <w:tc>
          <w:tcPr>
            <w:tcW w:w="2551" w:type="dxa"/>
            <w:gridSpan w:val="2"/>
            <w:vAlign w:val="center"/>
          </w:tcPr>
          <w:p>
            <w:pPr>
              <w:pStyle w:val="30"/>
              <w:rPr>
                <w:rFonts w:cs="Times New Roman"/>
                <w:color w:val="auto"/>
              </w:rPr>
            </w:pPr>
            <w:r>
              <w:rPr>
                <w:rFonts w:cs="Times New Roman"/>
                <w:color w:val="auto"/>
              </w:rPr>
              <w:t>/</w:t>
            </w:r>
          </w:p>
        </w:tc>
        <w:tc>
          <w:tcPr>
            <w:tcW w:w="1276" w:type="dxa"/>
            <w:vAlign w:val="center"/>
          </w:tcPr>
          <w:p>
            <w:pPr>
              <w:pStyle w:val="30"/>
              <w:rPr>
                <w:rFonts w:cs="Times New Roman"/>
                <w:color w:val="auto"/>
              </w:rPr>
            </w:pPr>
            <w:r>
              <w:rPr>
                <w:rFonts w:cs="Times New Roman"/>
                <w:color w:val="auto"/>
              </w:rPr>
              <w:t>/</w:t>
            </w:r>
          </w:p>
        </w:tc>
        <w:tc>
          <w:tcPr>
            <w:tcW w:w="316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restart"/>
            <w:vAlign w:val="center"/>
          </w:tcPr>
          <w:p>
            <w:pPr>
              <w:pStyle w:val="30"/>
              <w:rPr>
                <w:color w:val="auto"/>
              </w:rPr>
            </w:pPr>
            <w:r>
              <w:rPr>
                <w:color w:val="auto"/>
              </w:rPr>
              <w:t>废气</w:t>
            </w:r>
          </w:p>
        </w:tc>
        <w:tc>
          <w:tcPr>
            <w:tcW w:w="1071" w:type="dxa"/>
            <w:vAlign w:val="center"/>
          </w:tcPr>
          <w:p>
            <w:pPr>
              <w:pStyle w:val="30"/>
              <w:rPr>
                <w:b/>
                <w:bCs/>
                <w:color w:val="auto"/>
              </w:rPr>
            </w:pPr>
            <w:r>
              <w:rPr>
                <w:b/>
                <w:bCs/>
                <w:color w:val="auto"/>
              </w:rPr>
              <w:t>类型</w:t>
            </w:r>
          </w:p>
        </w:tc>
        <w:tc>
          <w:tcPr>
            <w:tcW w:w="2439" w:type="dxa"/>
            <w:gridSpan w:val="2"/>
            <w:vAlign w:val="center"/>
          </w:tcPr>
          <w:p>
            <w:pPr>
              <w:pStyle w:val="30"/>
              <w:rPr>
                <w:b/>
                <w:bCs/>
                <w:color w:val="auto"/>
              </w:rPr>
            </w:pPr>
            <w:r>
              <w:rPr>
                <w:b/>
                <w:bCs/>
                <w:color w:val="auto"/>
              </w:rPr>
              <w:t>污染物</w:t>
            </w:r>
          </w:p>
        </w:tc>
        <w:tc>
          <w:tcPr>
            <w:tcW w:w="1671" w:type="dxa"/>
            <w:vAlign w:val="center"/>
          </w:tcPr>
          <w:p>
            <w:pPr>
              <w:pStyle w:val="30"/>
              <w:rPr>
                <w:b/>
                <w:bCs/>
                <w:color w:val="auto"/>
              </w:rPr>
            </w:pPr>
            <w:r>
              <w:rPr>
                <w:b/>
                <w:bCs/>
                <w:color w:val="auto"/>
              </w:rPr>
              <w:t>产生速率（kg/h）</w:t>
            </w:r>
          </w:p>
        </w:tc>
        <w:tc>
          <w:tcPr>
            <w:tcW w:w="1560" w:type="dxa"/>
            <w:vAlign w:val="center"/>
          </w:tcPr>
          <w:p>
            <w:pPr>
              <w:pStyle w:val="30"/>
              <w:rPr>
                <w:b/>
                <w:bCs/>
                <w:color w:val="auto"/>
              </w:rPr>
            </w:pPr>
            <w:r>
              <w:rPr>
                <w:b/>
                <w:bCs/>
                <w:color w:val="auto"/>
              </w:rPr>
              <w:t>产生量（t/a）</w:t>
            </w:r>
          </w:p>
        </w:tc>
        <w:tc>
          <w:tcPr>
            <w:tcW w:w="1275" w:type="dxa"/>
            <w:vAlign w:val="center"/>
          </w:tcPr>
          <w:p>
            <w:pPr>
              <w:pStyle w:val="30"/>
              <w:rPr>
                <w:b/>
                <w:bCs/>
                <w:color w:val="auto"/>
              </w:rPr>
            </w:pPr>
            <w:r>
              <w:rPr>
                <w:b/>
                <w:bCs/>
                <w:color w:val="auto"/>
              </w:rPr>
              <w:t>排放浓度（mg/m</w:t>
            </w:r>
            <w:r>
              <w:rPr>
                <w:b/>
                <w:bCs/>
                <w:color w:val="auto"/>
                <w:vertAlign w:val="superscript"/>
              </w:rPr>
              <w:t>3</w:t>
            </w:r>
            <w:r>
              <w:rPr>
                <w:b/>
                <w:bCs/>
                <w:color w:val="auto"/>
              </w:rPr>
              <w:t>）</w:t>
            </w:r>
          </w:p>
        </w:tc>
        <w:tc>
          <w:tcPr>
            <w:tcW w:w="1276" w:type="dxa"/>
            <w:vAlign w:val="center"/>
          </w:tcPr>
          <w:p>
            <w:pPr>
              <w:pStyle w:val="30"/>
              <w:rPr>
                <w:b/>
                <w:bCs/>
                <w:color w:val="auto"/>
              </w:rPr>
            </w:pPr>
            <w:r>
              <w:rPr>
                <w:b/>
                <w:bCs/>
                <w:color w:val="auto"/>
              </w:rPr>
              <w:t>排放速率（kg/h）</w:t>
            </w:r>
          </w:p>
        </w:tc>
        <w:tc>
          <w:tcPr>
            <w:tcW w:w="1276" w:type="dxa"/>
            <w:vAlign w:val="center"/>
          </w:tcPr>
          <w:p>
            <w:pPr>
              <w:pStyle w:val="30"/>
              <w:rPr>
                <w:b/>
                <w:bCs/>
                <w:color w:val="auto"/>
              </w:rPr>
            </w:pPr>
            <w:r>
              <w:rPr>
                <w:b/>
                <w:bCs/>
                <w:color w:val="auto"/>
              </w:rPr>
              <w:t>排放量（t/a）</w:t>
            </w:r>
          </w:p>
        </w:tc>
        <w:tc>
          <w:tcPr>
            <w:tcW w:w="3169" w:type="dxa"/>
            <w:vAlign w:val="center"/>
          </w:tcPr>
          <w:p>
            <w:pPr>
              <w:pStyle w:val="30"/>
              <w:rPr>
                <w:b/>
                <w:bCs/>
                <w:color w:val="auto"/>
              </w:rPr>
            </w:pPr>
            <w:r>
              <w:rPr>
                <w:b/>
                <w:bCs/>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restart"/>
            <w:vAlign w:val="center"/>
          </w:tcPr>
          <w:p>
            <w:pPr>
              <w:pStyle w:val="30"/>
              <w:rPr>
                <w:color w:val="auto"/>
              </w:rPr>
            </w:pPr>
            <w:r>
              <w:rPr>
                <w:color w:val="auto"/>
              </w:rPr>
              <w:t>有组织排放</w:t>
            </w:r>
          </w:p>
        </w:tc>
        <w:tc>
          <w:tcPr>
            <w:tcW w:w="1108" w:type="dxa"/>
            <w:vAlign w:val="center"/>
          </w:tcPr>
          <w:p>
            <w:pPr>
              <w:pStyle w:val="30"/>
              <w:rPr>
                <w:rFonts w:cs="Times New Roman"/>
                <w:color w:val="auto"/>
              </w:rPr>
            </w:pPr>
            <w:r>
              <w:rPr>
                <w:rFonts w:hint="eastAsia" w:cs="Times New Roman"/>
                <w:color w:val="auto"/>
              </w:rPr>
              <w:t>DA001</w:t>
            </w:r>
            <w:r>
              <w:rPr>
                <w:rFonts w:cs="Times New Roman"/>
                <w:color w:val="auto"/>
              </w:rPr>
              <w:t>排气筒</w:t>
            </w:r>
          </w:p>
        </w:tc>
        <w:tc>
          <w:tcPr>
            <w:tcW w:w="1331" w:type="dxa"/>
            <w:vAlign w:val="center"/>
          </w:tcPr>
          <w:p>
            <w:pPr>
              <w:pStyle w:val="30"/>
              <w:rPr>
                <w:rFonts w:cs="Times New Roman"/>
                <w:color w:val="auto"/>
              </w:rPr>
            </w:pPr>
            <w:r>
              <w:rPr>
                <w:rFonts w:hint="eastAsia" w:cs="Times New Roman"/>
                <w:color w:val="auto"/>
              </w:rPr>
              <w:t>非甲烷总烃</w:t>
            </w:r>
          </w:p>
        </w:tc>
        <w:tc>
          <w:tcPr>
            <w:tcW w:w="1671" w:type="dxa"/>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1.6516</w:t>
            </w:r>
          </w:p>
        </w:tc>
        <w:tc>
          <w:tcPr>
            <w:tcW w:w="1560" w:type="dxa"/>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11.88</w:t>
            </w:r>
          </w:p>
        </w:tc>
        <w:tc>
          <w:tcPr>
            <w:tcW w:w="1275" w:type="dxa"/>
            <w:vAlign w:val="center"/>
          </w:tcPr>
          <w:p>
            <w:pPr>
              <w:pStyle w:val="30"/>
              <w:ind w:firstLine="0" w:firstLineChars="0"/>
              <w:rPr>
                <w:rFonts w:hint="default" w:eastAsia="宋体" w:cs="Times New Roman"/>
                <w:color w:val="auto"/>
                <w:lang w:val="en-US" w:eastAsia="zh-CN"/>
              </w:rPr>
            </w:pPr>
            <w:r>
              <w:rPr>
                <w:rFonts w:hint="eastAsia" w:cs="Times New Roman"/>
                <w:color w:val="auto"/>
                <w:lang w:val="en-US" w:eastAsia="zh-CN"/>
              </w:rPr>
              <w:t>24.75</w:t>
            </w:r>
          </w:p>
        </w:tc>
        <w:tc>
          <w:tcPr>
            <w:tcW w:w="1276" w:type="dxa"/>
            <w:vAlign w:val="center"/>
          </w:tcPr>
          <w:p>
            <w:pPr>
              <w:pStyle w:val="30"/>
              <w:ind w:firstLine="0" w:firstLineChars="0"/>
              <w:rPr>
                <w:rFonts w:hint="default" w:eastAsia="宋体" w:cs="Times New Roman"/>
                <w:color w:val="auto"/>
                <w:lang w:val="en-US" w:eastAsia="zh-CN"/>
              </w:rPr>
            </w:pPr>
            <w:r>
              <w:rPr>
                <w:rFonts w:hint="eastAsia" w:cs="Times New Roman"/>
                <w:color w:val="auto"/>
                <w:lang w:val="en-US" w:eastAsia="zh-CN"/>
              </w:rPr>
              <w:t>0.792</w:t>
            </w:r>
          </w:p>
        </w:tc>
        <w:tc>
          <w:tcPr>
            <w:tcW w:w="1276" w:type="dxa"/>
            <w:vAlign w:val="center"/>
          </w:tcPr>
          <w:p>
            <w:pPr>
              <w:pStyle w:val="30"/>
              <w:ind w:firstLine="0" w:firstLineChars="0"/>
              <w:rPr>
                <w:rFonts w:hint="default" w:eastAsia="宋体" w:cs="Times New Roman"/>
                <w:color w:val="auto"/>
                <w:lang w:val="en-US" w:eastAsia="zh-CN"/>
              </w:rPr>
            </w:pPr>
            <w:r>
              <w:rPr>
                <w:rFonts w:hint="eastAsia" w:cs="Times New Roman"/>
                <w:color w:val="auto"/>
                <w:lang w:val="en-US" w:eastAsia="zh-CN"/>
              </w:rPr>
              <w:t>5.7024</w:t>
            </w:r>
          </w:p>
        </w:tc>
        <w:tc>
          <w:tcPr>
            <w:tcW w:w="3169" w:type="dxa"/>
            <w:vAlign w:val="center"/>
          </w:tcPr>
          <w:p>
            <w:pPr>
              <w:pStyle w:val="30"/>
              <w:rPr>
                <w:rFonts w:hint="eastAsia" w:eastAsia="宋体" w:cs="Times New Roman"/>
                <w:color w:val="auto"/>
                <w:lang w:eastAsia="zh-CN"/>
              </w:rPr>
            </w:pPr>
            <w:r>
              <w:rPr>
                <w:rFonts w:hint="eastAsia" w:cs="Times New Roman"/>
                <w:color w:val="auto"/>
              </w:rPr>
              <w:t>集</w:t>
            </w:r>
            <w:r>
              <w:rPr>
                <w:rFonts w:cs="Times New Roman"/>
                <w:color w:val="auto"/>
              </w:rPr>
              <w:t>气罩</w:t>
            </w:r>
            <w:r>
              <w:rPr>
                <w:rFonts w:hint="eastAsia" w:cs="Times New Roman"/>
                <w:color w:val="auto"/>
              </w:rPr>
              <w:t>+两级</w:t>
            </w:r>
            <w:r>
              <w:rPr>
                <w:rFonts w:cs="Times New Roman"/>
                <w:color w:val="auto"/>
              </w:rPr>
              <w:t>活性炭吸附</w:t>
            </w:r>
            <w:r>
              <w:rPr>
                <w:rFonts w:hint="eastAsia" w:cs="Times New Roman"/>
                <w:color w:val="auto"/>
              </w:rPr>
              <w:t>+</w:t>
            </w:r>
            <w:r>
              <w:rPr>
                <w:rFonts w:hint="eastAsia" w:cs="Times New Roman"/>
                <w:color w:val="auto"/>
                <w:lang w:eastAsia="zh-CN"/>
              </w:rPr>
              <w:t>18m高排气筒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1108" w:type="dxa"/>
            <w:vAlign w:val="center"/>
          </w:tcPr>
          <w:p>
            <w:pPr>
              <w:pStyle w:val="30"/>
              <w:rPr>
                <w:rFonts w:hint="eastAsia" w:cs="Times New Roman"/>
                <w:color w:val="auto"/>
              </w:rPr>
            </w:pPr>
            <w:r>
              <w:rPr>
                <w:rFonts w:hint="eastAsia" w:cs="Times New Roman"/>
                <w:color w:val="auto"/>
              </w:rPr>
              <w:t>DA00</w:t>
            </w:r>
            <w:r>
              <w:rPr>
                <w:rFonts w:hint="eastAsia" w:cs="Times New Roman"/>
                <w:color w:val="auto"/>
                <w:lang w:val="en-US" w:eastAsia="zh-CN"/>
              </w:rPr>
              <w:t>2</w:t>
            </w:r>
            <w:r>
              <w:rPr>
                <w:rFonts w:cs="Times New Roman"/>
                <w:color w:val="auto"/>
              </w:rPr>
              <w:t>排气筒</w:t>
            </w:r>
          </w:p>
        </w:tc>
        <w:tc>
          <w:tcPr>
            <w:tcW w:w="1331" w:type="dxa"/>
            <w:vAlign w:val="center"/>
          </w:tcPr>
          <w:p>
            <w:pPr>
              <w:pStyle w:val="30"/>
              <w:rPr>
                <w:rFonts w:hint="eastAsia" w:eastAsia="宋体" w:cs="Times New Roman"/>
                <w:color w:val="auto"/>
                <w:lang w:val="en-US" w:eastAsia="zh-CN"/>
              </w:rPr>
            </w:pPr>
            <w:r>
              <w:rPr>
                <w:rFonts w:hint="eastAsia" w:cs="Times New Roman"/>
                <w:color w:val="auto"/>
                <w:lang w:val="en-US" w:eastAsia="zh-CN"/>
              </w:rPr>
              <w:t>颗粒物</w:t>
            </w:r>
          </w:p>
        </w:tc>
        <w:tc>
          <w:tcPr>
            <w:tcW w:w="1671" w:type="dxa"/>
            <w:vAlign w:val="center"/>
          </w:tcPr>
          <w:p>
            <w:pPr>
              <w:pStyle w:val="30"/>
              <w:ind w:firstLine="0" w:firstLineChars="0"/>
              <w:rPr>
                <w:color w:val="auto"/>
              </w:rPr>
            </w:pPr>
            <w:r>
              <w:rPr>
                <w:rFonts w:hint="eastAsia"/>
                <w:color w:val="auto"/>
                <w:lang w:val="en-US" w:eastAsia="zh-CN"/>
              </w:rPr>
              <w:t>0.1125</w:t>
            </w:r>
          </w:p>
        </w:tc>
        <w:tc>
          <w:tcPr>
            <w:tcW w:w="1560" w:type="dxa"/>
            <w:vAlign w:val="center"/>
          </w:tcPr>
          <w:p>
            <w:pPr>
              <w:pStyle w:val="30"/>
              <w:ind w:firstLine="0" w:firstLineChars="0"/>
              <w:rPr>
                <w:rFonts w:hint="eastAsia"/>
                <w:color w:val="auto"/>
              </w:rPr>
            </w:pPr>
            <w:r>
              <w:rPr>
                <w:rFonts w:hint="eastAsia"/>
                <w:color w:val="auto"/>
                <w:lang w:val="en-US" w:eastAsia="zh-CN"/>
              </w:rPr>
              <w:t>4.5</w:t>
            </w:r>
          </w:p>
        </w:tc>
        <w:tc>
          <w:tcPr>
            <w:tcW w:w="1275" w:type="dxa"/>
            <w:vAlign w:val="center"/>
          </w:tcPr>
          <w:p>
            <w:pPr>
              <w:pStyle w:val="30"/>
              <w:ind w:firstLine="0" w:firstLineChars="0"/>
              <w:rPr>
                <w:color w:val="auto"/>
              </w:rPr>
            </w:pPr>
            <w:r>
              <w:rPr>
                <w:rFonts w:hint="eastAsia"/>
                <w:color w:val="auto"/>
                <w:lang w:val="en-US" w:eastAsia="zh-CN"/>
              </w:rPr>
              <w:t>0.35</w:t>
            </w:r>
          </w:p>
        </w:tc>
        <w:tc>
          <w:tcPr>
            <w:tcW w:w="1276" w:type="dxa"/>
            <w:vAlign w:val="center"/>
          </w:tcPr>
          <w:p>
            <w:pPr>
              <w:pStyle w:val="30"/>
              <w:ind w:firstLine="0" w:firstLineChars="0"/>
              <w:rPr>
                <w:color w:val="auto"/>
              </w:rPr>
            </w:pPr>
            <w:r>
              <w:rPr>
                <w:rFonts w:hint="eastAsia"/>
                <w:color w:val="auto"/>
                <w:lang w:val="en-US" w:eastAsia="zh-CN"/>
              </w:rPr>
              <w:t>0.0007</w:t>
            </w:r>
          </w:p>
        </w:tc>
        <w:tc>
          <w:tcPr>
            <w:tcW w:w="1276" w:type="dxa"/>
            <w:vAlign w:val="center"/>
          </w:tcPr>
          <w:p>
            <w:pPr>
              <w:pStyle w:val="30"/>
              <w:ind w:firstLine="0" w:firstLineChars="0"/>
              <w:rPr>
                <w:color w:val="auto"/>
              </w:rPr>
            </w:pPr>
            <w:r>
              <w:rPr>
                <w:rFonts w:hint="eastAsia"/>
                <w:color w:val="auto"/>
                <w:lang w:val="en-US" w:eastAsia="zh-CN"/>
              </w:rPr>
              <w:t>0.0045</w:t>
            </w:r>
          </w:p>
        </w:tc>
        <w:tc>
          <w:tcPr>
            <w:tcW w:w="3169" w:type="dxa"/>
            <w:vAlign w:val="center"/>
          </w:tcPr>
          <w:p>
            <w:pPr>
              <w:pStyle w:val="30"/>
              <w:rPr>
                <w:rFonts w:hint="eastAsia" w:eastAsia="宋体" w:cs="Times New Roman"/>
                <w:color w:val="auto"/>
                <w:lang w:eastAsia="zh-CN"/>
              </w:rPr>
            </w:pPr>
            <w:r>
              <w:rPr>
                <w:rFonts w:hint="eastAsia" w:cs="Times New Roman"/>
                <w:color w:val="auto"/>
              </w:rPr>
              <w:t>集</w:t>
            </w:r>
            <w:r>
              <w:rPr>
                <w:rFonts w:cs="Times New Roman"/>
                <w:color w:val="auto"/>
              </w:rPr>
              <w:t>气罩</w:t>
            </w:r>
            <w:r>
              <w:rPr>
                <w:rFonts w:hint="eastAsia" w:cs="Times New Roman"/>
                <w:color w:val="auto"/>
              </w:rPr>
              <w:t>+</w:t>
            </w:r>
            <w:r>
              <w:rPr>
                <w:rFonts w:hint="eastAsia" w:cs="Times New Roman"/>
                <w:color w:val="auto"/>
                <w:lang w:val="en-US" w:eastAsia="zh-CN"/>
              </w:rPr>
              <w:t>布袋除尘</w:t>
            </w:r>
            <w:r>
              <w:rPr>
                <w:rFonts w:hint="eastAsia" w:cs="Times New Roman"/>
                <w:color w:val="auto"/>
              </w:rPr>
              <w:t>+</w:t>
            </w:r>
            <w:r>
              <w:rPr>
                <w:rFonts w:hint="eastAsia" w:cs="Times New Roman"/>
                <w:color w:val="auto"/>
                <w:lang w:eastAsia="zh-CN"/>
              </w:rPr>
              <w:t>18m高排气筒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restart"/>
            <w:vAlign w:val="center"/>
          </w:tcPr>
          <w:p>
            <w:pPr>
              <w:pStyle w:val="30"/>
              <w:rPr>
                <w:color w:val="auto"/>
              </w:rPr>
            </w:pPr>
            <w:r>
              <w:rPr>
                <w:color w:val="auto"/>
              </w:rPr>
              <w:t>无组织排放</w:t>
            </w:r>
          </w:p>
        </w:tc>
        <w:tc>
          <w:tcPr>
            <w:tcW w:w="1108" w:type="dxa"/>
            <w:vMerge w:val="restart"/>
            <w:vAlign w:val="center"/>
          </w:tcPr>
          <w:p>
            <w:pPr>
              <w:pStyle w:val="30"/>
              <w:rPr>
                <w:rFonts w:cs="Times New Roman"/>
                <w:color w:val="auto"/>
              </w:rPr>
            </w:pPr>
            <w:r>
              <w:rPr>
                <w:rFonts w:cs="Times New Roman"/>
                <w:color w:val="auto"/>
              </w:rPr>
              <w:t>车间</w:t>
            </w:r>
          </w:p>
        </w:tc>
        <w:tc>
          <w:tcPr>
            <w:tcW w:w="1331" w:type="dxa"/>
            <w:vAlign w:val="center"/>
          </w:tcPr>
          <w:p>
            <w:pPr>
              <w:pStyle w:val="30"/>
              <w:rPr>
                <w:color w:val="auto"/>
              </w:rPr>
            </w:pPr>
            <w:r>
              <w:rPr>
                <w:rFonts w:hint="eastAsia"/>
                <w:color w:val="auto"/>
              </w:rPr>
              <w:t>非甲烷总烃</w:t>
            </w:r>
          </w:p>
        </w:tc>
        <w:tc>
          <w:tcPr>
            <w:tcW w:w="1671" w:type="dxa"/>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1.6516</w:t>
            </w:r>
          </w:p>
        </w:tc>
        <w:tc>
          <w:tcPr>
            <w:tcW w:w="1560" w:type="dxa"/>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stheme="minorBidi"/>
                <w:color w:val="auto"/>
                <w:kern w:val="2"/>
                <w:sz w:val="21"/>
                <w:szCs w:val="22"/>
                <w:lang w:val="en-US" w:eastAsia="zh-CN" w:bidi="ar-SA"/>
              </w:rPr>
              <w:t>11.88</w:t>
            </w:r>
          </w:p>
        </w:tc>
        <w:tc>
          <w:tcPr>
            <w:tcW w:w="1275" w:type="dxa"/>
            <w:vAlign w:val="center"/>
          </w:tcPr>
          <w:p>
            <w:pPr>
              <w:pStyle w:val="30"/>
              <w:rPr>
                <w:rFonts w:hint="default" w:eastAsia="宋体" w:cs="Times New Roman"/>
                <w:color w:val="auto"/>
                <w:lang w:val="en-US" w:eastAsia="zh-CN"/>
              </w:rPr>
            </w:pPr>
            <w:r>
              <w:rPr>
                <w:rFonts w:hint="eastAsia" w:cs="Times New Roman"/>
                <w:color w:val="auto"/>
                <w:lang w:val="en-US" w:eastAsia="zh-CN"/>
              </w:rPr>
              <w:t>/</w:t>
            </w:r>
          </w:p>
        </w:tc>
        <w:tc>
          <w:tcPr>
            <w:tcW w:w="1276" w:type="dxa"/>
            <w:vAlign w:val="center"/>
          </w:tcPr>
          <w:p>
            <w:pPr>
              <w:pStyle w:val="30"/>
              <w:ind w:firstLine="0" w:firstLineChars="0"/>
              <w:rPr>
                <w:rFonts w:hint="default" w:eastAsia="宋体" w:cs="Times New Roman"/>
                <w:color w:val="auto"/>
                <w:lang w:val="en-US" w:eastAsia="zh-CN"/>
              </w:rPr>
            </w:pPr>
            <w:r>
              <w:rPr>
                <w:rFonts w:hint="eastAsia" w:cs="Times New Roman"/>
                <w:color w:val="auto"/>
                <w:lang w:val="en-US" w:eastAsia="zh-CN"/>
              </w:rPr>
              <w:t>0.33</w:t>
            </w:r>
          </w:p>
        </w:tc>
        <w:tc>
          <w:tcPr>
            <w:tcW w:w="1276" w:type="dxa"/>
            <w:vAlign w:val="center"/>
          </w:tcPr>
          <w:p>
            <w:pPr>
              <w:pStyle w:val="30"/>
              <w:ind w:firstLine="0" w:firstLineChars="0"/>
              <w:rPr>
                <w:rFonts w:hint="default" w:eastAsia="宋体" w:cs="Times New Roman"/>
                <w:color w:val="auto"/>
                <w:lang w:val="en-US" w:eastAsia="zh-CN"/>
              </w:rPr>
            </w:pPr>
            <w:r>
              <w:rPr>
                <w:rFonts w:hint="eastAsia" w:cs="Times New Roman"/>
                <w:color w:val="auto"/>
                <w:lang w:val="en-US" w:eastAsia="zh-CN"/>
              </w:rPr>
              <w:t>2.376</w:t>
            </w:r>
          </w:p>
        </w:tc>
        <w:tc>
          <w:tcPr>
            <w:tcW w:w="3169" w:type="dxa"/>
            <w:vAlign w:val="center"/>
          </w:tcPr>
          <w:p>
            <w:pPr>
              <w:pStyle w:val="30"/>
              <w:rPr>
                <w:color w:val="auto"/>
              </w:rPr>
            </w:pPr>
            <w:r>
              <w:rPr>
                <w:color w:val="auto"/>
              </w:rPr>
              <w:t>加强收集</w:t>
            </w:r>
            <w:r>
              <w:rPr>
                <w:rFonts w:hint="eastAsia"/>
                <w:color w:val="auto"/>
              </w:rPr>
              <w:t>，加强车间的封闭性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rPr>
            </w:pPr>
          </w:p>
        </w:tc>
        <w:tc>
          <w:tcPr>
            <w:tcW w:w="1071" w:type="dxa"/>
            <w:vMerge w:val="continue"/>
            <w:vAlign w:val="center"/>
          </w:tcPr>
          <w:p>
            <w:pPr>
              <w:pStyle w:val="30"/>
              <w:rPr>
                <w:color w:val="auto"/>
              </w:rPr>
            </w:pPr>
          </w:p>
        </w:tc>
        <w:tc>
          <w:tcPr>
            <w:tcW w:w="1108" w:type="dxa"/>
            <w:vMerge w:val="continue"/>
            <w:vAlign w:val="center"/>
          </w:tcPr>
          <w:p>
            <w:pPr>
              <w:pStyle w:val="30"/>
              <w:rPr>
                <w:rFonts w:cs="Times New Roman"/>
                <w:color w:val="auto"/>
              </w:rPr>
            </w:pPr>
          </w:p>
        </w:tc>
        <w:tc>
          <w:tcPr>
            <w:tcW w:w="1331" w:type="dxa"/>
            <w:vAlign w:val="center"/>
          </w:tcPr>
          <w:p>
            <w:pPr>
              <w:pStyle w:val="30"/>
              <w:rPr>
                <w:rFonts w:cs="Times New Roman"/>
                <w:color w:val="auto"/>
              </w:rPr>
            </w:pPr>
            <w:r>
              <w:rPr>
                <w:rFonts w:cs="Times New Roman"/>
                <w:color w:val="auto"/>
              </w:rPr>
              <w:t>颗粒物</w:t>
            </w:r>
          </w:p>
        </w:tc>
        <w:tc>
          <w:tcPr>
            <w:tcW w:w="1671" w:type="dxa"/>
            <w:vAlign w:val="center"/>
          </w:tcPr>
          <w:p>
            <w:pPr>
              <w:pStyle w:val="30"/>
              <w:ind w:firstLine="0" w:firstLineChars="0"/>
              <w:rPr>
                <w:rFonts w:cs="Times New Roman"/>
                <w:color w:val="auto"/>
              </w:rPr>
            </w:pPr>
            <w:r>
              <w:rPr>
                <w:rFonts w:hint="eastAsia"/>
                <w:color w:val="auto"/>
                <w:lang w:val="en-US" w:eastAsia="zh-CN"/>
              </w:rPr>
              <w:t>0.0156</w:t>
            </w:r>
          </w:p>
        </w:tc>
        <w:tc>
          <w:tcPr>
            <w:tcW w:w="1560" w:type="dxa"/>
            <w:vAlign w:val="center"/>
          </w:tcPr>
          <w:p>
            <w:pPr>
              <w:pStyle w:val="30"/>
              <w:ind w:firstLine="0" w:firstLineChars="0"/>
              <w:rPr>
                <w:rFonts w:cs="Times New Roman"/>
                <w:color w:val="auto"/>
              </w:rPr>
            </w:pPr>
            <w:r>
              <w:rPr>
                <w:rFonts w:hint="eastAsia"/>
                <w:color w:val="auto"/>
                <w:lang w:val="en-US" w:eastAsia="zh-CN"/>
              </w:rPr>
              <w:t>0.1125</w:t>
            </w:r>
          </w:p>
        </w:tc>
        <w:tc>
          <w:tcPr>
            <w:tcW w:w="1275" w:type="dxa"/>
            <w:vAlign w:val="center"/>
          </w:tcPr>
          <w:p>
            <w:pPr>
              <w:pStyle w:val="30"/>
              <w:rPr>
                <w:rFonts w:cs="Times New Roman"/>
                <w:color w:val="auto"/>
              </w:rPr>
            </w:pPr>
            <w:r>
              <w:rPr>
                <w:rFonts w:cs="Times New Roman"/>
                <w:color w:val="auto"/>
              </w:rPr>
              <w:t>/</w:t>
            </w:r>
          </w:p>
        </w:tc>
        <w:tc>
          <w:tcPr>
            <w:tcW w:w="1276" w:type="dxa"/>
            <w:vAlign w:val="center"/>
          </w:tcPr>
          <w:p>
            <w:pPr>
              <w:pStyle w:val="30"/>
              <w:ind w:firstLine="0" w:firstLineChars="0"/>
              <w:rPr>
                <w:rFonts w:cs="Times New Roman"/>
                <w:color w:val="auto"/>
              </w:rPr>
            </w:pPr>
            <w:r>
              <w:rPr>
                <w:rFonts w:hint="eastAsia" w:cstheme="minorBidi"/>
                <w:color w:val="auto"/>
                <w:kern w:val="2"/>
                <w:sz w:val="21"/>
                <w:szCs w:val="22"/>
                <w:lang w:val="en-US" w:eastAsia="zh-CN" w:bidi="ar-SA"/>
              </w:rPr>
              <w:t>0.0032</w:t>
            </w:r>
          </w:p>
        </w:tc>
        <w:tc>
          <w:tcPr>
            <w:tcW w:w="1276" w:type="dxa"/>
            <w:vAlign w:val="center"/>
          </w:tcPr>
          <w:p>
            <w:pPr>
              <w:pStyle w:val="30"/>
              <w:ind w:firstLine="0" w:firstLineChars="0"/>
              <w:rPr>
                <w:rFonts w:cs="Times New Roman"/>
                <w:color w:val="auto"/>
              </w:rPr>
            </w:pPr>
            <w:r>
              <w:rPr>
                <w:rFonts w:hint="eastAsia" w:cstheme="minorBidi"/>
                <w:color w:val="auto"/>
                <w:kern w:val="2"/>
                <w:sz w:val="21"/>
                <w:szCs w:val="22"/>
                <w:lang w:val="en-US" w:eastAsia="zh-CN" w:bidi="ar-SA"/>
              </w:rPr>
              <w:t>0.0225</w:t>
            </w:r>
          </w:p>
        </w:tc>
        <w:tc>
          <w:tcPr>
            <w:tcW w:w="3169" w:type="dxa"/>
            <w:vAlign w:val="center"/>
          </w:tcPr>
          <w:p>
            <w:pPr>
              <w:pStyle w:val="30"/>
              <w:rPr>
                <w:color w:val="auto"/>
              </w:rPr>
            </w:pPr>
            <w:r>
              <w:rPr>
                <w:color w:val="auto"/>
              </w:rPr>
              <w:t>加强收集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restart"/>
            <w:vAlign w:val="center"/>
          </w:tcPr>
          <w:p>
            <w:pPr>
              <w:pStyle w:val="30"/>
              <w:rPr>
                <w:color w:val="auto"/>
              </w:rPr>
            </w:pPr>
            <w:r>
              <w:rPr>
                <w:color w:val="auto"/>
              </w:rPr>
              <w:t>固废</w:t>
            </w:r>
          </w:p>
        </w:tc>
        <w:tc>
          <w:tcPr>
            <w:tcW w:w="1071" w:type="dxa"/>
            <w:vAlign w:val="center"/>
          </w:tcPr>
          <w:p>
            <w:pPr>
              <w:pStyle w:val="30"/>
              <w:rPr>
                <w:b/>
                <w:bCs/>
                <w:color w:val="auto"/>
              </w:rPr>
            </w:pPr>
            <w:r>
              <w:rPr>
                <w:b/>
                <w:bCs/>
                <w:color w:val="auto"/>
              </w:rPr>
              <w:t>固废种类</w:t>
            </w:r>
          </w:p>
        </w:tc>
        <w:tc>
          <w:tcPr>
            <w:tcW w:w="2439" w:type="dxa"/>
            <w:gridSpan w:val="2"/>
            <w:vAlign w:val="center"/>
          </w:tcPr>
          <w:p>
            <w:pPr>
              <w:pStyle w:val="30"/>
              <w:rPr>
                <w:b/>
                <w:bCs/>
                <w:color w:val="auto"/>
              </w:rPr>
            </w:pPr>
            <w:r>
              <w:rPr>
                <w:b/>
                <w:bCs/>
                <w:color w:val="auto"/>
              </w:rPr>
              <w:t>固废名称</w:t>
            </w:r>
          </w:p>
        </w:tc>
        <w:tc>
          <w:tcPr>
            <w:tcW w:w="3231" w:type="dxa"/>
            <w:gridSpan w:val="2"/>
            <w:vAlign w:val="center"/>
          </w:tcPr>
          <w:p>
            <w:pPr>
              <w:pStyle w:val="30"/>
              <w:rPr>
                <w:b/>
                <w:bCs/>
                <w:color w:val="auto"/>
              </w:rPr>
            </w:pPr>
            <w:r>
              <w:rPr>
                <w:b/>
                <w:bCs/>
                <w:color w:val="auto"/>
              </w:rPr>
              <w:t>产生量（t/a）</w:t>
            </w:r>
          </w:p>
        </w:tc>
        <w:tc>
          <w:tcPr>
            <w:tcW w:w="3827" w:type="dxa"/>
            <w:gridSpan w:val="3"/>
            <w:vAlign w:val="center"/>
          </w:tcPr>
          <w:p>
            <w:pPr>
              <w:pStyle w:val="30"/>
              <w:rPr>
                <w:b/>
                <w:bCs/>
                <w:color w:val="auto"/>
              </w:rPr>
            </w:pPr>
            <w:r>
              <w:rPr>
                <w:b/>
                <w:bCs/>
                <w:color w:val="auto"/>
              </w:rPr>
              <w:t>排放量（t/a）</w:t>
            </w:r>
          </w:p>
        </w:tc>
        <w:tc>
          <w:tcPr>
            <w:tcW w:w="3169" w:type="dxa"/>
            <w:vAlign w:val="center"/>
          </w:tcPr>
          <w:p>
            <w:pPr>
              <w:pStyle w:val="30"/>
              <w:rPr>
                <w:b/>
                <w:bCs/>
                <w:color w:val="auto"/>
              </w:rPr>
            </w:pPr>
            <w:r>
              <w:rPr>
                <w:b/>
                <w:bCs/>
                <w:color w:val="auto"/>
              </w:rPr>
              <w:t>处置措施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Align w:val="center"/>
          </w:tcPr>
          <w:p>
            <w:pPr>
              <w:pStyle w:val="30"/>
              <w:rPr>
                <w:color w:val="auto"/>
              </w:rPr>
            </w:pPr>
            <w:r>
              <w:rPr>
                <w:color w:val="auto"/>
              </w:rPr>
              <w:t>员工生活</w:t>
            </w:r>
          </w:p>
        </w:tc>
        <w:tc>
          <w:tcPr>
            <w:tcW w:w="2439" w:type="dxa"/>
            <w:gridSpan w:val="2"/>
            <w:vAlign w:val="center"/>
          </w:tcPr>
          <w:p>
            <w:pPr>
              <w:pStyle w:val="30"/>
              <w:rPr>
                <w:color w:val="auto"/>
              </w:rPr>
            </w:pPr>
            <w:r>
              <w:rPr>
                <w:color w:val="auto"/>
              </w:rPr>
              <w:t>生活垃圾</w:t>
            </w:r>
          </w:p>
        </w:tc>
        <w:tc>
          <w:tcPr>
            <w:tcW w:w="3231" w:type="dxa"/>
            <w:gridSpan w:val="2"/>
            <w:vAlign w:val="center"/>
          </w:tcPr>
          <w:p>
            <w:pPr>
              <w:pStyle w:val="30"/>
              <w:rPr>
                <w:rFonts w:hint="eastAsia" w:eastAsia="宋体"/>
                <w:color w:val="auto"/>
                <w:lang w:val="en-US" w:eastAsia="zh-CN"/>
              </w:rPr>
            </w:pPr>
            <w:r>
              <w:rPr>
                <w:rFonts w:hint="eastAsia"/>
                <w:color w:val="auto"/>
              </w:rPr>
              <w:t>4.</w:t>
            </w:r>
            <w:r>
              <w:rPr>
                <w:rFonts w:hint="eastAsia"/>
                <w:color w:val="auto"/>
                <w:lang w:val="en-US" w:eastAsia="zh-CN"/>
              </w:rPr>
              <w:t>5</w:t>
            </w:r>
          </w:p>
        </w:tc>
        <w:tc>
          <w:tcPr>
            <w:tcW w:w="3827" w:type="dxa"/>
            <w:gridSpan w:val="3"/>
            <w:vAlign w:val="center"/>
          </w:tcPr>
          <w:p>
            <w:pPr>
              <w:pStyle w:val="30"/>
              <w:rPr>
                <w:color w:val="auto"/>
              </w:rPr>
            </w:pPr>
            <w:r>
              <w:rPr>
                <w:color w:val="auto"/>
              </w:rPr>
              <w:t>0</w:t>
            </w:r>
          </w:p>
        </w:tc>
        <w:tc>
          <w:tcPr>
            <w:tcW w:w="3169" w:type="dxa"/>
            <w:vAlign w:val="center"/>
          </w:tcPr>
          <w:p>
            <w:pPr>
              <w:pStyle w:val="30"/>
              <w:rPr>
                <w:color w:val="auto"/>
              </w:rPr>
            </w:pPr>
            <w:r>
              <w:rPr>
                <w:color w:val="auto"/>
              </w:rPr>
              <w:t>环卫部门清运处置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Merge w:val="restart"/>
            <w:vAlign w:val="center"/>
          </w:tcPr>
          <w:p>
            <w:pPr>
              <w:pStyle w:val="30"/>
              <w:rPr>
                <w:color w:val="auto"/>
              </w:rPr>
            </w:pPr>
            <w:r>
              <w:rPr>
                <w:color w:val="auto"/>
              </w:rPr>
              <w:t>一般工业固废</w:t>
            </w:r>
          </w:p>
        </w:tc>
        <w:tc>
          <w:tcPr>
            <w:tcW w:w="2439" w:type="dxa"/>
            <w:gridSpan w:val="2"/>
            <w:vAlign w:val="center"/>
          </w:tcPr>
          <w:p>
            <w:pPr>
              <w:pStyle w:val="30"/>
              <w:rPr>
                <w:rFonts w:cs="Times New Roman"/>
                <w:color w:val="auto"/>
              </w:rPr>
            </w:pPr>
            <w:r>
              <w:rPr>
                <w:rFonts w:cs="Times New Roman"/>
                <w:bCs/>
                <w:color w:val="auto"/>
                <w:spacing w:val="-10"/>
              </w:rPr>
              <w:t>不合格成品及边角料</w:t>
            </w:r>
          </w:p>
        </w:tc>
        <w:tc>
          <w:tcPr>
            <w:tcW w:w="3231" w:type="dxa"/>
            <w:gridSpan w:val="2"/>
            <w:vAlign w:val="center"/>
          </w:tcPr>
          <w:p>
            <w:pPr>
              <w:pStyle w:val="30"/>
              <w:rPr>
                <w:rFonts w:hint="default" w:eastAsia="宋体" w:cs="Times New Roman"/>
                <w:color w:val="auto"/>
                <w:lang w:val="en-US" w:eastAsia="zh-CN"/>
              </w:rPr>
            </w:pPr>
            <w:r>
              <w:rPr>
                <w:rFonts w:hint="eastAsia" w:cs="Times New Roman"/>
                <w:color w:val="auto"/>
                <w:lang w:val="en-US" w:eastAsia="zh-CN"/>
              </w:rPr>
              <w:t>300</w:t>
            </w:r>
          </w:p>
        </w:tc>
        <w:tc>
          <w:tcPr>
            <w:tcW w:w="3827" w:type="dxa"/>
            <w:gridSpan w:val="3"/>
            <w:vAlign w:val="center"/>
          </w:tcPr>
          <w:p>
            <w:pPr>
              <w:pStyle w:val="30"/>
              <w:rPr>
                <w:color w:val="auto"/>
              </w:rPr>
            </w:pPr>
            <w:r>
              <w:rPr>
                <w:color w:val="auto"/>
              </w:rPr>
              <w:t>0</w:t>
            </w:r>
          </w:p>
        </w:tc>
        <w:tc>
          <w:tcPr>
            <w:tcW w:w="3169" w:type="dxa"/>
            <w:vAlign w:val="center"/>
          </w:tcPr>
          <w:p>
            <w:pPr>
              <w:pStyle w:val="30"/>
              <w:rPr>
                <w:rFonts w:cs="Times New Roman"/>
                <w:color w:val="auto"/>
              </w:rPr>
            </w:pPr>
            <w:r>
              <w:rPr>
                <w:rFonts w:cs="Times New Roman"/>
                <w:bCs/>
                <w:color w:val="auto"/>
                <w:spacing w:val="-10"/>
              </w:rPr>
              <w:t>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hint="eastAsia" w:cs="Times New Roman"/>
                <w:bCs/>
                <w:color w:val="auto"/>
                <w:spacing w:val="-10"/>
                <w:lang w:val="en-US" w:eastAsia="zh-CN"/>
              </w:rPr>
              <w:t>布袋除尘器收集</w:t>
            </w:r>
            <w:r>
              <w:rPr>
                <w:rFonts w:cs="Times New Roman"/>
                <w:bCs/>
                <w:color w:val="auto"/>
                <w:spacing w:val="-10"/>
              </w:rPr>
              <w:t>粉尘</w:t>
            </w:r>
          </w:p>
        </w:tc>
        <w:tc>
          <w:tcPr>
            <w:tcW w:w="3231" w:type="dxa"/>
            <w:gridSpan w:val="2"/>
            <w:vAlign w:val="center"/>
          </w:tcPr>
          <w:p>
            <w:pPr>
              <w:pStyle w:val="30"/>
              <w:rPr>
                <w:rFonts w:hint="default" w:eastAsia="宋体" w:cs="Times New Roman"/>
                <w:color w:val="auto"/>
                <w:lang w:val="en-US" w:eastAsia="zh-CN"/>
              </w:rPr>
            </w:pPr>
            <w:r>
              <w:rPr>
                <w:rFonts w:hint="eastAsia" w:cs="Times New Roman"/>
                <w:color w:val="auto"/>
              </w:rPr>
              <w:t>0.</w:t>
            </w:r>
            <w:r>
              <w:rPr>
                <w:rFonts w:hint="eastAsia" w:cs="Times New Roman"/>
                <w:color w:val="auto"/>
                <w:lang w:val="en-US" w:eastAsia="zh-CN"/>
              </w:rPr>
              <w:t>0855</w:t>
            </w:r>
          </w:p>
        </w:tc>
        <w:tc>
          <w:tcPr>
            <w:tcW w:w="3827" w:type="dxa"/>
            <w:gridSpan w:val="3"/>
            <w:vAlign w:val="center"/>
          </w:tcPr>
          <w:p>
            <w:pPr>
              <w:pStyle w:val="30"/>
              <w:rPr>
                <w:color w:val="auto"/>
              </w:rPr>
            </w:pPr>
            <w:r>
              <w:rPr>
                <w:color w:val="auto"/>
              </w:rPr>
              <w:t>0</w:t>
            </w:r>
          </w:p>
        </w:tc>
        <w:tc>
          <w:tcPr>
            <w:tcW w:w="3169" w:type="dxa"/>
            <w:vAlign w:val="center"/>
          </w:tcPr>
          <w:p>
            <w:pPr>
              <w:pStyle w:val="30"/>
              <w:rPr>
                <w:rFonts w:cs="Times New Roman"/>
                <w:color w:val="auto"/>
              </w:rPr>
            </w:pPr>
            <w:r>
              <w:rPr>
                <w:rFonts w:cs="Times New Roman"/>
                <w:bCs/>
                <w:color w:val="auto"/>
                <w:spacing w:val="-10"/>
              </w:rPr>
              <w:t>收集后回用于生产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bCs/>
                <w:color w:val="auto"/>
                <w:spacing w:val="-10"/>
              </w:rPr>
            </w:pPr>
            <w:r>
              <w:rPr>
                <w:rFonts w:hint="eastAsia" w:cs="Times New Roman"/>
                <w:bCs/>
                <w:color w:val="auto"/>
                <w:spacing w:val="-10"/>
              </w:rPr>
              <w:t>废包装材料</w:t>
            </w:r>
          </w:p>
        </w:tc>
        <w:tc>
          <w:tcPr>
            <w:tcW w:w="3231" w:type="dxa"/>
            <w:gridSpan w:val="2"/>
            <w:vAlign w:val="center"/>
          </w:tcPr>
          <w:p>
            <w:pPr>
              <w:pStyle w:val="30"/>
              <w:rPr>
                <w:rFonts w:cs="Times New Roman"/>
                <w:bCs/>
                <w:color w:val="auto"/>
                <w:spacing w:val="-10"/>
              </w:rPr>
            </w:pPr>
            <w:r>
              <w:rPr>
                <w:rFonts w:hint="eastAsia" w:cs="Times New Roman"/>
                <w:bCs/>
                <w:color w:val="auto"/>
                <w:spacing w:val="-10"/>
              </w:rPr>
              <w:t>5</w:t>
            </w:r>
          </w:p>
        </w:tc>
        <w:tc>
          <w:tcPr>
            <w:tcW w:w="3827" w:type="dxa"/>
            <w:gridSpan w:val="3"/>
            <w:vAlign w:val="center"/>
          </w:tcPr>
          <w:p>
            <w:pPr>
              <w:pStyle w:val="30"/>
              <w:rPr>
                <w:color w:val="auto"/>
              </w:rPr>
            </w:pPr>
            <w:r>
              <w:rPr>
                <w:rFonts w:hint="eastAsia"/>
                <w:color w:val="auto"/>
              </w:rPr>
              <w:t>0</w:t>
            </w:r>
          </w:p>
        </w:tc>
        <w:tc>
          <w:tcPr>
            <w:tcW w:w="3169" w:type="dxa"/>
            <w:vAlign w:val="center"/>
          </w:tcPr>
          <w:p>
            <w:pPr>
              <w:pStyle w:val="30"/>
              <w:rPr>
                <w:rFonts w:cs="Times New Roman"/>
                <w:bCs/>
                <w:color w:val="auto"/>
                <w:spacing w:val="-10"/>
              </w:rPr>
            </w:pPr>
            <w:r>
              <w:rPr>
                <w:rFonts w:hint="eastAsia" w:cs="Times New Roman"/>
                <w:bCs/>
                <w:color w:val="auto"/>
                <w:spacing w:val="-10"/>
              </w:rPr>
              <w:t>收集后外售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Merge w:val="restart"/>
            <w:vAlign w:val="center"/>
          </w:tcPr>
          <w:p>
            <w:pPr>
              <w:pStyle w:val="30"/>
              <w:rPr>
                <w:color w:val="auto"/>
              </w:rPr>
            </w:pPr>
            <w:r>
              <w:rPr>
                <w:color w:val="auto"/>
              </w:rPr>
              <w:t>危废</w:t>
            </w:r>
          </w:p>
        </w:tc>
        <w:tc>
          <w:tcPr>
            <w:tcW w:w="2439" w:type="dxa"/>
            <w:gridSpan w:val="2"/>
            <w:vAlign w:val="center"/>
          </w:tcPr>
          <w:p>
            <w:pPr>
              <w:pStyle w:val="30"/>
              <w:rPr>
                <w:rFonts w:cs="Times New Roman"/>
                <w:color w:val="auto"/>
              </w:rPr>
            </w:pPr>
            <w:r>
              <w:rPr>
                <w:rFonts w:cs="Times New Roman"/>
                <w:bCs/>
                <w:color w:val="auto"/>
                <w:spacing w:val="-10"/>
              </w:rPr>
              <w:t>废机油</w:t>
            </w:r>
          </w:p>
        </w:tc>
        <w:tc>
          <w:tcPr>
            <w:tcW w:w="3231" w:type="dxa"/>
            <w:gridSpan w:val="2"/>
            <w:vAlign w:val="center"/>
          </w:tcPr>
          <w:p>
            <w:pPr>
              <w:pStyle w:val="30"/>
              <w:rPr>
                <w:rFonts w:cs="Times New Roman"/>
                <w:color w:val="auto"/>
              </w:rPr>
            </w:pPr>
            <w:r>
              <w:rPr>
                <w:rFonts w:hint="eastAsia" w:cs="Times New Roman"/>
                <w:bCs/>
                <w:color w:val="auto"/>
                <w:spacing w:val="-10"/>
              </w:rPr>
              <w:t>0.1</w:t>
            </w:r>
          </w:p>
        </w:tc>
        <w:tc>
          <w:tcPr>
            <w:tcW w:w="3827" w:type="dxa"/>
            <w:gridSpan w:val="3"/>
            <w:vAlign w:val="center"/>
          </w:tcPr>
          <w:p>
            <w:pPr>
              <w:pStyle w:val="30"/>
              <w:rPr>
                <w:color w:val="auto"/>
              </w:rPr>
            </w:pPr>
            <w:r>
              <w:rPr>
                <w:color w:val="auto"/>
              </w:rPr>
              <w:t>0</w:t>
            </w:r>
          </w:p>
        </w:tc>
        <w:tc>
          <w:tcPr>
            <w:tcW w:w="3169" w:type="dxa"/>
            <w:vAlign w:val="center"/>
          </w:tcPr>
          <w:p>
            <w:pPr>
              <w:pStyle w:val="30"/>
              <w:rPr>
                <w:rFonts w:cs="Times New Roman"/>
                <w:color w:val="auto"/>
              </w:rPr>
            </w:pPr>
            <w:r>
              <w:rPr>
                <w:rFonts w:cs="Times New Roman"/>
                <w:bCs/>
                <w:color w:val="auto"/>
                <w:spacing w:val="-10"/>
              </w:rPr>
              <w:t>交由有资质的单位处置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Merge w:val="continue"/>
            <w:vAlign w:val="center"/>
          </w:tcPr>
          <w:p>
            <w:pPr>
              <w:pStyle w:val="30"/>
              <w:rPr>
                <w:color w:val="auto"/>
                <w:u w:val="single"/>
              </w:rPr>
            </w:pPr>
          </w:p>
        </w:tc>
        <w:tc>
          <w:tcPr>
            <w:tcW w:w="1071" w:type="dxa"/>
            <w:vMerge w:val="continue"/>
            <w:vAlign w:val="center"/>
          </w:tcPr>
          <w:p>
            <w:pPr>
              <w:pStyle w:val="30"/>
              <w:rPr>
                <w:color w:val="auto"/>
              </w:rPr>
            </w:pPr>
          </w:p>
        </w:tc>
        <w:tc>
          <w:tcPr>
            <w:tcW w:w="2439" w:type="dxa"/>
            <w:gridSpan w:val="2"/>
            <w:vAlign w:val="center"/>
          </w:tcPr>
          <w:p>
            <w:pPr>
              <w:pStyle w:val="30"/>
              <w:rPr>
                <w:rFonts w:cs="Times New Roman"/>
                <w:color w:val="auto"/>
              </w:rPr>
            </w:pPr>
            <w:r>
              <w:rPr>
                <w:rFonts w:cs="Times New Roman"/>
                <w:bCs/>
                <w:color w:val="auto"/>
                <w:spacing w:val="-10"/>
              </w:rPr>
              <w:t>废活性炭</w:t>
            </w:r>
          </w:p>
        </w:tc>
        <w:tc>
          <w:tcPr>
            <w:tcW w:w="3231" w:type="dxa"/>
            <w:gridSpan w:val="2"/>
            <w:vAlign w:val="center"/>
          </w:tcPr>
          <w:p>
            <w:pPr>
              <w:pStyle w:val="30"/>
              <w:rPr>
                <w:rFonts w:hint="default" w:eastAsia="宋体" w:cs="Times New Roman"/>
                <w:color w:val="auto"/>
                <w:lang w:val="en-US" w:eastAsia="zh-CN"/>
              </w:rPr>
            </w:pPr>
            <w:r>
              <w:rPr>
                <w:rFonts w:hint="eastAsia" w:cs="Times New Roman"/>
                <w:color w:val="auto"/>
                <w:lang w:val="en-US" w:eastAsia="zh-CN"/>
              </w:rPr>
              <w:t>11.4</w:t>
            </w:r>
          </w:p>
        </w:tc>
        <w:tc>
          <w:tcPr>
            <w:tcW w:w="3827" w:type="dxa"/>
            <w:gridSpan w:val="3"/>
            <w:vAlign w:val="center"/>
          </w:tcPr>
          <w:p>
            <w:pPr>
              <w:pStyle w:val="30"/>
              <w:rPr>
                <w:color w:val="auto"/>
              </w:rPr>
            </w:pPr>
            <w:r>
              <w:rPr>
                <w:color w:val="auto"/>
              </w:rPr>
              <w:t>0</w:t>
            </w:r>
          </w:p>
        </w:tc>
        <w:tc>
          <w:tcPr>
            <w:tcW w:w="3169" w:type="dxa"/>
            <w:vAlign w:val="center"/>
          </w:tcPr>
          <w:p>
            <w:pPr>
              <w:pStyle w:val="30"/>
              <w:rPr>
                <w:rFonts w:cs="Times New Roman"/>
                <w:color w:val="auto"/>
              </w:rPr>
            </w:pPr>
            <w:r>
              <w:rPr>
                <w:rFonts w:cs="Times New Roman"/>
                <w:bCs/>
                <w:color w:val="auto"/>
                <w:spacing w:val="-10"/>
              </w:rPr>
              <w:t>交由有资质的单位处置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89" w:type="dxa"/>
            <w:vAlign w:val="center"/>
          </w:tcPr>
          <w:p>
            <w:pPr>
              <w:pStyle w:val="30"/>
              <w:rPr>
                <w:color w:val="auto"/>
                <w:u w:val="single"/>
              </w:rPr>
            </w:pPr>
            <w:r>
              <w:rPr>
                <w:color w:val="auto"/>
              </w:rPr>
              <w:t>噪声</w:t>
            </w:r>
          </w:p>
        </w:tc>
        <w:tc>
          <w:tcPr>
            <w:tcW w:w="3510" w:type="dxa"/>
            <w:gridSpan w:val="3"/>
            <w:vAlign w:val="center"/>
          </w:tcPr>
          <w:p>
            <w:pPr>
              <w:pStyle w:val="30"/>
              <w:rPr>
                <w:color w:val="auto"/>
              </w:rPr>
            </w:pPr>
            <w:r>
              <w:rPr>
                <w:color w:val="auto"/>
              </w:rPr>
              <w:t>设备噪声</w:t>
            </w:r>
          </w:p>
        </w:tc>
        <w:tc>
          <w:tcPr>
            <w:tcW w:w="10227" w:type="dxa"/>
            <w:gridSpan w:val="6"/>
            <w:vAlign w:val="center"/>
          </w:tcPr>
          <w:p>
            <w:pPr>
              <w:pStyle w:val="30"/>
              <w:rPr>
                <w:color w:val="auto"/>
              </w:rPr>
            </w:pPr>
            <w:r>
              <w:rPr>
                <w:color w:val="auto"/>
              </w:rPr>
              <w:t>隔声、减振、消声等措施</w:t>
            </w:r>
          </w:p>
        </w:tc>
      </w:tr>
      <w:bookmarkEnd w:id="100"/>
    </w:tbl>
    <w:p>
      <w:pPr>
        <w:ind w:firstLine="48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p>
    <w:p>
      <w:pPr>
        <w:pStyle w:val="5"/>
        <w:rPr>
          <w:color w:val="auto"/>
        </w:rPr>
      </w:pPr>
      <w:bookmarkStart w:id="101" w:name="_Toc24819"/>
      <w:bookmarkStart w:id="102" w:name="_Toc11089"/>
      <w:bookmarkStart w:id="103" w:name="_Toc21321"/>
      <w:r>
        <w:rPr>
          <w:rFonts w:hint="eastAsia"/>
          <w:color w:val="auto"/>
        </w:rPr>
        <w:t xml:space="preserve">第4章 </w:t>
      </w:r>
      <w:r>
        <w:rPr>
          <w:color w:val="auto"/>
        </w:rPr>
        <w:t xml:space="preserve"> 环境现状调查与评价</w:t>
      </w:r>
      <w:bookmarkEnd w:id="101"/>
      <w:bookmarkEnd w:id="102"/>
      <w:bookmarkEnd w:id="103"/>
    </w:p>
    <w:p>
      <w:pPr>
        <w:pStyle w:val="6"/>
        <w:rPr>
          <w:color w:val="auto"/>
        </w:rPr>
      </w:pPr>
      <w:bookmarkStart w:id="104" w:name="_Toc359228564"/>
      <w:bookmarkStart w:id="105" w:name="_Toc350183090"/>
      <w:bookmarkStart w:id="106" w:name="_Toc359223517"/>
      <w:bookmarkStart w:id="107" w:name="_Toc5250"/>
      <w:bookmarkStart w:id="108" w:name="_Toc447114753"/>
      <w:bookmarkStart w:id="109" w:name="_Toc359226189"/>
      <w:bookmarkStart w:id="110" w:name="_Toc7219"/>
      <w:bookmarkStart w:id="111" w:name="_Toc11460"/>
      <w:bookmarkStart w:id="112" w:name="_Toc318196039"/>
      <w:bookmarkStart w:id="113" w:name="_Toc125210404"/>
      <w:bookmarkStart w:id="114" w:name="_Toc359228120"/>
      <w:bookmarkStart w:id="115" w:name="_Toc405817844"/>
      <w:r>
        <w:rPr>
          <w:color w:val="auto"/>
        </w:rPr>
        <w:t>4.1自然环境概况</w:t>
      </w:r>
      <w:bookmarkEnd w:id="104"/>
      <w:bookmarkEnd w:id="105"/>
      <w:bookmarkEnd w:id="106"/>
      <w:bookmarkEnd w:id="107"/>
      <w:bookmarkEnd w:id="108"/>
      <w:bookmarkEnd w:id="109"/>
      <w:bookmarkEnd w:id="110"/>
      <w:bookmarkEnd w:id="111"/>
      <w:bookmarkEnd w:id="112"/>
      <w:bookmarkEnd w:id="113"/>
      <w:bookmarkEnd w:id="114"/>
      <w:bookmarkEnd w:id="115"/>
    </w:p>
    <w:p>
      <w:pPr>
        <w:pStyle w:val="7"/>
        <w:rPr>
          <w:color w:val="auto"/>
        </w:rPr>
      </w:pPr>
      <w:r>
        <w:rPr>
          <w:color w:val="auto"/>
        </w:rPr>
        <w:t>4.1.1地理位置</w:t>
      </w:r>
    </w:p>
    <w:p>
      <w:pPr>
        <w:ind w:firstLine="480"/>
        <w:rPr>
          <w:color w:val="auto"/>
        </w:rPr>
      </w:pPr>
      <w:r>
        <w:rPr>
          <w:rFonts w:hint="eastAsia"/>
          <w:color w:val="auto"/>
        </w:rPr>
        <w:t>汨罗市处湖南省东北部，紧靠南洞庭湖东畔、汨罗江下游，位于东经</w:t>
      </w:r>
      <w:r>
        <w:rPr>
          <w:color w:val="auto"/>
        </w:rPr>
        <w:t>112°51′</w:t>
      </w:r>
      <w:r>
        <w:rPr>
          <w:rFonts w:hint="eastAsia"/>
          <w:color w:val="auto"/>
        </w:rPr>
        <w:t>～</w:t>
      </w:r>
      <w:r>
        <w:rPr>
          <w:color w:val="auto"/>
        </w:rPr>
        <w:t>113°27′</w:t>
      </w:r>
      <w:r>
        <w:rPr>
          <w:rFonts w:hint="eastAsia"/>
          <w:color w:val="auto"/>
        </w:rPr>
        <w:t>，北纬</w:t>
      </w:r>
      <w:r>
        <w:rPr>
          <w:color w:val="auto"/>
        </w:rPr>
        <w:t>28°28′</w:t>
      </w:r>
      <w:r>
        <w:rPr>
          <w:rFonts w:hint="eastAsia"/>
          <w:color w:val="auto"/>
        </w:rPr>
        <w:t>～</w:t>
      </w:r>
      <w:r>
        <w:rPr>
          <w:color w:val="auto"/>
        </w:rPr>
        <w:t>29°27′</w:t>
      </w:r>
      <w:r>
        <w:rPr>
          <w:rFonts w:hint="eastAsia"/>
          <w:color w:val="auto"/>
        </w:rPr>
        <w:t>。市境东部和东南部与长沙县毗连，南与望城县接壤，西邻湘阴县和沅江县，北接岳阳县，东北与平江县交界。市境南北相距</w:t>
      </w:r>
      <w:r>
        <w:rPr>
          <w:color w:val="auto"/>
        </w:rPr>
        <w:t>66.75km</w:t>
      </w:r>
      <w:r>
        <w:rPr>
          <w:rFonts w:hint="eastAsia"/>
          <w:color w:val="auto"/>
        </w:rPr>
        <w:t>，东西相距</w:t>
      </w:r>
      <w:r>
        <w:rPr>
          <w:color w:val="auto"/>
        </w:rPr>
        <w:t>62.5km</w:t>
      </w:r>
      <w:r>
        <w:rPr>
          <w:rFonts w:hint="eastAsia"/>
          <w:color w:val="auto"/>
        </w:rPr>
        <w:t>，全境周长</w:t>
      </w:r>
      <w:r>
        <w:rPr>
          <w:color w:val="auto"/>
        </w:rPr>
        <w:t>301.84km</w:t>
      </w:r>
      <w:r>
        <w:rPr>
          <w:rFonts w:hint="eastAsia"/>
          <w:color w:val="auto"/>
        </w:rPr>
        <w:t>，总面积</w:t>
      </w:r>
      <w:r>
        <w:rPr>
          <w:color w:val="auto"/>
        </w:rPr>
        <w:t>1561.95km</w:t>
      </w:r>
      <w:r>
        <w:rPr>
          <w:color w:val="auto"/>
          <w:vertAlign w:val="superscript"/>
        </w:rPr>
        <w:t>2</w:t>
      </w:r>
      <w:r>
        <w:rPr>
          <w:rFonts w:hint="eastAsia"/>
          <w:color w:val="auto"/>
        </w:rPr>
        <w:t>，占全省总面积的</w:t>
      </w:r>
      <w:r>
        <w:rPr>
          <w:color w:val="auto"/>
        </w:rPr>
        <w:t>0.75%</w:t>
      </w:r>
      <w:r>
        <w:rPr>
          <w:rFonts w:hint="eastAsia"/>
          <w:color w:val="auto"/>
        </w:rPr>
        <w:t>，占岳阳市面积的</w:t>
      </w:r>
      <w:r>
        <w:rPr>
          <w:color w:val="auto"/>
        </w:rPr>
        <w:t>10.4%</w:t>
      </w:r>
      <w:r>
        <w:rPr>
          <w:rFonts w:hint="eastAsia"/>
          <w:color w:val="auto"/>
        </w:rPr>
        <w:t>，汨罗市城区面积</w:t>
      </w:r>
      <w:r>
        <w:rPr>
          <w:color w:val="auto"/>
        </w:rPr>
        <w:t>12.37km2</w:t>
      </w:r>
      <w:r>
        <w:rPr>
          <w:rFonts w:hint="eastAsia"/>
          <w:color w:val="auto"/>
        </w:rPr>
        <w:t>。因境内有汨水、罗水会合，其下游名汨罗江，因此而得市名。</w:t>
      </w:r>
    </w:p>
    <w:p>
      <w:pPr>
        <w:ind w:firstLine="480"/>
        <w:rPr>
          <w:color w:val="auto"/>
        </w:rPr>
      </w:pPr>
      <w:r>
        <w:rPr>
          <w:rFonts w:hint="eastAsia"/>
          <w:color w:val="auto"/>
        </w:rPr>
        <w:t>汨罗高新技术产业开发区位于汨罗市东部，新市镇团山村、新书村、合心村及城郊上马村为中心的区域内，东临平江县伍市镇，规划占地面积</w:t>
      </w:r>
      <w:r>
        <w:rPr>
          <w:color w:val="auto"/>
        </w:rPr>
        <w:t>418.5hm2</w:t>
      </w:r>
      <w:r>
        <w:rPr>
          <w:rFonts w:hint="eastAsia"/>
          <w:color w:val="auto"/>
        </w:rPr>
        <w:t>，距汨罗市中心约</w:t>
      </w:r>
      <w:r>
        <w:rPr>
          <w:color w:val="auto"/>
        </w:rPr>
        <w:t>4km</w:t>
      </w:r>
      <w:r>
        <w:rPr>
          <w:rFonts w:hint="eastAsia"/>
          <w:color w:val="auto"/>
        </w:rPr>
        <w:t>。产业园互通京珠高速广福出口连接线，全长</w:t>
      </w:r>
      <w:r>
        <w:rPr>
          <w:color w:val="auto"/>
        </w:rPr>
        <w:t>4km</w:t>
      </w:r>
      <w:r>
        <w:rPr>
          <w:rFonts w:hint="eastAsia"/>
          <w:color w:val="auto"/>
        </w:rPr>
        <w:t>。新建桃花路，全长</w:t>
      </w:r>
      <w:r>
        <w:rPr>
          <w:color w:val="auto"/>
        </w:rPr>
        <w:t>6.6km</w:t>
      </w:r>
      <w:r>
        <w:rPr>
          <w:rFonts w:hint="eastAsia"/>
          <w:color w:val="auto"/>
        </w:rPr>
        <w:t>，宽</w:t>
      </w:r>
      <w:r>
        <w:rPr>
          <w:color w:val="auto"/>
        </w:rPr>
        <w:t>46m</w:t>
      </w:r>
      <w:r>
        <w:rPr>
          <w:rFonts w:hint="eastAsia"/>
          <w:color w:val="auto"/>
        </w:rPr>
        <w:t>，取代园区段</w:t>
      </w:r>
      <w:r>
        <w:rPr>
          <w:color w:val="auto"/>
        </w:rPr>
        <w:t xml:space="preserve">107 </w:t>
      </w:r>
      <w:r>
        <w:rPr>
          <w:rFonts w:hint="eastAsia"/>
          <w:color w:val="auto"/>
        </w:rPr>
        <w:t>国道。园区内道路以交通性道路为主，综合性道路为辅，整体采取方格网形式布置，局部随地形自由环形布置，形成三横二纵的路网骨架，道路等级以主干路、次干路、支路三级划分。</w:t>
      </w:r>
    </w:p>
    <w:p>
      <w:pPr>
        <w:ind w:firstLine="480"/>
        <w:rPr>
          <w:color w:val="auto"/>
        </w:rPr>
      </w:pPr>
      <w:r>
        <w:rPr>
          <w:rFonts w:hint="eastAsia"/>
          <w:color w:val="auto"/>
        </w:rPr>
        <w:t>本项目位于汨罗高新技术产业开发区，厂区中心点地理坐标为：东经113°10′15.12120″、北纬28°45′45.54720″，具体位置详见附图一（项目地理位置图）。本项目地理位置见附图</w:t>
      </w:r>
      <w:r>
        <w:rPr>
          <w:color w:val="auto"/>
        </w:rPr>
        <w:t>1</w:t>
      </w:r>
      <w:r>
        <w:rPr>
          <w:rFonts w:hint="eastAsia"/>
          <w:color w:val="auto"/>
        </w:rPr>
        <w:t>。</w:t>
      </w:r>
    </w:p>
    <w:p>
      <w:pPr>
        <w:pStyle w:val="7"/>
        <w:rPr>
          <w:color w:val="auto"/>
        </w:rPr>
      </w:pPr>
      <w:r>
        <w:rPr>
          <w:color w:val="auto"/>
        </w:rPr>
        <w:t>4.1.2地形地貌</w:t>
      </w:r>
    </w:p>
    <w:p>
      <w:pPr>
        <w:ind w:firstLine="480"/>
        <w:rPr>
          <w:color w:val="auto"/>
        </w:rPr>
      </w:pPr>
      <w:r>
        <w:rPr>
          <w:color w:val="auto"/>
        </w:rPr>
        <w:t xml:space="preserve">汨罗市属幕阜山脉与洞庭湖之间的过渡地带，西临南洞庭湖。地势由东南向西北倾斜。园区所在地地貌以丘岗平原为主，其中107国道沿线和沿江大道沿线为地形较平整的平原地带，其余部分分布大量小型丘陵。自然地形地势起伏不大，地坪坡度15%以下。 </w:t>
      </w:r>
    </w:p>
    <w:p>
      <w:pPr>
        <w:ind w:firstLine="480"/>
        <w:rPr>
          <w:color w:val="auto"/>
        </w:rPr>
      </w:pPr>
      <w:r>
        <w:rPr>
          <w:color w:val="auto"/>
        </w:rPr>
        <w:t>汨罗市位于杨子准地台雪峰地轴中段，东部为临湘穹的瓮江－幕阜山隆起，西部为洞庭下沉的过渡性地带。由于长期的雨水淋溶、侵蚀，地壳抬升与沉降作用的继续，使得山地切割加强，冲沟发育，水系密布，江湖沉积物深，在洞庭湖及汨罗江沿岸一带形成土质肥沃，土层深厚的河湖平原。</w:t>
      </w:r>
    </w:p>
    <w:p>
      <w:pPr>
        <w:ind w:firstLine="480"/>
        <w:rPr>
          <w:color w:val="auto"/>
        </w:rPr>
      </w:pPr>
      <w:r>
        <w:rPr>
          <w:color w:val="auto"/>
        </w:rPr>
        <w:t>汨罗市境内地层简单，由老到新依次为元古界冷家溪、中生界白垩系和新生界下第三系中村组、第四系。第四系更新统白水江组分布于新市镇－带，厚度为6.9~10m，底部为黄褐色砾石层，中部为黄褐色砂砾层，上部为黄褐色含锰质结核砂质粘土。</w:t>
      </w:r>
    </w:p>
    <w:p>
      <w:pPr>
        <w:ind w:firstLine="480"/>
        <w:rPr>
          <w:color w:val="auto"/>
        </w:rPr>
      </w:pPr>
      <w:r>
        <w:rPr>
          <w:color w:val="auto"/>
        </w:rPr>
        <w:t>场区地基主要为人工填土、耕作土、江南红壤和冲击沉积物堆积层组成，地质物理力学性质较好，场地内无不良地质现象。</w:t>
      </w:r>
    </w:p>
    <w:p>
      <w:pPr>
        <w:ind w:firstLine="480"/>
        <w:rPr>
          <w:color w:val="auto"/>
        </w:rPr>
      </w:pPr>
      <w:r>
        <w:rPr>
          <w:color w:val="auto"/>
        </w:rPr>
        <w:t>根据《中国地震动参数区划图》（GB 18306-2015），地震设防烈度为7度。</w:t>
      </w:r>
    </w:p>
    <w:p>
      <w:pPr>
        <w:pStyle w:val="7"/>
        <w:rPr>
          <w:color w:val="auto"/>
        </w:rPr>
      </w:pPr>
      <w:r>
        <w:rPr>
          <w:color w:val="auto"/>
        </w:rPr>
        <w:t>4.1.3水文资料</w:t>
      </w:r>
    </w:p>
    <w:p>
      <w:pPr>
        <w:ind w:firstLine="482"/>
        <w:rPr>
          <w:b/>
          <w:bCs/>
          <w:color w:val="auto"/>
        </w:rPr>
      </w:pPr>
      <w:r>
        <w:rPr>
          <w:b/>
          <w:bCs/>
          <w:color w:val="auto"/>
        </w:rPr>
        <w:t>1、地表水系</w:t>
      </w:r>
    </w:p>
    <w:p>
      <w:pPr>
        <w:ind w:firstLine="480"/>
        <w:rPr>
          <w:color w:val="auto"/>
        </w:rPr>
      </w:pPr>
      <w:r>
        <w:rPr>
          <w:rFonts w:hint="eastAsia"/>
          <w:color w:val="auto"/>
        </w:rPr>
        <w:t>本项目所涉及的河流主要为汨罗江、车对河和李家河。</w:t>
      </w:r>
    </w:p>
    <w:p>
      <w:pPr>
        <w:ind w:firstLine="480"/>
        <w:rPr>
          <w:color w:val="auto"/>
        </w:rPr>
      </w:pPr>
      <w:r>
        <w:rPr>
          <w:rFonts w:hint="eastAsia"/>
          <w:color w:val="auto"/>
        </w:rPr>
        <w:t>汨罗高新技术产业开发区北临汨罗江，汨罗江因主河道汨水与支流罗水相汇而得名。汨水源于江西省修水县黄龙山梨树埚，流经修水县、平江县、汨罗市，于汨罗市大洲湾与罗水汇合。</w:t>
      </w:r>
    </w:p>
    <w:p>
      <w:pPr>
        <w:ind w:firstLine="480"/>
        <w:rPr>
          <w:color w:val="auto"/>
        </w:rPr>
      </w:pPr>
      <w:r>
        <w:rPr>
          <w:rFonts w:hint="eastAsia"/>
          <w:color w:val="auto"/>
        </w:rPr>
        <w:t>汨罗江发源于江西省修水县的黄龙山脉，往西流经平江县、汨罗市于磊石山注入东洞庭湖。干流长度</w:t>
      </w:r>
      <w:r>
        <w:rPr>
          <w:color w:val="auto"/>
        </w:rPr>
        <w:t xml:space="preserve">253.3 </w:t>
      </w:r>
      <w:r>
        <w:rPr>
          <w:rFonts w:hint="eastAsia"/>
          <w:color w:val="auto"/>
        </w:rPr>
        <w:t>公里，平均迫降</w:t>
      </w:r>
      <w:r>
        <w:rPr>
          <w:color w:val="auto"/>
        </w:rPr>
        <w:t>0.46‰</w:t>
      </w:r>
      <w:r>
        <w:rPr>
          <w:rFonts w:hint="eastAsia"/>
          <w:color w:val="auto"/>
        </w:rPr>
        <w:t>，流域面积达</w:t>
      </w:r>
      <w:r>
        <w:rPr>
          <w:color w:val="auto"/>
        </w:rPr>
        <w:t>5543</w:t>
      </w:r>
      <w:r>
        <w:rPr>
          <w:rFonts w:hint="eastAsia"/>
          <w:color w:val="auto"/>
        </w:rPr>
        <w:t>平方公里。青冲口以下（汨罗段）为洞庭湖冲击平原区，地形平坦开阔，地面高程在</w:t>
      </w:r>
      <w:r>
        <w:rPr>
          <w:color w:val="auto"/>
        </w:rPr>
        <w:t>22.1m-32.1m</w:t>
      </w:r>
      <w:r>
        <w:rPr>
          <w:rFonts w:hint="eastAsia"/>
          <w:color w:val="auto"/>
        </w:rPr>
        <w:t>，汨水入湖处磊石山基岩裸露，山顶高程</w:t>
      </w:r>
      <w:r>
        <w:rPr>
          <w:color w:val="auto"/>
        </w:rPr>
        <w:t>88.5m</w:t>
      </w:r>
      <w:r>
        <w:rPr>
          <w:rFonts w:hint="eastAsia"/>
          <w:color w:val="auto"/>
        </w:rPr>
        <w:t>。流域总的地势为东南高西北地。流域面积</w:t>
      </w:r>
      <w:r>
        <w:rPr>
          <w:color w:val="auto"/>
        </w:rPr>
        <w:t>5543km</w:t>
      </w:r>
      <w:r>
        <w:rPr>
          <w:color w:val="auto"/>
          <w:vertAlign w:val="superscript"/>
        </w:rPr>
        <w:t>2</w:t>
      </w:r>
      <w:r>
        <w:rPr>
          <w:rFonts w:hint="eastAsia"/>
          <w:color w:val="auto"/>
        </w:rPr>
        <w:t>，河长</w:t>
      </w:r>
      <w:r>
        <w:rPr>
          <w:color w:val="auto"/>
        </w:rPr>
        <w:t>253.2km</w:t>
      </w:r>
      <w:r>
        <w:rPr>
          <w:rFonts w:hint="eastAsia"/>
          <w:color w:val="auto"/>
        </w:rPr>
        <w:t>，其中汨罗市境内长</w:t>
      </w:r>
      <w:r>
        <w:rPr>
          <w:color w:val="auto"/>
        </w:rPr>
        <w:t>61.5km</w:t>
      </w:r>
      <w:r>
        <w:rPr>
          <w:rFonts w:hint="eastAsia"/>
          <w:color w:val="auto"/>
        </w:rPr>
        <w:t>，流域面积</w:t>
      </w:r>
      <w:r>
        <w:rPr>
          <w:color w:val="auto"/>
        </w:rPr>
        <w:t>965km</w:t>
      </w:r>
      <w:r>
        <w:rPr>
          <w:color w:val="auto"/>
          <w:vertAlign w:val="superscript"/>
        </w:rPr>
        <w:t>2</w:t>
      </w:r>
      <w:r>
        <w:rPr>
          <w:rFonts w:hint="eastAsia"/>
          <w:color w:val="auto"/>
        </w:rPr>
        <w:t>。干流多年平均径流量为</w:t>
      </w:r>
      <w:r>
        <w:rPr>
          <w:color w:val="auto"/>
        </w:rPr>
        <w:t xml:space="preserve">43.04 </w:t>
      </w:r>
      <w:r>
        <w:rPr>
          <w:rFonts w:hint="eastAsia"/>
          <w:color w:val="auto"/>
        </w:rPr>
        <w:t>亿</w:t>
      </w:r>
      <w:r>
        <w:rPr>
          <w:color w:val="auto"/>
        </w:rPr>
        <w:t>m3</w:t>
      </w:r>
      <w:r>
        <w:rPr>
          <w:rFonts w:hint="eastAsia"/>
          <w:color w:val="auto"/>
        </w:rPr>
        <w:t>，汛期</w:t>
      </w:r>
      <w:r>
        <w:rPr>
          <w:color w:val="auto"/>
        </w:rPr>
        <w:t xml:space="preserve">5~8 </w:t>
      </w:r>
      <w:r>
        <w:rPr>
          <w:rFonts w:hint="eastAsia"/>
          <w:color w:val="auto"/>
        </w:rPr>
        <w:t>月，径流量占全年总量</w:t>
      </w:r>
      <w:r>
        <w:rPr>
          <w:color w:val="auto"/>
        </w:rPr>
        <w:t>46.2</w:t>
      </w:r>
      <w:r>
        <w:rPr>
          <w:rFonts w:hint="eastAsia"/>
          <w:color w:val="auto"/>
        </w:rPr>
        <w:t>％，保证率</w:t>
      </w:r>
      <w:r>
        <w:rPr>
          <w:color w:val="auto"/>
        </w:rPr>
        <w:t>95%</w:t>
      </w:r>
      <w:r>
        <w:rPr>
          <w:rFonts w:hint="eastAsia"/>
          <w:color w:val="auto"/>
        </w:rPr>
        <w:t>的枯水年径流量为</w:t>
      </w:r>
      <w:r>
        <w:rPr>
          <w:color w:val="auto"/>
        </w:rPr>
        <w:t xml:space="preserve">5.33 </w:t>
      </w:r>
      <w:r>
        <w:rPr>
          <w:rFonts w:hint="eastAsia"/>
          <w:color w:val="auto"/>
        </w:rPr>
        <w:t>亿</w:t>
      </w:r>
      <w:r>
        <w:rPr>
          <w:color w:val="auto"/>
        </w:rPr>
        <w:t>m3</w:t>
      </w:r>
      <w:r>
        <w:rPr>
          <w:rFonts w:hint="eastAsia"/>
          <w:color w:val="auto"/>
        </w:rPr>
        <w:t>，多年平均流量</w:t>
      </w:r>
      <w:r>
        <w:rPr>
          <w:color w:val="auto"/>
        </w:rPr>
        <w:t>99.4m</w:t>
      </w:r>
      <w:r>
        <w:rPr>
          <w:color w:val="auto"/>
          <w:vertAlign w:val="superscript"/>
        </w:rPr>
        <w:t>3</w:t>
      </w:r>
      <w:r>
        <w:rPr>
          <w:color w:val="auto"/>
        </w:rPr>
        <w:t>/s</w:t>
      </w:r>
      <w:r>
        <w:rPr>
          <w:rFonts w:hint="eastAsia"/>
          <w:color w:val="auto"/>
        </w:rPr>
        <w:t>，多年最大月平均流量</w:t>
      </w:r>
      <w:r>
        <w:rPr>
          <w:color w:val="auto"/>
        </w:rPr>
        <w:t>231m</w:t>
      </w:r>
      <w:r>
        <w:rPr>
          <w:color w:val="auto"/>
          <w:vertAlign w:val="superscript"/>
        </w:rPr>
        <w:t>3</w:t>
      </w:r>
      <w:r>
        <w:rPr>
          <w:color w:val="auto"/>
        </w:rPr>
        <w:t>/s</w:t>
      </w:r>
      <w:r>
        <w:rPr>
          <w:rFonts w:hint="eastAsia"/>
          <w:color w:val="auto"/>
        </w:rPr>
        <w:t>（</w:t>
      </w:r>
      <w:r>
        <w:rPr>
          <w:color w:val="auto"/>
        </w:rPr>
        <w:t>5</w:t>
      </w:r>
      <w:r>
        <w:rPr>
          <w:rFonts w:hint="eastAsia"/>
          <w:color w:val="auto"/>
        </w:rPr>
        <w:t>月），最小月平均流量</w:t>
      </w:r>
      <w:r>
        <w:rPr>
          <w:color w:val="auto"/>
        </w:rPr>
        <w:t>26.2m</w:t>
      </w:r>
      <w:r>
        <w:rPr>
          <w:color w:val="auto"/>
          <w:vertAlign w:val="superscript"/>
        </w:rPr>
        <w:t>3</w:t>
      </w:r>
      <w:r>
        <w:rPr>
          <w:color w:val="auto"/>
        </w:rPr>
        <w:t>/s</w:t>
      </w:r>
      <w:r>
        <w:rPr>
          <w:rFonts w:hint="eastAsia"/>
          <w:color w:val="auto"/>
        </w:rPr>
        <w:t>（</w:t>
      </w:r>
      <w:r>
        <w:rPr>
          <w:color w:val="auto"/>
        </w:rPr>
        <w:t>1</w:t>
      </w:r>
      <w:r>
        <w:rPr>
          <w:rFonts w:hint="eastAsia"/>
          <w:color w:val="auto"/>
        </w:rPr>
        <w:t>月、</w:t>
      </w:r>
      <w:r>
        <w:rPr>
          <w:color w:val="auto"/>
        </w:rPr>
        <w:t>12</w:t>
      </w:r>
      <w:r>
        <w:rPr>
          <w:rFonts w:hint="eastAsia"/>
          <w:color w:val="auto"/>
        </w:rPr>
        <w:t>月）。</w:t>
      </w:r>
    </w:p>
    <w:p>
      <w:pPr>
        <w:ind w:firstLine="480"/>
        <w:rPr>
          <w:color w:val="auto"/>
        </w:rPr>
      </w:pPr>
      <w:r>
        <w:rPr>
          <w:rFonts w:hint="eastAsia"/>
          <w:color w:val="auto"/>
        </w:rPr>
        <w:t>车对河为汨罗的第三大水系，全长</w:t>
      </w:r>
      <w:r>
        <w:rPr>
          <w:color w:val="auto"/>
        </w:rPr>
        <w:t>41km</w:t>
      </w:r>
      <w:r>
        <w:rPr>
          <w:rFonts w:hint="eastAsia"/>
          <w:color w:val="auto"/>
        </w:rPr>
        <w:t>，流域面积</w:t>
      </w:r>
      <w:r>
        <w:rPr>
          <w:color w:val="auto"/>
        </w:rPr>
        <w:t>344km2</w:t>
      </w:r>
      <w:r>
        <w:rPr>
          <w:rFonts w:hint="eastAsia"/>
          <w:color w:val="auto"/>
        </w:rPr>
        <w:t>，其中市内</w:t>
      </w:r>
      <w:r>
        <w:rPr>
          <w:color w:val="auto"/>
        </w:rPr>
        <w:t>165km2</w:t>
      </w:r>
      <w:r>
        <w:rPr>
          <w:rFonts w:hint="eastAsia"/>
          <w:color w:val="auto"/>
        </w:rPr>
        <w:t>，多年平均径流深</w:t>
      </w:r>
      <w:r>
        <w:rPr>
          <w:color w:val="auto"/>
        </w:rPr>
        <w:t>600mm</w:t>
      </w:r>
      <w:r>
        <w:rPr>
          <w:rFonts w:hint="eastAsia"/>
          <w:color w:val="auto"/>
        </w:rPr>
        <w:t>，多年平均径流量</w:t>
      </w:r>
      <w:r>
        <w:rPr>
          <w:color w:val="auto"/>
        </w:rPr>
        <w:t xml:space="preserve">1.07 </w:t>
      </w:r>
      <w:r>
        <w:rPr>
          <w:rFonts w:hint="eastAsia"/>
          <w:color w:val="auto"/>
        </w:rPr>
        <w:t>亿</w:t>
      </w:r>
      <w:r>
        <w:rPr>
          <w:color w:val="auto"/>
        </w:rPr>
        <w:t>m3</w:t>
      </w:r>
      <w:r>
        <w:rPr>
          <w:rFonts w:hint="eastAsia"/>
          <w:color w:val="auto"/>
        </w:rPr>
        <w:t>，多年平均流量</w:t>
      </w:r>
      <w:r>
        <w:rPr>
          <w:color w:val="auto"/>
        </w:rPr>
        <w:t>3.4m3/s</w:t>
      </w:r>
      <w:r>
        <w:rPr>
          <w:rFonts w:hint="eastAsia"/>
          <w:color w:val="auto"/>
        </w:rPr>
        <w:t>。水能资源较丰富。车对河经新市的赵公桥注入汨罗江。</w:t>
      </w:r>
    </w:p>
    <w:p>
      <w:pPr>
        <w:ind w:firstLine="480"/>
        <w:rPr>
          <w:color w:val="auto"/>
        </w:rPr>
      </w:pPr>
      <w:r>
        <w:rPr>
          <w:rFonts w:hint="eastAsia"/>
          <w:color w:val="auto"/>
        </w:rPr>
        <w:t>本项目废水经汨罗市城市污水处理厂处理达标后的尾水经李家河排入汨罗江南渡桥至磊石</w:t>
      </w:r>
      <w:r>
        <w:rPr>
          <w:color w:val="auto"/>
        </w:rPr>
        <w:t>23.4</w:t>
      </w:r>
      <w:r>
        <w:rPr>
          <w:rFonts w:hint="eastAsia"/>
          <w:color w:val="auto"/>
        </w:rPr>
        <w:t>公里河段，为渔业用水区。李家河为小河，平均流量</w:t>
      </w:r>
      <w:r>
        <w:rPr>
          <w:color w:val="auto"/>
        </w:rPr>
        <w:t>1.8m3/s</w:t>
      </w:r>
      <w:r>
        <w:rPr>
          <w:rFonts w:hint="eastAsia"/>
          <w:color w:val="auto"/>
        </w:rPr>
        <w:t>，水域功能为渔业用水区。旱季时李家河水重力自排入汨罗江，雨季时经李家河末端的百丈排渍泵站提升至汨罗江。汨罗市城市污水处理厂在李家河的排污口坐标</w:t>
      </w:r>
      <w:r>
        <w:rPr>
          <w:color w:val="auto"/>
        </w:rPr>
        <w:t>E113°3'56.90''</w:t>
      </w:r>
      <w:r>
        <w:rPr>
          <w:rFonts w:hint="eastAsia"/>
          <w:color w:val="auto"/>
        </w:rPr>
        <w:t>，</w:t>
      </w:r>
      <w:r>
        <w:rPr>
          <w:color w:val="auto"/>
        </w:rPr>
        <w:t>N28°50'1.95''</w:t>
      </w:r>
      <w:r>
        <w:rPr>
          <w:rFonts w:hint="eastAsia"/>
          <w:color w:val="auto"/>
        </w:rPr>
        <w:t>。</w:t>
      </w:r>
    </w:p>
    <w:p>
      <w:pPr>
        <w:ind w:firstLine="482"/>
        <w:rPr>
          <w:b/>
          <w:bCs/>
          <w:color w:val="auto"/>
        </w:rPr>
      </w:pPr>
      <w:r>
        <w:rPr>
          <w:rFonts w:hint="eastAsia"/>
          <w:b/>
          <w:bCs/>
          <w:color w:val="auto"/>
        </w:rPr>
        <w:t>2、地下水</w:t>
      </w:r>
    </w:p>
    <w:p>
      <w:pPr>
        <w:ind w:firstLine="482"/>
        <w:rPr>
          <w:rFonts w:ascii="宋体" w:cs="宋体" w:hAnsiTheme="minorHAnsi"/>
          <w:b/>
          <w:bCs/>
          <w:color w:val="auto"/>
          <w:kern w:val="0"/>
          <w:szCs w:val="24"/>
        </w:rPr>
      </w:pPr>
      <w:r>
        <w:rPr>
          <w:rFonts w:hint="eastAsia" w:ascii="宋体" w:cs="宋体" w:hAnsiTheme="minorHAnsi"/>
          <w:b/>
          <w:bCs/>
          <w:color w:val="auto"/>
          <w:kern w:val="0"/>
          <w:szCs w:val="24"/>
        </w:rPr>
        <w:t>①地下水类型</w:t>
      </w:r>
    </w:p>
    <w:p>
      <w:pPr>
        <w:ind w:firstLine="480"/>
        <w:rPr>
          <w:color w:val="auto"/>
        </w:rPr>
      </w:pPr>
      <w:r>
        <w:rPr>
          <w:rFonts w:hint="eastAsia"/>
          <w:color w:val="auto"/>
        </w:rPr>
        <w:t>按区域水文地质普查规范要求，结合本区地下水赋存空间、水理特征和含水岩组岩性等特征，将区内地下水划分为松散堆积层孔隙水及基岩裂隙水三个大类型；并依其富水程度和地下水动力特征，划分为</w:t>
      </w:r>
      <w:r>
        <w:rPr>
          <w:color w:val="auto"/>
        </w:rPr>
        <w:t xml:space="preserve">4 </w:t>
      </w:r>
      <w:r>
        <w:rPr>
          <w:rFonts w:hint="eastAsia"/>
          <w:color w:val="auto"/>
        </w:rPr>
        <w:t>个亚类。在规定的富水等级一般划分标准基础上，考虑区内的实际情况，将本区含水岩组富水程度等级划分标准如表</w:t>
      </w:r>
      <w:r>
        <w:rPr>
          <w:color w:val="auto"/>
        </w:rPr>
        <w:t xml:space="preserve">5.1-1 </w:t>
      </w:r>
      <w:r>
        <w:rPr>
          <w:rFonts w:hint="eastAsia"/>
          <w:color w:val="auto"/>
        </w:rPr>
        <w:t>所示。</w:t>
      </w:r>
    </w:p>
    <w:p>
      <w:pPr>
        <w:ind w:firstLine="480"/>
        <w:rPr>
          <w:color w:val="auto"/>
        </w:rPr>
      </w:pPr>
      <w:r>
        <w:rPr>
          <w:rFonts w:hint="eastAsia"/>
          <w:color w:val="auto"/>
        </w:rPr>
        <w:t>区内地下水类型及含水岩组富水程度见表</w:t>
      </w:r>
      <w:r>
        <w:rPr>
          <w:color w:val="auto"/>
        </w:rPr>
        <w:t>4.1-1</w:t>
      </w:r>
      <w:r>
        <w:rPr>
          <w:rFonts w:hint="eastAsia"/>
          <w:color w:val="auto"/>
        </w:rPr>
        <w:t>。</w:t>
      </w:r>
    </w:p>
    <w:p>
      <w:pPr>
        <w:pStyle w:val="31"/>
        <w:rPr>
          <w:color w:val="auto"/>
        </w:rPr>
      </w:pPr>
      <w:r>
        <w:rPr>
          <w:color w:val="auto"/>
        </w:rPr>
        <w:t>表4.1-1  含水岩组富水程度等级划分表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751"/>
        <w:gridCol w:w="1314"/>
        <w:gridCol w:w="1945"/>
        <w:gridCol w:w="1756"/>
        <w:gridCol w:w="175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00" w:hRule="atLeast"/>
          <w:jc w:val="center"/>
        </w:trPr>
        <w:tc>
          <w:tcPr>
            <w:tcW w:w="1028" w:type="pct"/>
            <w:vAlign w:val="center"/>
          </w:tcPr>
          <w:p>
            <w:pPr>
              <w:pStyle w:val="30"/>
              <w:rPr>
                <w:b/>
                <w:bCs/>
                <w:color w:val="auto"/>
              </w:rPr>
            </w:pPr>
            <w:r>
              <w:rPr>
                <w:b/>
                <w:bCs/>
                <w:color w:val="auto"/>
              </w:rPr>
              <w:t>地下水类型</w:t>
            </w:r>
          </w:p>
        </w:tc>
        <w:tc>
          <w:tcPr>
            <w:tcW w:w="771" w:type="pct"/>
            <w:vAlign w:val="center"/>
          </w:tcPr>
          <w:p>
            <w:pPr>
              <w:pStyle w:val="30"/>
              <w:rPr>
                <w:b/>
                <w:bCs/>
                <w:color w:val="auto"/>
              </w:rPr>
            </w:pPr>
            <w:r>
              <w:rPr>
                <w:b/>
                <w:bCs/>
                <w:color w:val="auto"/>
              </w:rPr>
              <w:t>富水等级</w:t>
            </w:r>
          </w:p>
        </w:tc>
        <w:tc>
          <w:tcPr>
            <w:tcW w:w="1141" w:type="pct"/>
            <w:vAlign w:val="center"/>
          </w:tcPr>
          <w:p>
            <w:pPr>
              <w:pStyle w:val="30"/>
              <w:rPr>
                <w:b/>
                <w:bCs/>
                <w:color w:val="auto"/>
              </w:rPr>
            </w:pPr>
            <w:r>
              <w:rPr>
                <w:b/>
                <w:bCs/>
                <w:color w:val="auto"/>
              </w:rPr>
              <w:t>换算单井涌水量</w:t>
            </w:r>
          </w:p>
          <w:p>
            <w:pPr>
              <w:pStyle w:val="30"/>
              <w:rPr>
                <w:b/>
                <w:bCs/>
                <w:color w:val="auto"/>
              </w:rPr>
            </w:pPr>
            <w:r>
              <w:rPr>
                <w:b/>
                <w:bCs/>
                <w:color w:val="auto"/>
              </w:rPr>
              <w:t>（t/d）</w:t>
            </w:r>
          </w:p>
        </w:tc>
        <w:tc>
          <w:tcPr>
            <w:tcW w:w="1030" w:type="pct"/>
            <w:vAlign w:val="center"/>
          </w:tcPr>
          <w:p>
            <w:pPr>
              <w:pStyle w:val="30"/>
              <w:rPr>
                <w:b/>
                <w:bCs/>
                <w:color w:val="auto"/>
              </w:rPr>
            </w:pPr>
            <w:r>
              <w:rPr>
                <w:b/>
                <w:bCs/>
                <w:color w:val="auto"/>
              </w:rPr>
              <w:t>泉水流量常见值</w:t>
            </w:r>
          </w:p>
          <w:p>
            <w:pPr>
              <w:pStyle w:val="30"/>
              <w:rPr>
                <w:b/>
                <w:bCs/>
                <w:color w:val="auto"/>
              </w:rPr>
            </w:pPr>
            <w:r>
              <w:rPr>
                <w:b/>
                <w:bCs/>
                <w:color w:val="auto"/>
              </w:rPr>
              <w:t>（L/s）</w:t>
            </w:r>
          </w:p>
        </w:tc>
        <w:tc>
          <w:tcPr>
            <w:tcW w:w="1030" w:type="pct"/>
            <w:vAlign w:val="center"/>
          </w:tcPr>
          <w:p>
            <w:pPr>
              <w:pStyle w:val="30"/>
              <w:rPr>
                <w:b/>
                <w:bCs/>
                <w:color w:val="auto"/>
              </w:rPr>
            </w:pPr>
            <w:r>
              <w:rPr>
                <w:b/>
                <w:bCs/>
                <w:color w:val="auto"/>
              </w:rPr>
              <w:t>地下径流模数</w:t>
            </w:r>
          </w:p>
          <w:p>
            <w:pPr>
              <w:pStyle w:val="30"/>
              <w:rPr>
                <w:b/>
                <w:bCs/>
                <w:color w:val="auto"/>
              </w:rPr>
            </w:pPr>
            <w:r>
              <w:rPr>
                <w:b/>
                <w:bCs/>
                <w:color w:val="auto"/>
              </w:rPr>
              <w:t>（L/s·km</w:t>
            </w:r>
            <w:r>
              <w:rPr>
                <w:b/>
                <w:bCs/>
                <w:color w:val="auto"/>
                <w:vertAlign w:val="superscript"/>
              </w:rPr>
              <w:t>2</w:t>
            </w:r>
            <w:r>
              <w:rPr>
                <w:b/>
                <w:bCs/>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1028" w:type="pct"/>
            <w:vMerge w:val="restart"/>
            <w:vAlign w:val="center"/>
          </w:tcPr>
          <w:p>
            <w:pPr>
              <w:pStyle w:val="30"/>
              <w:rPr>
                <w:color w:val="auto"/>
              </w:rPr>
            </w:pPr>
            <w:r>
              <w:rPr>
                <w:color w:val="auto"/>
              </w:rPr>
              <w:t>松散堆积孔隙水</w:t>
            </w:r>
          </w:p>
        </w:tc>
        <w:tc>
          <w:tcPr>
            <w:tcW w:w="771" w:type="pct"/>
            <w:vAlign w:val="center"/>
          </w:tcPr>
          <w:p>
            <w:pPr>
              <w:pStyle w:val="30"/>
              <w:rPr>
                <w:color w:val="auto"/>
              </w:rPr>
            </w:pPr>
            <w:r>
              <w:rPr>
                <w:color w:val="auto"/>
              </w:rPr>
              <w:t>贫乏</w:t>
            </w:r>
          </w:p>
        </w:tc>
        <w:tc>
          <w:tcPr>
            <w:tcW w:w="1141" w:type="pct"/>
            <w:vAlign w:val="center"/>
          </w:tcPr>
          <w:p>
            <w:pPr>
              <w:pStyle w:val="30"/>
              <w:rPr>
                <w:color w:val="auto"/>
              </w:rPr>
            </w:pPr>
            <w:r>
              <w:rPr>
                <w:color w:val="auto"/>
              </w:rPr>
              <w:t>10~100</w:t>
            </w:r>
          </w:p>
        </w:tc>
        <w:tc>
          <w:tcPr>
            <w:tcW w:w="1030" w:type="pct"/>
            <w:vAlign w:val="center"/>
          </w:tcPr>
          <w:p>
            <w:pPr>
              <w:pStyle w:val="30"/>
              <w:rPr>
                <w:color w:val="auto"/>
              </w:rPr>
            </w:pPr>
            <w:r>
              <w:rPr>
                <w:color w:val="auto"/>
              </w:rPr>
              <w:t>0.01~0.1</w:t>
            </w:r>
          </w:p>
        </w:tc>
        <w:tc>
          <w:tcPr>
            <w:tcW w:w="1030" w:type="pct"/>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1028" w:type="pct"/>
            <w:vMerge w:val="continue"/>
            <w:vAlign w:val="center"/>
          </w:tcPr>
          <w:p>
            <w:pPr>
              <w:pStyle w:val="30"/>
              <w:rPr>
                <w:color w:val="auto"/>
              </w:rPr>
            </w:pPr>
          </w:p>
        </w:tc>
        <w:tc>
          <w:tcPr>
            <w:tcW w:w="771" w:type="pct"/>
            <w:vAlign w:val="center"/>
          </w:tcPr>
          <w:p>
            <w:pPr>
              <w:pStyle w:val="30"/>
              <w:rPr>
                <w:color w:val="auto"/>
              </w:rPr>
            </w:pPr>
            <w:r>
              <w:rPr>
                <w:color w:val="auto"/>
              </w:rPr>
              <w:t>中等</w:t>
            </w:r>
          </w:p>
        </w:tc>
        <w:tc>
          <w:tcPr>
            <w:tcW w:w="1141" w:type="pct"/>
            <w:vAlign w:val="center"/>
          </w:tcPr>
          <w:p>
            <w:pPr>
              <w:pStyle w:val="30"/>
              <w:rPr>
                <w:color w:val="auto"/>
              </w:rPr>
            </w:pPr>
            <w:r>
              <w:rPr>
                <w:color w:val="auto"/>
              </w:rPr>
              <w:t>100~1000</w:t>
            </w:r>
          </w:p>
        </w:tc>
        <w:tc>
          <w:tcPr>
            <w:tcW w:w="1030" w:type="pct"/>
            <w:vAlign w:val="center"/>
          </w:tcPr>
          <w:p>
            <w:pPr>
              <w:pStyle w:val="30"/>
              <w:rPr>
                <w:color w:val="auto"/>
              </w:rPr>
            </w:pPr>
            <w:r>
              <w:rPr>
                <w:color w:val="auto"/>
              </w:rPr>
              <w:t>0.1~1.0</w:t>
            </w:r>
          </w:p>
        </w:tc>
        <w:tc>
          <w:tcPr>
            <w:tcW w:w="1030" w:type="pct"/>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1028" w:type="pct"/>
            <w:vMerge w:val="continue"/>
            <w:vAlign w:val="center"/>
          </w:tcPr>
          <w:p>
            <w:pPr>
              <w:pStyle w:val="30"/>
              <w:rPr>
                <w:color w:val="auto"/>
              </w:rPr>
            </w:pPr>
          </w:p>
        </w:tc>
        <w:tc>
          <w:tcPr>
            <w:tcW w:w="771" w:type="pct"/>
            <w:vAlign w:val="center"/>
          </w:tcPr>
          <w:p>
            <w:pPr>
              <w:pStyle w:val="30"/>
              <w:rPr>
                <w:color w:val="auto"/>
              </w:rPr>
            </w:pPr>
            <w:r>
              <w:rPr>
                <w:color w:val="auto"/>
              </w:rPr>
              <w:t>丰富</w:t>
            </w:r>
          </w:p>
        </w:tc>
        <w:tc>
          <w:tcPr>
            <w:tcW w:w="1141" w:type="pct"/>
            <w:vAlign w:val="center"/>
          </w:tcPr>
          <w:p>
            <w:pPr>
              <w:pStyle w:val="30"/>
              <w:rPr>
                <w:color w:val="auto"/>
              </w:rPr>
            </w:pPr>
            <w:r>
              <w:rPr>
                <w:color w:val="auto"/>
              </w:rPr>
              <w:t>1000~5000</w:t>
            </w:r>
          </w:p>
        </w:tc>
        <w:tc>
          <w:tcPr>
            <w:tcW w:w="1030" w:type="pct"/>
            <w:vAlign w:val="center"/>
          </w:tcPr>
          <w:p>
            <w:pPr>
              <w:pStyle w:val="30"/>
              <w:rPr>
                <w:color w:val="auto"/>
              </w:rPr>
            </w:pPr>
          </w:p>
        </w:tc>
        <w:tc>
          <w:tcPr>
            <w:tcW w:w="1030" w:type="pct"/>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1028" w:type="pct"/>
            <w:vMerge w:val="restart"/>
            <w:vAlign w:val="center"/>
          </w:tcPr>
          <w:p>
            <w:pPr>
              <w:pStyle w:val="30"/>
              <w:rPr>
                <w:color w:val="auto"/>
              </w:rPr>
            </w:pPr>
            <w:r>
              <w:rPr>
                <w:color w:val="auto"/>
              </w:rPr>
              <w:t>基岩裂隙水</w:t>
            </w:r>
          </w:p>
        </w:tc>
        <w:tc>
          <w:tcPr>
            <w:tcW w:w="771" w:type="pct"/>
            <w:vAlign w:val="center"/>
          </w:tcPr>
          <w:p>
            <w:pPr>
              <w:pStyle w:val="30"/>
              <w:rPr>
                <w:color w:val="auto"/>
              </w:rPr>
            </w:pPr>
            <w:r>
              <w:rPr>
                <w:color w:val="auto"/>
              </w:rPr>
              <w:t>极贫乏</w:t>
            </w:r>
          </w:p>
        </w:tc>
        <w:tc>
          <w:tcPr>
            <w:tcW w:w="1141" w:type="pct"/>
            <w:vAlign w:val="center"/>
          </w:tcPr>
          <w:p>
            <w:pPr>
              <w:pStyle w:val="30"/>
              <w:rPr>
                <w:color w:val="auto"/>
              </w:rPr>
            </w:pPr>
            <w:r>
              <w:rPr>
                <w:color w:val="auto"/>
              </w:rPr>
              <w:t>&lt;10</w:t>
            </w:r>
          </w:p>
        </w:tc>
        <w:tc>
          <w:tcPr>
            <w:tcW w:w="1030" w:type="pct"/>
            <w:vAlign w:val="center"/>
          </w:tcPr>
          <w:p>
            <w:pPr>
              <w:pStyle w:val="30"/>
              <w:rPr>
                <w:color w:val="auto"/>
              </w:rPr>
            </w:pPr>
            <w:r>
              <w:rPr>
                <w:color w:val="auto"/>
              </w:rPr>
              <w:t>&lt;0.1</w:t>
            </w:r>
          </w:p>
        </w:tc>
        <w:tc>
          <w:tcPr>
            <w:tcW w:w="1030" w:type="pct"/>
            <w:vAlign w:val="center"/>
          </w:tcPr>
          <w:p>
            <w:pPr>
              <w:pStyle w:val="30"/>
              <w:rPr>
                <w:color w:val="auto"/>
              </w:rPr>
            </w:pPr>
            <w:r>
              <w:rPr>
                <w:color w:val="auto"/>
              </w:rPr>
              <w:t>&lt;0.6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1028" w:type="pct"/>
            <w:vMerge w:val="continue"/>
            <w:vAlign w:val="center"/>
          </w:tcPr>
          <w:p>
            <w:pPr>
              <w:pStyle w:val="30"/>
              <w:rPr>
                <w:color w:val="auto"/>
              </w:rPr>
            </w:pPr>
          </w:p>
        </w:tc>
        <w:tc>
          <w:tcPr>
            <w:tcW w:w="771" w:type="pct"/>
            <w:vAlign w:val="center"/>
          </w:tcPr>
          <w:p>
            <w:pPr>
              <w:pStyle w:val="30"/>
              <w:rPr>
                <w:color w:val="auto"/>
              </w:rPr>
            </w:pPr>
            <w:r>
              <w:rPr>
                <w:color w:val="auto"/>
              </w:rPr>
              <w:t>贫乏</w:t>
            </w:r>
          </w:p>
        </w:tc>
        <w:tc>
          <w:tcPr>
            <w:tcW w:w="1141" w:type="pct"/>
            <w:vAlign w:val="center"/>
          </w:tcPr>
          <w:p>
            <w:pPr>
              <w:pStyle w:val="30"/>
              <w:rPr>
                <w:color w:val="auto"/>
              </w:rPr>
            </w:pPr>
            <w:r>
              <w:rPr>
                <w:color w:val="auto"/>
              </w:rPr>
              <w:t>10~100</w:t>
            </w:r>
          </w:p>
        </w:tc>
        <w:tc>
          <w:tcPr>
            <w:tcW w:w="1030" w:type="pct"/>
            <w:vAlign w:val="center"/>
          </w:tcPr>
          <w:p>
            <w:pPr>
              <w:pStyle w:val="30"/>
              <w:rPr>
                <w:color w:val="auto"/>
              </w:rPr>
            </w:pPr>
            <w:r>
              <w:rPr>
                <w:color w:val="auto"/>
              </w:rPr>
              <w:t>0.01~0.1</w:t>
            </w:r>
          </w:p>
        </w:tc>
        <w:tc>
          <w:tcPr>
            <w:tcW w:w="1030" w:type="pct"/>
            <w:vAlign w:val="center"/>
          </w:tcPr>
          <w:p>
            <w:pPr>
              <w:pStyle w:val="30"/>
              <w:rPr>
                <w:color w:val="auto"/>
              </w:rPr>
            </w:pPr>
            <w:r>
              <w:rPr>
                <w:color w:val="auto"/>
              </w:rPr>
              <w:t>0.6~1.0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5" w:hRule="atLeast"/>
          <w:jc w:val="center"/>
        </w:trPr>
        <w:tc>
          <w:tcPr>
            <w:tcW w:w="1028" w:type="pct"/>
            <w:vMerge w:val="continue"/>
            <w:vAlign w:val="center"/>
          </w:tcPr>
          <w:p>
            <w:pPr>
              <w:pStyle w:val="30"/>
              <w:rPr>
                <w:color w:val="auto"/>
              </w:rPr>
            </w:pPr>
          </w:p>
        </w:tc>
        <w:tc>
          <w:tcPr>
            <w:tcW w:w="771" w:type="pct"/>
            <w:vAlign w:val="center"/>
          </w:tcPr>
          <w:p>
            <w:pPr>
              <w:pStyle w:val="30"/>
              <w:rPr>
                <w:color w:val="auto"/>
              </w:rPr>
            </w:pPr>
            <w:r>
              <w:rPr>
                <w:color w:val="auto"/>
              </w:rPr>
              <w:t>中等</w:t>
            </w:r>
          </w:p>
        </w:tc>
        <w:tc>
          <w:tcPr>
            <w:tcW w:w="1141" w:type="pct"/>
            <w:vAlign w:val="center"/>
          </w:tcPr>
          <w:p>
            <w:pPr>
              <w:pStyle w:val="30"/>
              <w:rPr>
                <w:color w:val="auto"/>
              </w:rPr>
            </w:pPr>
            <w:r>
              <w:rPr>
                <w:color w:val="auto"/>
              </w:rPr>
              <w:t>100~1000</w:t>
            </w:r>
          </w:p>
        </w:tc>
        <w:tc>
          <w:tcPr>
            <w:tcW w:w="1030" w:type="pct"/>
            <w:vAlign w:val="center"/>
          </w:tcPr>
          <w:p>
            <w:pPr>
              <w:pStyle w:val="30"/>
              <w:rPr>
                <w:color w:val="auto"/>
              </w:rPr>
            </w:pPr>
            <w:r>
              <w:rPr>
                <w:color w:val="auto"/>
              </w:rPr>
              <w:t>0.1~1.0</w:t>
            </w:r>
          </w:p>
        </w:tc>
        <w:tc>
          <w:tcPr>
            <w:tcW w:w="1030" w:type="pct"/>
            <w:vAlign w:val="center"/>
          </w:tcPr>
          <w:p>
            <w:pPr>
              <w:pStyle w:val="30"/>
              <w:rPr>
                <w:color w:val="auto"/>
              </w:rPr>
            </w:pPr>
            <w:r>
              <w:rPr>
                <w:color w:val="auto"/>
              </w:rPr>
              <w:t>1.0~3.0</w:t>
            </w:r>
          </w:p>
        </w:tc>
      </w:tr>
    </w:tbl>
    <w:p>
      <w:pPr>
        <w:pStyle w:val="31"/>
        <w:rPr>
          <w:color w:val="auto"/>
        </w:rPr>
      </w:pPr>
      <w:r>
        <w:rPr>
          <w:color w:val="auto"/>
        </w:rPr>
        <w:t>表4.1-2 地下水类型及含水岩组富水程度</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994"/>
        <w:gridCol w:w="1283"/>
        <w:gridCol w:w="1675"/>
        <w:gridCol w:w="1016"/>
        <w:gridCol w:w="1989"/>
        <w:gridCol w:w="156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1336" w:type="pct"/>
            <w:gridSpan w:val="2"/>
          </w:tcPr>
          <w:p>
            <w:pPr>
              <w:pStyle w:val="30"/>
              <w:rPr>
                <w:b/>
                <w:bCs/>
                <w:color w:val="auto"/>
              </w:rPr>
            </w:pPr>
            <w:r>
              <w:rPr>
                <w:b/>
                <w:bCs/>
                <w:color w:val="auto"/>
              </w:rPr>
              <w:t>地下水类型</w:t>
            </w:r>
          </w:p>
        </w:tc>
        <w:tc>
          <w:tcPr>
            <w:tcW w:w="983" w:type="pct"/>
            <w:vMerge w:val="restart"/>
          </w:tcPr>
          <w:p>
            <w:pPr>
              <w:pStyle w:val="30"/>
              <w:rPr>
                <w:b/>
                <w:bCs/>
                <w:color w:val="auto"/>
              </w:rPr>
            </w:pPr>
            <w:r>
              <w:rPr>
                <w:b/>
                <w:bCs/>
                <w:color w:val="auto"/>
              </w:rPr>
              <w:t>含水岩组代号</w:t>
            </w:r>
          </w:p>
        </w:tc>
        <w:tc>
          <w:tcPr>
            <w:tcW w:w="596" w:type="pct"/>
            <w:vMerge w:val="restart"/>
          </w:tcPr>
          <w:p>
            <w:pPr>
              <w:pStyle w:val="30"/>
              <w:rPr>
                <w:b/>
                <w:bCs/>
                <w:color w:val="auto"/>
              </w:rPr>
            </w:pPr>
            <w:r>
              <w:rPr>
                <w:b/>
                <w:bCs/>
                <w:color w:val="auto"/>
              </w:rPr>
              <w:t>富水性等级</w:t>
            </w:r>
          </w:p>
        </w:tc>
        <w:tc>
          <w:tcPr>
            <w:tcW w:w="1167" w:type="pct"/>
            <w:vMerge w:val="restart"/>
          </w:tcPr>
          <w:p>
            <w:pPr>
              <w:pStyle w:val="30"/>
              <w:rPr>
                <w:b/>
                <w:bCs/>
                <w:color w:val="auto"/>
              </w:rPr>
            </w:pPr>
            <w:r>
              <w:rPr>
                <w:b/>
                <w:bCs/>
                <w:color w:val="auto"/>
              </w:rPr>
              <w:t>换算单井涌水量（t/d）</w:t>
            </w:r>
          </w:p>
        </w:tc>
        <w:tc>
          <w:tcPr>
            <w:tcW w:w="918" w:type="pct"/>
            <w:vMerge w:val="restart"/>
          </w:tcPr>
          <w:p>
            <w:pPr>
              <w:pStyle w:val="30"/>
              <w:rPr>
                <w:b/>
                <w:bCs/>
                <w:color w:val="auto"/>
              </w:rPr>
            </w:pPr>
            <w:r>
              <w:rPr>
                <w:b/>
                <w:bCs/>
                <w:color w:val="auto"/>
              </w:rPr>
              <w:t>泉水流量常见值（L/s）</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583" w:type="pct"/>
          </w:tcPr>
          <w:p>
            <w:pPr>
              <w:pStyle w:val="30"/>
              <w:rPr>
                <w:b/>
                <w:bCs/>
                <w:color w:val="auto"/>
              </w:rPr>
            </w:pPr>
            <w:r>
              <w:rPr>
                <w:b/>
                <w:bCs/>
                <w:color w:val="auto"/>
              </w:rPr>
              <w:t>类</w:t>
            </w:r>
          </w:p>
        </w:tc>
        <w:tc>
          <w:tcPr>
            <w:tcW w:w="752" w:type="pct"/>
          </w:tcPr>
          <w:p>
            <w:pPr>
              <w:pStyle w:val="30"/>
              <w:rPr>
                <w:b/>
                <w:bCs/>
                <w:color w:val="auto"/>
              </w:rPr>
            </w:pPr>
            <w:r>
              <w:rPr>
                <w:b/>
                <w:bCs/>
                <w:color w:val="auto"/>
              </w:rPr>
              <w:t>亚类</w:t>
            </w:r>
          </w:p>
        </w:tc>
        <w:tc>
          <w:tcPr>
            <w:tcW w:w="983" w:type="pct"/>
            <w:vMerge w:val="continue"/>
          </w:tcPr>
          <w:p>
            <w:pPr>
              <w:pStyle w:val="30"/>
              <w:rPr>
                <w:b/>
                <w:bCs/>
                <w:color w:val="auto"/>
              </w:rPr>
            </w:pPr>
          </w:p>
        </w:tc>
        <w:tc>
          <w:tcPr>
            <w:tcW w:w="596" w:type="pct"/>
            <w:vMerge w:val="continue"/>
          </w:tcPr>
          <w:p>
            <w:pPr>
              <w:pStyle w:val="30"/>
              <w:rPr>
                <w:b/>
                <w:bCs/>
                <w:color w:val="auto"/>
              </w:rPr>
            </w:pPr>
          </w:p>
        </w:tc>
        <w:tc>
          <w:tcPr>
            <w:tcW w:w="1167" w:type="pct"/>
            <w:vMerge w:val="continue"/>
          </w:tcPr>
          <w:p>
            <w:pPr>
              <w:pStyle w:val="30"/>
              <w:rPr>
                <w:b/>
                <w:bCs/>
                <w:color w:val="auto"/>
              </w:rPr>
            </w:pPr>
          </w:p>
        </w:tc>
        <w:tc>
          <w:tcPr>
            <w:tcW w:w="918" w:type="pct"/>
            <w:vMerge w:val="continue"/>
          </w:tcPr>
          <w:p>
            <w:pPr>
              <w:pStyle w:val="30"/>
              <w:rPr>
                <w:b/>
                <w:bCs/>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583" w:type="pct"/>
            <w:vMerge w:val="restart"/>
          </w:tcPr>
          <w:p>
            <w:pPr>
              <w:pStyle w:val="30"/>
              <w:rPr>
                <w:color w:val="auto"/>
              </w:rPr>
            </w:pPr>
            <w:r>
              <w:rPr>
                <w:color w:val="auto"/>
              </w:rPr>
              <w:t>松散堆积孔隙水</w:t>
            </w:r>
          </w:p>
        </w:tc>
        <w:tc>
          <w:tcPr>
            <w:tcW w:w="752" w:type="pct"/>
            <w:vMerge w:val="restart"/>
          </w:tcPr>
          <w:p>
            <w:pPr>
              <w:pStyle w:val="30"/>
              <w:rPr>
                <w:color w:val="auto"/>
              </w:rPr>
            </w:pPr>
            <w:r>
              <w:rPr>
                <w:color w:val="auto"/>
              </w:rPr>
              <w:t>孔隙泉水</w:t>
            </w:r>
          </w:p>
        </w:tc>
        <w:tc>
          <w:tcPr>
            <w:tcW w:w="983" w:type="pct"/>
            <w:vMerge w:val="restart"/>
          </w:tcPr>
          <w:p>
            <w:pPr>
              <w:pStyle w:val="30"/>
              <w:rPr>
                <w:color w:val="auto"/>
              </w:rPr>
            </w:pPr>
            <w:r>
              <w:rPr>
                <w:color w:val="auto"/>
              </w:rPr>
              <w:t>Q</w:t>
            </w:r>
            <w:r>
              <w:rPr>
                <w:color w:val="auto"/>
                <w:vertAlign w:val="subscript"/>
              </w:rPr>
              <w:t>4</w:t>
            </w:r>
          </w:p>
        </w:tc>
        <w:tc>
          <w:tcPr>
            <w:tcW w:w="596" w:type="pct"/>
          </w:tcPr>
          <w:p>
            <w:pPr>
              <w:pStyle w:val="30"/>
              <w:rPr>
                <w:color w:val="auto"/>
              </w:rPr>
            </w:pPr>
            <w:r>
              <w:rPr>
                <w:color w:val="auto"/>
              </w:rPr>
              <w:t>贫乏</w:t>
            </w:r>
          </w:p>
        </w:tc>
        <w:tc>
          <w:tcPr>
            <w:tcW w:w="1167" w:type="pct"/>
          </w:tcPr>
          <w:p>
            <w:pPr>
              <w:pStyle w:val="30"/>
              <w:rPr>
                <w:color w:val="auto"/>
              </w:rPr>
            </w:pPr>
            <w:r>
              <w:rPr>
                <w:color w:val="auto"/>
              </w:rPr>
              <w:t>15~30</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vMerge w:val="continue"/>
          </w:tcPr>
          <w:p>
            <w:pPr>
              <w:pStyle w:val="30"/>
              <w:rPr>
                <w:color w:val="auto"/>
              </w:rPr>
            </w:pPr>
          </w:p>
        </w:tc>
        <w:tc>
          <w:tcPr>
            <w:tcW w:w="596" w:type="pct"/>
          </w:tcPr>
          <w:p>
            <w:pPr>
              <w:pStyle w:val="30"/>
              <w:rPr>
                <w:color w:val="auto"/>
              </w:rPr>
            </w:pPr>
            <w:r>
              <w:rPr>
                <w:color w:val="auto"/>
              </w:rPr>
              <w:t>中等</w:t>
            </w:r>
          </w:p>
        </w:tc>
        <w:tc>
          <w:tcPr>
            <w:tcW w:w="1167" w:type="pct"/>
          </w:tcPr>
          <w:p>
            <w:pPr>
              <w:pStyle w:val="30"/>
              <w:rPr>
                <w:color w:val="auto"/>
              </w:rPr>
            </w:pPr>
            <w:r>
              <w:rPr>
                <w:color w:val="auto"/>
              </w:rPr>
              <w:t>252~501</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vMerge w:val="continue"/>
          </w:tcPr>
          <w:p>
            <w:pPr>
              <w:pStyle w:val="30"/>
              <w:rPr>
                <w:color w:val="auto"/>
              </w:rPr>
            </w:pPr>
          </w:p>
        </w:tc>
        <w:tc>
          <w:tcPr>
            <w:tcW w:w="596" w:type="pct"/>
          </w:tcPr>
          <w:p>
            <w:pPr>
              <w:pStyle w:val="30"/>
              <w:rPr>
                <w:color w:val="auto"/>
              </w:rPr>
            </w:pPr>
            <w:r>
              <w:rPr>
                <w:color w:val="auto"/>
              </w:rPr>
              <w:t>丰富</w:t>
            </w:r>
          </w:p>
        </w:tc>
        <w:tc>
          <w:tcPr>
            <w:tcW w:w="1167" w:type="pct"/>
          </w:tcPr>
          <w:p>
            <w:pPr>
              <w:pStyle w:val="30"/>
              <w:rPr>
                <w:color w:val="auto"/>
              </w:rPr>
            </w:pPr>
            <w:r>
              <w:rPr>
                <w:color w:val="auto"/>
              </w:rPr>
              <w:t>1818~2375</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tcPr>
          <w:p>
            <w:pPr>
              <w:pStyle w:val="30"/>
              <w:rPr>
                <w:color w:val="auto"/>
              </w:rPr>
            </w:pPr>
            <w:r>
              <w:rPr>
                <w:color w:val="auto"/>
              </w:rPr>
              <w:t>Q</w:t>
            </w:r>
            <w:r>
              <w:rPr>
                <w:color w:val="auto"/>
                <w:vertAlign w:val="subscript"/>
              </w:rPr>
              <w:t>3</w:t>
            </w:r>
          </w:p>
        </w:tc>
        <w:tc>
          <w:tcPr>
            <w:tcW w:w="596" w:type="pct"/>
          </w:tcPr>
          <w:p>
            <w:pPr>
              <w:pStyle w:val="30"/>
              <w:rPr>
                <w:color w:val="auto"/>
              </w:rPr>
            </w:pPr>
            <w:r>
              <w:rPr>
                <w:color w:val="auto"/>
              </w:rPr>
              <w:t>中等</w:t>
            </w:r>
          </w:p>
        </w:tc>
        <w:tc>
          <w:tcPr>
            <w:tcW w:w="1167" w:type="pct"/>
          </w:tcPr>
          <w:p>
            <w:pPr>
              <w:pStyle w:val="30"/>
              <w:rPr>
                <w:color w:val="auto"/>
              </w:rPr>
            </w:pPr>
            <w:r>
              <w:rPr>
                <w:color w:val="auto"/>
              </w:rPr>
              <w:t>160~360</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tcPr>
          <w:p>
            <w:pPr>
              <w:pStyle w:val="30"/>
              <w:rPr>
                <w:b/>
                <w:color w:val="auto"/>
              </w:rPr>
            </w:pPr>
          </w:p>
          <w:p>
            <w:pPr>
              <w:pStyle w:val="30"/>
              <w:rPr>
                <w:color w:val="auto"/>
              </w:rPr>
            </w:pPr>
            <w:r>
              <w:rPr>
                <w:color w:val="auto"/>
              </w:rPr>
              <w:t>Q al-l 2</w:t>
            </w:r>
          </w:p>
        </w:tc>
        <w:tc>
          <w:tcPr>
            <w:tcW w:w="596" w:type="pct"/>
          </w:tcPr>
          <w:p>
            <w:pPr>
              <w:pStyle w:val="30"/>
              <w:rPr>
                <w:color w:val="auto"/>
              </w:rPr>
            </w:pPr>
            <w:r>
              <w:rPr>
                <w:color w:val="auto"/>
              </w:rPr>
              <w:t>贫乏</w:t>
            </w:r>
          </w:p>
        </w:tc>
        <w:tc>
          <w:tcPr>
            <w:tcW w:w="1167" w:type="pct"/>
          </w:tcPr>
          <w:p>
            <w:pPr>
              <w:pStyle w:val="30"/>
              <w:rPr>
                <w:color w:val="auto"/>
              </w:rPr>
            </w:pPr>
            <w:r>
              <w:rPr>
                <w:color w:val="auto"/>
              </w:rPr>
              <w:t>10~40</w:t>
            </w:r>
          </w:p>
        </w:tc>
        <w:tc>
          <w:tcPr>
            <w:tcW w:w="918" w:type="pct"/>
          </w:tcPr>
          <w:p>
            <w:pPr>
              <w:pStyle w:val="30"/>
              <w:rPr>
                <w:color w:val="auto"/>
              </w:rPr>
            </w:pPr>
            <w:r>
              <w:rPr>
                <w:color w:val="auto"/>
              </w:rPr>
              <w:t>0.0039~0.089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1"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tcPr>
          <w:p>
            <w:pPr>
              <w:pStyle w:val="30"/>
              <w:rPr>
                <w:color w:val="auto"/>
              </w:rPr>
            </w:pPr>
            <w:r>
              <w:rPr>
                <w:color w:val="auto"/>
              </w:rPr>
              <w:t>al</w:t>
            </w:r>
          </w:p>
          <w:p>
            <w:pPr>
              <w:pStyle w:val="30"/>
              <w:rPr>
                <w:color w:val="auto"/>
              </w:rPr>
            </w:pPr>
            <w:r>
              <w:rPr>
                <w:color w:val="auto"/>
              </w:rPr>
              <w:t>Q</w:t>
            </w:r>
            <w:r>
              <w:rPr>
                <w:color w:val="auto"/>
                <w:vertAlign w:val="subscript"/>
              </w:rPr>
              <w:t>2</w:t>
            </w:r>
          </w:p>
        </w:tc>
        <w:tc>
          <w:tcPr>
            <w:tcW w:w="596" w:type="pct"/>
          </w:tcPr>
          <w:p>
            <w:pPr>
              <w:pStyle w:val="30"/>
              <w:rPr>
                <w:color w:val="auto"/>
              </w:rPr>
            </w:pPr>
            <w:r>
              <w:rPr>
                <w:color w:val="auto"/>
              </w:rPr>
              <w:t>中等</w:t>
            </w:r>
          </w:p>
        </w:tc>
        <w:tc>
          <w:tcPr>
            <w:tcW w:w="1167" w:type="pct"/>
          </w:tcPr>
          <w:p>
            <w:pPr>
              <w:pStyle w:val="30"/>
              <w:rPr>
                <w:color w:val="auto"/>
              </w:rPr>
            </w:pPr>
          </w:p>
        </w:tc>
        <w:tc>
          <w:tcPr>
            <w:tcW w:w="918" w:type="pct"/>
          </w:tcPr>
          <w:p>
            <w:pPr>
              <w:pStyle w:val="30"/>
              <w:rPr>
                <w:color w:val="auto"/>
              </w:rPr>
            </w:pPr>
            <w:r>
              <w:rPr>
                <w:color w:val="auto"/>
              </w:rPr>
              <w:t>0.112~0.905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583" w:type="pct"/>
            <w:vMerge w:val="continue"/>
          </w:tcPr>
          <w:p>
            <w:pPr>
              <w:pStyle w:val="30"/>
              <w:rPr>
                <w:color w:val="auto"/>
              </w:rPr>
            </w:pPr>
          </w:p>
        </w:tc>
        <w:tc>
          <w:tcPr>
            <w:tcW w:w="752" w:type="pct"/>
            <w:vMerge w:val="restart"/>
          </w:tcPr>
          <w:p>
            <w:pPr>
              <w:pStyle w:val="30"/>
              <w:rPr>
                <w:color w:val="auto"/>
              </w:rPr>
            </w:pPr>
            <w:r>
              <w:rPr>
                <w:color w:val="auto"/>
              </w:rPr>
              <w:t>孔隙承压水</w:t>
            </w:r>
          </w:p>
        </w:tc>
        <w:tc>
          <w:tcPr>
            <w:tcW w:w="983" w:type="pct"/>
            <w:vMerge w:val="restart"/>
          </w:tcPr>
          <w:p>
            <w:pPr>
              <w:pStyle w:val="30"/>
              <w:rPr>
                <w:color w:val="auto"/>
              </w:rPr>
            </w:pPr>
            <w:r>
              <w:rPr>
                <w:color w:val="auto"/>
              </w:rPr>
              <w:t>Q</w:t>
            </w:r>
            <w:r>
              <w:rPr>
                <w:color w:val="auto"/>
                <w:vertAlign w:val="subscript"/>
              </w:rPr>
              <w:t>1</w:t>
            </w:r>
          </w:p>
        </w:tc>
        <w:tc>
          <w:tcPr>
            <w:tcW w:w="596" w:type="pct"/>
          </w:tcPr>
          <w:p>
            <w:pPr>
              <w:pStyle w:val="30"/>
              <w:rPr>
                <w:color w:val="auto"/>
              </w:rPr>
            </w:pPr>
            <w:r>
              <w:rPr>
                <w:color w:val="auto"/>
              </w:rPr>
              <w:t>中等</w:t>
            </w:r>
          </w:p>
        </w:tc>
        <w:tc>
          <w:tcPr>
            <w:tcW w:w="1167" w:type="pct"/>
          </w:tcPr>
          <w:p>
            <w:pPr>
              <w:pStyle w:val="30"/>
              <w:rPr>
                <w:color w:val="auto"/>
              </w:rPr>
            </w:pPr>
            <w:r>
              <w:rPr>
                <w:color w:val="auto"/>
              </w:rPr>
              <w:t>435~554</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70"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vMerge w:val="continue"/>
          </w:tcPr>
          <w:p>
            <w:pPr>
              <w:pStyle w:val="30"/>
              <w:rPr>
                <w:color w:val="auto"/>
              </w:rPr>
            </w:pPr>
          </w:p>
        </w:tc>
        <w:tc>
          <w:tcPr>
            <w:tcW w:w="596" w:type="pct"/>
          </w:tcPr>
          <w:p>
            <w:pPr>
              <w:pStyle w:val="30"/>
              <w:rPr>
                <w:color w:val="auto"/>
              </w:rPr>
            </w:pPr>
            <w:r>
              <w:rPr>
                <w:color w:val="auto"/>
              </w:rPr>
              <w:t>丰富</w:t>
            </w:r>
          </w:p>
        </w:tc>
        <w:tc>
          <w:tcPr>
            <w:tcW w:w="1167" w:type="pct"/>
          </w:tcPr>
          <w:p>
            <w:pPr>
              <w:pStyle w:val="30"/>
              <w:rPr>
                <w:color w:val="auto"/>
              </w:rPr>
            </w:pPr>
            <w:r>
              <w:rPr>
                <w:color w:val="auto"/>
              </w:rPr>
              <w:t>1699~1724</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6" w:hRule="atLeast"/>
          <w:jc w:val="center"/>
        </w:trPr>
        <w:tc>
          <w:tcPr>
            <w:tcW w:w="583" w:type="pct"/>
            <w:vMerge w:val="restart"/>
          </w:tcPr>
          <w:p>
            <w:pPr>
              <w:pStyle w:val="30"/>
              <w:rPr>
                <w:color w:val="auto"/>
              </w:rPr>
            </w:pPr>
            <w:r>
              <w:rPr>
                <w:color w:val="auto"/>
              </w:rPr>
              <w:t>基岩裂隙水</w:t>
            </w:r>
          </w:p>
        </w:tc>
        <w:tc>
          <w:tcPr>
            <w:tcW w:w="752" w:type="pct"/>
            <w:vMerge w:val="restart"/>
          </w:tcPr>
          <w:p>
            <w:pPr>
              <w:pStyle w:val="30"/>
              <w:rPr>
                <w:color w:val="auto"/>
              </w:rPr>
            </w:pPr>
            <w:r>
              <w:rPr>
                <w:color w:val="auto"/>
              </w:rPr>
              <w:t>浅变质岩孔隙裂隙水</w:t>
            </w:r>
          </w:p>
        </w:tc>
        <w:tc>
          <w:tcPr>
            <w:tcW w:w="983" w:type="pct"/>
          </w:tcPr>
          <w:p>
            <w:pPr>
              <w:pStyle w:val="30"/>
              <w:rPr>
                <w:color w:val="auto"/>
              </w:rPr>
            </w:pPr>
            <w:r>
              <w:rPr>
                <w:color w:val="auto"/>
              </w:rPr>
              <w:t>Ptln、Ptln1-5</w:t>
            </w:r>
          </w:p>
        </w:tc>
        <w:tc>
          <w:tcPr>
            <w:tcW w:w="596" w:type="pct"/>
          </w:tcPr>
          <w:p>
            <w:pPr>
              <w:pStyle w:val="30"/>
              <w:rPr>
                <w:color w:val="auto"/>
              </w:rPr>
            </w:pPr>
            <w:r>
              <w:rPr>
                <w:color w:val="auto"/>
              </w:rPr>
              <w:t>贫乏</w:t>
            </w:r>
          </w:p>
        </w:tc>
        <w:tc>
          <w:tcPr>
            <w:tcW w:w="1167" w:type="pct"/>
          </w:tcPr>
          <w:p>
            <w:pPr>
              <w:pStyle w:val="30"/>
              <w:rPr>
                <w:color w:val="auto"/>
              </w:rPr>
            </w:pPr>
            <w:r>
              <w:rPr>
                <w:color w:val="auto"/>
              </w:rPr>
              <w:t>20.74</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0"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tcPr>
          <w:p>
            <w:pPr>
              <w:pStyle w:val="30"/>
              <w:rPr>
                <w:color w:val="auto"/>
              </w:rPr>
            </w:pPr>
            <w:r>
              <w:rPr>
                <w:color w:val="auto"/>
              </w:rPr>
              <w:t>Ptln、Ptln4</w:t>
            </w:r>
          </w:p>
        </w:tc>
        <w:tc>
          <w:tcPr>
            <w:tcW w:w="596" w:type="pct"/>
          </w:tcPr>
          <w:p>
            <w:pPr>
              <w:pStyle w:val="30"/>
              <w:rPr>
                <w:color w:val="auto"/>
              </w:rPr>
            </w:pPr>
            <w:r>
              <w:rPr>
                <w:color w:val="auto"/>
              </w:rPr>
              <w:t>中等</w:t>
            </w:r>
          </w:p>
        </w:tc>
        <w:tc>
          <w:tcPr>
            <w:tcW w:w="1167" w:type="pct"/>
          </w:tcPr>
          <w:p>
            <w:pPr>
              <w:pStyle w:val="30"/>
              <w:rPr>
                <w:color w:val="auto"/>
              </w:rPr>
            </w:pPr>
            <w:r>
              <w:rPr>
                <w:color w:val="auto"/>
              </w:rPr>
              <w:t>202.44~620.52</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1" w:hRule="atLeast"/>
          <w:jc w:val="center"/>
        </w:trPr>
        <w:tc>
          <w:tcPr>
            <w:tcW w:w="583" w:type="pct"/>
            <w:vMerge w:val="continue"/>
          </w:tcPr>
          <w:p>
            <w:pPr>
              <w:pStyle w:val="30"/>
              <w:rPr>
                <w:color w:val="auto"/>
              </w:rPr>
            </w:pPr>
          </w:p>
        </w:tc>
        <w:tc>
          <w:tcPr>
            <w:tcW w:w="752" w:type="pct"/>
            <w:vMerge w:val="restart"/>
          </w:tcPr>
          <w:p>
            <w:pPr>
              <w:pStyle w:val="30"/>
              <w:rPr>
                <w:color w:val="auto"/>
              </w:rPr>
            </w:pPr>
            <w:r>
              <w:rPr>
                <w:color w:val="auto"/>
              </w:rPr>
              <w:t>岩浆岩风化裂隙</w:t>
            </w:r>
          </w:p>
        </w:tc>
        <w:tc>
          <w:tcPr>
            <w:tcW w:w="983" w:type="pct"/>
          </w:tcPr>
          <w:p>
            <w:pPr>
              <w:pStyle w:val="30"/>
              <w:rPr>
                <w:color w:val="auto"/>
              </w:rPr>
            </w:pPr>
            <w:r>
              <w:rPr>
                <w:color w:val="auto"/>
              </w:rPr>
              <w:t>γ</w:t>
            </w:r>
            <w:r>
              <w:rPr>
                <w:color w:val="auto"/>
                <w:vertAlign w:val="subscript"/>
              </w:rPr>
              <w:t>5</w:t>
            </w:r>
            <w:r>
              <w:rPr>
                <w:color w:val="auto"/>
                <w:vertAlign w:val="superscript"/>
              </w:rPr>
              <w:t>3</w:t>
            </w:r>
          </w:p>
        </w:tc>
        <w:tc>
          <w:tcPr>
            <w:tcW w:w="596" w:type="pct"/>
          </w:tcPr>
          <w:p>
            <w:pPr>
              <w:pStyle w:val="30"/>
              <w:rPr>
                <w:color w:val="auto"/>
              </w:rPr>
            </w:pPr>
            <w:r>
              <w:rPr>
                <w:color w:val="auto"/>
              </w:rPr>
              <w:t>贫乏</w:t>
            </w:r>
          </w:p>
        </w:tc>
        <w:tc>
          <w:tcPr>
            <w:tcW w:w="1167" w:type="pct"/>
          </w:tcPr>
          <w:p>
            <w:pPr>
              <w:pStyle w:val="30"/>
              <w:rPr>
                <w:color w:val="auto"/>
              </w:rPr>
            </w:pPr>
            <w:r>
              <w:rPr>
                <w:color w:val="auto"/>
              </w:rPr>
              <w:t>12.68~95.90</w:t>
            </w:r>
          </w:p>
        </w:tc>
        <w:tc>
          <w:tcPr>
            <w:tcW w:w="918" w:type="pct"/>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65" w:hRule="atLeast"/>
          <w:jc w:val="center"/>
        </w:trPr>
        <w:tc>
          <w:tcPr>
            <w:tcW w:w="583" w:type="pct"/>
            <w:vMerge w:val="continue"/>
          </w:tcPr>
          <w:p>
            <w:pPr>
              <w:pStyle w:val="30"/>
              <w:rPr>
                <w:color w:val="auto"/>
              </w:rPr>
            </w:pPr>
          </w:p>
        </w:tc>
        <w:tc>
          <w:tcPr>
            <w:tcW w:w="752" w:type="pct"/>
            <w:vMerge w:val="continue"/>
          </w:tcPr>
          <w:p>
            <w:pPr>
              <w:pStyle w:val="30"/>
              <w:rPr>
                <w:color w:val="auto"/>
              </w:rPr>
            </w:pPr>
          </w:p>
        </w:tc>
        <w:tc>
          <w:tcPr>
            <w:tcW w:w="983" w:type="pct"/>
          </w:tcPr>
          <w:p>
            <w:pPr>
              <w:pStyle w:val="30"/>
              <w:rPr>
                <w:color w:val="auto"/>
              </w:rPr>
            </w:pPr>
            <w:r>
              <w:rPr>
                <w:color w:val="auto"/>
              </w:rPr>
              <w:t>3a</w:t>
            </w:r>
          </w:p>
          <w:p>
            <w:pPr>
              <w:pStyle w:val="30"/>
              <w:rPr>
                <w:color w:val="auto"/>
              </w:rPr>
            </w:pPr>
            <w:r>
              <w:rPr>
                <w:color w:val="auto"/>
              </w:rPr>
              <w:t>γδ</w:t>
            </w:r>
            <w:r>
              <w:rPr>
                <w:color w:val="auto"/>
                <w:vertAlign w:val="subscript"/>
              </w:rPr>
              <w:t>5</w:t>
            </w:r>
          </w:p>
        </w:tc>
        <w:tc>
          <w:tcPr>
            <w:tcW w:w="596" w:type="pct"/>
          </w:tcPr>
          <w:p>
            <w:pPr>
              <w:pStyle w:val="30"/>
              <w:rPr>
                <w:color w:val="auto"/>
              </w:rPr>
            </w:pPr>
            <w:r>
              <w:rPr>
                <w:color w:val="auto"/>
              </w:rPr>
              <w:t>中等</w:t>
            </w:r>
          </w:p>
        </w:tc>
        <w:tc>
          <w:tcPr>
            <w:tcW w:w="1167" w:type="pct"/>
          </w:tcPr>
          <w:p>
            <w:pPr>
              <w:pStyle w:val="30"/>
              <w:rPr>
                <w:color w:val="auto"/>
              </w:rPr>
            </w:pPr>
            <w:r>
              <w:rPr>
                <w:color w:val="auto"/>
              </w:rPr>
              <w:t>138.66~209.09</w:t>
            </w:r>
          </w:p>
        </w:tc>
        <w:tc>
          <w:tcPr>
            <w:tcW w:w="918" w:type="pct"/>
          </w:tcPr>
          <w:p>
            <w:pPr>
              <w:pStyle w:val="30"/>
              <w:rPr>
                <w:color w:val="auto"/>
              </w:rPr>
            </w:pPr>
          </w:p>
        </w:tc>
      </w:tr>
    </w:tbl>
    <w:p>
      <w:pPr>
        <w:ind w:firstLine="480"/>
        <w:rPr>
          <w:color w:val="auto"/>
        </w:rPr>
      </w:pPr>
      <w:r>
        <w:rPr>
          <w:rFonts w:hint="eastAsia" w:ascii="宋体" w:hAnsi="宋体" w:cs="宋体"/>
          <w:color w:val="auto"/>
        </w:rPr>
        <w:t>②</w:t>
      </w:r>
      <w:r>
        <w:rPr>
          <w:color w:val="auto"/>
        </w:rPr>
        <w:t>含水岩组划分</w:t>
      </w:r>
    </w:p>
    <w:p>
      <w:pPr>
        <w:ind w:firstLine="480"/>
        <w:rPr>
          <w:color w:val="auto"/>
        </w:rPr>
      </w:pPr>
      <w:r>
        <w:rPr>
          <w:color w:val="auto"/>
        </w:rPr>
        <w:t>调查区内的地层主要有第四系和冷家溪群砾岩、砂岩，因此根据区域地层岩性、地形地貌和地下水分布特征划分为松散堆积层孔隙水、基岩裂隙水，分述如下：</w:t>
      </w:r>
    </w:p>
    <w:p>
      <w:pPr>
        <w:ind w:firstLine="480"/>
        <w:rPr>
          <w:color w:val="auto"/>
        </w:rPr>
      </w:pPr>
      <w:r>
        <w:rPr>
          <w:color w:val="auto"/>
        </w:rPr>
        <w:t>松散堆积层孔隙水：由第四系中更新统和上更新统的粉质黏土及卵石组成，结构松散，渗透性强，接受地表水入渗直接补给，为良好含水地层。据平江幅1:20万区域水文地质资料，水位埋深0~7.06m，单井涌水量 160~435t/d，属于中等富水性。矿化度小于0.264g/L，水化学类型为重碳酸钙镁或重碳酸钙型水，局部氯离子含量较高，pH值5.4~7.66。</w:t>
      </w:r>
    </w:p>
    <w:p>
      <w:pPr>
        <w:ind w:firstLine="480"/>
        <w:rPr>
          <w:color w:val="auto"/>
        </w:rPr>
      </w:pPr>
      <w:r>
        <w:rPr>
          <w:color w:val="auto"/>
        </w:rPr>
        <w:t>浅变质岩裂隙水：岩性为上古元界冷家溪群第四岩组第一段变质细砂岩、砂质板岩、粉砂质千枚板岩等。含贫乏裂隙水，泉流量一般0.014~0.089L/s，地下径流模数0.8872L/skm</w:t>
      </w:r>
      <w:r>
        <w:rPr>
          <w:color w:val="auto"/>
          <w:vertAlign w:val="superscript"/>
        </w:rPr>
        <w:t>2</w:t>
      </w:r>
      <w:r>
        <w:rPr>
          <w:color w:val="auto"/>
        </w:rPr>
        <w:t>。水化学类型为重碳酸钠镁型，局部氯离子含量较高，pH 值 6.5~6.9，矿化度小于 0.138g/L。</w:t>
      </w:r>
    </w:p>
    <w:p>
      <w:pPr>
        <w:ind w:firstLine="480"/>
        <w:rPr>
          <w:color w:val="auto"/>
        </w:rPr>
      </w:pPr>
      <w:r>
        <w:rPr>
          <w:color w:val="auto"/>
        </w:rPr>
        <w:t>岩浆岩风化裂隙水：中等裂隙水，单井涌水量为 138.66~209.09m</w:t>
      </w:r>
      <w:r>
        <w:rPr>
          <w:color w:val="auto"/>
          <w:vertAlign w:val="superscript"/>
        </w:rPr>
        <w:t>3</w:t>
      </w:r>
      <w:r>
        <w:rPr>
          <w:color w:val="auto"/>
        </w:rPr>
        <w:t>/d，泉水流量常见值为0.118~0.822 L/s，地下水径流模数为 2.427升/秒平方公里。</w:t>
      </w:r>
    </w:p>
    <w:p>
      <w:pPr>
        <w:ind w:firstLine="480"/>
        <w:rPr>
          <w:color w:val="auto"/>
        </w:rPr>
      </w:pPr>
      <w:r>
        <w:rPr>
          <w:rFonts w:hint="eastAsia" w:ascii="宋体" w:hAnsi="宋体" w:cs="宋体"/>
          <w:color w:val="auto"/>
        </w:rPr>
        <w:t>③</w:t>
      </w:r>
      <w:r>
        <w:rPr>
          <w:color w:val="auto"/>
        </w:rPr>
        <w:t>调查区域地下水补径排条件</w:t>
      </w:r>
    </w:p>
    <w:p>
      <w:pPr>
        <w:ind w:firstLine="480"/>
        <w:rPr>
          <w:color w:val="auto"/>
        </w:rPr>
      </w:pPr>
      <w:r>
        <w:rPr>
          <w:color w:val="auto"/>
        </w:rPr>
        <w:t>区域气候温和，潮湿多雨；水系发育好；地形起伏较显著，地势从东向西逐渐下降等因素，促使本区的补给、径流、排泄条件较佳。根据平江幅1:20万区域水文地质资料，可知第四系孔隙潜水直接接受大气降水和边界外补给；在没有大规模引用河水进行农灌的情况下，径流量的大量消失表明河水补给第四系松散堆积层孔隙水。汨罗区地下水径流途径较长，水力坡度较小，水交替缓慢，浅层地下水与地表水常呈互补关系。基岩裂隙水的径流途径短，水力坡度大，具有强烈交换的特征。地下水常以下降泉形式排泄于河沟与洼地，补给地表水。</w:t>
      </w:r>
    </w:p>
    <w:p>
      <w:pPr>
        <w:ind w:firstLine="480"/>
        <w:rPr>
          <w:color w:val="auto"/>
        </w:rPr>
      </w:pPr>
      <w:r>
        <w:rPr>
          <w:color w:val="auto"/>
        </w:rPr>
        <w:t>新市片区地下水补给主要靠大气降水渗入地下补给，地下水径流（流场）方向与地形基本一致，由南向北侧径流，排泄方式主要为蒸发排泄、向汨罗江排泄及人工开采等。</w:t>
      </w:r>
    </w:p>
    <w:p>
      <w:pPr>
        <w:ind w:firstLine="480"/>
        <w:rPr>
          <w:color w:val="auto"/>
        </w:rPr>
      </w:pPr>
      <w:r>
        <w:rPr>
          <w:color w:val="auto"/>
        </w:rPr>
        <w:t>本项目周边居民饮用水水源主要为城市自来水。</w:t>
      </w:r>
    </w:p>
    <w:p>
      <w:pPr>
        <w:pStyle w:val="7"/>
        <w:rPr>
          <w:color w:val="auto"/>
        </w:rPr>
      </w:pPr>
      <w:r>
        <w:rPr>
          <w:color w:val="auto"/>
        </w:rPr>
        <w:t>4.1.4气象资料</w:t>
      </w:r>
    </w:p>
    <w:p>
      <w:pPr>
        <w:ind w:firstLine="480"/>
        <w:rPr>
          <w:color w:val="auto"/>
        </w:rPr>
      </w:pPr>
      <w:r>
        <w:rPr>
          <w:color w:val="auto"/>
        </w:rPr>
        <w:t>汨罗市处于中亚热带向北亚热带过渡地区，属大陆性湿润季风气候。气候温暖，四季分明，热量充足，雨量集中，春温多变，夏秋多早、严寒期短，暑热期长。</w:t>
      </w:r>
    </w:p>
    <w:p>
      <w:pPr>
        <w:ind w:firstLine="480"/>
        <w:rPr>
          <w:color w:val="auto"/>
        </w:rPr>
      </w:pPr>
      <w:r>
        <w:rPr>
          <w:color w:val="auto"/>
        </w:rPr>
        <w:t>（1）气温：年均气温17.1℃，极端最高气温39.3℃，极端最低气温-11.8℃；</w:t>
      </w:r>
    </w:p>
    <w:p>
      <w:pPr>
        <w:ind w:firstLine="480"/>
        <w:rPr>
          <w:color w:val="auto"/>
        </w:rPr>
      </w:pPr>
      <w:r>
        <w:rPr>
          <w:color w:val="auto"/>
        </w:rPr>
        <w:t>（2）降水量：年均降水量1345.4mm，相对集中在4~8月，占全年总降水量61.5%；日最大降雨量159.9mm，最长连续降雨同数为18d，连续10d降雨量最多为432.2mm。年均降雪日数为10.5d，积雪厚度最大为10cm；</w:t>
      </w:r>
    </w:p>
    <w:p>
      <w:pPr>
        <w:ind w:firstLine="480"/>
        <w:rPr>
          <w:color w:val="auto"/>
        </w:rPr>
      </w:pPr>
      <w:r>
        <w:rPr>
          <w:color w:val="auto"/>
        </w:rPr>
        <w:t>（3）风向：常年主导风向为NNW，频率为10.38%；冬季主导风向为NNW（13.48%），夏季主导风向为S（20.02%）；</w:t>
      </w:r>
    </w:p>
    <w:p>
      <w:pPr>
        <w:ind w:firstLine="480"/>
        <w:rPr>
          <w:color w:val="auto"/>
        </w:rPr>
      </w:pPr>
      <w:r>
        <w:rPr>
          <w:color w:val="auto"/>
        </w:rPr>
        <w:t>（4）风速：年平均风速为1.74m/s；</w:t>
      </w:r>
    </w:p>
    <w:p>
      <w:pPr>
        <w:ind w:firstLine="480"/>
        <w:rPr>
          <w:color w:val="auto"/>
        </w:rPr>
      </w:pPr>
      <w:r>
        <w:rPr>
          <w:color w:val="auto"/>
        </w:rPr>
        <w:t>（5）其它：年平均地面温度19.3℃，年平均霜日数24.8d，年均湿度为81%，年均蒸发量为1312.3mm。</w:t>
      </w:r>
    </w:p>
    <w:p>
      <w:pPr>
        <w:pStyle w:val="7"/>
        <w:rPr>
          <w:color w:val="auto"/>
        </w:rPr>
      </w:pPr>
      <w:r>
        <w:rPr>
          <w:color w:val="auto"/>
        </w:rPr>
        <w:t>4.1.5</w:t>
      </w:r>
      <w:r>
        <w:rPr>
          <w:rFonts w:hint="eastAsia"/>
          <w:color w:val="auto"/>
        </w:rPr>
        <w:t>土地资源</w:t>
      </w:r>
    </w:p>
    <w:p>
      <w:pPr>
        <w:ind w:firstLine="480"/>
        <w:rPr>
          <w:color w:val="auto"/>
        </w:rPr>
      </w:pPr>
      <w:r>
        <w:rPr>
          <w:color w:val="auto"/>
        </w:rPr>
        <w:t>项目区的土壤以半页岩为主，占47.8%。主要为赤红壤、红壤、黄壤、第四纪松散堆积物以及红砂壤五个类型。</w:t>
      </w:r>
    </w:p>
    <w:p>
      <w:pPr>
        <w:ind w:firstLine="480"/>
        <w:rPr>
          <w:color w:val="auto"/>
        </w:rPr>
      </w:pPr>
      <w:r>
        <w:rPr>
          <w:color w:val="auto"/>
        </w:rPr>
        <w:t>发育于花岗岩母质上的赤红壤、黄壤、红壤，由于在高强多雨条件下，物理风化和化学风化都极其强烈，风化产物分解彻底，形成深厚的风化壳。土壤结构输送，植被破坏后，容易冲刷流失。</w:t>
      </w:r>
    </w:p>
    <w:p>
      <w:pPr>
        <w:ind w:firstLine="480"/>
        <w:rPr>
          <w:color w:val="auto"/>
        </w:rPr>
      </w:pPr>
      <w:r>
        <w:rPr>
          <w:color w:val="auto"/>
        </w:rPr>
        <w:t>发育于红砂岩母质上的红砂壤，矿质养分有效性较高，砂性较重，土质疏松，土层薄，一般1~3m。</w:t>
      </w:r>
    </w:p>
    <w:p>
      <w:pPr>
        <w:ind w:firstLine="480"/>
        <w:rPr>
          <w:color w:val="auto"/>
        </w:rPr>
      </w:pPr>
      <w:r>
        <w:rPr>
          <w:color w:val="auto"/>
        </w:rPr>
        <w:t>发育于砂岩母质上的红砂壤，抗风化剥蚀能力较弱，地表水不易渗透，易形成散流，在一定地形条件下，而发生泥石流。</w:t>
      </w:r>
    </w:p>
    <w:p>
      <w:pPr>
        <w:ind w:firstLine="480"/>
        <w:rPr>
          <w:color w:val="auto"/>
        </w:rPr>
      </w:pPr>
      <w:r>
        <w:rPr>
          <w:color w:val="auto"/>
        </w:rPr>
        <w:t>发育于石灰页岩母质上的红壤，此种岩主要矿物为碳酸钙，由于淋溶和富集作用，风化物粘性重，透水性差，有机质含量较高，常表面冲刷产生面蚀。</w:t>
      </w:r>
    </w:p>
    <w:p>
      <w:pPr>
        <w:ind w:firstLine="480"/>
        <w:rPr>
          <w:color w:val="auto"/>
        </w:rPr>
      </w:pPr>
      <w:r>
        <w:rPr>
          <w:color w:val="auto"/>
        </w:rPr>
        <w:t>第四世纪松散堆积物上层深厚，质地粘重，透水性差，易发生轻度面蚀。</w:t>
      </w:r>
    </w:p>
    <w:p>
      <w:pPr>
        <w:pStyle w:val="7"/>
        <w:rPr>
          <w:color w:val="auto"/>
        </w:rPr>
      </w:pPr>
      <w:r>
        <w:rPr>
          <w:rFonts w:hint="eastAsia"/>
          <w:color w:val="auto"/>
        </w:rPr>
        <w:t>4</w:t>
      </w:r>
      <w:r>
        <w:rPr>
          <w:color w:val="auto"/>
        </w:rPr>
        <w:t>.1.6</w:t>
      </w:r>
      <w:r>
        <w:rPr>
          <w:rFonts w:hint="eastAsia"/>
          <w:color w:val="auto"/>
        </w:rPr>
        <w:t>矿产资源</w:t>
      </w:r>
    </w:p>
    <w:p>
      <w:pPr>
        <w:ind w:firstLine="480"/>
        <w:rPr>
          <w:color w:val="auto"/>
        </w:rPr>
      </w:pPr>
      <w:r>
        <w:rPr>
          <w:color w:val="auto"/>
        </w:rPr>
        <w:t>汨罗市境蕴藏砂金和非金属矿产资源比较丰富。已开发利用的有黄金、花岗石、砂砾石、钾长石、石英和粘土等，尚待开发的是高岭土。其中汨罗江砂金矿是已探明的长江以南最大的河流矿床，地质储量20吨左右；高岭土总储量5000万吨以上，可淘洗精泥1250万吨以上；花岗石总储量在5000亿m³以上，产品已销往日本及国内的20多个省、市、自治区。粘土总储量在10亿吨以上；石英总储量10万吨以上。在境内花岗岩体的晚期伟晶岩脉中，已探明有铍（绿桂石）、锂、铷、铯、铌、钽等稀有金属矿分布。石油、天然气具有一定的找矿前景，全市发现矿床、矿点、矿化点40多处。矿产资源潜在总经济价值300亿元以上。</w:t>
      </w:r>
    </w:p>
    <w:p>
      <w:pPr>
        <w:pStyle w:val="7"/>
        <w:rPr>
          <w:color w:val="auto"/>
        </w:rPr>
      </w:pPr>
      <w:r>
        <w:rPr>
          <w:rFonts w:hint="eastAsia"/>
          <w:color w:val="auto"/>
        </w:rPr>
        <w:t>4</w:t>
      </w:r>
      <w:r>
        <w:rPr>
          <w:color w:val="auto"/>
        </w:rPr>
        <w:t>.1.7</w:t>
      </w:r>
      <w:r>
        <w:rPr>
          <w:rFonts w:hint="eastAsia"/>
          <w:color w:val="auto"/>
        </w:rPr>
        <w:t>植被与生物多样性</w:t>
      </w:r>
    </w:p>
    <w:p>
      <w:pPr>
        <w:ind w:firstLine="482"/>
        <w:rPr>
          <w:b/>
          <w:bCs/>
          <w:color w:val="auto"/>
        </w:rPr>
      </w:pPr>
      <w:r>
        <w:rPr>
          <w:rFonts w:hint="eastAsia"/>
          <w:b/>
          <w:bCs/>
          <w:color w:val="auto"/>
        </w:rPr>
        <w:t>（1）植被</w:t>
      </w:r>
    </w:p>
    <w:p>
      <w:pPr>
        <w:ind w:firstLine="480"/>
        <w:rPr>
          <w:color w:val="auto"/>
        </w:rPr>
      </w:pPr>
      <w:r>
        <w:rPr>
          <w:color w:val="auto"/>
        </w:rPr>
        <w:t>按《湖南地理志》植被划分方案，汨罗属中亚热带北部常绿阔叶林亚地带的湘东山地丘陵栎拷林、台湾松林、毛竹林植被区和湘北滨湘平源栎拷林、农田及防护林、堤垸沼泽湘泊植被区。</w:t>
      </w:r>
    </w:p>
    <w:p>
      <w:pPr>
        <w:ind w:firstLine="480"/>
        <w:rPr>
          <w:color w:val="auto"/>
        </w:rPr>
      </w:pPr>
      <w:r>
        <w:rPr>
          <w:color w:val="auto"/>
        </w:rPr>
        <w:t>汨罗市内野生植物种类繁多，蕨菜植物共15科25种，裸子植物共7科13种，被子植物有94科383种。</w:t>
      </w:r>
    </w:p>
    <w:p>
      <w:pPr>
        <w:ind w:firstLine="480"/>
        <w:rPr>
          <w:color w:val="auto"/>
        </w:rPr>
      </w:pPr>
      <w:r>
        <w:rPr>
          <w:color w:val="auto"/>
        </w:rPr>
        <w:t>项目所在区域内无天然林和原生自然植物群落，常见的野生草灌植物有：马齿苋、艾蒿、爬地草、节节草及少量灌木等。主要树种有马尾松、灌林及人工防护林欧美杨</w:t>
      </w:r>
      <w:r>
        <w:rPr>
          <w:rFonts w:hint="eastAsia"/>
          <w:color w:val="auto"/>
        </w:rPr>
        <w:t>。</w:t>
      </w:r>
      <w:r>
        <w:rPr>
          <w:color w:val="auto"/>
        </w:rPr>
        <w:t>未发现珍稀需要保护的野生植物品种。</w:t>
      </w:r>
    </w:p>
    <w:p>
      <w:pPr>
        <w:ind w:firstLine="482"/>
        <w:rPr>
          <w:b/>
          <w:bCs/>
          <w:color w:val="auto"/>
        </w:rPr>
      </w:pPr>
      <w:r>
        <w:rPr>
          <w:rFonts w:hint="eastAsia"/>
          <w:b/>
          <w:bCs/>
          <w:color w:val="auto"/>
        </w:rPr>
        <w:t>（2）</w:t>
      </w:r>
      <w:r>
        <w:rPr>
          <w:b/>
          <w:bCs/>
          <w:color w:val="auto"/>
        </w:rPr>
        <w:t>动物</w:t>
      </w:r>
    </w:p>
    <w:p>
      <w:pPr>
        <w:ind w:firstLine="480"/>
        <w:rPr>
          <w:color w:val="auto"/>
        </w:rPr>
      </w:pPr>
      <w:r>
        <w:rPr>
          <w:color w:val="auto"/>
        </w:rPr>
        <w:t>汨罗属中亚热带地区，野生动物多为亚热带林灌动物类群，全市已查明的野生动物有昆虫65科，168种；鸟类28科，50种；哺乳类16科，29种。主要有两栖类的蟾蜍，青蛙、泽蛙、虎斑蛙、泥蛙、古巴牛蛙等，爬行类主要有乌龟、鳖、壁虎、蜥蜴和各种蛇类，鸟类常见的有灰胸竹鸡、雉、雀鹰、白鹭、喜鹊、八哥、杜鹃、白头翁、斑鸠等，哺乳类有野兔、田鼠、蝙蝠等。区内现存的野生动物资源受人类活动的长期影响，已大为减少。</w:t>
      </w:r>
    </w:p>
    <w:p>
      <w:pPr>
        <w:ind w:firstLine="480"/>
        <w:rPr>
          <w:color w:val="auto"/>
        </w:rPr>
      </w:pPr>
      <w:r>
        <w:rPr>
          <w:color w:val="auto"/>
        </w:rPr>
        <w:t>据现场专访调查，项目区周围现存的动物主要是一些鸟类及其它小型动物如蛇、鼠、蛙等。未在项目区附近范围内发现珍稀保护动物及地方特有动物踪迹。</w:t>
      </w:r>
    </w:p>
    <w:p>
      <w:pPr>
        <w:ind w:firstLine="480"/>
        <w:rPr>
          <w:color w:val="auto"/>
        </w:rPr>
      </w:pPr>
      <w:r>
        <w:rPr>
          <w:rFonts w:hint="eastAsia"/>
          <w:color w:val="auto"/>
        </w:rPr>
        <w:t>（3）</w:t>
      </w:r>
      <w:r>
        <w:rPr>
          <w:color w:val="auto"/>
        </w:rPr>
        <w:t>水生生物</w:t>
      </w:r>
    </w:p>
    <w:p>
      <w:pPr>
        <w:ind w:firstLine="480"/>
        <w:rPr>
          <w:color w:val="auto"/>
        </w:rPr>
      </w:pPr>
      <w:r>
        <w:rPr>
          <w:color w:val="auto"/>
        </w:rPr>
        <w:t>汨罗江汨罗段水域，由于水域狭窄、干枯时间过长，在平枯水期河道水深较浅，不适合水生生物的生长与繁衍，水域中饵料生物及鱼类资源的生物量及生物种类较少。</w:t>
      </w:r>
    </w:p>
    <w:p>
      <w:pPr>
        <w:ind w:firstLine="480"/>
        <w:rPr>
          <w:color w:val="auto"/>
        </w:rPr>
      </w:pPr>
      <w:r>
        <w:rPr>
          <w:color w:val="auto"/>
        </w:rPr>
        <w:t>根据当地渔政部门介绍，汨罗市汨罗江河段渔业资源不太丰富，有鱼类20科，90种，水生生物物种比较单一；鱼类主要为四大家鱼，无鱼类的产卵场、索饵场、越冬场，近几年中没有发现过国家一、二级水生野生保护动物。区域无专业渔民，只有极少数副业渔民，年捕捞总量不超过2吨。</w:t>
      </w:r>
    </w:p>
    <w:p>
      <w:pPr>
        <w:pStyle w:val="6"/>
        <w:rPr>
          <w:color w:val="auto"/>
        </w:rPr>
      </w:pPr>
      <w:bookmarkStart w:id="116" w:name="_Toc21913"/>
      <w:bookmarkStart w:id="117" w:name="_Toc24461"/>
      <w:bookmarkStart w:id="118" w:name="_Toc508751566"/>
      <w:r>
        <w:rPr>
          <w:rFonts w:hint="eastAsia"/>
          <w:color w:val="auto"/>
        </w:rPr>
        <w:t>4.2汨罗高新技术产业开发区概况</w:t>
      </w:r>
      <w:bookmarkEnd w:id="116"/>
      <w:bookmarkEnd w:id="117"/>
    </w:p>
    <w:p>
      <w:pPr>
        <w:pStyle w:val="7"/>
        <w:rPr>
          <w:color w:val="auto"/>
        </w:rPr>
      </w:pPr>
      <w:r>
        <w:rPr>
          <w:rFonts w:hint="eastAsia"/>
          <w:color w:val="auto"/>
        </w:rPr>
        <w:t>4.2.1园区发展背景</w:t>
      </w:r>
    </w:p>
    <w:p>
      <w:pPr>
        <w:ind w:firstLine="480"/>
        <w:rPr>
          <w:color w:val="auto"/>
        </w:rPr>
      </w:pPr>
      <w:r>
        <w:rPr>
          <w:rFonts w:hint="eastAsia"/>
          <w:color w:val="auto"/>
        </w:rPr>
        <w:t>汨罗高新技术产业开发区前身为1992年湖南省发改委批准成立的改革开放经济试点小区，1994年湖南省人民政府以〔1994〕5号文件正式批准为省级经济开发区，是2006年国家发改委第8号公告通过审核的第十批省级开发区，2006年第19号公告明确了湖南汨罗工业园区由城西片区（1.5km</w:t>
      </w:r>
      <w:r>
        <w:rPr>
          <w:rFonts w:hint="eastAsia"/>
          <w:color w:val="auto"/>
          <w:vertAlign w:val="superscript"/>
        </w:rPr>
        <w:t>2</w:t>
      </w:r>
      <w:r>
        <w:rPr>
          <w:rFonts w:hint="eastAsia"/>
          <w:color w:val="auto"/>
        </w:rPr>
        <w:t>）和新市片区（4.185km</w:t>
      </w:r>
      <w:r>
        <w:rPr>
          <w:rFonts w:hint="eastAsia"/>
          <w:color w:val="auto"/>
          <w:vertAlign w:val="superscript"/>
        </w:rPr>
        <w:t>2</w:t>
      </w:r>
      <w:r>
        <w:rPr>
          <w:rFonts w:hint="eastAsia"/>
          <w:color w:val="auto"/>
        </w:rPr>
        <w:t>）两部分组成，总面积为5.685km</w:t>
      </w:r>
      <w:r>
        <w:rPr>
          <w:rFonts w:hint="eastAsia"/>
          <w:color w:val="auto"/>
          <w:vertAlign w:val="superscript"/>
        </w:rPr>
        <w:t>2</w:t>
      </w:r>
      <w:r>
        <w:rPr>
          <w:rFonts w:hint="eastAsia"/>
          <w:color w:val="auto"/>
        </w:rPr>
        <w:t>；2007年，湖南汨罗工业园被确定为国家首批城市矿产示范基地；2011年3月湖南汨罗循环经济产业园确定为国家循环经济标准化试点单位；2012年经湖南省人民政府批准更名为湖南汨罗循环经济产业园区。</w:t>
      </w:r>
    </w:p>
    <w:p>
      <w:pPr>
        <w:ind w:firstLine="480"/>
        <w:rPr>
          <w:color w:val="auto"/>
        </w:rPr>
      </w:pPr>
      <w:r>
        <w:rPr>
          <w:rFonts w:hint="eastAsia"/>
          <w:color w:val="auto"/>
        </w:rPr>
        <w:t>汨罗市委市政府于2014年对湖南汨罗循环经济产业园区进行调扩区，调扩区后园区由新市片区和弼时片区组成，并于2015年2月4日取得了湖南省发展和改革委员会《关于湖南汨罗循环经济产业园调区扩区的函》（湘发改函〔2015〕45 号）。根据湖南省发展和改革委员会关于湖南汨罗循环经济产业园调区扩区的函：到2020年，园区规划面积由原5.685km</w:t>
      </w:r>
      <w:r>
        <w:rPr>
          <w:rFonts w:hint="eastAsia"/>
          <w:color w:val="auto"/>
          <w:vertAlign w:val="superscript"/>
        </w:rPr>
        <w:t>2</w:t>
      </w:r>
      <w:r>
        <w:rPr>
          <w:rFonts w:hint="eastAsia"/>
          <w:color w:val="auto"/>
        </w:rPr>
        <w:t>调整至9.6291km</w:t>
      </w:r>
      <w:r>
        <w:rPr>
          <w:rFonts w:hint="eastAsia"/>
          <w:color w:val="auto"/>
          <w:vertAlign w:val="superscript"/>
        </w:rPr>
        <w:t>2</w:t>
      </w:r>
      <w:r>
        <w:rPr>
          <w:rFonts w:hint="eastAsia"/>
          <w:color w:val="auto"/>
        </w:rPr>
        <w:t>。根据《中国开发区审核公告目录》（2018年第4号公告），园区核准面积为9.1913km</w:t>
      </w:r>
      <w:r>
        <w:rPr>
          <w:rFonts w:hint="eastAsia"/>
          <w:color w:val="auto"/>
          <w:vertAlign w:val="superscript"/>
        </w:rPr>
        <w:t>2</w:t>
      </w:r>
      <w:r>
        <w:rPr>
          <w:rFonts w:hint="eastAsia"/>
          <w:color w:val="auto"/>
        </w:rPr>
        <w:t>（其中新市片区为6.3738km</w:t>
      </w:r>
      <w:r>
        <w:rPr>
          <w:rFonts w:hint="eastAsia"/>
          <w:color w:val="auto"/>
          <w:vertAlign w:val="superscript"/>
        </w:rPr>
        <w:t>2</w:t>
      </w:r>
      <w:r>
        <w:rPr>
          <w:rFonts w:hint="eastAsia"/>
          <w:color w:val="auto"/>
        </w:rPr>
        <w:t>，弼时片区为2.8175km</w:t>
      </w:r>
      <w:r>
        <w:rPr>
          <w:rFonts w:hint="eastAsia"/>
          <w:color w:val="auto"/>
          <w:vertAlign w:val="superscript"/>
        </w:rPr>
        <w:t>2</w:t>
      </w:r>
      <w:r>
        <w:rPr>
          <w:rFonts w:hint="eastAsia"/>
          <w:color w:val="auto"/>
        </w:rPr>
        <w:t>）。根据湖南省人民政府于2018年1月23日关于设立9个高新技术产业开发区的批复，湖南汨罗循环经济产业园区已更名为汨罗高新技术产业开发区，更名后园区的核准面积不变。</w:t>
      </w:r>
    </w:p>
    <w:p>
      <w:pPr>
        <w:ind w:firstLine="480"/>
        <w:rPr>
          <w:color w:val="auto"/>
        </w:rPr>
      </w:pPr>
      <w:r>
        <w:rPr>
          <w:rFonts w:hint="eastAsia"/>
          <w:color w:val="auto"/>
        </w:rPr>
        <w:t>汨罗市委市政府于2019年对汨罗高新技术产业开发区进行调扩区，调扩区后园区总规划面积为9.3913km</w:t>
      </w:r>
      <w:r>
        <w:rPr>
          <w:rFonts w:hint="eastAsia"/>
          <w:color w:val="auto"/>
          <w:vertAlign w:val="superscript"/>
        </w:rPr>
        <w:t>2</w:t>
      </w:r>
      <w:r>
        <w:rPr>
          <w:rFonts w:hint="eastAsia"/>
          <w:color w:val="auto"/>
        </w:rPr>
        <w:t>（新市片区西片区调出0.42km</w:t>
      </w:r>
      <w:r>
        <w:rPr>
          <w:rFonts w:hint="eastAsia"/>
          <w:color w:val="auto"/>
          <w:vertAlign w:val="superscript"/>
        </w:rPr>
        <w:t>2</w:t>
      </w:r>
      <w:r>
        <w:rPr>
          <w:rFonts w:hint="eastAsia"/>
          <w:color w:val="auto"/>
        </w:rPr>
        <w:t>至新市片区东片区并新增0.2km</w:t>
      </w:r>
      <w:r>
        <w:rPr>
          <w:rFonts w:hint="eastAsia"/>
          <w:color w:val="auto"/>
          <w:vertAlign w:val="superscript"/>
        </w:rPr>
        <w:t>2</w:t>
      </w:r>
      <w:r>
        <w:rPr>
          <w:rFonts w:hint="eastAsia"/>
          <w:color w:val="auto"/>
        </w:rPr>
        <w:t>，弼时片区与2018年核准的范围保持一致）。</w:t>
      </w:r>
    </w:p>
    <w:p>
      <w:pPr>
        <w:pStyle w:val="7"/>
        <w:rPr>
          <w:color w:val="auto"/>
        </w:rPr>
      </w:pPr>
      <w:r>
        <w:rPr>
          <w:rFonts w:hint="eastAsia"/>
          <w:color w:val="auto"/>
        </w:rPr>
        <w:t>4</w:t>
      </w:r>
      <w:r>
        <w:rPr>
          <w:color w:val="auto"/>
        </w:rPr>
        <w:t>.2.2园区规划概况</w:t>
      </w:r>
    </w:p>
    <w:p>
      <w:pPr>
        <w:ind w:firstLine="482"/>
        <w:rPr>
          <w:b/>
          <w:bCs/>
          <w:color w:val="auto"/>
        </w:rPr>
      </w:pPr>
      <w:r>
        <w:rPr>
          <w:rFonts w:hint="eastAsia"/>
          <w:b/>
          <w:bCs/>
          <w:color w:val="auto"/>
        </w:rPr>
        <w:t>（1）</w:t>
      </w:r>
      <w:r>
        <w:rPr>
          <w:b/>
          <w:bCs/>
          <w:color w:val="auto"/>
        </w:rPr>
        <w:t>规划范围</w:t>
      </w:r>
    </w:p>
    <w:p>
      <w:pPr>
        <w:ind w:firstLine="480"/>
        <w:rPr>
          <w:color w:val="auto"/>
        </w:rPr>
      </w:pPr>
      <w:r>
        <w:rPr>
          <w:color w:val="auto"/>
        </w:rPr>
        <w:t>本次规划年限为 2018-2023  年。汨罗高新技术产业开发区由新市片区和弼时片区组成，总规划总面积为 939.13 公顷，其中新市片区规划总面积为 657.38 公顷，弼时片区为281.75公顷，规划四至范围见表4.2-1。</w:t>
      </w:r>
    </w:p>
    <w:p>
      <w:pPr>
        <w:pStyle w:val="31"/>
        <w:rPr>
          <w:color w:val="auto"/>
        </w:rPr>
      </w:pPr>
      <w:r>
        <w:rPr>
          <w:color w:val="auto"/>
        </w:rPr>
        <w:t>表4.2-1  园区规划四至范围一览表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019"/>
        <w:gridCol w:w="1164"/>
        <w:gridCol w:w="4208"/>
        <w:gridCol w:w="213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2" w:hRule="atLeast"/>
          <w:jc w:val="center"/>
        </w:trPr>
        <w:tc>
          <w:tcPr>
            <w:tcW w:w="598" w:type="pct"/>
            <w:vAlign w:val="center"/>
          </w:tcPr>
          <w:p>
            <w:pPr>
              <w:pStyle w:val="30"/>
              <w:rPr>
                <w:b/>
                <w:bCs/>
                <w:color w:val="auto"/>
              </w:rPr>
            </w:pPr>
            <w:r>
              <w:rPr>
                <w:b/>
                <w:bCs/>
                <w:color w:val="auto"/>
              </w:rPr>
              <w:t>产业开发区</w:t>
            </w:r>
          </w:p>
        </w:tc>
        <w:tc>
          <w:tcPr>
            <w:tcW w:w="683" w:type="pct"/>
            <w:vAlign w:val="center"/>
          </w:tcPr>
          <w:p>
            <w:pPr>
              <w:pStyle w:val="30"/>
              <w:rPr>
                <w:b/>
                <w:bCs/>
                <w:color w:val="auto"/>
              </w:rPr>
            </w:pPr>
            <w:r>
              <w:rPr>
                <w:b/>
                <w:bCs/>
                <w:color w:val="auto"/>
              </w:rPr>
              <w:t>片区</w:t>
            </w:r>
          </w:p>
        </w:tc>
        <w:tc>
          <w:tcPr>
            <w:tcW w:w="2469" w:type="pct"/>
            <w:vAlign w:val="center"/>
          </w:tcPr>
          <w:p>
            <w:pPr>
              <w:pStyle w:val="30"/>
              <w:rPr>
                <w:b/>
                <w:bCs/>
                <w:color w:val="auto"/>
              </w:rPr>
            </w:pPr>
            <w:r>
              <w:rPr>
                <w:b/>
                <w:bCs/>
                <w:color w:val="auto"/>
              </w:rPr>
              <w:t>四至范围</w:t>
            </w:r>
          </w:p>
        </w:tc>
        <w:tc>
          <w:tcPr>
            <w:tcW w:w="1250" w:type="pct"/>
            <w:vAlign w:val="center"/>
          </w:tcPr>
          <w:p>
            <w:pPr>
              <w:pStyle w:val="30"/>
              <w:rPr>
                <w:b/>
                <w:bCs/>
                <w:color w:val="auto"/>
              </w:rPr>
            </w:pPr>
            <w:r>
              <w:rPr>
                <w:b/>
                <w:bCs/>
                <w:color w:val="auto"/>
              </w:rPr>
              <w:t>规划范围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1212" w:hRule="atLeast"/>
          <w:jc w:val="center"/>
        </w:trPr>
        <w:tc>
          <w:tcPr>
            <w:tcW w:w="598" w:type="pct"/>
            <w:vMerge w:val="restart"/>
            <w:vAlign w:val="center"/>
          </w:tcPr>
          <w:p>
            <w:pPr>
              <w:pStyle w:val="30"/>
              <w:rPr>
                <w:color w:val="auto"/>
              </w:rPr>
            </w:pPr>
            <w:r>
              <w:rPr>
                <w:color w:val="auto"/>
              </w:rPr>
              <w:t>汨罗高新技术产业开发区</w:t>
            </w:r>
          </w:p>
        </w:tc>
        <w:tc>
          <w:tcPr>
            <w:tcW w:w="683" w:type="pct"/>
            <w:vAlign w:val="center"/>
          </w:tcPr>
          <w:p>
            <w:pPr>
              <w:pStyle w:val="30"/>
              <w:rPr>
                <w:color w:val="auto"/>
              </w:rPr>
            </w:pPr>
            <w:r>
              <w:rPr>
                <w:color w:val="auto"/>
              </w:rPr>
              <w:t>新市片区</w:t>
            </w:r>
          </w:p>
        </w:tc>
        <w:tc>
          <w:tcPr>
            <w:tcW w:w="2469" w:type="pct"/>
            <w:vAlign w:val="center"/>
          </w:tcPr>
          <w:p>
            <w:pPr>
              <w:pStyle w:val="30"/>
              <w:jc w:val="left"/>
              <w:rPr>
                <w:color w:val="auto"/>
              </w:rPr>
            </w:pPr>
            <w:r>
              <w:rPr>
                <w:color w:val="auto"/>
              </w:rPr>
              <w:t>新市西片区：北至汨江大道，西至武广东路，南至金塘路，东至新市街。</w:t>
            </w:r>
          </w:p>
          <w:p>
            <w:pPr>
              <w:pStyle w:val="30"/>
              <w:jc w:val="left"/>
              <w:rPr>
                <w:color w:val="auto"/>
              </w:rPr>
            </w:pPr>
            <w:r>
              <w:rPr>
                <w:color w:val="auto"/>
              </w:rPr>
              <w:t>新市东片区：北至汨新大道，西至G107国道，南至车站大道，东至湄江路</w:t>
            </w:r>
          </w:p>
        </w:tc>
        <w:tc>
          <w:tcPr>
            <w:tcW w:w="1250" w:type="pct"/>
            <w:vAlign w:val="center"/>
          </w:tcPr>
          <w:p>
            <w:pPr>
              <w:pStyle w:val="30"/>
              <w:rPr>
                <w:color w:val="auto"/>
              </w:rPr>
            </w:pPr>
            <w:r>
              <w:rPr>
                <w:color w:val="auto"/>
              </w:rPr>
              <w:t>规划总用地面积657.38公顷，其中新市西片区444.38公顷，新市东片区为213.00公顷</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19" w:hRule="atLeast"/>
          <w:jc w:val="center"/>
        </w:trPr>
        <w:tc>
          <w:tcPr>
            <w:tcW w:w="598" w:type="pct"/>
            <w:vMerge w:val="continue"/>
            <w:vAlign w:val="center"/>
          </w:tcPr>
          <w:p>
            <w:pPr>
              <w:pStyle w:val="30"/>
              <w:rPr>
                <w:color w:val="auto"/>
              </w:rPr>
            </w:pPr>
          </w:p>
        </w:tc>
        <w:tc>
          <w:tcPr>
            <w:tcW w:w="683" w:type="pct"/>
            <w:vAlign w:val="center"/>
          </w:tcPr>
          <w:p>
            <w:pPr>
              <w:pStyle w:val="30"/>
              <w:rPr>
                <w:color w:val="auto"/>
              </w:rPr>
            </w:pPr>
            <w:r>
              <w:rPr>
                <w:color w:val="auto"/>
              </w:rPr>
              <w:t>弼时片区</w:t>
            </w:r>
          </w:p>
        </w:tc>
        <w:tc>
          <w:tcPr>
            <w:tcW w:w="2469" w:type="pct"/>
            <w:vAlign w:val="center"/>
          </w:tcPr>
          <w:p>
            <w:pPr>
              <w:pStyle w:val="30"/>
              <w:rPr>
                <w:color w:val="auto"/>
              </w:rPr>
            </w:pPr>
            <w:r>
              <w:rPr>
                <w:color w:val="auto"/>
              </w:rPr>
              <w:t>北至莲花路，西至经开路，南至镇界，东至弼时大道</w:t>
            </w:r>
          </w:p>
        </w:tc>
        <w:tc>
          <w:tcPr>
            <w:tcW w:w="1250" w:type="pct"/>
            <w:vAlign w:val="center"/>
          </w:tcPr>
          <w:p>
            <w:pPr>
              <w:pStyle w:val="30"/>
              <w:rPr>
                <w:color w:val="auto"/>
              </w:rPr>
            </w:pPr>
            <w:r>
              <w:rPr>
                <w:color w:val="auto"/>
              </w:rPr>
              <w:t>规划总用地面积为281.75公顷</w:t>
            </w:r>
          </w:p>
        </w:tc>
      </w:tr>
    </w:tbl>
    <w:p>
      <w:pPr>
        <w:ind w:firstLine="482"/>
        <w:rPr>
          <w:b/>
          <w:bCs/>
          <w:color w:val="auto"/>
          <w:u w:val="single"/>
        </w:rPr>
      </w:pPr>
      <w:r>
        <w:rPr>
          <w:rFonts w:hint="eastAsia"/>
          <w:b/>
          <w:bCs/>
          <w:color w:val="auto"/>
          <w:u w:val="single"/>
        </w:rPr>
        <w:t>（2）</w:t>
      </w:r>
      <w:r>
        <w:rPr>
          <w:b/>
          <w:bCs/>
          <w:color w:val="auto"/>
          <w:u w:val="single"/>
        </w:rPr>
        <w:t>产业定位</w:t>
      </w:r>
    </w:p>
    <w:p>
      <w:pPr>
        <w:ind w:firstLine="480"/>
        <w:rPr>
          <w:color w:val="auto"/>
          <w:u w:val="single"/>
        </w:rPr>
      </w:pPr>
      <w:r>
        <w:rPr>
          <w:color w:val="auto"/>
          <w:u w:val="single"/>
        </w:rPr>
        <w:t>园区形成“三大主导，三大从属”的产业格局，主导产业为主导产业为再生资源回</w:t>
      </w:r>
      <w:r>
        <w:rPr>
          <w:rFonts w:hint="eastAsia"/>
          <w:color w:val="auto"/>
          <w:u w:val="single"/>
        </w:rPr>
        <w:t>收利用、有色金属精深加工、先进制造，辅以安防建材、新材料、电子信息三大特色产业。再生资源回收利用：以汨罗市广泛的专业回收网络为依托，对废旧电子产品、废旧家电、废旧汽车、废旧金属、废旧塑料、废旧电池等再生资源进行回收、拆解，同时对废铜铝、废塑料等再生资源进行再生循环利用，实现再生资源产业化发展。</w:t>
      </w:r>
    </w:p>
    <w:p>
      <w:pPr>
        <w:ind w:firstLine="480"/>
        <w:rPr>
          <w:color w:val="auto"/>
          <w:u w:val="single"/>
        </w:rPr>
      </w:pPr>
      <w:r>
        <w:rPr>
          <w:rFonts w:hint="eastAsia"/>
          <w:color w:val="auto"/>
          <w:u w:val="single"/>
        </w:rPr>
        <w:t>有色金属精深加工产业：主要对铜、铝等有色金属进行精深加工，生产附加值更高的金属制品。同时，继续引进规模企业，依靠先进加工技术提高有色金属的回收利用率，从源头减少废物及污染物的产生，坚持走资源节约、环境保护、污染减量化的生态工业发展道路。</w:t>
      </w:r>
    </w:p>
    <w:p>
      <w:pPr>
        <w:ind w:firstLine="480"/>
        <w:rPr>
          <w:color w:val="auto"/>
          <w:u w:val="single"/>
        </w:rPr>
      </w:pPr>
      <w:r>
        <w:rPr>
          <w:rFonts w:hint="eastAsia"/>
          <w:color w:val="auto"/>
          <w:u w:val="single"/>
        </w:rPr>
        <w:t>先进制造产业：挖掘省内高校科研资源积极开展先进制造技术研发，重点发展智能智造装备、环保设备、新型节能机电产品、工程装备、节能环保和安全生产装备、汽车零部件设备、电子电工设备、通用设备等。</w:t>
      </w:r>
    </w:p>
    <w:p>
      <w:pPr>
        <w:ind w:firstLine="480"/>
        <w:rPr>
          <w:color w:val="auto"/>
          <w:u w:val="single"/>
        </w:rPr>
      </w:pPr>
      <w:r>
        <w:rPr>
          <w:rFonts w:hint="eastAsia"/>
          <w:color w:val="auto"/>
          <w:u w:val="single"/>
        </w:rPr>
        <w:t>电子信息产业：做大做强原有以耳机、电脑配件等为主的电子产品企业，顺应电子、信息产业数字化、网络化、智能化的发展趋势，积极发展IT整机以及零部件制造、信息家电、通讯及网络设备等。</w:t>
      </w:r>
    </w:p>
    <w:p>
      <w:pPr>
        <w:ind w:firstLine="480"/>
        <w:rPr>
          <w:color w:val="auto"/>
          <w:u w:val="single"/>
        </w:rPr>
      </w:pPr>
      <w:r>
        <w:rPr>
          <w:rFonts w:hint="eastAsia"/>
          <w:color w:val="auto"/>
          <w:u w:val="single"/>
        </w:rPr>
        <w:t>安防建材产业（含新材料）：做大做强现有以安防电子为主的产业，并加大科技成果的转移转化和产业化推广，加强在警用、消防、电力、冶金、石化等领域的研究探索，以产业链融合助力应用深度拓展，同时进一步加强巩固金属建材等加工制造为主的建材类企业。新增新能源有色金属新材料生产。另外，这个片区也发展相关的高新材料产业。</w:t>
      </w:r>
    </w:p>
    <w:p>
      <w:pPr>
        <w:ind w:firstLine="480"/>
        <w:rPr>
          <w:rFonts w:hint="eastAsia"/>
          <w:color w:val="auto"/>
          <w:u w:val="single"/>
        </w:rPr>
      </w:pPr>
      <w:r>
        <w:rPr>
          <w:rFonts w:hint="eastAsia"/>
          <w:color w:val="auto"/>
          <w:u w:val="single"/>
        </w:rPr>
        <w:t>新材料：加强产学研合作，新市片区主要发展与塑料等有关的高新材料产业。</w:t>
      </w:r>
    </w:p>
    <w:p>
      <w:pPr>
        <w:pStyle w:val="2"/>
        <w:rPr>
          <w:rFonts w:hint="default" w:eastAsia="宋体"/>
          <w:u w:val="single"/>
          <w:lang w:val="en-US" w:eastAsia="zh-CN"/>
        </w:rPr>
      </w:pPr>
      <w:r>
        <w:rPr>
          <w:rFonts w:hint="eastAsia"/>
          <w:u w:val="single"/>
          <w:lang w:val="en-US" w:eastAsia="zh-CN"/>
        </w:rPr>
        <w:t>本项目为PE可再生颗粒再利用项目，使用外购PE可再生颗粒进行再加工，属于再生资源回收利用，符合产业园区定位。</w:t>
      </w:r>
    </w:p>
    <w:p>
      <w:pPr>
        <w:pStyle w:val="7"/>
        <w:rPr>
          <w:color w:val="auto"/>
        </w:rPr>
      </w:pPr>
      <w:r>
        <w:rPr>
          <w:rFonts w:hint="eastAsia"/>
          <w:color w:val="auto"/>
        </w:rPr>
        <w:t>4</w:t>
      </w:r>
      <w:r>
        <w:rPr>
          <w:color w:val="auto"/>
        </w:rPr>
        <w:t>.2.3园区总体规划</w:t>
      </w:r>
    </w:p>
    <w:p>
      <w:pPr>
        <w:ind w:firstLine="482"/>
        <w:rPr>
          <w:b/>
          <w:bCs/>
          <w:color w:val="auto"/>
        </w:rPr>
      </w:pPr>
      <w:r>
        <w:rPr>
          <w:rFonts w:hint="eastAsia"/>
          <w:b/>
          <w:bCs/>
          <w:color w:val="auto"/>
        </w:rPr>
        <w:t>（1）</w:t>
      </w:r>
      <w:r>
        <w:rPr>
          <w:b/>
          <w:bCs/>
          <w:color w:val="auto"/>
        </w:rPr>
        <w:t>规划总体布局结构</w:t>
      </w:r>
    </w:p>
    <w:p>
      <w:pPr>
        <w:ind w:firstLine="480"/>
        <w:rPr>
          <w:color w:val="auto"/>
        </w:rPr>
      </w:pPr>
      <w:r>
        <w:rPr>
          <w:color w:val="auto"/>
        </w:rPr>
        <w:t>汨罗高新技术产业开发区总体规划结构为“两轴两片六区”。“两轴”是指横向S308发展轴和纵向G107发展轴。“两片”即新市片区和弼时片区。两个片区功能各有侧重，与所依托的中心城区、弼时镇在功能上既联系紧密，又有相对独立的配置。“六区”：即两个片区规划的产业功能分区。</w:t>
      </w:r>
    </w:p>
    <w:p>
      <w:pPr>
        <w:ind w:firstLine="480"/>
        <w:rPr>
          <w:color w:val="auto"/>
        </w:rPr>
      </w:pPr>
      <w:r>
        <w:rPr>
          <w:color w:val="auto"/>
        </w:rPr>
        <w:t>新市片区形成三个产业区，即安防建材（含新材料产业）产业区、先进制造及电子信息产业区、再生资源回收利用及有色金属精深加工区。</w:t>
      </w:r>
    </w:p>
    <w:p>
      <w:pPr>
        <w:ind w:firstLine="480"/>
        <w:rPr>
          <w:color w:val="auto"/>
        </w:rPr>
      </w:pPr>
      <w:r>
        <w:rPr>
          <w:color w:val="auto"/>
        </w:rPr>
        <w:t>弼时片区规划形成三个产业区，即先进制造产业区、新材料产业区和电子信息产业区。</w:t>
      </w:r>
    </w:p>
    <w:p>
      <w:pPr>
        <w:ind w:firstLine="482"/>
        <w:rPr>
          <w:b/>
          <w:bCs/>
          <w:color w:val="auto"/>
        </w:rPr>
      </w:pPr>
      <w:r>
        <w:rPr>
          <w:rFonts w:hint="eastAsia"/>
          <w:b/>
          <w:bCs/>
          <w:color w:val="auto"/>
        </w:rPr>
        <w:t>（2）</w:t>
      </w:r>
      <w:r>
        <w:rPr>
          <w:b/>
          <w:bCs/>
          <w:color w:val="auto"/>
        </w:rPr>
        <w:t>工业用地规划</w:t>
      </w:r>
    </w:p>
    <w:p>
      <w:pPr>
        <w:ind w:firstLine="480"/>
        <w:rPr>
          <w:color w:val="auto"/>
        </w:rPr>
      </w:pPr>
      <w:r>
        <w:rPr>
          <w:rFonts w:hint="eastAsia" w:ascii="宋体" w:hAnsi="宋体" w:cs="宋体"/>
          <w:color w:val="auto"/>
        </w:rPr>
        <w:t>①</w:t>
      </w:r>
      <w:r>
        <w:rPr>
          <w:color w:val="auto"/>
        </w:rPr>
        <w:t>新市片区主要布置二类工业，工业用地面积约440.01公顷，其中一类工业用地面积为74.17公顷，二类工业用地面积为321.06公顷，三类工业用地面积为44.78公顷。</w:t>
      </w:r>
    </w:p>
    <w:p>
      <w:pPr>
        <w:ind w:firstLine="480"/>
        <w:rPr>
          <w:color w:val="auto"/>
        </w:rPr>
      </w:pPr>
      <w:r>
        <w:rPr>
          <w:rFonts w:hint="eastAsia" w:ascii="宋体" w:hAnsi="宋体" w:cs="宋体"/>
          <w:color w:val="auto"/>
        </w:rPr>
        <w:t>②</w:t>
      </w:r>
      <w:r>
        <w:rPr>
          <w:color w:val="auto"/>
        </w:rPr>
        <w:t>弼时片区布置一、二类工业，用地面积约208.71公顷，其中一类工业用地面积40.12公顷，二类工业用地面积为168.60公顷。</w:t>
      </w:r>
    </w:p>
    <w:p>
      <w:pPr>
        <w:ind w:firstLine="480"/>
        <w:rPr>
          <w:color w:val="auto"/>
        </w:rPr>
      </w:pPr>
      <w:r>
        <w:rPr>
          <w:rFonts w:hint="eastAsia" w:ascii="宋体" w:hAnsi="宋体" w:cs="宋体"/>
          <w:color w:val="auto"/>
        </w:rPr>
        <w:t>③</w:t>
      </w:r>
      <w:r>
        <w:rPr>
          <w:color w:val="auto"/>
        </w:rPr>
        <w:t>规划期末两个片区一类工业用地114.29公顷，二类工业用地489.66公顷，三类工业用地44.78公顷，工业用地总面积648.72公顷。</w:t>
      </w:r>
    </w:p>
    <w:p>
      <w:pPr>
        <w:ind w:firstLine="482"/>
        <w:rPr>
          <w:b/>
          <w:bCs/>
          <w:color w:val="auto"/>
        </w:rPr>
      </w:pPr>
      <w:r>
        <w:rPr>
          <w:rFonts w:hint="eastAsia"/>
          <w:b/>
          <w:bCs/>
          <w:color w:val="auto"/>
        </w:rPr>
        <w:t>（3）</w:t>
      </w:r>
      <w:r>
        <w:rPr>
          <w:b/>
          <w:bCs/>
          <w:color w:val="auto"/>
        </w:rPr>
        <w:t>物流仓储用地规划</w:t>
      </w:r>
    </w:p>
    <w:p>
      <w:pPr>
        <w:ind w:firstLine="480"/>
        <w:rPr>
          <w:color w:val="auto"/>
        </w:rPr>
      </w:pPr>
      <w:r>
        <w:rPr>
          <w:rFonts w:hint="eastAsia" w:ascii="宋体" w:hAnsi="宋体" w:cs="宋体"/>
          <w:color w:val="auto"/>
        </w:rPr>
        <w:t>①</w:t>
      </w:r>
      <w:r>
        <w:rPr>
          <w:color w:val="auto"/>
        </w:rPr>
        <w:t>规划工业区仓储用地根据物流、市场需求，按照就近配套原则进行布局。</w:t>
      </w:r>
    </w:p>
    <w:p>
      <w:pPr>
        <w:ind w:firstLine="480"/>
        <w:rPr>
          <w:color w:val="auto"/>
        </w:rPr>
      </w:pPr>
      <w:r>
        <w:rPr>
          <w:rFonts w:hint="eastAsia" w:ascii="宋体" w:hAnsi="宋体" w:cs="宋体"/>
          <w:color w:val="auto"/>
        </w:rPr>
        <w:t>②</w:t>
      </w:r>
      <w:r>
        <w:rPr>
          <w:color w:val="auto"/>
        </w:rPr>
        <w:t>按照城市总体规划要求，新市片区在G107东侧结合二期市场布局物流用地，面积为19.81公顷。</w:t>
      </w:r>
    </w:p>
    <w:p>
      <w:pPr>
        <w:ind w:firstLine="480"/>
        <w:rPr>
          <w:color w:val="auto"/>
        </w:rPr>
      </w:pPr>
      <w:r>
        <w:rPr>
          <w:rFonts w:hint="eastAsia" w:ascii="宋体" w:hAnsi="宋体" w:cs="宋体"/>
          <w:color w:val="auto"/>
        </w:rPr>
        <w:t>③</w:t>
      </w:r>
      <w:r>
        <w:rPr>
          <w:color w:val="auto"/>
        </w:rPr>
        <w:t>弼时片区在该园区南部门户地段布置一处物流仓储用地，面积约8.58公顷。</w:t>
      </w:r>
    </w:p>
    <w:p>
      <w:pPr>
        <w:ind w:firstLine="480"/>
        <w:rPr>
          <w:color w:val="auto"/>
        </w:rPr>
      </w:pPr>
      <w:r>
        <w:rPr>
          <w:rFonts w:hint="eastAsia" w:ascii="宋体" w:hAnsi="宋体" w:cs="宋体"/>
          <w:color w:val="auto"/>
        </w:rPr>
        <w:t>④</w:t>
      </w:r>
      <w:r>
        <w:rPr>
          <w:color w:val="auto"/>
        </w:rPr>
        <w:t>规划期末两个片区仓储物流用地总面积约28.39公顷。</w:t>
      </w:r>
    </w:p>
    <w:p>
      <w:pPr>
        <w:ind w:firstLine="482"/>
        <w:rPr>
          <w:b/>
          <w:bCs/>
          <w:color w:val="auto"/>
        </w:rPr>
      </w:pPr>
      <w:r>
        <w:rPr>
          <w:rFonts w:hint="eastAsia"/>
          <w:b/>
          <w:bCs/>
          <w:color w:val="auto"/>
        </w:rPr>
        <w:t>（4）</w:t>
      </w:r>
      <w:r>
        <w:rPr>
          <w:b/>
          <w:bCs/>
          <w:color w:val="auto"/>
        </w:rPr>
        <w:t>商业服务业设施用地</w:t>
      </w:r>
    </w:p>
    <w:p>
      <w:pPr>
        <w:ind w:firstLine="480"/>
        <w:rPr>
          <w:color w:val="auto"/>
        </w:rPr>
      </w:pPr>
      <w:r>
        <w:rPr>
          <w:rFonts w:hint="eastAsia" w:ascii="宋体" w:hAnsi="宋体" w:cs="宋体"/>
          <w:color w:val="auto"/>
        </w:rPr>
        <w:t>①</w:t>
      </w:r>
      <w:r>
        <w:rPr>
          <w:color w:val="auto"/>
        </w:rPr>
        <w:t>弼时片区在南部规划一处加油站，面积约为1.02公顷。</w:t>
      </w:r>
    </w:p>
    <w:p>
      <w:pPr>
        <w:ind w:firstLine="480"/>
        <w:rPr>
          <w:color w:val="auto"/>
        </w:rPr>
      </w:pPr>
      <w:r>
        <w:rPr>
          <w:rFonts w:hint="eastAsia" w:ascii="宋体" w:hAnsi="宋体" w:cs="宋体"/>
          <w:color w:val="auto"/>
        </w:rPr>
        <w:t>②</w:t>
      </w:r>
      <w:r>
        <w:rPr>
          <w:color w:val="auto"/>
        </w:rPr>
        <w:t>新市片区南部规划一处加油站，面积约为 0.59 公顷。</w:t>
      </w:r>
    </w:p>
    <w:p>
      <w:pPr>
        <w:ind w:firstLine="480"/>
        <w:rPr>
          <w:color w:val="auto"/>
        </w:rPr>
      </w:pPr>
      <w:r>
        <w:rPr>
          <w:rFonts w:hint="eastAsia" w:ascii="宋体" w:hAnsi="宋体" w:cs="宋体"/>
          <w:color w:val="auto"/>
        </w:rPr>
        <w:t>③</w:t>
      </w:r>
      <w:r>
        <w:rPr>
          <w:color w:val="auto"/>
        </w:rPr>
        <w:t>规划园区商业服务业设施用地总面积约 16.66 公顷。</w:t>
      </w:r>
    </w:p>
    <w:p>
      <w:pPr>
        <w:ind w:firstLine="482"/>
        <w:rPr>
          <w:b/>
          <w:bCs/>
          <w:color w:val="auto"/>
        </w:rPr>
      </w:pPr>
      <w:r>
        <w:rPr>
          <w:rFonts w:hint="eastAsia"/>
          <w:b/>
          <w:bCs/>
          <w:color w:val="auto"/>
        </w:rPr>
        <w:t>（5）</w:t>
      </w:r>
      <w:r>
        <w:rPr>
          <w:b/>
          <w:bCs/>
          <w:color w:val="auto"/>
        </w:rPr>
        <w:t>居住用地规划</w:t>
      </w:r>
    </w:p>
    <w:p>
      <w:pPr>
        <w:ind w:firstLine="480"/>
        <w:rPr>
          <w:color w:val="auto"/>
        </w:rPr>
      </w:pPr>
      <w:r>
        <w:rPr>
          <w:color w:val="auto"/>
        </w:rPr>
        <w:t>新市片区和弼时片区未规划有居住用地。</w:t>
      </w:r>
    </w:p>
    <w:p>
      <w:pPr>
        <w:pStyle w:val="7"/>
        <w:rPr>
          <w:color w:val="auto"/>
        </w:rPr>
      </w:pPr>
      <w:r>
        <w:rPr>
          <w:rFonts w:hint="eastAsia"/>
          <w:color w:val="auto"/>
        </w:rPr>
        <w:t>4</w:t>
      </w:r>
      <w:r>
        <w:rPr>
          <w:color w:val="auto"/>
        </w:rPr>
        <w:t>.2.4基础设施规划</w:t>
      </w:r>
    </w:p>
    <w:p>
      <w:pPr>
        <w:ind w:firstLine="482"/>
        <w:rPr>
          <w:b/>
          <w:bCs/>
          <w:color w:val="auto"/>
        </w:rPr>
      </w:pPr>
      <w:r>
        <w:rPr>
          <w:rFonts w:hint="eastAsia"/>
          <w:b/>
          <w:bCs/>
          <w:color w:val="auto"/>
        </w:rPr>
        <w:t>（1）</w:t>
      </w:r>
      <w:r>
        <w:rPr>
          <w:b/>
          <w:bCs/>
          <w:color w:val="auto"/>
        </w:rPr>
        <w:t>给水</w:t>
      </w:r>
    </w:p>
    <w:p>
      <w:pPr>
        <w:ind w:firstLine="480"/>
        <w:rPr>
          <w:color w:val="auto"/>
        </w:rPr>
      </w:pPr>
      <w:r>
        <w:rPr>
          <w:color w:val="auto"/>
        </w:rPr>
        <w:t>新市片区水源为汨罗市二水厂和新市自来水厂统一供水，汨罗市二水厂供水能力为30000m</w:t>
      </w:r>
      <w:r>
        <w:rPr>
          <w:color w:val="auto"/>
          <w:vertAlign w:val="superscript"/>
        </w:rPr>
        <w:t>3</w:t>
      </w:r>
      <w:r>
        <w:rPr>
          <w:color w:val="auto"/>
        </w:rPr>
        <w:t>/d，新市水厂10000m</w:t>
      </w:r>
      <w:r>
        <w:rPr>
          <w:color w:val="auto"/>
          <w:vertAlign w:val="superscript"/>
        </w:rPr>
        <w:t>3</w:t>
      </w:r>
      <w:r>
        <w:rPr>
          <w:color w:val="auto"/>
        </w:rPr>
        <w:t>/d，总供水能力达40000m</w:t>
      </w:r>
      <w:r>
        <w:rPr>
          <w:color w:val="auto"/>
          <w:vertAlign w:val="superscript"/>
        </w:rPr>
        <w:t>3</w:t>
      </w:r>
      <w:r>
        <w:rPr>
          <w:color w:val="auto"/>
        </w:rPr>
        <w:t>/d。目前两个水厂的取水水源均为兰家洞水库，而汨罗江的取水口仅作为备用水源。项目所在新市片区居民生活用水由汨罗市二水厂提供，项目区无集中地下水供水设施或分散式饮用水源地分布。</w:t>
      </w:r>
    </w:p>
    <w:p>
      <w:pPr>
        <w:ind w:firstLine="482"/>
        <w:rPr>
          <w:b/>
          <w:bCs/>
          <w:color w:val="auto"/>
        </w:rPr>
      </w:pPr>
      <w:r>
        <w:rPr>
          <w:rFonts w:hint="eastAsia"/>
          <w:b/>
          <w:bCs/>
          <w:color w:val="auto"/>
        </w:rPr>
        <w:t>（2）</w:t>
      </w:r>
      <w:r>
        <w:rPr>
          <w:b/>
          <w:bCs/>
          <w:color w:val="auto"/>
        </w:rPr>
        <w:t>排水</w:t>
      </w:r>
    </w:p>
    <w:p>
      <w:pPr>
        <w:ind w:firstLine="480"/>
        <w:rPr>
          <w:color w:val="auto"/>
        </w:rPr>
      </w:pPr>
      <w:r>
        <w:rPr>
          <w:color w:val="auto"/>
        </w:rPr>
        <w:t>采用雨污完全分流的排水体制。</w:t>
      </w:r>
    </w:p>
    <w:p>
      <w:pPr>
        <w:ind w:firstLine="480"/>
        <w:rPr>
          <w:color w:val="auto"/>
        </w:rPr>
      </w:pPr>
      <w:r>
        <w:rPr>
          <w:color w:val="auto"/>
        </w:rPr>
        <w:t>雨水管网系统遵循“分片排放、沟管结合，就近排入水体”的原则。雨水管道分散出流，以排洪渠、小溪沟等水体作为最终受纳水体，排水方向结合道路顺坡排放，尽可能增加出口，分散出流，确保雨水能尽快排走，减小管径。园区采用雨污分流的排水体制，在各道路上设置雨水口，雨水经雨水管网就近排入水体。</w:t>
      </w:r>
    </w:p>
    <w:p>
      <w:pPr>
        <w:ind w:firstLine="480"/>
        <w:rPr>
          <w:color w:val="auto"/>
        </w:rPr>
      </w:pPr>
      <w:r>
        <w:rPr>
          <w:color w:val="auto"/>
        </w:rPr>
        <w:t>新市片区含重金属生产废水经企业车间污水处理设施处理达标后，通过园区重金属管网进入湖南汨罗工业园重金属污水处理厂提质处理，再通过市政管网汇入汨罗市城市污水处理厂处理后外排到汨罗江。重金属污水处理厂已建成处理规模为0.5万m</w:t>
      </w:r>
      <w:r>
        <w:rPr>
          <w:color w:val="auto"/>
          <w:vertAlign w:val="superscript"/>
        </w:rPr>
        <w:t>3</w:t>
      </w:r>
      <w:r>
        <w:rPr>
          <w:color w:val="auto"/>
        </w:rPr>
        <w:t>/d，服务范围为汨罗高新技术产业开发区。</w:t>
      </w:r>
    </w:p>
    <w:p>
      <w:pPr>
        <w:ind w:firstLine="480"/>
        <w:rPr>
          <w:color w:val="auto"/>
        </w:rPr>
      </w:pPr>
      <w:r>
        <w:rPr>
          <w:color w:val="auto"/>
        </w:rPr>
        <w:t>新市片区再生塑料产业企业产生的生产废水进入湖南汨罗循环经济产业园再生材料产业园污水处理厂深度处理，一期为5000m</w:t>
      </w:r>
      <w:r>
        <w:rPr>
          <w:color w:val="auto"/>
          <w:vertAlign w:val="superscript"/>
        </w:rPr>
        <w:t>3</w:t>
      </w:r>
      <w:r>
        <w:rPr>
          <w:color w:val="auto"/>
        </w:rPr>
        <w:t>/d，二期为10000m</w:t>
      </w:r>
      <w:r>
        <w:rPr>
          <w:color w:val="auto"/>
          <w:vertAlign w:val="superscript"/>
        </w:rPr>
        <w:t>3</w:t>
      </w:r>
      <w:r>
        <w:rPr>
          <w:color w:val="auto"/>
        </w:rPr>
        <w:t>/d，处理后不外排，全部作为中水回用，一期工程现已投产。</w:t>
      </w:r>
    </w:p>
    <w:p>
      <w:pPr>
        <w:ind w:firstLine="480"/>
        <w:rPr>
          <w:color w:val="auto"/>
        </w:rPr>
      </w:pPr>
      <w:r>
        <w:rPr>
          <w:color w:val="auto"/>
        </w:rPr>
        <w:t>汨罗高新技术产业开发区新市片区生活污水经园区市政管网进入汨罗市城市污水处理厂后外排至汨罗江。目前汨罗市城市污水处理厂一期提质改造及二期改扩建项目已经建设完成，全厂处理规模为5.0万m</w:t>
      </w:r>
      <w:r>
        <w:rPr>
          <w:color w:val="auto"/>
          <w:vertAlign w:val="superscript"/>
        </w:rPr>
        <w:t>3</w:t>
      </w:r>
      <w:r>
        <w:rPr>
          <w:color w:val="auto"/>
        </w:rPr>
        <w:t>/d，尾水满足《城镇污水处理厂污染物排放标准》（GB18918-2002）一级A标准，服务范围为汨罗市城区及汨罗高新技术产业开发区的生活污水及部分生产废水。</w:t>
      </w:r>
    </w:p>
    <w:p>
      <w:pPr>
        <w:ind w:firstLine="482"/>
        <w:rPr>
          <w:b/>
          <w:bCs/>
          <w:color w:val="auto"/>
        </w:rPr>
      </w:pPr>
      <w:r>
        <w:rPr>
          <w:rFonts w:hint="eastAsia"/>
          <w:b/>
          <w:bCs/>
          <w:color w:val="auto"/>
        </w:rPr>
        <w:t>（3）</w:t>
      </w:r>
      <w:r>
        <w:rPr>
          <w:b/>
          <w:bCs/>
          <w:color w:val="auto"/>
        </w:rPr>
        <w:t>供电</w:t>
      </w:r>
    </w:p>
    <w:p>
      <w:pPr>
        <w:ind w:firstLine="480"/>
        <w:rPr>
          <w:color w:val="auto"/>
        </w:rPr>
      </w:pPr>
      <w:r>
        <w:rPr>
          <w:color w:val="auto"/>
        </w:rPr>
        <w:t>工业园西北角现有110kV窑洲变电站一座，采用三回路110kV电源供电，分别由岳阳220kV双港变电站的双窑线和汨罗220kV新市变电站的新窑线、新汨线提供，符合N-1准则，属不间断供电变电站，供电可靠性高。</w:t>
      </w:r>
    </w:p>
    <w:p>
      <w:pPr>
        <w:ind w:firstLine="482"/>
        <w:rPr>
          <w:b/>
          <w:bCs/>
          <w:color w:val="auto"/>
        </w:rPr>
      </w:pPr>
      <w:r>
        <w:rPr>
          <w:rFonts w:hint="eastAsia"/>
          <w:b/>
          <w:bCs/>
          <w:color w:val="auto"/>
        </w:rPr>
        <w:t>（4）</w:t>
      </w:r>
      <w:r>
        <w:rPr>
          <w:b/>
          <w:bCs/>
          <w:color w:val="auto"/>
        </w:rPr>
        <w:t>道路交通</w:t>
      </w:r>
    </w:p>
    <w:p>
      <w:pPr>
        <w:ind w:firstLine="480"/>
        <w:rPr>
          <w:color w:val="auto"/>
        </w:rPr>
      </w:pPr>
      <w:r>
        <w:rPr>
          <w:color w:val="auto"/>
        </w:rPr>
        <w:t>规划新市片区形成“五横六纵”干路网骨架。“五横”干路分别为沿江大道、汨新大道、</w:t>
      </w:r>
      <w:r>
        <w:rPr>
          <w:rFonts w:hint="eastAsia"/>
          <w:color w:val="auto"/>
        </w:rPr>
        <w:t>清云路、合心路和金塘路。“六纵”干路分别为武广东路、龙舟路、新市北街、G107、福星路和湄江路。其它支路根据规范要求，结合用地布局和实际需要规划。</w:t>
      </w:r>
    </w:p>
    <w:p>
      <w:pPr>
        <w:ind w:firstLine="480"/>
        <w:rPr>
          <w:color w:val="auto"/>
        </w:rPr>
      </w:pPr>
      <w:r>
        <w:rPr>
          <w:rFonts w:hint="eastAsia"/>
          <w:color w:val="auto"/>
        </w:rPr>
        <w:t>弼时片区规划形成“三横三纵”干路骨架。“三横”干路为莲花路、求志路和共荣路；“三纵”干路为弼时大道、经开路和经三路。</w:t>
      </w:r>
    </w:p>
    <w:p>
      <w:pPr>
        <w:ind w:firstLine="482"/>
        <w:rPr>
          <w:b/>
          <w:bCs/>
          <w:color w:val="auto"/>
        </w:rPr>
      </w:pPr>
      <w:r>
        <w:rPr>
          <w:rFonts w:hint="eastAsia"/>
          <w:b/>
          <w:bCs/>
          <w:color w:val="auto"/>
        </w:rPr>
        <w:t>（5能源</w:t>
      </w:r>
    </w:p>
    <w:p>
      <w:pPr>
        <w:ind w:firstLine="480"/>
        <w:rPr>
          <w:color w:val="auto"/>
        </w:rPr>
      </w:pPr>
      <w:r>
        <w:rPr>
          <w:rFonts w:hint="eastAsia"/>
          <w:color w:val="auto"/>
        </w:rPr>
        <w:t>汨罗高新技术产业开发区能源规划以电能和天然气为主。</w:t>
      </w:r>
    </w:p>
    <w:p>
      <w:pPr>
        <w:ind w:firstLine="480"/>
        <w:rPr>
          <w:color w:val="auto"/>
        </w:rPr>
      </w:pPr>
      <w:r>
        <w:rPr>
          <w:rFonts w:hint="eastAsia"/>
          <w:color w:val="auto"/>
        </w:rPr>
        <w:t>汨罗管道天然气输气干管由岳阳引入。目前，汨罗城区已经建成了新市南天然气接入站和新市片区红马天然气门站，弼时片区在镇区北面规划一处天燃气门站。</w:t>
      </w:r>
    </w:p>
    <w:p>
      <w:pPr>
        <w:pStyle w:val="7"/>
        <w:rPr>
          <w:color w:val="auto"/>
        </w:rPr>
      </w:pPr>
      <w:r>
        <w:rPr>
          <w:rFonts w:hint="eastAsia"/>
          <w:color w:val="auto"/>
        </w:rPr>
        <w:t>4</w:t>
      </w:r>
      <w:r>
        <w:rPr>
          <w:color w:val="auto"/>
        </w:rPr>
        <w:t>.2.5环境保护规划</w:t>
      </w:r>
    </w:p>
    <w:p>
      <w:pPr>
        <w:ind w:firstLine="482"/>
        <w:rPr>
          <w:b/>
          <w:bCs/>
          <w:color w:val="auto"/>
        </w:rPr>
      </w:pPr>
      <w:r>
        <w:rPr>
          <w:rFonts w:hint="eastAsia"/>
          <w:b/>
          <w:bCs/>
          <w:color w:val="auto"/>
        </w:rPr>
        <w:t>（1）</w:t>
      </w:r>
      <w:r>
        <w:rPr>
          <w:b/>
          <w:bCs/>
          <w:color w:val="auto"/>
        </w:rPr>
        <w:t>环卫设施布局</w:t>
      </w:r>
    </w:p>
    <w:p>
      <w:pPr>
        <w:ind w:firstLine="480"/>
        <w:rPr>
          <w:color w:val="auto"/>
        </w:rPr>
      </w:pPr>
      <w:r>
        <w:rPr>
          <w:color w:val="auto"/>
        </w:rPr>
        <w:t>现有新桥生活垃圾填埋场，位于新市片区东部，设计垃圾填埋量为65万立方米，日处理垃圾量250吨，目前新桥生活垃圾填埋场已经封场处理。</w:t>
      </w:r>
    </w:p>
    <w:p>
      <w:pPr>
        <w:ind w:firstLine="480"/>
        <w:rPr>
          <w:color w:val="auto"/>
        </w:rPr>
      </w:pPr>
      <w:r>
        <w:rPr>
          <w:color w:val="auto"/>
        </w:rPr>
        <w:t>设有垃圾焚烧发电厂1处，位于新桥村垃圾填埋场西侧，日处理垃圾500吨，服务范围为整个汨罗市，目前已投入运营。</w:t>
      </w:r>
    </w:p>
    <w:p>
      <w:pPr>
        <w:ind w:firstLine="482"/>
        <w:rPr>
          <w:b/>
          <w:bCs/>
          <w:color w:val="auto"/>
        </w:rPr>
      </w:pPr>
      <w:r>
        <w:rPr>
          <w:rFonts w:hint="eastAsia"/>
          <w:b/>
          <w:bCs/>
          <w:color w:val="auto"/>
        </w:rPr>
        <w:t>（2）</w:t>
      </w:r>
      <w:r>
        <w:rPr>
          <w:b/>
          <w:bCs/>
          <w:color w:val="auto"/>
        </w:rPr>
        <w:t>工业垃圾处理</w:t>
      </w:r>
    </w:p>
    <w:p>
      <w:pPr>
        <w:ind w:firstLine="480"/>
        <w:rPr>
          <w:color w:val="auto"/>
        </w:rPr>
      </w:pPr>
      <w:r>
        <w:rPr>
          <w:color w:val="auto"/>
        </w:rPr>
        <w:t>工业垃圾根据需要进行预处理分类收集，采用带有封闭式容器的垃圾清运车辆运输，经减量化及资源化循环利用后，固废最终运输至工业固废处理场，进行无害化处理。</w:t>
      </w:r>
    </w:p>
    <w:p>
      <w:pPr>
        <w:ind w:firstLine="482"/>
        <w:rPr>
          <w:b/>
          <w:bCs/>
          <w:color w:val="auto"/>
        </w:rPr>
      </w:pPr>
      <w:r>
        <w:rPr>
          <w:rFonts w:hint="eastAsia"/>
          <w:b/>
          <w:bCs/>
          <w:color w:val="auto"/>
        </w:rPr>
        <w:t>（3）</w:t>
      </w:r>
      <w:r>
        <w:rPr>
          <w:b/>
          <w:bCs/>
          <w:color w:val="auto"/>
        </w:rPr>
        <w:t>生活垃圾处理</w:t>
      </w:r>
    </w:p>
    <w:p>
      <w:pPr>
        <w:ind w:firstLine="480"/>
        <w:rPr>
          <w:color w:val="auto"/>
        </w:rPr>
      </w:pPr>
      <w:r>
        <w:rPr>
          <w:color w:val="auto"/>
        </w:rPr>
        <w:t>垃圾实行分类收集，不可燃烧垃圾运至生活垃圾填埋厂卫生填埋，可燃烧垃圾统一运至垃圾发电厂焚烧发电。</w:t>
      </w:r>
    </w:p>
    <w:p>
      <w:pPr>
        <w:ind w:firstLine="482"/>
        <w:rPr>
          <w:b/>
          <w:bCs/>
          <w:color w:val="auto"/>
        </w:rPr>
      </w:pPr>
      <w:r>
        <w:rPr>
          <w:rFonts w:hint="eastAsia"/>
          <w:b/>
          <w:bCs/>
          <w:color w:val="auto"/>
        </w:rPr>
        <w:t>（4）</w:t>
      </w:r>
      <w:r>
        <w:rPr>
          <w:b/>
          <w:bCs/>
          <w:color w:val="auto"/>
        </w:rPr>
        <w:t>危险废物处置</w:t>
      </w:r>
    </w:p>
    <w:p>
      <w:pPr>
        <w:ind w:firstLine="480"/>
        <w:rPr>
          <w:color w:val="auto"/>
        </w:rPr>
      </w:pPr>
      <w:r>
        <w:rPr>
          <w:color w:val="auto"/>
        </w:rPr>
        <w:t>园区设置配套服务于园区的危废综合利用处置中心。</w:t>
      </w:r>
    </w:p>
    <w:p>
      <w:pPr>
        <w:pStyle w:val="7"/>
        <w:rPr>
          <w:color w:val="auto"/>
        </w:rPr>
      </w:pPr>
      <w:r>
        <w:rPr>
          <w:rFonts w:hint="eastAsia"/>
          <w:color w:val="auto"/>
        </w:rPr>
        <w:t>4</w:t>
      </w:r>
      <w:r>
        <w:rPr>
          <w:color w:val="auto"/>
        </w:rPr>
        <w:t>.2.6项目与园区的依托关系</w:t>
      </w:r>
    </w:p>
    <w:p>
      <w:pPr>
        <w:ind w:firstLine="480"/>
        <w:rPr>
          <w:color w:val="auto"/>
        </w:rPr>
      </w:pPr>
      <w:r>
        <w:rPr>
          <w:color w:val="auto"/>
        </w:rPr>
        <w:t>给水：项目生产、生活用水均由园区管网供给，可满足项目用水要求。</w:t>
      </w:r>
    </w:p>
    <w:p>
      <w:pPr>
        <w:ind w:firstLine="480"/>
        <w:rPr>
          <w:color w:val="auto"/>
        </w:rPr>
      </w:pPr>
      <w:r>
        <w:rPr>
          <w:color w:val="auto"/>
        </w:rPr>
        <w:t>排水：项目可充分利用园区雨水管网和污水管网。</w:t>
      </w:r>
    </w:p>
    <w:p>
      <w:pPr>
        <w:ind w:firstLine="480"/>
        <w:rPr>
          <w:color w:val="auto"/>
        </w:rPr>
      </w:pPr>
      <w:r>
        <w:rPr>
          <w:color w:val="auto"/>
        </w:rPr>
        <w:t>供电：项目可充分利用园区已有电网。</w:t>
      </w:r>
    </w:p>
    <w:p>
      <w:pPr>
        <w:ind w:firstLine="480"/>
        <w:rPr>
          <w:color w:val="auto"/>
        </w:rPr>
      </w:pPr>
      <w:r>
        <w:rPr>
          <w:color w:val="auto"/>
        </w:rPr>
        <w:t>供热：项目可充分利用园区已有天然气管网。</w:t>
      </w:r>
    </w:p>
    <w:p>
      <w:pPr>
        <w:ind w:firstLine="480"/>
        <w:rPr>
          <w:color w:val="auto"/>
        </w:rPr>
      </w:pPr>
      <w:r>
        <w:rPr>
          <w:color w:val="auto"/>
        </w:rPr>
        <w:t>园区给水、排水、电力、供热等配套设施可满足本项目施工建设和生产运营。</w:t>
      </w:r>
    </w:p>
    <w:bookmarkEnd w:id="118"/>
    <w:p>
      <w:pPr>
        <w:pStyle w:val="6"/>
        <w:rPr>
          <w:color w:val="auto"/>
        </w:rPr>
      </w:pPr>
      <w:bookmarkStart w:id="119" w:name="_Toc359223520"/>
      <w:bookmarkStart w:id="120" w:name="_Toc405817847"/>
      <w:bookmarkStart w:id="121" w:name="_Toc350183093"/>
      <w:bookmarkStart w:id="122" w:name="_Toc12720"/>
      <w:bookmarkStart w:id="123" w:name="_Toc447114758"/>
      <w:bookmarkStart w:id="124" w:name="_Toc318196041"/>
      <w:bookmarkStart w:id="125" w:name="_Toc6139"/>
      <w:bookmarkStart w:id="126" w:name="_Toc359228123"/>
      <w:bookmarkStart w:id="127" w:name="_Toc359226192"/>
      <w:bookmarkStart w:id="128" w:name="_Toc17324"/>
      <w:bookmarkStart w:id="129" w:name="_Toc359228567"/>
      <w:r>
        <w:rPr>
          <w:color w:val="auto"/>
        </w:rPr>
        <w:t>4.</w:t>
      </w:r>
      <w:r>
        <w:rPr>
          <w:rFonts w:hint="eastAsia"/>
          <w:color w:val="auto"/>
        </w:rPr>
        <w:t>3</w:t>
      </w:r>
      <w:r>
        <w:rPr>
          <w:color w:val="auto"/>
        </w:rPr>
        <w:t>环境质量现状调查与评价</w:t>
      </w:r>
      <w:bookmarkEnd w:id="119"/>
      <w:bookmarkEnd w:id="120"/>
      <w:bookmarkEnd w:id="121"/>
      <w:bookmarkEnd w:id="122"/>
      <w:bookmarkEnd w:id="123"/>
      <w:bookmarkEnd w:id="124"/>
      <w:bookmarkEnd w:id="125"/>
      <w:bookmarkEnd w:id="126"/>
      <w:bookmarkEnd w:id="127"/>
      <w:bookmarkEnd w:id="128"/>
      <w:bookmarkEnd w:id="129"/>
    </w:p>
    <w:p>
      <w:pPr>
        <w:pStyle w:val="7"/>
        <w:rPr>
          <w:color w:val="auto"/>
        </w:rPr>
      </w:pPr>
      <w:r>
        <w:rPr>
          <w:color w:val="auto"/>
        </w:rPr>
        <w:t>4.</w:t>
      </w:r>
      <w:r>
        <w:rPr>
          <w:rFonts w:hint="eastAsia"/>
          <w:color w:val="auto"/>
        </w:rPr>
        <w:t>3</w:t>
      </w:r>
      <w:r>
        <w:rPr>
          <w:color w:val="auto"/>
        </w:rPr>
        <w:t>.1</w:t>
      </w:r>
      <w:r>
        <w:rPr>
          <w:rFonts w:hint="eastAsia"/>
          <w:color w:val="auto"/>
        </w:rPr>
        <w:t>大气环境质量现状</w:t>
      </w:r>
    </w:p>
    <w:p>
      <w:pPr>
        <w:ind w:firstLine="482"/>
        <w:rPr>
          <w:b/>
          <w:bCs/>
          <w:color w:val="auto"/>
        </w:rPr>
      </w:pPr>
      <w:r>
        <w:rPr>
          <w:rFonts w:eastAsia="Times New Roman"/>
          <w:b/>
          <w:bCs/>
          <w:color w:val="auto"/>
        </w:rPr>
        <w:t>1</w:t>
      </w:r>
      <w:r>
        <w:rPr>
          <w:b/>
          <w:bCs/>
          <w:color w:val="auto"/>
        </w:rPr>
        <w:t>、区域环境质量达标判定</w:t>
      </w:r>
    </w:p>
    <w:p>
      <w:pPr>
        <w:ind w:firstLine="468"/>
        <w:rPr>
          <w:color w:val="auto"/>
        </w:rPr>
      </w:pPr>
      <w:r>
        <w:rPr>
          <w:color w:val="auto"/>
          <w:spacing w:val="-3"/>
        </w:rPr>
        <w:t>项目所在区域执行《环境空气质量标准》</w:t>
      </w:r>
      <w:r>
        <w:rPr>
          <w:color w:val="auto"/>
        </w:rPr>
        <w:t>（</w:t>
      </w:r>
      <w:r>
        <w:rPr>
          <w:rFonts w:eastAsia="Times New Roman"/>
          <w:color w:val="auto"/>
        </w:rPr>
        <w:t>GB3095-2012</w:t>
      </w:r>
      <w:r>
        <w:rPr>
          <w:color w:val="auto"/>
        </w:rPr>
        <w:t>）</w:t>
      </w:r>
      <w:r>
        <w:rPr>
          <w:color w:val="auto"/>
          <w:spacing w:val="-2"/>
        </w:rPr>
        <w:t>及其修改单中的二级</w:t>
      </w:r>
      <w:r>
        <w:rPr>
          <w:color w:val="auto"/>
          <w:spacing w:val="-3"/>
        </w:rPr>
        <w:t>标准。根据《环境影响评价技术导则</w:t>
      </w:r>
      <w:r>
        <w:rPr>
          <w:rFonts w:eastAsia="Times New Roman"/>
          <w:color w:val="auto"/>
        </w:rPr>
        <w:t>-</w:t>
      </w:r>
      <w:r>
        <w:rPr>
          <w:color w:val="auto"/>
          <w:spacing w:val="-2"/>
        </w:rPr>
        <w:t>大气环境》</w:t>
      </w:r>
      <w:r>
        <w:rPr>
          <w:color w:val="auto"/>
        </w:rPr>
        <w:t>（</w:t>
      </w:r>
      <w:r>
        <w:rPr>
          <w:rFonts w:eastAsia="Times New Roman"/>
          <w:color w:val="auto"/>
        </w:rPr>
        <w:t>HJ2.2-2018</w:t>
      </w:r>
      <w:r>
        <w:rPr>
          <w:color w:val="auto"/>
        </w:rPr>
        <w:t>）中</w:t>
      </w:r>
      <w:r>
        <w:rPr>
          <w:rFonts w:eastAsia="Times New Roman"/>
          <w:color w:val="auto"/>
        </w:rPr>
        <w:t>“6.2.1.1</w:t>
      </w:r>
      <w:r>
        <w:rPr>
          <w:color w:val="auto"/>
          <w:spacing w:val="-4"/>
        </w:rPr>
        <w:t>项目所在</w:t>
      </w:r>
      <w:r>
        <w:rPr>
          <w:color w:val="auto"/>
          <w:spacing w:val="-11"/>
        </w:rPr>
        <w:t>区域达标判定，优先采用国家或生态环境主管部门发布的平均基准年环境质量公告或</w:t>
      </w:r>
      <w:r>
        <w:rPr>
          <w:color w:val="auto"/>
        </w:rPr>
        <w:t>环境质量报告中的数据或结论</w:t>
      </w:r>
      <w:r>
        <w:rPr>
          <w:rFonts w:eastAsia="Times New Roman"/>
          <w:color w:val="auto"/>
        </w:rPr>
        <w:t>”</w:t>
      </w:r>
      <w:r>
        <w:rPr>
          <w:color w:val="auto"/>
        </w:rPr>
        <w:t>，基本因子采用岳阳市汨罗生态环境监测站提供的</w:t>
      </w:r>
      <w:r>
        <w:rPr>
          <w:rFonts w:eastAsia="Times New Roman"/>
          <w:color w:val="auto"/>
        </w:rPr>
        <w:t>2021</w:t>
      </w:r>
      <w:r>
        <w:rPr>
          <w:color w:val="auto"/>
        </w:rPr>
        <w:t>年连续</w:t>
      </w:r>
      <w:r>
        <w:rPr>
          <w:rFonts w:eastAsia="Times New Roman"/>
          <w:color w:val="auto"/>
        </w:rPr>
        <w:t>1</w:t>
      </w:r>
      <w:r>
        <w:rPr>
          <w:color w:val="auto"/>
        </w:rPr>
        <w:t>年的环境空气质量监测数据进行评价。</w:t>
      </w:r>
    </w:p>
    <w:p>
      <w:pPr>
        <w:ind w:firstLine="468"/>
        <w:rPr>
          <w:color w:val="auto"/>
        </w:rPr>
      </w:pPr>
      <w:r>
        <w:rPr>
          <w:color w:val="auto"/>
          <w:spacing w:val="-3"/>
        </w:rPr>
        <w:t>根据收集到的岳阳市生态环境局汨罗分局空气自动监测站</w:t>
      </w:r>
      <w:r>
        <w:rPr>
          <w:rFonts w:eastAsia="Times New Roman"/>
          <w:color w:val="auto"/>
        </w:rPr>
        <w:t>2021</w:t>
      </w:r>
      <w:r>
        <w:rPr>
          <w:color w:val="auto"/>
          <w:spacing w:val="-14"/>
        </w:rPr>
        <w:t>年连续</w:t>
      </w:r>
      <w:r>
        <w:rPr>
          <w:rFonts w:eastAsia="Times New Roman"/>
          <w:color w:val="auto"/>
        </w:rPr>
        <w:t>1</w:t>
      </w:r>
      <w:r>
        <w:rPr>
          <w:color w:val="auto"/>
          <w:spacing w:val="-4"/>
        </w:rPr>
        <w:t>年的环</w:t>
      </w:r>
      <w:r>
        <w:rPr>
          <w:color w:val="auto"/>
          <w:position w:val="2"/>
        </w:rPr>
        <w:t>境空气质量监测数据（如下表所示），</w:t>
      </w:r>
      <w:r>
        <w:rPr>
          <w:color w:val="auto"/>
          <w:spacing w:val="-1"/>
          <w:position w:val="2"/>
        </w:rPr>
        <w:t xml:space="preserve">汨罗市环境空气质量六项基本污染物 </w:t>
      </w:r>
      <w:r>
        <w:rPr>
          <w:rFonts w:eastAsia="Times New Roman"/>
          <w:color w:val="auto"/>
          <w:position w:val="2"/>
        </w:rPr>
        <w:t>PM</w:t>
      </w:r>
      <w:r>
        <w:rPr>
          <w:rFonts w:eastAsia="Times New Roman"/>
          <w:color w:val="auto"/>
          <w:position w:val="2"/>
          <w:vertAlign w:val="subscript"/>
        </w:rPr>
        <w:t>10</w:t>
      </w:r>
      <w:r>
        <w:rPr>
          <w:color w:val="auto"/>
          <w:position w:val="2"/>
        </w:rPr>
        <w:t>、</w:t>
      </w:r>
      <w:r>
        <w:rPr>
          <w:rFonts w:eastAsia="Times New Roman"/>
          <w:color w:val="auto"/>
          <w:position w:val="2"/>
        </w:rPr>
        <w:t>PM</w:t>
      </w:r>
      <w:r>
        <w:rPr>
          <w:rFonts w:eastAsia="Times New Roman"/>
          <w:color w:val="auto"/>
          <w:position w:val="2"/>
          <w:vertAlign w:val="subscript"/>
        </w:rPr>
        <w:t>2.5</w:t>
      </w:r>
      <w:r>
        <w:rPr>
          <w:color w:val="auto"/>
          <w:spacing w:val="-68"/>
          <w:position w:val="2"/>
        </w:rPr>
        <w:t>、</w:t>
      </w:r>
      <w:r>
        <w:rPr>
          <w:rFonts w:eastAsia="Times New Roman"/>
          <w:color w:val="auto"/>
          <w:position w:val="2"/>
        </w:rPr>
        <w:t>SO</w:t>
      </w:r>
      <w:r>
        <w:rPr>
          <w:rFonts w:eastAsia="Times New Roman"/>
          <w:color w:val="auto"/>
          <w:position w:val="2"/>
          <w:vertAlign w:val="subscript"/>
        </w:rPr>
        <w:t>2</w:t>
      </w:r>
      <w:r>
        <w:rPr>
          <w:color w:val="auto"/>
          <w:spacing w:val="-70"/>
          <w:position w:val="2"/>
        </w:rPr>
        <w:t>、</w:t>
      </w:r>
      <w:r>
        <w:rPr>
          <w:rFonts w:eastAsia="Times New Roman"/>
          <w:color w:val="auto"/>
          <w:position w:val="2"/>
        </w:rPr>
        <w:t>NO</w:t>
      </w:r>
      <w:r>
        <w:rPr>
          <w:rFonts w:eastAsia="Times New Roman"/>
          <w:color w:val="auto"/>
          <w:position w:val="2"/>
          <w:vertAlign w:val="subscript"/>
        </w:rPr>
        <w:t>2</w:t>
      </w:r>
      <w:r>
        <w:rPr>
          <w:color w:val="auto"/>
          <w:spacing w:val="-68"/>
          <w:position w:val="2"/>
        </w:rPr>
        <w:t>、</w:t>
      </w:r>
      <w:r>
        <w:rPr>
          <w:rFonts w:eastAsia="Times New Roman"/>
          <w:color w:val="auto"/>
          <w:position w:val="2"/>
        </w:rPr>
        <w:t>CO</w:t>
      </w:r>
      <w:r>
        <w:rPr>
          <w:color w:val="auto"/>
          <w:spacing w:val="-68"/>
          <w:position w:val="2"/>
        </w:rPr>
        <w:t>、</w:t>
      </w:r>
      <w:r>
        <w:rPr>
          <w:rFonts w:eastAsia="Times New Roman"/>
          <w:color w:val="auto"/>
          <w:position w:val="2"/>
        </w:rPr>
        <w:t>O</w:t>
      </w:r>
      <w:r>
        <w:rPr>
          <w:rFonts w:eastAsia="Times New Roman"/>
          <w:color w:val="auto"/>
          <w:position w:val="2"/>
          <w:vertAlign w:val="subscript"/>
        </w:rPr>
        <w:t>3</w:t>
      </w:r>
      <w:r>
        <w:rPr>
          <w:rFonts w:eastAsia="Times New Roman"/>
          <w:color w:val="auto"/>
          <w:position w:val="2"/>
        </w:rPr>
        <w:t xml:space="preserve"> </w:t>
      </w:r>
      <w:r>
        <w:rPr>
          <w:color w:val="auto"/>
          <w:spacing w:val="-15"/>
          <w:position w:val="2"/>
        </w:rPr>
        <w:t>年评价指标均可达到《环境空气质量标准》</w:t>
      </w:r>
      <w:r>
        <w:rPr>
          <w:color w:val="auto"/>
          <w:spacing w:val="-3"/>
          <w:position w:val="2"/>
        </w:rPr>
        <w:t>（</w:t>
      </w:r>
      <w:r>
        <w:rPr>
          <w:rFonts w:eastAsia="Times New Roman"/>
          <w:color w:val="auto"/>
          <w:spacing w:val="-3"/>
          <w:position w:val="2"/>
        </w:rPr>
        <w:t>GB3095-2012</w:t>
      </w:r>
      <w:r>
        <w:rPr>
          <w:color w:val="auto"/>
          <w:spacing w:val="-3"/>
          <w:position w:val="2"/>
        </w:rPr>
        <w:t xml:space="preserve">） </w:t>
      </w:r>
      <w:r>
        <w:rPr>
          <w:color w:val="auto"/>
        </w:rPr>
        <w:t>及其修改单中的二级标准，具体详见下表。</w:t>
      </w:r>
    </w:p>
    <w:p>
      <w:pPr>
        <w:pStyle w:val="31"/>
        <w:rPr>
          <w:color w:val="auto"/>
        </w:rPr>
      </w:pPr>
      <w:r>
        <w:rPr>
          <w:color w:val="auto"/>
        </w:rPr>
        <w:t>表4.3-1  2021年区域空气质量现状评价表</w:t>
      </w:r>
      <w:r>
        <w:rPr>
          <w:color w:val="auto"/>
        </w:rPr>
        <w:tab/>
      </w:r>
      <w:r>
        <w:rPr>
          <w:color w:val="auto"/>
        </w:rPr>
        <w:t>单位：（mg/m</w:t>
      </w:r>
      <w:r>
        <w:rPr>
          <w:color w:val="auto"/>
          <w:vertAlign w:val="superscript"/>
        </w:rPr>
        <w:t>3</w:t>
      </w:r>
      <w:r>
        <w:rPr>
          <w:color w:val="auto"/>
        </w:rPr>
        <w:t>）</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3"/>
        <w:gridCol w:w="1595"/>
        <w:gridCol w:w="868"/>
        <w:gridCol w:w="1202"/>
        <w:gridCol w:w="1195"/>
        <w:gridCol w:w="962"/>
        <w:gridCol w:w="1016"/>
        <w:gridCol w:w="81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512" w:type="pct"/>
            <w:vAlign w:val="center"/>
          </w:tcPr>
          <w:p>
            <w:pPr>
              <w:pStyle w:val="30"/>
              <w:rPr>
                <w:b/>
                <w:bCs/>
                <w:color w:val="auto"/>
              </w:rPr>
            </w:pPr>
            <w:r>
              <w:rPr>
                <w:b/>
                <w:bCs/>
                <w:color w:val="auto"/>
              </w:rPr>
              <w:t>评价因子</w:t>
            </w:r>
          </w:p>
        </w:tc>
        <w:tc>
          <w:tcPr>
            <w:tcW w:w="935" w:type="pct"/>
            <w:vAlign w:val="center"/>
          </w:tcPr>
          <w:p>
            <w:pPr>
              <w:pStyle w:val="30"/>
              <w:rPr>
                <w:b/>
                <w:bCs/>
                <w:color w:val="auto"/>
              </w:rPr>
            </w:pPr>
            <w:r>
              <w:rPr>
                <w:b/>
                <w:bCs/>
                <w:color w:val="auto"/>
              </w:rPr>
              <w:t>评价时段</w:t>
            </w:r>
          </w:p>
        </w:tc>
        <w:tc>
          <w:tcPr>
            <w:tcW w:w="509" w:type="pct"/>
            <w:vAlign w:val="center"/>
          </w:tcPr>
          <w:p>
            <w:pPr>
              <w:pStyle w:val="30"/>
              <w:rPr>
                <w:b/>
                <w:bCs/>
                <w:color w:val="auto"/>
              </w:rPr>
            </w:pPr>
            <w:r>
              <w:rPr>
                <w:b/>
                <w:bCs/>
                <w:color w:val="auto"/>
              </w:rPr>
              <w:t>百分位</w:t>
            </w:r>
          </w:p>
        </w:tc>
        <w:tc>
          <w:tcPr>
            <w:tcW w:w="705" w:type="pct"/>
            <w:vAlign w:val="center"/>
          </w:tcPr>
          <w:p>
            <w:pPr>
              <w:pStyle w:val="30"/>
              <w:rPr>
                <w:b/>
                <w:bCs/>
                <w:color w:val="auto"/>
              </w:rPr>
            </w:pPr>
            <w:r>
              <w:rPr>
                <w:b/>
                <w:bCs/>
                <w:color w:val="auto"/>
              </w:rPr>
              <w:t>现状浓度（μg/m</w:t>
            </w:r>
            <w:r>
              <w:rPr>
                <w:b/>
                <w:bCs/>
                <w:color w:val="auto"/>
                <w:vertAlign w:val="superscript"/>
              </w:rPr>
              <w:t>3</w:t>
            </w:r>
            <w:r>
              <w:rPr>
                <w:b/>
                <w:bCs/>
                <w:color w:val="auto"/>
              </w:rPr>
              <w:t>）</w:t>
            </w:r>
          </w:p>
        </w:tc>
        <w:tc>
          <w:tcPr>
            <w:tcW w:w="701" w:type="pct"/>
            <w:vAlign w:val="center"/>
          </w:tcPr>
          <w:p>
            <w:pPr>
              <w:pStyle w:val="30"/>
              <w:rPr>
                <w:b/>
                <w:bCs/>
                <w:color w:val="auto"/>
              </w:rPr>
            </w:pPr>
            <w:r>
              <w:rPr>
                <w:b/>
                <w:bCs/>
                <w:color w:val="auto"/>
              </w:rPr>
              <w:t>标准值（μg/m</w:t>
            </w:r>
            <w:r>
              <w:rPr>
                <w:b/>
                <w:bCs/>
                <w:color w:val="auto"/>
                <w:vertAlign w:val="superscript"/>
              </w:rPr>
              <w:t>3</w:t>
            </w:r>
            <w:r>
              <w:rPr>
                <w:b/>
                <w:bCs/>
                <w:color w:val="auto"/>
              </w:rPr>
              <w:t>）</w:t>
            </w:r>
          </w:p>
        </w:tc>
        <w:tc>
          <w:tcPr>
            <w:tcW w:w="564" w:type="pct"/>
            <w:vAlign w:val="center"/>
          </w:tcPr>
          <w:p>
            <w:pPr>
              <w:pStyle w:val="30"/>
              <w:rPr>
                <w:b/>
                <w:bCs/>
                <w:color w:val="auto"/>
              </w:rPr>
            </w:pPr>
            <w:r>
              <w:rPr>
                <w:b/>
                <w:bCs/>
                <w:color w:val="auto"/>
              </w:rPr>
              <w:t>占标率（%）</w:t>
            </w:r>
          </w:p>
        </w:tc>
        <w:tc>
          <w:tcPr>
            <w:tcW w:w="596" w:type="pct"/>
            <w:vAlign w:val="center"/>
          </w:tcPr>
          <w:p>
            <w:pPr>
              <w:pStyle w:val="30"/>
              <w:rPr>
                <w:b/>
                <w:bCs/>
                <w:color w:val="auto"/>
              </w:rPr>
            </w:pPr>
            <w:r>
              <w:rPr>
                <w:b/>
                <w:bCs/>
                <w:color w:val="auto"/>
              </w:rPr>
              <w:t>达标情况</w:t>
            </w:r>
          </w:p>
        </w:tc>
        <w:tc>
          <w:tcPr>
            <w:tcW w:w="475" w:type="pct"/>
            <w:vAlign w:val="center"/>
          </w:tcPr>
          <w:p>
            <w:pPr>
              <w:pStyle w:val="30"/>
              <w:rPr>
                <w:b/>
                <w:bCs/>
                <w:color w:val="auto"/>
              </w:rPr>
            </w:pPr>
            <w:r>
              <w:rPr>
                <w:b/>
                <w:bCs/>
                <w:color w:val="auto"/>
              </w:rPr>
              <w:t>超标倍数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512" w:type="pct"/>
            <w:vMerge w:val="restart"/>
            <w:vAlign w:val="center"/>
          </w:tcPr>
          <w:p>
            <w:pPr>
              <w:pStyle w:val="30"/>
              <w:rPr>
                <w:color w:val="auto"/>
              </w:rPr>
            </w:pPr>
            <w:r>
              <w:rPr>
                <w:color w:val="auto"/>
              </w:rPr>
              <w:t>SO</w:t>
            </w:r>
            <w:r>
              <w:rPr>
                <w:color w:val="auto"/>
                <w:vertAlign w:val="subscript"/>
              </w:rPr>
              <w:t>2</w:t>
            </w:r>
          </w:p>
        </w:tc>
        <w:tc>
          <w:tcPr>
            <w:tcW w:w="935" w:type="pct"/>
            <w:vAlign w:val="center"/>
          </w:tcPr>
          <w:p>
            <w:pPr>
              <w:pStyle w:val="30"/>
              <w:rPr>
                <w:color w:val="auto"/>
              </w:rPr>
            </w:pPr>
            <w:r>
              <w:rPr>
                <w:color w:val="auto"/>
              </w:rPr>
              <w:t>年平均浓度</w:t>
            </w:r>
          </w:p>
        </w:tc>
        <w:tc>
          <w:tcPr>
            <w:tcW w:w="509" w:type="pct"/>
            <w:vAlign w:val="center"/>
          </w:tcPr>
          <w:p>
            <w:pPr>
              <w:pStyle w:val="30"/>
              <w:rPr>
                <w:color w:val="auto"/>
              </w:rPr>
            </w:pPr>
            <w:r>
              <w:rPr>
                <w:color w:val="auto"/>
              </w:rPr>
              <w:t>/</w:t>
            </w:r>
          </w:p>
        </w:tc>
        <w:tc>
          <w:tcPr>
            <w:tcW w:w="705" w:type="pct"/>
            <w:vAlign w:val="center"/>
          </w:tcPr>
          <w:p>
            <w:pPr>
              <w:pStyle w:val="30"/>
              <w:rPr>
                <w:color w:val="auto"/>
              </w:rPr>
            </w:pPr>
            <w:r>
              <w:rPr>
                <w:color w:val="auto"/>
              </w:rPr>
              <w:t>5.50</w:t>
            </w:r>
          </w:p>
        </w:tc>
        <w:tc>
          <w:tcPr>
            <w:tcW w:w="701" w:type="pct"/>
            <w:vAlign w:val="center"/>
          </w:tcPr>
          <w:p>
            <w:pPr>
              <w:pStyle w:val="30"/>
              <w:rPr>
                <w:color w:val="auto"/>
              </w:rPr>
            </w:pPr>
            <w:r>
              <w:rPr>
                <w:color w:val="auto"/>
              </w:rPr>
              <w:t>60</w:t>
            </w:r>
          </w:p>
        </w:tc>
        <w:tc>
          <w:tcPr>
            <w:tcW w:w="564" w:type="pct"/>
            <w:vAlign w:val="center"/>
          </w:tcPr>
          <w:p>
            <w:pPr>
              <w:pStyle w:val="30"/>
              <w:rPr>
                <w:color w:val="auto"/>
              </w:rPr>
            </w:pPr>
            <w:r>
              <w:rPr>
                <w:color w:val="auto"/>
              </w:rPr>
              <w:t>9.2</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12" w:type="pct"/>
            <w:vMerge w:val="continue"/>
            <w:vAlign w:val="center"/>
          </w:tcPr>
          <w:p>
            <w:pPr>
              <w:pStyle w:val="30"/>
              <w:rPr>
                <w:color w:val="auto"/>
              </w:rPr>
            </w:pPr>
          </w:p>
        </w:tc>
        <w:tc>
          <w:tcPr>
            <w:tcW w:w="935" w:type="pct"/>
            <w:vAlign w:val="center"/>
          </w:tcPr>
          <w:p>
            <w:pPr>
              <w:pStyle w:val="30"/>
              <w:rPr>
                <w:color w:val="auto"/>
              </w:rPr>
            </w:pPr>
            <w:r>
              <w:rPr>
                <w:color w:val="auto"/>
              </w:rPr>
              <w:t>百分位上日平均</w:t>
            </w:r>
          </w:p>
        </w:tc>
        <w:tc>
          <w:tcPr>
            <w:tcW w:w="509" w:type="pct"/>
            <w:vAlign w:val="center"/>
          </w:tcPr>
          <w:p>
            <w:pPr>
              <w:pStyle w:val="30"/>
              <w:rPr>
                <w:color w:val="auto"/>
              </w:rPr>
            </w:pPr>
            <w:r>
              <w:rPr>
                <w:color w:val="auto"/>
              </w:rPr>
              <w:t>98</w:t>
            </w:r>
          </w:p>
        </w:tc>
        <w:tc>
          <w:tcPr>
            <w:tcW w:w="705" w:type="pct"/>
            <w:vAlign w:val="center"/>
          </w:tcPr>
          <w:p>
            <w:pPr>
              <w:pStyle w:val="30"/>
              <w:rPr>
                <w:color w:val="auto"/>
              </w:rPr>
            </w:pPr>
            <w:r>
              <w:rPr>
                <w:color w:val="auto"/>
              </w:rPr>
              <w:t>12</w:t>
            </w:r>
          </w:p>
        </w:tc>
        <w:tc>
          <w:tcPr>
            <w:tcW w:w="701" w:type="pct"/>
            <w:vAlign w:val="center"/>
          </w:tcPr>
          <w:p>
            <w:pPr>
              <w:pStyle w:val="30"/>
              <w:rPr>
                <w:color w:val="auto"/>
              </w:rPr>
            </w:pPr>
            <w:r>
              <w:rPr>
                <w:color w:val="auto"/>
              </w:rPr>
              <w:t>150</w:t>
            </w:r>
          </w:p>
        </w:tc>
        <w:tc>
          <w:tcPr>
            <w:tcW w:w="564" w:type="pct"/>
            <w:vAlign w:val="center"/>
          </w:tcPr>
          <w:p>
            <w:pPr>
              <w:pStyle w:val="30"/>
              <w:rPr>
                <w:color w:val="auto"/>
              </w:rPr>
            </w:pPr>
            <w:r>
              <w:rPr>
                <w:color w:val="auto"/>
              </w:rPr>
              <w:t>8</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512" w:type="pct"/>
            <w:vMerge w:val="restart"/>
            <w:vAlign w:val="center"/>
          </w:tcPr>
          <w:p>
            <w:pPr>
              <w:pStyle w:val="30"/>
              <w:rPr>
                <w:color w:val="auto"/>
              </w:rPr>
            </w:pPr>
            <w:r>
              <w:rPr>
                <w:color w:val="auto"/>
              </w:rPr>
              <w:t>NO</w:t>
            </w:r>
            <w:r>
              <w:rPr>
                <w:color w:val="auto"/>
                <w:vertAlign w:val="subscript"/>
              </w:rPr>
              <w:t>2</w:t>
            </w:r>
          </w:p>
        </w:tc>
        <w:tc>
          <w:tcPr>
            <w:tcW w:w="935" w:type="pct"/>
            <w:vAlign w:val="center"/>
          </w:tcPr>
          <w:p>
            <w:pPr>
              <w:pStyle w:val="30"/>
              <w:rPr>
                <w:color w:val="auto"/>
              </w:rPr>
            </w:pPr>
            <w:r>
              <w:rPr>
                <w:color w:val="auto"/>
              </w:rPr>
              <w:t>年平均浓度</w:t>
            </w:r>
          </w:p>
        </w:tc>
        <w:tc>
          <w:tcPr>
            <w:tcW w:w="509" w:type="pct"/>
            <w:vAlign w:val="center"/>
          </w:tcPr>
          <w:p>
            <w:pPr>
              <w:pStyle w:val="30"/>
              <w:rPr>
                <w:color w:val="auto"/>
              </w:rPr>
            </w:pPr>
            <w:r>
              <w:rPr>
                <w:color w:val="auto"/>
              </w:rPr>
              <w:t>/</w:t>
            </w:r>
          </w:p>
        </w:tc>
        <w:tc>
          <w:tcPr>
            <w:tcW w:w="705" w:type="pct"/>
            <w:vAlign w:val="center"/>
          </w:tcPr>
          <w:p>
            <w:pPr>
              <w:pStyle w:val="30"/>
              <w:rPr>
                <w:color w:val="auto"/>
              </w:rPr>
            </w:pPr>
            <w:r>
              <w:rPr>
                <w:color w:val="auto"/>
              </w:rPr>
              <w:t>16.24</w:t>
            </w:r>
          </w:p>
        </w:tc>
        <w:tc>
          <w:tcPr>
            <w:tcW w:w="701" w:type="pct"/>
            <w:vAlign w:val="center"/>
          </w:tcPr>
          <w:p>
            <w:pPr>
              <w:pStyle w:val="30"/>
              <w:rPr>
                <w:color w:val="auto"/>
              </w:rPr>
            </w:pPr>
            <w:r>
              <w:rPr>
                <w:color w:val="auto"/>
              </w:rPr>
              <w:t>40</w:t>
            </w:r>
          </w:p>
        </w:tc>
        <w:tc>
          <w:tcPr>
            <w:tcW w:w="564" w:type="pct"/>
            <w:vAlign w:val="center"/>
          </w:tcPr>
          <w:p>
            <w:pPr>
              <w:pStyle w:val="30"/>
              <w:rPr>
                <w:color w:val="auto"/>
              </w:rPr>
            </w:pPr>
            <w:r>
              <w:rPr>
                <w:color w:val="auto"/>
              </w:rPr>
              <w:t>40.6</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52" w:hRule="atLeast"/>
          <w:jc w:val="center"/>
        </w:trPr>
        <w:tc>
          <w:tcPr>
            <w:tcW w:w="512" w:type="pct"/>
            <w:vMerge w:val="continue"/>
            <w:vAlign w:val="center"/>
          </w:tcPr>
          <w:p>
            <w:pPr>
              <w:pStyle w:val="30"/>
              <w:rPr>
                <w:color w:val="auto"/>
              </w:rPr>
            </w:pPr>
          </w:p>
        </w:tc>
        <w:tc>
          <w:tcPr>
            <w:tcW w:w="935" w:type="pct"/>
            <w:vAlign w:val="center"/>
          </w:tcPr>
          <w:p>
            <w:pPr>
              <w:pStyle w:val="30"/>
              <w:rPr>
                <w:color w:val="auto"/>
              </w:rPr>
            </w:pPr>
            <w:r>
              <w:rPr>
                <w:color w:val="auto"/>
              </w:rPr>
              <w:t>百分位上日平均</w:t>
            </w:r>
          </w:p>
        </w:tc>
        <w:tc>
          <w:tcPr>
            <w:tcW w:w="509" w:type="pct"/>
            <w:vAlign w:val="center"/>
          </w:tcPr>
          <w:p>
            <w:pPr>
              <w:pStyle w:val="30"/>
              <w:rPr>
                <w:color w:val="auto"/>
              </w:rPr>
            </w:pPr>
            <w:r>
              <w:rPr>
                <w:color w:val="auto"/>
              </w:rPr>
              <w:t>98</w:t>
            </w:r>
          </w:p>
        </w:tc>
        <w:tc>
          <w:tcPr>
            <w:tcW w:w="705" w:type="pct"/>
            <w:vAlign w:val="center"/>
          </w:tcPr>
          <w:p>
            <w:pPr>
              <w:pStyle w:val="30"/>
              <w:rPr>
                <w:color w:val="auto"/>
              </w:rPr>
            </w:pPr>
            <w:r>
              <w:rPr>
                <w:color w:val="auto"/>
              </w:rPr>
              <w:t>38</w:t>
            </w:r>
          </w:p>
        </w:tc>
        <w:tc>
          <w:tcPr>
            <w:tcW w:w="701" w:type="pct"/>
            <w:vAlign w:val="center"/>
          </w:tcPr>
          <w:p>
            <w:pPr>
              <w:pStyle w:val="30"/>
              <w:rPr>
                <w:color w:val="auto"/>
              </w:rPr>
            </w:pPr>
            <w:r>
              <w:rPr>
                <w:color w:val="auto"/>
              </w:rPr>
              <w:t>80</w:t>
            </w:r>
          </w:p>
        </w:tc>
        <w:tc>
          <w:tcPr>
            <w:tcW w:w="564" w:type="pct"/>
            <w:vAlign w:val="center"/>
          </w:tcPr>
          <w:p>
            <w:pPr>
              <w:pStyle w:val="30"/>
              <w:rPr>
                <w:color w:val="auto"/>
              </w:rPr>
            </w:pPr>
            <w:r>
              <w:rPr>
                <w:color w:val="auto"/>
              </w:rPr>
              <w:t>47.5</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12" w:type="pct"/>
            <w:vMerge w:val="restart"/>
            <w:vAlign w:val="center"/>
          </w:tcPr>
          <w:p>
            <w:pPr>
              <w:pStyle w:val="30"/>
              <w:rPr>
                <w:color w:val="auto"/>
              </w:rPr>
            </w:pPr>
            <w:r>
              <w:rPr>
                <w:color w:val="auto"/>
              </w:rPr>
              <w:t>PM</w:t>
            </w:r>
            <w:r>
              <w:rPr>
                <w:color w:val="auto"/>
                <w:vertAlign w:val="subscript"/>
              </w:rPr>
              <w:t>10</w:t>
            </w:r>
          </w:p>
        </w:tc>
        <w:tc>
          <w:tcPr>
            <w:tcW w:w="935" w:type="pct"/>
            <w:vAlign w:val="center"/>
          </w:tcPr>
          <w:p>
            <w:pPr>
              <w:pStyle w:val="30"/>
              <w:rPr>
                <w:color w:val="auto"/>
              </w:rPr>
            </w:pPr>
            <w:r>
              <w:rPr>
                <w:color w:val="auto"/>
              </w:rPr>
              <w:t>年平均浓度</w:t>
            </w:r>
          </w:p>
        </w:tc>
        <w:tc>
          <w:tcPr>
            <w:tcW w:w="509" w:type="pct"/>
            <w:vAlign w:val="center"/>
          </w:tcPr>
          <w:p>
            <w:pPr>
              <w:pStyle w:val="30"/>
              <w:rPr>
                <w:color w:val="auto"/>
              </w:rPr>
            </w:pPr>
            <w:r>
              <w:rPr>
                <w:color w:val="auto"/>
              </w:rPr>
              <w:t>/</w:t>
            </w:r>
          </w:p>
        </w:tc>
        <w:tc>
          <w:tcPr>
            <w:tcW w:w="705" w:type="pct"/>
            <w:vAlign w:val="center"/>
          </w:tcPr>
          <w:p>
            <w:pPr>
              <w:pStyle w:val="30"/>
              <w:rPr>
                <w:color w:val="auto"/>
              </w:rPr>
            </w:pPr>
            <w:r>
              <w:rPr>
                <w:color w:val="auto"/>
              </w:rPr>
              <w:t>50.91</w:t>
            </w:r>
          </w:p>
        </w:tc>
        <w:tc>
          <w:tcPr>
            <w:tcW w:w="701" w:type="pct"/>
            <w:vAlign w:val="center"/>
          </w:tcPr>
          <w:p>
            <w:pPr>
              <w:pStyle w:val="30"/>
              <w:rPr>
                <w:color w:val="auto"/>
              </w:rPr>
            </w:pPr>
            <w:r>
              <w:rPr>
                <w:color w:val="auto"/>
              </w:rPr>
              <w:t>70</w:t>
            </w:r>
          </w:p>
        </w:tc>
        <w:tc>
          <w:tcPr>
            <w:tcW w:w="564" w:type="pct"/>
            <w:vAlign w:val="center"/>
          </w:tcPr>
          <w:p>
            <w:pPr>
              <w:pStyle w:val="30"/>
              <w:rPr>
                <w:color w:val="auto"/>
              </w:rPr>
            </w:pPr>
            <w:r>
              <w:rPr>
                <w:color w:val="auto"/>
              </w:rPr>
              <w:t>72.7</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512" w:type="pct"/>
            <w:vMerge w:val="continue"/>
            <w:vAlign w:val="center"/>
          </w:tcPr>
          <w:p>
            <w:pPr>
              <w:pStyle w:val="30"/>
              <w:rPr>
                <w:color w:val="auto"/>
              </w:rPr>
            </w:pPr>
          </w:p>
        </w:tc>
        <w:tc>
          <w:tcPr>
            <w:tcW w:w="935" w:type="pct"/>
            <w:vAlign w:val="center"/>
          </w:tcPr>
          <w:p>
            <w:pPr>
              <w:pStyle w:val="30"/>
              <w:rPr>
                <w:color w:val="auto"/>
              </w:rPr>
            </w:pPr>
            <w:r>
              <w:rPr>
                <w:color w:val="auto"/>
              </w:rPr>
              <w:t>百分位上日平均</w:t>
            </w:r>
          </w:p>
        </w:tc>
        <w:tc>
          <w:tcPr>
            <w:tcW w:w="509" w:type="pct"/>
            <w:vAlign w:val="center"/>
          </w:tcPr>
          <w:p>
            <w:pPr>
              <w:pStyle w:val="30"/>
              <w:rPr>
                <w:color w:val="auto"/>
              </w:rPr>
            </w:pPr>
            <w:r>
              <w:rPr>
                <w:color w:val="auto"/>
              </w:rPr>
              <w:t>95</w:t>
            </w:r>
          </w:p>
        </w:tc>
        <w:tc>
          <w:tcPr>
            <w:tcW w:w="705" w:type="pct"/>
            <w:vAlign w:val="center"/>
          </w:tcPr>
          <w:p>
            <w:pPr>
              <w:pStyle w:val="30"/>
              <w:rPr>
                <w:color w:val="auto"/>
              </w:rPr>
            </w:pPr>
            <w:r>
              <w:rPr>
                <w:color w:val="auto"/>
              </w:rPr>
              <w:t>105</w:t>
            </w:r>
          </w:p>
        </w:tc>
        <w:tc>
          <w:tcPr>
            <w:tcW w:w="701" w:type="pct"/>
            <w:vAlign w:val="center"/>
          </w:tcPr>
          <w:p>
            <w:pPr>
              <w:pStyle w:val="30"/>
              <w:rPr>
                <w:color w:val="auto"/>
              </w:rPr>
            </w:pPr>
            <w:r>
              <w:rPr>
                <w:color w:val="auto"/>
              </w:rPr>
              <w:t>150</w:t>
            </w:r>
          </w:p>
        </w:tc>
        <w:tc>
          <w:tcPr>
            <w:tcW w:w="564" w:type="pct"/>
            <w:vAlign w:val="center"/>
          </w:tcPr>
          <w:p>
            <w:pPr>
              <w:pStyle w:val="30"/>
              <w:rPr>
                <w:color w:val="auto"/>
              </w:rPr>
            </w:pPr>
            <w:r>
              <w:rPr>
                <w:color w:val="auto"/>
              </w:rPr>
              <w:t>70</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512" w:type="pct"/>
            <w:vMerge w:val="restart"/>
            <w:vAlign w:val="center"/>
          </w:tcPr>
          <w:p>
            <w:pPr>
              <w:pStyle w:val="30"/>
              <w:rPr>
                <w:color w:val="auto"/>
              </w:rPr>
            </w:pPr>
            <w:r>
              <w:rPr>
                <w:color w:val="auto"/>
              </w:rPr>
              <w:t>PM</w:t>
            </w:r>
            <w:r>
              <w:rPr>
                <w:color w:val="auto"/>
                <w:vertAlign w:val="subscript"/>
              </w:rPr>
              <w:t>2.5</w:t>
            </w:r>
          </w:p>
        </w:tc>
        <w:tc>
          <w:tcPr>
            <w:tcW w:w="935" w:type="pct"/>
            <w:vAlign w:val="center"/>
          </w:tcPr>
          <w:p>
            <w:pPr>
              <w:pStyle w:val="30"/>
              <w:rPr>
                <w:color w:val="auto"/>
              </w:rPr>
            </w:pPr>
            <w:r>
              <w:rPr>
                <w:color w:val="auto"/>
              </w:rPr>
              <w:t>年平均浓度</w:t>
            </w:r>
          </w:p>
        </w:tc>
        <w:tc>
          <w:tcPr>
            <w:tcW w:w="509" w:type="pct"/>
            <w:vAlign w:val="center"/>
          </w:tcPr>
          <w:p>
            <w:pPr>
              <w:pStyle w:val="30"/>
              <w:rPr>
                <w:color w:val="auto"/>
              </w:rPr>
            </w:pPr>
            <w:r>
              <w:rPr>
                <w:color w:val="auto"/>
              </w:rPr>
              <w:t>/</w:t>
            </w:r>
          </w:p>
        </w:tc>
        <w:tc>
          <w:tcPr>
            <w:tcW w:w="705" w:type="pct"/>
            <w:vAlign w:val="center"/>
          </w:tcPr>
          <w:p>
            <w:pPr>
              <w:pStyle w:val="30"/>
              <w:rPr>
                <w:color w:val="auto"/>
              </w:rPr>
            </w:pPr>
            <w:r>
              <w:rPr>
                <w:color w:val="auto"/>
              </w:rPr>
              <w:t>29.22</w:t>
            </w:r>
          </w:p>
        </w:tc>
        <w:tc>
          <w:tcPr>
            <w:tcW w:w="701" w:type="pct"/>
            <w:vAlign w:val="center"/>
          </w:tcPr>
          <w:p>
            <w:pPr>
              <w:pStyle w:val="30"/>
              <w:rPr>
                <w:color w:val="auto"/>
              </w:rPr>
            </w:pPr>
            <w:r>
              <w:rPr>
                <w:color w:val="auto"/>
              </w:rPr>
              <w:t>35</w:t>
            </w:r>
          </w:p>
        </w:tc>
        <w:tc>
          <w:tcPr>
            <w:tcW w:w="564" w:type="pct"/>
            <w:vAlign w:val="center"/>
          </w:tcPr>
          <w:p>
            <w:pPr>
              <w:pStyle w:val="30"/>
              <w:rPr>
                <w:color w:val="auto"/>
              </w:rPr>
            </w:pPr>
            <w:r>
              <w:rPr>
                <w:color w:val="auto"/>
              </w:rPr>
              <w:t>83.5</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512" w:type="pct"/>
            <w:vMerge w:val="continue"/>
            <w:vAlign w:val="center"/>
          </w:tcPr>
          <w:p>
            <w:pPr>
              <w:pStyle w:val="30"/>
              <w:rPr>
                <w:color w:val="auto"/>
              </w:rPr>
            </w:pPr>
          </w:p>
        </w:tc>
        <w:tc>
          <w:tcPr>
            <w:tcW w:w="935" w:type="pct"/>
            <w:vAlign w:val="center"/>
          </w:tcPr>
          <w:p>
            <w:pPr>
              <w:pStyle w:val="30"/>
              <w:rPr>
                <w:color w:val="auto"/>
              </w:rPr>
            </w:pPr>
            <w:r>
              <w:rPr>
                <w:color w:val="auto"/>
              </w:rPr>
              <w:t>百分位上日平均</w:t>
            </w:r>
          </w:p>
        </w:tc>
        <w:tc>
          <w:tcPr>
            <w:tcW w:w="509" w:type="pct"/>
            <w:vAlign w:val="center"/>
          </w:tcPr>
          <w:p>
            <w:pPr>
              <w:pStyle w:val="30"/>
              <w:rPr>
                <w:color w:val="auto"/>
              </w:rPr>
            </w:pPr>
            <w:r>
              <w:rPr>
                <w:color w:val="auto"/>
              </w:rPr>
              <w:t>95</w:t>
            </w:r>
          </w:p>
        </w:tc>
        <w:tc>
          <w:tcPr>
            <w:tcW w:w="705" w:type="pct"/>
            <w:vAlign w:val="center"/>
          </w:tcPr>
          <w:p>
            <w:pPr>
              <w:pStyle w:val="30"/>
              <w:rPr>
                <w:color w:val="auto"/>
              </w:rPr>
            </w:pPr>
            <w:r>
              <w:rPr>
                <w:color w:val="auto"/>
              </w:rPr>
              <w:t>65.2</w:t>
            </w:r>
          </w:p>
        </w:tc>
        <w:tc>
          <w:tcPr>
            <w:tcW w:w="701" w:type="pct"/>
            <w:vAlign w:val="center"/>
          </w:tcPr>
          <w:p>
            <w:pPr>
              <w:pStyle w:val="30"/>
              <w:rPr>
                <w:color w:val="auto"/>
              </w:rPr>
            </w:pPr>
            <w:r>
              <w:rPr>
                <w:color w:val="auto"/>
              </w:rPr>
              <w:t>75</w:t>
            </w:r>
          </w:p>
        </w:tc>
        <w:tc>
          <w:tcPr>
            <w:tcW w:w="564" w:type="pct"/>
            <w:vAlign w:val="center"/>
          </w:tcPr>
          <w:p>
            <w:pPr>
              <w:pStyle w:val="30"/>
              <w:rPr>
                <w:color w:val="auto"/>
              </w:rPr>
            </w:pPr>
            <w:r>
              <w:rPr>
                <w:color w:val="auto"/>
              </w:rPr>
              <w:t>86.9</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512" w:type="pct"/>
            <w:vAlign w:val="center"/>
          </w:tcPr>
          <w:p>
            <w:pPr>
              <w:pStyle w:val="30"/>
              <w:rPr>
                <w:color w:val="auto"/>
              </w:rPr>
            </w:pPr>
            <w:r>
              <w:rPr>
                <w:color w:val="auto"/>
              </w:rPr>
              <w:t>CO</w:t>
            </w:r>
          </w:p>
        </w:tc>
        <w:tc>
          <w:tcPr>
            <w:tcW w:w="935" w:type="pct"/>
            <w:vAlign w:val="center"/>
          </w:tcPr>
          <w:p>
            <w:pPr>
              <w:pStyle w:val="30"/>
              <w:rPr>
                <w:color w:val="auto"/>
              </w:rPr>
            </w:pPr>
            <w:r>
              <w:rPr>
                <w:color w:val="auto"/>
              </w:rPr>
              <w:t>百分位上日平均</w:t>
            </w:r>
          </w:p>
        </w:tc>
        <w:tc>
          <w:tcPr>
            <w:tcW w:w="509" w:type="pct"/>
            <w:vAlign w:val="center"/>
          </w:tcPr>
          <w:p>
            <w:pPr>
              <w:pStyle w:val="30"/>
              <w:rPr>
                <w:color w:val="auto"/>
              </w:rPr>
            </w:pPr>
            <w:r>
              <w:rPr>
                <w:color w:val="auto"/>
              </w:rPr>
              <w:t>95</w:t>
            </w:r>
          </w:p>
        </w:tc>
        <w:tc>
          <w:tcPr>
            <w:tcW w:w="705" w:type="pct"/>
            <w:vAlign w:val="center"/>
          </w:tcPr>
          <w:p>
            <w:pPr>
              <w:pStyle w:val="30"/>
              <w:rPr>
                <w:color w:val="auto"/>
              </w:rPr>
            </w:pPr>
            <w:r>
              <w:rPr>
                <w:color w:val="auto"/>
              </w:rPr>
              <w:t>1000</w:t>
            </w:r>
          </w:p>
        </w:tc>
        <w:tc>
          <w:tcPr>
            <w:tcW w:w="701" w:type="pct"/>
            <w:vAlign w:val="center"/>
          </w:tcPr>
          <w:p>
            <w:pPr>
              <w:pStyle w:val="30"/>
              <w:rPr>
                <w:color w:val="auto"/>
              </w:rPr>
            </w:pPr>
            <w:r>
              <w:rPr>
                <w:color w:val="auto"/>
              </w:rPr>
              <w:t>4000</w:t>
            </w:r>
          </w:p>
        </w:tc>
        <w:tc>
          <w:tcPr>
            <w:tcW w:w="564" w:type="pct"/>
            <w:vAlign w:val="center"/>
          </w:tcPr>
          <w:p>
            <w:pPr>
              <w:pStyle w:val="30"/>
              <w:rPr>
                <w:color w:val="auto"/>
              </w:rPr>
            </w:pPr>
            <w:r>
              <w:rPr>
                <w:color w:val="auto"/>
              </w:rPr>
              <w:t>25</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86" w:hRule="atLeast"/>
          <w:jc w:val="center"/>
        </w:trPr>
        <w:tc>
          <w:tcPr>
            <w:tcW w:w="512" w:type="pct"/>
            <w:vAlign w:val="center"/>
          </w:tcPr>
          <w:p>
            <w:pPr>
              <w:pStyle w:val="30"/>
              <w:rPr>
                <w:color w:val="auto"/>
              </w:rPr>
            </w:pPr>
            <w:r>
              <w:rPr>
                <w:color w:val="auto"/>
              </w:rPr>
              <w:t>O</w:t>
            </w:r>
            <w:r>
              <w:rPr>
                <w:color w:val="auto"/>
                <w:vertAlign w:val="subscript"/>
              </w:rPr>
              <w:t>3</w:t>
            </w:r>
          </w:p>
        </w:tc>
        <w:tc>
          <w:tcPr>
            <w:tcW w:w="935" w:type="pct"/>
            <w:vAlign w:val="center"/>
          </w:tcPr>
          <w:p>
            <w:pPr>
              <w:pStyle w:val="30"/>
              <w:rPr>
                <w:color w:val="auto"/>
              </w:rPr>
            </w:pPr>
            <w:r>
              <w:rPr>
                <w:color w:val="auto"/>
              </w:rPr>
              <w:t>百分位上8h平均质量浓度</w:t>
            </w:r>
          </w:p>
        </w:tc>
        <w:tc>
          <w:tcPr>
            <w:tcW w:w="509" w:type="pct"/>
            <w:vAlign w:val="center"/>
          </w:tcPr>
          <w:p>
            <w:pPr>
              <w:pStyle w:val="30"/>
              <w:rPr>
                <w:color w:val="auto"/>
              </w:rPr>
            </w:pPr>
            <w:r>
              <w:rPr>
                <w:color w:val="auto"/>
              </w:rPr>
              <w:t>90</w:t>
            </w:r>
          </w:p>
        </w:tc>
        <w:tc>
          <w:tcPr>
            <w:tcW w:w="705" w:type="pct"/>
            <w:vAlign w:val="center"/>
          </w:tcPr>
          <w:p>
            <w:pPr>
              <w:pStyle w:val="30"/>
              <w:rPr>
                <w:color w:val="auto"/>
              </w:rPr>
            </w:pPr>
            <w:r>
              <w:rPr>
                <w:color w:val="auto"/>
              </w:rPr>
              <w:t>117</w:t>
            </w:r>
          </w:p>
        </w:tc>
        <w:tc>
          <w:tcPr>
            <w:tcW w:w="701" w:type="pct"/>
            <w:vAlign w:val="center"/>
          </w:tcPr>
          <w:p>
            <w:pPr>
              <w:pStyle w:val="30"/>
              <w:rPr>
                <w:color w:val="auto"/>
              </w:rPr>
            </w:pPr>
            <w:r>
              <w:rPr>
                <w:color w:val="auto"/>
              </w:rPr>
              <w:t>160</w:t>
            </w:r>
          </w:p>
        </w:tc>
        <w:tc>
          <w:tcPr>
            <w:tcW w:w="564" w:type="pct"/>
            <w:vAlign w:val="center"/>
          </w:tcPr>
          <w:p>
            <w:pPr>
              <w:pStyle w:val="30"/>
              <w:rPr>
                <w:color w:val="auto"/>
              </w:rPr>
            </w:pPr>
            <w:r>
              <w:rPr>
                <w:color w:val="auto"/>
              </w:rPr>
              <w:t>73.1</w:t>
            </w:r>
          </w:p>
        </w:tc>
        <w:tc>
          <w:tcPr>
            <w:tcW w:w="596" w:type="pct"/>
            <w:vAlign w:val="center"/>
          </w:tcPr>
          <w:p>
            <w:pPr>
              <w:pStyle w:val="30"/>
              <w:rPr>
                <w:color w:val="auto"/>
              </w:rPr>
            </w:pPr>
            <w:r>
              <w:rPr>
                <w:color w:val="auto"/>
              </w:rPr>
              <w:t>达标</w:t>
            </w:r>
          </w:p>
        </w:tc>
        <w:tc>
          <w:tcPr>
            <w:tcW w:w="475" w:type="pct"/>
            <w:vAlign w:val="center"/>
          </w:tcPr>
          <w:p>
            <w:pPr>
              <w:pStyle w:val="30"/>
              <w:rPr>
                <w:color w:val="auto"/>
              </w:rPr>
            </w:pPr>
            <w:r>
              <w:rPr>
                <w:color w:val="auto"/>
              </w:rPr>
              <w:t>/</w:t>
            </w:r>
          </w:p>
        </w:tc>
      </w:tr>
    </w:tbl>
    <w:p>
      <w:pPr>
        <w:ind w:firstLine="480"/>
        <w:rPr>
          <w:color w:val="auto"/>
        </w:rPr>
      </w:pPr>
      <w:r>
        <w:rPr>
          <w:color w:val="auto"/>
        </w:rPr>
        <w:t>由上表可见，六项基本污染物SO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、CO、O</w:t>
      </w:r>
      <w:r>
        <w:rPr>
          <w:color w:val="auto"/>
          <w:vertAlign w:val="subscript"/>
        </w:rPr>
        <w:t>3</w:t>
      </w:r>
      <w:r>
        <w:rPr>
          <w:color w:val="auto"/>
        </w:rPr>
        <w:t>均满足《环境空气质量标准》（GB3095-2012）及其修改单中的二级标准。表明项目区域大气环境质量为达标区。</w:t>
      </w:r>
    </w:p>
    <w:p>
      <w:pPr>
        <w:ind w:firstLine="482"/>
        <w:rPr>
          <w:b/>
          <w:bCs/>
          <w:color w:val="auto"/>
        </w:rPr>
      </w:pPr>
      <w:r>
        <w:rPr>
          <w:b/>
          <w:bCs/>
          <w:color w:val="auto"/>
        </w:rPr>
        <w:t>2、其他污染物环境质量情况</w:t>
      </w:r>
    </w:p>
    <w:p>
      <w:pPr>
        <w:ind w:firstLine="480"/>
        <w:rPr>
          <w:color w:val="auto"/>
        </w:rPr>
      </w:pPr>
      <w:r>
        <w:rPr>
          <w:color w:val="auto"/>
        </w:rPr>
        <w:t>为了解项目区域环境空气质量现状情况，本次评价引用《岳阳东鸿新型材料有限公司年产9万立方米XPS保温板材建设项目》于2022年5月12日-18日委托汨江检测有限公司进行的环境空气质量现状检测结果（监测点位命名为G1）以及《汨罗市顺华锂业有限公司年处理15万吨废旧动力电池及废料再生循环利用项目（一期）环境影响报告书》中湖南华环检测技术有限公司于2021年11月22日~11月28日进行的周边环境空气质量补充监测结果（监测点位命名为G</w:t>
      </w:r>
      <w:r>
        <w:rPr>
          <w:color w:val="auto"/>
          <w:vertAlign w:val="subscript"/>
        </w:rPr>
        <w:t>2</w:t>
      </w:r>
      <w:r>
        <w:rPr>
          <w:color w:val="auto"/>
        </w:rPr>
        <w:t>、G</w:t>
      </w:r>
      <w:r>
        <w:rPr>
          <w:color w:val="auto"/>
          <w:vertAlign w:val="subscript"/>
        </w:rPr>
        <w:t>3</w:t>
      </w:r>
      <w:r>
        <w:rPr>
          <w:color w:val="auto"/>
        </w:rPr>
        <w:t>）。监测因子、监测点位以及监测点相对于本项目的情况见下表。</w:t>
      </w:r>
    </w:p>
    <w:p>
      <w:pPr>
        <w:pStyle w:val="31"/>
        <w:rPr>
          <w:color w:val="auto"/>
        </w:rPr>
      </w:pPr>
      <w:r>
        <w:rPr>
          <w:color w:val="auto"/>
        </w:rPr>
        <w:t>表4.3-2  环境空气质量引用点位一览表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19"/>
        <w:gridCol w:w="1771"/>
        <w:gridCol w:w="1958"/>
        <w:gridCol w:w="2778"/>
        <w:gridCol w:w="139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jc w:val="center"/>
        </w:trPr>
        <w:tc>
          <w:tcPr>
            <w:tcW w:w="363" w:type="pct"/>
            <w:vAlign w:val="center"/>
          </w:tcPr>
          <w:p>
            <w:pPr>
              <w:pStyle w:val="30"/>
              <w:rPr>
                <w:b/>
                <w:bCs/>
                <w:color w:val="auto"/>
              </w:rPr>
            </w:pPr>
            <w:r>
              <w:rPr>
                <w:b/>
                <w:bCs/>
                <w:color w:val="auto"/>
              </w:rPr>
              <w:t>编号</w:t>
            </w:r>
          </w:p>
        </w:tc>
        <w:tc>
          <w:tcPr>
            <w:tcW w:w="1039" w:type="pct"/>
            <w:vAlign w:val="center"/>
          </w:tcPr>
          <w:p>
            <w:pPr>
              <w:pStyle w:val="30"/>
              <w:rPr>
                <w:b/>
                <w:bCs/>
                <w:color w:val="auto"/>
              </w:rPr>
            </w:pPr>
            <w:r>
              <w:rPr>
                <w:b/>
                <w:bCs/>
                <w:color w:val="auto"/>
              </w:rPr>
              <w:t>点位名称</w:t>
            </w:r>
          </w:p>
        </w:tc>
        <w:tc>
          <w:tcPr>
            <w:tcW w:w="1149" w:type="pct"/>
            <w:vAlign w:val="center"/>
          </w:tcPr>
          <w:p>
            <w:pPr>
              <w:pStyle w:val="30"/>
              <w:rPr>
                <w:b/>
                <w:bCs/>
                <w:color w:val="auto"/>
              </w:rPr>
            </w:pPr>
            <w:r>
              <w:rPr>
                <w:b/>
                <w:bCs/>
                <w:color w:val="auto"/>
              </w:rPr>
              <w:t>相对本项目位置</w:t>
            </w:r>
          </w:p>
        </w:tc>
        <w:tc>
          <w:tcPr>
            <w:tcW w:w="1630" w:type="pct"/>
            <w:vAlign w:val="center"/>
          </w:tcPr>
          <w:p>
            <w:pPr>
              <w:pStyle w:val="30"/>
              <w:rPr>
                <w:b/>
                <w:bCs/>
                <w:color w:val="auto"/>
              </w:rPr>
            </w:pPr>
            <w:r>
              <w:rPr>
                <w:b/>
                <w:bCs/>
                <w:color w:val="auto"/>
              </w:rPr>
              <w:t>监测因子</w:t>
            </w:r>
          </w:p>
        </w:tc>
        <w:tc>
          <w:tcPr>
            <w:tcW w:w="819" w:type="pct"/>
            <w:vAlign w:val="center"/>
          </w:tcPr>
          <w:p>
            <w:pPr>
              <w:pStyle w:val="30"/>
              <w:rPr>
                <w:b/>
                <w:bCs/>
                <w:color w:val="auto"/>
              </w:rPr>
            </w:pPr>
            <w:r>
              <w:rPr>
                <w:b/>
                <w:bCs/>
                <w:color w:val="auto"/>
              </w:rPr>
              <w:t>本项目引用</w:t>
            </w:r>
          </w:p>
          <w:p>
            <w:pPr>
              <w:pStyle w:val="30"/>
              <w:rPr>
                <w:b/>
                <w:bCs/>
                <w:color w:val="auto"/>
              </w:rPr>
            </w:pPr>
            <w:r>
              <w:rPr>
                <w:b/>
                <w:bCs/>
                <w:color w:val="auto"/>
              </w:rPr>
              <w:t>评价因子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363" w:type="pct"/>
            <w:vAlign w:val="center"/>
          </w:tcPr>
          <w:p>
            <w:pPr>
              <w:pStyle w:val="30"/>
              <w:rPr>
                <w:color w:val="auto"/>
              </w:rPr>
            </w:pPr>
            <w:r>
              <w:rPr>
                <w:color w:val="auto"/>
              </w:rPr>
              <w:t>G1</w:t>
            </w:r>
          </w:p>
        </w:tc>
        <w:tc>
          <w:tcPr>
            <w:tcW w:w="1039" w:type="pct"/>
            <w:vAlign w:val="center"/>
          </w:tcPr>
          <w:p>
            <w:pPr>
              <w:pStyle w:val="30"/>
              <w:rPr>
                <w:color w:val="auto"/>
              </w:rPr>
            </w:pPr>
            <w:r>
              <w:rPr>
                <w:color w:val="auto"/>
              </w:rPr>
              <w:t>岳阳东鸿新型材料有限公司厂内</w:t>
            </w:r>
          </w:p>
        </w:tc>
        <w:tc>
          <w:tcPr>
            <w:tcW w:w="1149" w:type="pct"/>
            <w:vAlign w:val="center"/>
          </w:tcPr>
          <w:p>
            <w:pPr>
              <w:pStyle w:val="30"/>
              <w:rPr>
                <w:color w:val="auto"/>
              </w:rPr>
            </w:pPr>
            <w:r>
              <w:rPr>
                <w:color w:val="auto"/>
              </w:rPr>
              <w:t>下风向，位于本项目南侧约2km</w:t>
            </w:r>
          </w:p>
        </w:tc>
        <w:tc>
          <w:tcPr>
            <w:tcW w:w="1630" w:type="pct"/>
            <w:vAlign w:val="center"/>
          </w:tcPr>
          <w:p>
            <w:pPr>
              <w:pStyle w:val="30"/>
              <w:rPr>
                <w:color w:val="auto"/>
              </w:rPr>
            </w:pPr>
            <w:r>
              <w:rPr>
                <w:color w:val="auto"/>
              </w:rPr>
              <w:t>TSP、TVOC、苯乙烯、甲苯、乙苯、二甲苯、臭气浓度</w:t>
            </w:r>
          </w:p>
        </w:tc>
        <w:tc>
          <w:tcPr>
            <w:tcW w:w="819" w:type="pct"/>
            <w:vAlign w:val="center"/>
          </w:tcPr>
          <w:p>
            <w:pPr>
              <w:pStyle w:val="30"/>
              <w:rPr>
                <w:color w:val="auto"/>
              </w:rPr>
            </w:pPr>
            <w:r>
              <w:rPr>
                <w:color w:val="auto"/>
              </w:rPr>
              <w:t>TSP、臭气浓度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63" w:type="pct"/>
            <w:vAlign w:val="center"/>
          </w:tcPr>
          <w:p>
            <w:pPr>
              <w:pStyle w:val="30"/>
              <w:rPr>
                <w:color w:val="auto"/>
              </w:rPr>
            </w:pPr>
            <w:r>
              <w:rPr>
                <w:color w:val="auto"/>
              </w:rPr>
              <w:t>G2</w:t>
            </w:r>
          </w:p>
        </w:tc>
        <w:tc>
          <w:tcPr>
            <w:tcW w:w="1039" w:type="pct"/>
            <w:vAlign w:val="center"/>
          </w:tcPr>
          <w:p>
            <w:pPr>
              <w:pStyle w:val="30"/>
              <w:rPr>
                <w:color w:val="auto"/>
              </w:rPr>
            </w:pPr>
            <w:r>
              <w:rPr>
                <w:color w:val="auto"/>
              </w:rPr>
              <w:t>汨罗市顺华锂业有限公司厂内</w:t>
            </w:r>
          </w:p>
        </w:tc>
        <w:tc>
          <w:tcPr>
            <w:tcW w:w="1149" w:type="pct"/>
            <w:vAlign w:val="center"/>
          </w:tcPr>
          <w:p>
            <w:pPr>
              <w:pStyle w:val="30"/>
              <w:rPr>
                <w:color w:val="auto"/>
              </w:rPr>
            </w:pPr>
            <w:r>
              <w:rPr>
                <w:color w:val="auto"/>
              </w:rPr>
              <w:t>下风向，位于本项目东南约1.2km</w:t>
            </w:r>
          </w:p>
        </w:tc>
        <w:tc>
          <w:tcPr>
            <w:tcW w:w="1630" w:type="pct"/>
            <w:vMerge w:val="restart"/>
            <w:vAlign w:val="center"/>
          </w:tcPr>
          <w:p>
            <w:pPr>
              <w:pStyle w:val="30"/>
              <w:rPr>
                <w:color w:val="auto"/>
              </w:rPr>
            </w:pPr>
            <w:r>
              <w:rPr>
                <w:color w:val="auto"/>
              </w:rPr>
              <w:t>PM</w:t>
            </w:r>
            <w:r>
              <w:rPr>
                <w:color w:val="auto"/>
                <w:vertAlign w:val="subscript"/>
              </w:rPr>
              <w:t>10</w:t>
            </w:r>
            <w:r>
              <w:rPr>
                <w:color w:val="auto"/>
              </w:rPr>
              <w:t>、硫酸雾、氟化物、非甲烷总烃</w:t>
            </w:r>
          </w:p>
        </w:tc>
        <w:tc>
          <w:tcPr>
            <w:tcW w:w="819" w:type="pct"/>
            <w:vMerge w:val="restart"/>
            <w:vAlign w:val="center"/>
          </w:tcPr>
          <w:p>
            <w:pPr>
              <w:pStyle w:val="30"/>
              <w:rPr>
                <w:color w:val="auto"/>
              </w:rPr>
            </w:pPr>
            <w:r>
              <w:rPr>
                <w:color w:val="auto"/>
              </w:rPr>
              <w:t>非甲烷总烃</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363" w:type="pct"/>
            <w:vAlign w:val="center"/>
          </w:tcPr>
          <w:p>
            <w:pPr>
              <w:pStyle w:val="30"/>
              <w:rPr>
                <w:color w:val="auto"/>
              </w:rPr>
            </w:pPr>
            <w:r>
              <w:rPr>
                <w:color w:val="auto"/>
              </w:rPr>
              <w:t>G3</w:t>
            </w:r>
          </w:p>
        </w:tc>
        <w:tc>
          <w:tcPr>
            <w:tcW w:w="1039" w:type="pct"/>
            <w:vAlign w:val="center"/>
          </w:tcPr>
          <w:p>
            <w:pPr>
              <w:pStyle w:val="30"/>
              <w:rPr>
                <w:color w:val="auto"/>
              </w:rPr>
            </w:pPr>
            <w:r>
              <w:rPr>
                <w:color w:val="auto"/>
              </w:rPr>
              <w:t>新桥村</w:t>
            </w:r>
          </w:p>
        </w:tc>
        <w:tc>
          <w:tcPr>
            <w:tcW w:w="1149" w:type="pct"/>
            <w:vAlign w:val="center"/>
          </w:tcPr>
          <w:p>
            <w:pPr>
              <w:pStyle w:val="30"/>
              <w:rPr>
                <w:color w:val="auto"/>
              </w:rPr>
            </w:pPr>
            <w:r>
              <w:rPr>
                <w:color w:val="auto"/>
              </w:rPr>
              <w:t>下风向，位于本项目东南约2.9km</w:t>
            </w:r>
          </w:p>
        </w:tc>
        <w:tc>
          <w:tcPr>
            <w:tcW w:w="1630" w:type="pct"/>
            <w:vMerge w:val="continue"/>
            <w:vAlign w:val="center"/>
          </w:tcPr>
          <w:p>
            <w:pPr>
              <w:pStyle w:val="30"/>
              <w:rPr>
                <w:color w:val="auto"/>
              </w:rPr>
            </w:pPr>
          </w:p>
        </w:tc>
        <w:tc>
          <w:tcPr>
            <w:tcW w:w="819" w:type="pct"/>
            <w:vMerge w:val="continue"/>
            <w:vAlign w:val="center"/>
          </w:tcPr>
          <w:p>
            <w:pPr>
              <w:pStyle w:val="30"/>
              <w:rPr>
                <w:color w:val="auto"/>
              </w:rPr>
            </w:pPr>
          </w:p>
        </w:tc>
      </w:tr>
    </w:tbl>
    <w:p>
      <w:pPr>
        <w:ind w:firstLine="480"/>
        <w:rPr>
          <w:color w:val="auto"/>
        </w:rPr>
      </w:pPr>
      <w:r>
        <w:rPr>
          <w:color w:val="auto"/>
        </w:rPr>
        <w:t>环境空气质量现状补充监测结果详见下表所示。</w:t>
      </w:r>
    </w:p>
    <w:p>
      <w:pPr>
        <w:pStyle w:val="31"/>
        <w:rPr>
          <w:color w:val="auto"/>
        </w:rPr>
      </w:pPr>
      <w:r>
        <w:rPr>
          <w:color w:val="auto"/>
        </w:rPr>
        <w:t>表4.3-3  区域环境空气质量现状监测结果一览表  单位：（mg/m</w:t>
      </w:r>
      <w:r>
        <w:rPr>
          <w:color w:val="auto"/>
          <w:vertAlign w:val="superscript"/>
        </w:rPr>
        <w:t>3</w:t>
      </w:r>
      <w:r>
        <w:rPr>
          <w:color w:val="auto"/>
        </w:rPr>
        <w:t>）</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430"/>
        <w:gridCol w:w="2034"/>
        <w:gridCol w:w="1741"/>
        <w:gridCol w:w="1800"/>
        <w:gridCol w:w="151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416" w:hRule="atLeast"/>
          <w:jc w:val="center"/>
        </w:trPr>
        <w:tc>
          <w:tcPr>
            <w:tcW w:w="839" w:type="pct"/>
            <w:vAlign w:val="center"/>
          </w:tcPr>
          <w:p>
            <w:pPr>
              <w:pStyle w:val="30"/>
              <w:rPr>
                <w:b/>
                <w:bCs/>
                <w:color w:val="auto"/>
              </w:rPr>
            </w:pPr>
            <w:r>
              <w:rPr>
                <w:b/>
                <w:bCs/>
                <w:color w:val="auto"/>
              </w:rPr>
              <w:t>监测点位</w:t>
            </w:r>
          </w:p>
        </w:tc>
        <w:tc>
          <w:tcPr>
            <w:tcW w:w="1193" w:type="pct"/>
            <w:vAlign w:val="center"/>
          </w:tcPr>
          <w:p>
            <w:pPr>
              <w:pStyle w:val="30"/>
              <w:rPr>
                <w:b/>
                <w:bCs/>
                <w:color w:val="auto"/>
              </w:rPr>
            </w:pPr>
            <w:r>
              <w:rPr>
                <w:b/>
                <w:bCs/>
                <w:color w:val="auto"/>
              </w:rPr>
              <w:t>项目</w:t>
            </w:r>
          </w:p>
        </w:tc>
        <w:tc>
          <w:tcPr>
            <w:tcW w:w="1021" w:type="pct"/>
            <w:vAlign w:val="center"/>
          </w:tcPr>
          <w:p>
            <w:pPr>
              <w:pStyle w:val="30"/>
              <w:rPr>
                <w:b/>
                <w:bCs/>
                <w:color w:val="auto"/>
              </w:rPr>
            </w:pPr>
            <w:r>
              <w:rPr>
                <w:b/>
                <w:bCs/>
                <w:color w:val="auto"/>
              </w:rPr>
              <w:t>TSP</w:t>
            </w:r>
          </w:p>
        </w:tc>
        <w:tc>
          <w:tcPr>
            <w:tcW w:w="1056" w:type="pct"/>
            <w:vAlign w:val="center"/>
          </w:tcPr>
          <w:p>
            <w:pPr>
              <w:pStyle w:val="30"/>
              <w:rPr>
                <w:b/>
                <w:bCs/>
                <w:color w:val="auto"/>
              </w:rPr>
            </w:pPr>
            <w:r>
              <w:rPr>
                <w:b/>
                <w:bCs/>
                <w:color w:val="auto"/>
              </w:rPr>
              <w:t>非甲烷总烃</w:t>
            </w:r>
          </w:p>
        </w:tc>
        <w:tc>
          <w:tcPr>
            <w:tcW w:w="890" w:type="pct"/>
            <w:vAlign w:val="center"/>
          </w:tcPr>
          <w:p>
            <w:pPr>
              <w:pStyle w:val="30"/>
              <w:rPr>
                <w:b/>
                <w:bCs/>
                <w:color w:val="auto"/>
              </w:rPr>
            </w:pPr>
            <w:r>
              <w:rPr>
                <w:b/>
                <w:bCs/>
                <w:color w:val="auto"/>
              </w:rPr>
              <w:t>臭气浓度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839" w:type="pct"/>
            <w:vMerge w:val="restart"/>
            <w:vAlign w:val="center"/>
          </w:tcPr>
          <w:p>
            <w:pPr>
              <w:pStyle w:val="30"/>
              <w:rPr>
                <w:color w:val="auto"/>
              </w:rPr>
            </w:pPr>
            <w:r>
              <w:rPr>
                <w:color w:val="auto"/>
              </w:rPr>
              <w:t>G1：岳阳东鸿新型材料有限公司厂内</w:t>
            </w:r>
          </w:p>
        </w:tc>
        <w:tc>
          <w:tcPr>
            <w:tcW w:w="1193" w:type="pct"/>
            <w:vAlign w:val="center"/>
          </w:tcPr>
          <w:p>
            <w:pPr>
              <w:pStyle w:val="30"/>
              <w:rPr>
                <w:color w:val="auto"/>
              </w:rPr>
            </w:pPr>
            <w:r>
              <w:rPr>
                <w:color w:val="auto"/>
              </w:rPr>
              <w:t>1小时平均浓度值范围</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ND</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24小时平均浓度值范围</w:t>
            </w:r>
          </w:p>
        </w:tc>
        <w:tc>
          <w:tcPr>
            <w:tcW w:w="1021" w:type="pct"/>
            <w:vAlign w:val="center"/>
          </w:tcPr>
          <w:p>
            <w:pPr>
              <w:pStyle w:val="30"/>
              <w:rPr>
                <w:color w:val="auto"/>
              </w:rPr>
            </w:pPr>
            <w:r>
              <w:rPr>
                <w:color w:val="auto"/>
              </w:rPr>
              <w:t>0.113~0.164</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标准限值</w:t>
            </w:r>
          </w:p>
        </w:tc>
        <w:tc>
          <w:tcPr>
            <w:tcW w:w="1021" w:type="pct"/>
            <w:vAlign w:val="center"/>
          </w:tcPr>
          <w:p>
            <w:pPr>
              <w:pStyle w:val="30"/>
              <w:rPr>
                <w:color w:val="auto"/>
              </w:rPr>
            </w:pPr>
            <w:r>
              <w:rPr>
                <w:color w:val="auto"/>
              </w:rPr>
              <w:t>0.3</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标准指数</w:t>
            </w:r>
          </w:p>
        </w:tc>
        <w:tc>
          <w:tcPr>
            <w:tcW w:w="1021" w:type="pct"/>
            <w:vAlign w:val="center"/>
          </w:tcPr>
          <w:p>
            <w:pPr>
              <w:pStyle w:val="30"/>
              <w:rPr>
                <w:color w:val="auto"/>
              </w:rPr>
            </w:pPr>
            <w:r>
              <w:rPr>
                <w:color w:val="auto"/>
              </w:rPr>
              <w:t>0.377~0.547</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超标率%</w:t>
            </w:r>
          </w:p>
        </w:tc>
        <w:tc>
          <w:tcPr>
            <w:tcW w:w="1021" w:type="pct"/>
            <w:vAlign w:val="center"/>
          </w:tcPr>
          <w:p>
            <w:pPr>
              <w:pStyle w:val="30"/>
              <w:rPr>
                <w:color w:val="auto"/>
              </w:rPr>
            </w:pPr>
            <w:r>
              <w:rPr>
                <w:color w:val="auto"/>
              </w:rPr>
              <w:t>0</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最大超标倍数</w:t>
            </w:r>
          </w:p>
        </w:tc>
        <w:tc>
          <w:tcPr>
            <w:tcW w:w="1021" w:type="pct"/>
            <w:vAlign w:val="center"/>
          </w:tcPr>
          <w:p>
            <w:pPr>
              <w:pStyle w:val="30"/>
              <w:rPr>
                <w:color w:val="auto"/>
              </w:rPr>
            </w:pPr>
            <w:r>
              <w:rPr>
                <w:color w:val="auto"/>
              </w:rPr>
              <w:t>0</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839" w:type="pct"/>
            <w:vMerge w:val="restart"/>
            <w:vAlign w:val="center"/>
          </w:tcPr>
          <w:p>
            <w:pPr>
              <w:pStyle w:val="30"/>
              <w:rPr>
                <w:color w:val="auto"/>
              </w:rPr>
            </w:pPr>
            <w:r>
              <w:rPr>
                <w:color w:val="auto"/>
              </w:rPr>
              <w:t>G2：汨罗市顺华锂业有限公司厂内</w:t>
            </w:r>
          </w:p>
        </w:tc>
        <w:tc>
          <w:tcPr>
            <w:tcW w:w="1193" w:type="pct"/>
            <w:vAlign w:val="center"/>
          </w:tcPr>
          <w:p>
            <w:pPr>
              <w:pStyle w:val="30"/>
              <w:rPr>
                <w:color w:val="auto"/>
              </w:rPr>
            </w:pPr>
            <w:r>
              <w:rPr>
                <w:color w:val="auto"/>
              </w:rPr>
              <w:t>1小时平均浓度值范围</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0.26~0.50</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24小时平均浓度值范围</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标准限值</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2</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标准指数</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0.25</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超标率%</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最大超标倍数</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5" w:hRule="atLeast"/>
          <w:jc w:val="center"/>
        </w:trPr>
        <w:tc>
          <w:tcPr>
            <w:tcW w:w="839" w:type="pct"/>
            <w:vMerge w:val="restart"/>
            <w:vAlign w:val="center"/>
          </w:tcPr>
          <w:p>
            <w:pPr>
              <w:pStyle w:val="30"/>
              <w:rPr>
                <w:color w:val="auto"/>
              </w:rPr>
            </w:pPr>
            <w:r>
              <w:rPr>
                <w:color w:val="auto"/>
              </w:rPr>
              <w:t>G3：新桥村</w:t>
            </w:r>
          </w:p>
        </w:tc>
        <w:tc>
          <w:tcPr>
            <w:tcW w:w="1193" w:type="pct"/>
            <w:vAlign w:val="center"/>
          </w:tcPr>
          <w:p>
            <w:pPr>
              <w:pStyle w:val="30"/>
              <w:rPr>
                <w:color w:val="auto"/>
              </w:rPr>
            </w:pPr>
            <w:r>
              <w:rPr>
                <w:color w:val="auto"/>
              </w:rPr>
              <w:t>1小时平均浓</w:t>
            </w:r>
          </w:p>
          <w:p>
            <w:pPr>
              <w:pStyle w:val="30"/>
              <w:rPr>
                <w:color w:val="auto"/>
              </w:rPr>
            </w:pPr>
            <w:r>
              <w:rPr>
                <w:color w:val="auto"/>
              </w:rPr>
              <w:t>度值范围</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0.27~0.43</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23"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24小时平均浓度值范围</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标准限值</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2</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标准指数</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0.22</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超标率%</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w:t>
            </w:r>
          </w:p>
        </w:tc>
        <w:tc>
          <w:tcPr>
            <w:tcW w:w="890"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jc w:val="center"/>
        </w:trPr>
        <w:tc>
          <w:tcPr>
            <w:tcW w:w="839" w:type="pct"/>
            <w:vMerge w:val="continue"/>
            <w:vAlign w:val="center"/>
          </w:tcPr>
          <w:p>
            <w:pPr>
              <w:pStyle w:val="30"/>
              <w:rPr>
                <w:color w:val="auto"/>
              </w:rPr>
            </w:pPr>
          </w:p>
        </w:tc>
        <w:tc>
          <w:tcPr>
            <w:tcW w:w="1193" w:type="pct"/>
            <w:vAlign w:val="center"/>
          </w:tcPr>
          <w:p>
            <w:pPr>
              <w:pStyle w:val="30"/>
              <w:rPr>
                <w:color w:val="auto"/>
              </w:rPr>
            </w:pPr>
            <w:r>
              <w:rPr>
                <w:color w:val="auto"/>
              </w:rPr>
              <w:t>最大超标倍数</w:t>
            </w:r>
          </w:p>
        </w:tc>
        <w:tc>
          <w:tcPr>
            <w:tcW w:w="1021" w:type="pct"/>
            <w:vAlign w:val="center"/>
          </w:tcPr>
          <w:p>
            <w:pPr>
              <w:pStyle w:val="30"/>
              <w:rPr>
                <w:color w:val="auto"/>
              </w:rPr>
            </w:pPr>
            <w:r>
              <w:rPr>
                <w:color w:val="auto"/>
              </w:rPr>
              <w:t>—</w:t>
            </w:r>
          </w:p>
        </w:tc>
        <w:tc>
          <w:tcPr>
            <w:tcW w:w="1056" w:type="pct"/>
            <w:vAlign w:val="center"/>
          </w:tcPr>
          <w:p>
            <w:pPr>
              <w:pStyle w:val="30"/>
              <w:rPr>
                <w:color w:val="auto"/>
              </w:rPr>
            </w:pPr>
            <w:r>
              <w:rPr>
                <w:color w:val="auto"/>
              </w:rPr>
              <w:t>0</w:t>
            </w:r>
          </w:p>
        </w:tc>
        <w:tc>
          <w:tcPr>
            <w:tcW w:w="890" w:type="pct"/>
            <w:vAlign w:val="center"/>
          </w:tcPr>
          <w:p>
            <w:pPr>
              <w:pStyle w:val="30"/>
              <w:rPr>
                <w:color w:val="auto"/>
              </w:rPr>
            </w:pPr>
            <w:r>
              <w:rPr>
                <w:color w:val="auto"/>
              </w:rPr>
              <w:t>—</w:t>
            </w:r>
          </w:p>
        </w:tc>
      </w:tr>
    </w:tbl>
    <w:p>
      <w:pPr>
        <w:ind w:firstLine="480"/>
        <w:rPr>
          <w:color w:val="auto"/>
        </w:rPr>
      </w:pPr>
      <w:r>
        <w:rPr>
          <w:color w:val="auto"/>
        </w:rPr>
        <w:t>由上表可见， TSP日均浓度满足《环境空气质量标准》（GB3095-2012）</w:t>
      </w:r>
      <w:r>
        <w:rPr>
          <w:rFonts w:hint="eastAsia"/>
          <w:color w:val="auto"/>
        </w:rPr>
        <w:t>及其修改单中的二级标准限制要求；非甲烷总烃满足《大气污染物综合排放标准详解》中的环境质量标准一次浓度2mg/m</w:t>
      </w:r>
      <w:r>
        <w:rPr>
          <w:rFonts w:hint="eastAsia"/>
          <w:color w:val="auto"/>
          <w:vertAlign w:val="superscript"/>
        </w:rPr>
        <w:t>3</w:t>
      </w:r>
      <w:r>
        <w:rPr>
          <w:rFonts w:hint="eastAsia"/>
          <w:color w:val="auto"/>
        </w:rPr>
        <w:t>。</w:t>
      </w:r>
    </w:p>
    <w:p>
      <w:pPr>
        <w:ind w:firstLine="480"/>
        <w:rPr>
          <w:color w:val="auto"/>
        </w:rPr>
      </w:pPr>
      <w:r>
        <w:rPr>
          <w:color w:val="auto"/>
        </w:rPr>
        <w:t>为</w:t>
      </w:r>
      <w:r>
        <w:rPr>
          <w:rFonts w:hint="eastAsia"/>
          <w:color w:val="auto"/>
          <w:lang w:val="en-US" w:eastAsia="zh-CN"/>
        </w:rPr>
        <w:t>进一步</w:t>
      </w:r>
      <w:r>
        <w:rPr>
          <w:color w:val="auto"/>
        </w:rPr>
        <w:t>了解项目区域环境空气质量现状情况，本次</w:t>
      </w:r>
      <w:r>
        <w:rPr>
          <w:rFonts w:hint="eastAsia"/>
          <w:color w:val="auto"/>
          <w:lang w:val="en-US" w:eastAsia="zh-CN"/>
        </w:rPr>
        <w:t>评价委托</w:t>
      </w:r>
      <w:r>
        <w:rPr>
          <w:color w:val="auto"/>
        </w:rPr>
        <w:t>湖南</w:t>
      </w:r>
      <w:r>
        <w:rPr>
          <w:rFonts w:hint="eastAsia"/>
          <w:color w:val="auto"/>
          <w:lang w:val="en-US" w:eastAsia="zh-CN"/>
        </w:rPr>
        <w:t>九鼎环保科技有限公司</w:t>
      </w:r>
      <w:r>
        <w:rPr>
          <w:color w:val="auto"/>
        </w:rPr>
        <w:t>于202</w:t>
      </w:r>
      <w:r>
        <w:rPr>
          <w:rFonts w:hint="eastAsia"/>
          <w:color w:val="auto"/>
          <w:lang w:val="en-US" w:eastAsia="zh-CN"/>
        </w:rPr>
        <w:t>3</w:t>
      </w:r>
      <w:r>
        <w:rPr>
          <w:color w:val="auto"/>
        </w:rPr>
        <w:t>年</w:t>
      </w:r>
      <w:r>
        <w:rPr>
          <w:rFonts w:hint="eastAsia"/>
          <w:color w:val="auto"/>
          <w:lang w:val="en-US" w:eastAsia="zh-CN"/>
        </w:rPr>
        <w:t>02</w:t>
      </w:r>
      <w:r>
        <w:rPr>
          <w:color w:val="auto"/>
        </w:rPr>
        <w:t>月</w:t>
      </w:r>
      <w:r>
        <w:rPr>
          <w:rFonts w:hint="eastAsia"/>
          <w:color w:val="auto"/>
          <w:lang w:val="en-US" w:eastAsia="zh-CN"/>
        </w:rPr>
        <w:t>15</w:t>
      </w:r>
      <w:r>
        <w:rPr>
          <w:color w:val="auto"/>
        </w:rPr>
        <w:t>日~</w:t>
      </w:r>
      <w:r>
        <w:rPr>
          <w:rFonts w:hint="eastAsia"/>
          <w:color w:val="auto"/>
          <w:lang w:val="en-US" w:eastAsia="zh-CN"/>
        </w:rPr>
        <w:t>02</w:t>
      </w:r>
      <w:r>
        <w:rPr>
          <w:color w:val="auto"/>
        </w:rPr>
        <w:t>月</w:t>
      </w:r>
      <w:r>
        <w:rPr>
          <w:rFonts w:hint="eastAsia"/>
          <w:color w:val="auto"/>
          <w:lang w:val="en-US" w:eastAsia="zh-CN"/>
        </w:rPr>
        <w:t>20</w:t>
      </w:r>
      <w:r>
        <w:rPr>
          <w:color w:val="auto"/>
        </w:rPr>
        <w:t>日</w:t>
      </w:r>
      <w:r>
        <w:rPr>
          <w:rFonts w:hint="eastAsia"/>
          <w:color w:val="auto"/>
          <w:lang w:val="en-US" w:eastAsia="zh-CN"/>
        </w:rPr>
        <w:t>对项目</w:t>
      </w:r>
      <w:r>
        <w:rPr>
          <w:color w:val="auto"/>
        </w:rPr>
        <w:t>周边环境空气质量监测结果（监测点位命名为G</w:t>
      </w:r>
      <w:r>
        <w:rPr>
          <w:rFonts w:hint="eastAsia"/>
          <w:color w:val="auto"/>
          <w:vertAlign w:val="subscript"/>
          <w:lang w:val="en-US" w:eastAsia="zh-CN"/>
        </w:rPr>
        <w:t>4</w:t>
      </w:r>
      <w:r>
        <w:rPr>
          <w:color w:val="auto"/>
        </w:rPr>
        <w:t>、G</w:t>
      </w:r>
      <w:r>
        <w:rPr>
          <w:rFonts w:hint="eastAsia"/>
          <w:color w:val="auto"/>
          <w:vertAlign w:val="subscript"/>
          <w:lang w:val="en-US" w:eastAsia="zh-CN"/>
        </w:rPr>
        <w:t>5</w:t>
      </w:r>
      <w:r>
        <w:rPr>
          <w:color w:val="auto"/>
        </w:rPr>
        <w:t>）。监测因子、监测点位以及监测点情况见下表。</w:t>
      </w:r>
    </w:p>
    <w:p>
      <w:pPr>
        <w:pStyle w:val="31"/>
        <w:rPr>
          <w:color w:val="auto"/>
        </w:rPr>
      </w:pPr>
      <w:r>
        <w:rPr>
          <w:color w:val="auto"/>
        </w:rPr>
        <w:t>表4.3-2  环境空气质量引用点位一览表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00"/>
        <w:gridCol w:w="2771"/>
        <w:gridCol w:w="2535"/>
        <w:gridCol w:w="241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jc w:val="center"/>
        </w:trPr>
        <w:tc>
          <w:tcPr>
            <w:tcW w:w="469" w:type="pct"/>
            <w:vAlign w:val="center"/>
          </w:tcPr>
          <w:p>
            <w:pPr>
              <w:pStyle w:val="30"/>
              <w:rPr>
                <w:b/>
                <w:bCs/>
                <w:color w:val="auto"/>
              </w:rPr>
            </w:pPr>
            <w:r>
              <w:rPr>
                <w:b/>
                <w:bCs/>
                <w:color w:val="auto"/>
              </w:rPr>
              <w:t>编号</w:t>
            </w:r>
          </w:p>
        </w:tc>
        <w:tc>
          <w:tcPr>
            <w:tcW w:w="1625" w:type="pct"/>
            <w:vAlign w:val="center"/>
          </w:tcPr>
          <w:p>
            <w:pPr>
              <w:pStyle w:val="30"/>
              <w:rPr>
                <w:b/>
                <w:bCs/>
                <w:color w:val="auto"/>
              </w:rPr>
            </w:pPr>
            <w:r>
              <w:rPr>
                <w:b/>
                <w:bCs/>
                <w:color w:val="auto"/>
              </w:rPr>
              <w:t>点位名称</w:t>
            </w:r>
          </w:p>
        </w:tc>
        <w:tc>
          <w:tcPr>
            <w:tcW w:w="1487" w:type="pct"/>
            <w:vAlign w:val="center"/>
          </w:tcPr>
          <w:p>
            <w:pPr>
              <w:pStyle w:val="30"/>
              <w:rPr>
                <w:b/>
                <w:bCs/>
                <w:color w:val="auto"/>
              </w:rPr>
            </w:pPr>
            <w:r>
              <w:rPr>
                <w:b/>
                <w:bCs/>
                <w:color w:val="auto"/>
              </w:rPr>
              <w:t>监测因子</w:t>
            </w:r>
          </w:p>
        </w:tc>
        <w:tc>
          <w:tcPr>
            <w:tcW w:w="1417" w:type="pct"/>
            <w:vAlign w:val="center"/>
          </w:tcPr>
          <w:p>
            <w:pPr>
              <w:pStyle w:val="30"/>
              <w:rPr>
                <w:rFonts w:hint="default" w:eastAsia="宋体"/>
                <w:b/>
                <w:bCs/>
                <w:color w:val="auto"/>
                <w:lang w:val="en-US" w:eastAsia="zh-CN"/>
              </w:rPr>
            </w:pPr>
            <w:r>
              <w:rPr>
                <w:rFonts w:hint="eastAsia"/>
                <w:b/>
                <w:bCs/>
                <w:color w:val="auto"/>
                <w:lang w:val="en-US" w:eastAsia="zh-CN"/>
              </w:rPr>
              <w:t>监测频次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4" w:hRule="atLeast"/>
          <w:jc w:val="center"/>
        </w:trPr>
        <w:tc>
          <w:tcPr>
            <w:tcW w:w="469" w:type="pct"/>
            <w:vAlign w:val="center"/>
          </w:tcPr>
          <w:p>
            <w:pPr>
              <w:pStyle w:val="30"/>
              <w:rPr>
                <w:rFonts w:hint="eastAsia" w:eastAsia="宋体"/>
                <w:color w:val="auto"/>
                <w:lang w:eastAsia="zh-CN"/>
              </w:rPr>
            </w:pPr>
            <w:r>
              <w:rPr>
                <w:color w:val="auto"/>
              </w:rPr>
              <w:t>G</w:t>
            </w:r>
            <w:r>
              <w:rPr>
                <w:rFonts w:hint="eastAsia"/>
                <w:color w:val="auto"/>
                <w:lang w:val="en-US" w:eastAsia="zh-CN"/>
              </w:rPr>
              <w:t>4</w:t>
            </w:r>
          </w:p>
        </w:tc>
        <w:tc>
          <w:tcPr>
            <w:tcW w:w="1625" w:type="pct"/>
            <w:vAlign w:val="center"/>
          </w:tcPr>
          <w:p>
            <w:pPr>
              <w:pStyle w:val="30"/>
              <w:rPr>
                <w:rFonts w:hint="default" w:eastAsia="宋体"/>
                <w:color w:val="auto"/>
                <w:lang w:val="en-US" w:eastAsia="zh-CN"/>
              </w:rPr>
            </w:pPr>
            <w:r>
              <w:rPr>
                <w:rFonts w:hint="eastAsia"/>
                <w:color w:val="auto"/>
                <w:lang w:val="en-US" w:eastAsia="zh-CN"/>
              </w:rPr>
              <w:t>项目厂区内</w:t>
            </w:r>
          </w:p>
        </w:tc>
        <w:tc>
          <w:tcPr>
            <w:tcW w:w="1487" w:type="pct"/>
            <w:vMerge w:val="restart"/>
            <w:vAlign w:val="center"/>
          </w:tcPr>
          <w:p>
            <w:pPr>
              <w:pStyle w:val="30"/>
              <w:rPr>
                <w:rFonts w:hint="default" w:eastAsia="宋体"/>
                <w:color w:val="auto"/>
                <w:lang w:val="en-US" w:eastAsia="zh-CN"/>
              </w:rPr>
            </w:pPr>
            <w:r>
              <w:rPr>
                <w:rFonts w:hint="eastAsia"/>
                <w:color w:val="auto"/>
                <w:lang w:val="en-US" w:eastAsia="zh-CN"/>
              </w:rPr>
              <w:t>非甲烷总烃</w:t>
            </w:r>
          </w:p>
        </w:tc>
        <w:tc>
          <w:tcPr>
            <w:tcW w:w="1417" w:type="pct"/>
            <w:vMerge w:val="restart"/>
            <w:vAlign w:val="center"/>
          </w:tcPr>
          <w:p>
            <w:pPr>
              <w:pStyle w:val="30"/>
              <w:rPr>
                <w:rFonts w:hint="default" w:eastAsia="宋体"/>
                <w:color w:val="auto"/>
                <w:lang w:val="en-US" w:eastAsia="zh-CN"/>
              </w:rPr>
            </w:pPr>
            <w:r>
              <w:rPr>
                <w:rFonts w:hint="eastAsia"/>
                <w:color w:val="auto"/>
                <w:lang w:val="en-US" w:eastAsia="zh-CN"/>
              </w:rPr>
              <w:t>3次/天，监测7天</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9" w:hRule="atLeast"/>
          <w:jc w:val="center"/>
        </w:trPr>
        <w:tc>
          <w:tcPr>
            <w:tcW w:w="469" w:type="pct"/>
            <w:vAlign w:val="center"/>
          </w:tcPr>
          <w:p>
            <w:pPr>
              <w:pStyle w:val="30"/>
              <w:rPr>
                <w:rFonts w:hint="eastAsia" w:eastAsia="宋体"/>
                <w:color w:val="auto"/>
                <w:lang w:eastAsia="zh-CN"/>
              </w:rPr>
            </w:pPr>
            <w:r>
              <w:rPr>
                <w:color w:val="auto"/>
              </w:rPr>
              <w:t>G</w:t>
            </w:r>
            <w:r>
              <w:rPr>
                <w:rFonts w:hint="eastAsia"/>
                <w:color w:val="auto"/>
                <w:lang w:val="en-US" w:eastAsia="zh-CN"/>
              </w:rPr>
              <w:t>5</w:t>
            </w:r>
          </w:p>
        </w:tc>
        <w:tc>
          <w:tcPr>
            <w:tcW w:w="1625" w:type="pct"/>
            <w:vAlign w:val="center"/>
          </w:tcPr>
          <w:p>
            <w:pPr>
              <w:pStyle w:val="30"/>
              <w:rPr>
                <w:rFonts w:hint="default" w:eastAsia="宋体"/>
                <w:color w:val="auto"/>
                <w:lang w:val="en-US" w:eastAsia="zh-CN"/>
              </w:rPr>
            </w:pPr>
            <w:r>
              <w:rPr>
                <w:rFonts w:hint="eastAsia"/>
                <w:color w:val="auto"/>
                <w:lang w:val="en-US" w:eastAsia="zh-CN"/>
              </w:rPr>
              <w:t>项目所在地下风向居民点处</w:t>
            </w:r>
          </w:p>
        </w:tc>
        <w:tc>
          <w:tcPr>
            <w:tcW w:w="1487" w:type="pct"/>
            <w:vMerge w:val="continue"/>
            <w:vAlign w:val="center"/>
          </w:tcPr>
          <w:p>
            <w:pPr>
              <w:pStyle w:val="30"/>
              <w:rPr>
                <w:color w:val="auto"/>
              </w:rPr>
            </w:pPr>
          </w:p>
        </w:tc>
        <w:tc>
          <w:tcPr>
            <w:tcW w:w="1417" w:type="pct"/>
            <w:vMerge w:val="continue"/>
            <w:vAlign w:val="center"/>
          </w:tcPr>
          <w:p>
            <w:pPr>
              <w:pStyle w:val="30"/>
              <w:rPr>
                <w:rFonts w:hint="eastAsia" w:eastAsia="宋体"/>
                <w:color w:val="auto"/>
                <w:lang w:val="en-US" w:eastAsia="zh-CN"/>
              </w:rPr>
            </w:pPr>
          </w:p>
        </w:tc>
      </w:tr>
    </w:tbl>
    <w:p>
      <w:pPr>
        <w:ind w:firstLine="480"/>
        <w:rPr>
          <w:color w:val="auto"/>
        </w:rPr>
      </w:pPr>
      <w:r>
        <w:rPr>
          <w:color w:val="auto"/>
        </w:rPr>
        <w:t>环境空气质量现状监测结果详见下表所示。</w:t>
      </w:r>
    </w:p>
    <w:p>
      <w:pPr>
        <w:pStyle w:val="31"/>
        <w:rPr>
          <w:color w:val="auto"/>
        </w:rPr>
      </w:pPr>
      <w:r>
        <w:rPr>
          <w:color w:val="auto"/>
        </w:rPr>
        <w:t>表4.3-3  区域环境空气质量现状监测结果一览表  单位：（mg/m</w:t>
      </w:r>
      <w:r>
        <w:rPr>
          <w:color w:val="auto"/>
          <w:vertAlign w:val="superscript"/>
        </w:rPr>
        <w:t>3</w:t>
      </w:r>
      <w:r>
        <w:rPr>
          <w:color w:val="auto"/>
        </w:rPr>
        <w:t>）</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2445"/>
        <w:gridCol w:w="2092"/>
        <w:gridCol w:w="2164"/>
        <w:gridCol w:w="182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16" w:hRule="atLeast"/>
          <w:jc w:val="center"/>
        </w:trPr>
        <w:tc>
          <w:tcPr>
            <w:tcW w:w="1434" w:type="pct"/>
            <w:vAlign w:val="center"/>
          </w:tcPr>
          <w:p>
            <w:pPr>
              <w:pStyle w:val="30"/>
              <w:rPr>
                <w:rFonts w:hint="default" w:eastAsia="宋体"/>
                <w:b/>
                <w:bCs/>
                <w:color w:val="auto"/>
                <w:lang w:val="en-US" w:eastAsia="zh-CN"/>
              </w:rPr>
            </w:pPr>
            <w:r>
              <w:rPr>
                <w:rFonts w:hint="eastAsia"/>
                <w:b/>
                <w:bCs/>
                <w:color w:val="auto"/>
                <w:lang w:val="en-US" w:eastAsia="zh-CN"/>
              </w:rPr>
              <w:t>监测日期</w:t>
            </w:r>
          </w:p>
        </w:tc>
        <w:tc>
          <w:tcPr>
            <w:tcW w:w="1227" w:type="pct"/>
            <w:vAlign w:val="center"/>
          </w:tcPr>
          <w:p>
            <w:pPr>
              <w:pStyle w:val="30"/>
              <w:rPr>
                <w:rFonts w:hint="default" w:eastAsia="宋体"/>
                <w:b/>
                <w:bCs/>
                <w:color w:val="auto"/>
                <w:lang w:val="en-US" w:eastAsia="zh-CN"/>
              </w:rPr>
            </w:pPr>
            <w:r>
              <w:rPr>
                <w:rFonts w:hint="eastAsia"/>
                <w:b/>
                <w:bCs/>
                <w:color w:val="auto"/>
                <w:lang w:val="en-US" w:eastAsia="zh-CN"/>
              </w:rPr>
              <w:t>监测点位</w:t>
            </w:r>
          </w:p>
        </w:tc>
        <w:tc>
          <w:tcPr>
            <w:tcW w:w="1269" w:type="pct"/>
            <w:vAlign w:val="center"/>
          </w:tcPr>
          <w:p>
            <w:pPr>
              <w:pStyle w:val="30"/>
              <w:rPr>
                <w:rFonts w:hint="default" w:eastAsia="宋体"/>
                <w:b/>
                <w:bCs/>
                <w:color w:val="auto"/>
                <w:lang w:val="en-US" w:eastAsia="zh-CN"/>
              </w:rPr>
            </w:pPr>
            <w:r>
              <w:rPr>
                <w:rFonts w:hint="eastAsia"/>
                <w:b/>
                <w:bCs/>
                <w:color w:val="auto"/>
                <w:lang w:val="en-US" w:eastAsia="zh-CN"/>
              </w:rPr>
              <w:t>监测指标</w:t>
            </w:r>
          </w:p>
        </w:tc>
        <w:tc>
          <w:tcPr>
            <w:tcW w:w="1068" w:type="pct"/>
            <w:vAlign w:val="center"/>
          </w:tcPr>
          <w:p>
            <w:pPr>
              <w:pStyle w:val="30"/>
              <w:rPr>
                <w:rFonts w:hint="default" w:eastAsia="宋体"/>
                <w:b/>
                <w:bCs/>
                <w:color w:val="auto"/>
                <w:lang w:val="en-US" w:eastAsia="zh-CN"/>
              </w:rPr>
            </w:pPr>
            <w:r>
              <w:rPr>
                <w:rFonts w:hint="eastAsia"/>
                <w:b/>
                <w:bCs/>
                <w:color w:val="auto"/>
                <w:lang w:val="en-US" w:eastAsia="zh-CN"/>
              </w:rPr>
              <w:t>监测结果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1434" w:type="pct"/>
            <w:vMerge w:val="restart"/>
            <w:vAlign w:val="center"/>
          </w:tcPr>
          <w:p>
            <w:pPr>
              <w:pStyle w:val="30"/>
              <w:rPr>
                <w:rFonts w:hint="default" w:eastAsia="宋体"/>
                <w:color w:val="auto"/>
                <w:lang w:val="en-US" w:eastAsia="zh-CN"/>
              </w:rPr>
            </w:pPr>
            <w:r>
              <w:rPr>
                <w:rFonts w:hint="eastAsia"/>
                <w:color w:val="auto"/>
                <w:lang w:val="en-US" w:eastAsia="zh-CN"/>
              </w:rPr>
              <w:t>02月15日</w:t>
            </w:r>
          </w:p>
        </w:tc>
        <w:tc>
          <w:tcPr>
            <w:tcW w:w="1227" w:type="pct"/>
            <w:vAlign w:val="center"/>
          </w:tcPr>
          <w:p>
            <w:pPr>
              <w:pStyle w:val="30"/>
              <w:rPr>
                <w:rFonts w:hint="default" w:eastAsia="宋体"/>
                <w:color w:val="auto"/>
                <w:lang w:val="en-US" w:eastAsia="zh-CN"/>
              </w:rPr>
            </w:pPr>
            <w:r>
              <w:rPr>
                <w:rFonts w:hint="eastAsia"/>
                <w:color w:val="auto"/>
                <w:lang w:val="en-US" w:eastAsia="zh-CN"/>
              </w:rPr>
              <w:t>G1项目厂区内</w:t>
            </w:r>
          </w:p>
        </w:tc>
        <w:tc>
          <w:tcPr>
            <w:tcW w:w="1269" w:type="pct"/>
            <w:vAlign w:val="center"/>
          </w:tcPr>
          <w:p>
            <w:pPr>
              <w:pStyle w:val="30"/>
              <w:rPr>
                <w:rFonts w:hint="default" w:eastAsia="宋体"/>
                <w:color w:val="auto"/>
                <w:lang w:val="en-US" w:eastAsia="zh-CN"/>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1434" w:type="pct"/>
            <w:vMerge w:val="continue"/>
            <w:vAlign w:val="center"/>
          </w:tcPr>
          <w:p>
            <w:pPr>
              <w:pStyle w:val="30"/>
              <w:rPr>
                <w:color w:val="auto"/>
              </w:rPr>
            </w:pPr>
          </w:p>
        </w:tc>
        <w:tc>
          <w:tcPr>
            <w:tcW w:w="1227" w:type="pct"/>
            <w:vAlign w:val="center"/>
          </w:tcPr>
          <w:p>
            <w:pPr>
              <w:pStyle w:val="30"/>
              <w:rPr>
                <w:rFonts w:hint="default" w:eastAsia="宋体"/>
                <w:color w:val="auto"/>
                <w:lang w:val="en-US" w:eastAsia="zh-CN"/>
              </w:rPr>
            </w:pPr>
            <w:r>
              <w:rPr>
                <w:rFonts w:hint="eastAsia"/>
                <w:color w:val="auto"/>
                <w:lang w:val="en-US" w:eastAsia="zh-CN"/>
              </w:rPr>
              <w:t>G2项目所在地下风向居民点</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0.467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restart"/>
            <w:vAlign w:val="center"/>
          </w:tcPr>
          <w:p>
            <w:pPr>
              <w:pStyle w:val="30"/>
              <w:rPr>
                <w:color w:val="auto"/>
              </w:rPr>
            </w:pPr>
            <w:r>
              <w:rPr>
                <w:rFonts w:hint="eastAsia"/>
                <w:color w:val="auto"/>
                <w:lang w:val="en-US" w:eastAsia="zh-CN"/>
              </w:rPr>
              <w:t>02月16日</w:t>
            </w: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0.474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0.471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1434" w:type="pct"/>
            <w:vMerge w:val="restart"/>
            <w:vAlign w:val="center"/>
          </w:tcPr>
          <w:p>
            <w:pPr>
              <w:pStyle w:val="30"/>
              <w:rPr>
                <w:color w:val="auto"/>
              </w:rPr>
            </w:pPr>
            <w:r>
              <w:rPr>
                <w:rFonts w:hint="eastAsia"/>
                <w:color w:val="auto"/>
                <w:lang w:val="en-US" w:eastAsia="zh-CN"/>
              </w:rPr>
              <w:t>02月17日</w:t>
            </w: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0.360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0.332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1434" w:type="pct"/>
            <w:vMerge w:val="restart"/>
            <w:vAlign w:val="center"/>
          </w:tcPr>
          <w:p>
            <w:pPr>
              <w:pStyle w:val="30"/>
              <w:rPr>
                <w:color w:val="auto"/>
              </w:rPr>
            </w:pPr>
            <w:r>
              <w:rPr>
                <w:rFonts w:hint="eastAsia"/>
                <w:color w:val="auto"/>
                <w:lang w:val="en-US" w:eastAsia="zh-CN"/>
              </w:rPr>
              <w:t>02月18日</w:t>
            </w: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0.385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72"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restart"/>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rFonts w:hint="eastAsia"/>
                <w:color w:val="auto"/>
                <w:lang w:val="en-US" w:eastAsia="zh-CN"/>
              </w:rPr>
              <w:t>02月19日</w:t>
            </w:r>
          </w:p>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0.451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0.453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2" w:hRule="atLeast"/>
          <w:jc w:val="center"/>
        </w:trPr>
        <w:tc>
          <w:tcPr>
            <w:tcW w:w="1434" w:type="pct"/>
            <w:vMerge w:val="restart"/>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rFonts w:hint="eastAsia"/>
                <w:color w:val="auto"/>
                <w:lang w:val="en-US" w:eastAsia="zh-CN"/>
              </w:rPr>
              <w:t>02月20日</w:t>
            </w:r>
          </w:p>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rPr>
                <w:color w:val="auto"/>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0.506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53"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0.214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35" w:hRule="atLeast"/>
          <w:jc w:val="center"/>
        </w:trPr>
        <w:tc>
          <w:tcPr>
            <w:tcW w:w="1434" w:type="pct"/>
            <w:vMerge w:val="restart"/>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rFonts w:hint="eastAsia"/>
                <w:color w:val="auto"/>
                <w:lang w:val="en-US" w:eastAsia="zh-CN"/>
              </w:rPr>
              <w:t>02月21日</w:t>
            </w: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G1项目厂区内</w:t>
            </w:r>
          </w:p>
        </w:tc>
        <w:tc>
          <w:tcPr>
            <w:tcW w:w="1269" w:type="pct"/>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0.506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23" w:hRule="atLeast"/>
          <w:jc w:val="center"/>
        </w:trPr>
        <w:tc>
          <w:tcPr>
            <w:tcW w:w="1434" w:type="pct"/>
            <w:vMerge w:val="continue"/>
            <w:vAlign w:val="center"/>
          </w:tcPr>
          <w:p>
            <w:pPr>
              <w:pStyle w:val="30"/>
              <w:rPr>
                <w:color w:val="auto"/>
              </w:rPr>
            </w:pPr>
          </w:p>
        </w:tc>
        <w:tc>
          <w:tcPr>
            <w:tcW w:w="1227" w:type="pct"/>
            <w:vAlign w:val="center"/>
          </w:tcPr>
          <w:p>
            <w:pPr>
              <w:pStyle w:val="30"/>
              <w:ind w:firstLine="0" w:firstLineChars="0"/>
              <w:rPr>
                <w:rFonts w:hint="default" w:ascii="Times New Roman" w:hAnsi="Times New Roman" w:eastAsia="宋体" w:cstheme="minorBidi"/>
                <w:color w:val="auto"/>
                <w:kern w:val="2"/>
                <w:sz w:val="21"/>
                <w:szCs w:val="22"/>
                <w:lang w:val="en-US" w:eastAsia="zh-CN" w:bidi="ar-SA"/>
              </w:rPr>
            </w:pPr>
            <w:r>
              <w:rPr>
                <w:rFonts w:hint="eastAsia"/>
                <w:color w:val="auto"/>
                <w:lang w:val="en-US" w:eastAsia="zh-CN"/>
              </w:rPr>
              <w:t>G2项目所在地下风向居民点</w:t>
            </w:r>
          </w:p>
        </w:tc>
        <w:tc>
          <w:tcPr>
            <w:tcW w:w="1269" w:type="pct"/>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rFonts w:hint="eastAsia"/>
                <w:color w:val="auto"/>
                <w:lang w:val="en-US" w:eastAsia="zh-CN"/>
              </w:rPr>
              <w:t>非甲烷总烃</w:t>
            </w:r>
          </w:p>
        </w:tc>
        <w:tc>
          <w:tcPr>
            <w:tcW w:w="1068" w:type="pct"/>
            <w:vAlign w:val="center"/>
          </w:tcPr>
          <w:p>
            <w:pPr>
              <w:pStyle w:val="30"/>
              <w:rPr>
                <w:rFonts w:hint="default" w:eastAsia="宋体"/>
                <w:color w:val="auto"/>
                <w:lang w:val="en-US" w:eastAsia="zh-CN"/>
              </w:rPr>
            </w:pPr>
            <w:r>
              <w:rPr>
                <w:rFonts w:hint="eastAsia"/>
                <w:color w:val="auto"/>
                <w:lang w:val="en-US" w:eastAsia="zh-CN"/>
              </w:rPr>
              <w:t>0.222</w:t>
            </w:r>
          </w:p>
        </w:tc>
      </w:tr>
    </w:tbl>
    <w:p>
      <w:pPr>
        <w:ind w:firstLine="480"/>
        <w:rPr>
          <w:color w:val="auto"/>
        </w:rPr>
      </w:pPr>
      <w:r>
        <w:rPr>
          <w:color w:val="auto"/>
        </w:rPr>
        <w:t>由上表可见，</w:t>
      </w:r>
      <w:r>
        <w:rPr>
          <w:rFonts w:hint="eastAsia"/>
          <w:color w:val="auto"/>
        </w:rPr>
        <w:t>非甲烷总烃满足《大气污染物综合排放标准详解》中的环境质量标准一次浓度2mg/m</w:t>
      </w:r>
      <w:r>
        <w:rPr>
          <w:rFonts w:hint="eastAsia"/>
          <w:color w:val="auto"/>
          <w:vertAlign w:val="superscript"/>
        </w:rPr>
        <w:t>3</w:t>
      </w:r>
      <w:r>
        <w:rPr>
          <w:rFonts w:hint="eastAsia"/>
          <w:color w:val="auto"/>
        </w:rPr>
        <w:t>。</w:t>
      </w:r>
    </w:p>
    <w:p>
      <w:pPr>
        <w:pStyle w:val="7"/>
        <w:rPr>
          <w:color w:val="auto"/>
        </w:rPr>
      </w:pPr>
      <w:bookmarkStart w:id="130" w:name="_Toc14929"/>
      <w:r>
        <w:rPr>
          <w:color w:val="auto"/>
        </w:rPr>
        <w:t>4.</w:t>
      </w:r>
      <w:r>
        <w:rPr>
          <w:rFonts w:hint="eastAsia"/>
          <w:color w:val="auto"/>
        </w:rPr>
        <w:t>3</w:t>
      </w:r>
      <w:r>
        <w:rPr>
          <w:color w:val="auto"/>
        </w:rPr>
        <w:t>.</w:t>
      </w:r>
      <w:r>
        <w:rPr>
          <w:rFonts w:hint="eastAsia"/>
          <w:color w:val="auto"/>
        </w:rPr>
        <w:t>2</w:t>
      </w:r>
      <w:r>
        <w:rPr>
          <w:color w:val="auto"/>
        </w:rPr>
        <w:t>地表水环境质量现状</w:t>
      </w:r>
      <w:bookmarkEnd w:id="130"/>
    </w:p>
    <w:p>
      <w:pPr>
        <w:ind w:firstLine="480"/>
        <w:rPr>
          <w:color w:val="auto"/>
        </w:rPr>
      </w:pPr>
      <w:r>
        <w:rPr>
          <w:color w:val="auto"/>
        </w:rPr>
        <w:t>本项目所在区域的主要地表水体为</w:t>
      </w:r>
      <w:r>
        <w:rPr>
          <w:rFonts w:hint="eastAsia"/>
          <w:color w:val="auto"/>
        </w:rPr>
        <w:t>车</w:t>
      </w:r>
      <w:r>
        <w:rPr>
          <w:rFonts w:hint="eastAsia"/>
          <w:color w:val="auto"/>
          <w:lang w:val="en-US" w:eastAsia="zh-CN"/>
        </w:rPr>
        <w:t>对河</w:t>
      </w:r>
      <w:r>
        <w:rPr>
          <w:rFonts w:hint="eastAsia"/>
          <w:color w:val="auto"/>
        </w:rPr>
        <w:t>、</w:t>
      </w:r>
      <w:r>
        <w:rPr>
          <w:color w:val="auto"/>
        </w:rPr>
        <w:t>汨罗江和湄江河。本次评价引用汨罗市环境保护监测站对汨罗江、湄江河的常规监测断面监测数据和汨罗循环经济产业园区管理委员会对湄江河监测断面监测数据进行分析。</w:t>
      </w:r>
    </w:p>
    <w:p>
      <w:pPr>
        <w:ind w:firstLine="482"/>
        <w:rPr>
          <w:b/>
          <w:bCs/>
          <w:color w:val="auto"/>
        </w:rPr>
      </w:pPr>
      <w:r>
        <w:rPr>
          <w:b/>
          <w:bCs/>
          <w:color w:val="auto"/>
        </w:rPr>
        <w:t>1、区域环境质量报告数据</w:t>
      </w:r>
    </w:p>
    <w:p>
      <w:pPr>
        <w:ind w:firstLine="480"/>
        <w:rPr>
          <w:color w:val="auto"/>
        </w:rPr>
      </w:pPr>
      <w:r>
        <w:rPr>
          <w:color w:val="auto"/>
        </w:rPr>
        <w:t>根据汨罗市人民政府官网上公示的《汨罗市环境质量月报》（2021年1月至2021年12月），2021年1月至12月，汨罗市地表水水质均符合《地表水环境质量标准》（GB 3838-2002）的Ⅱ类和III类水质标准，具体如下：</w:t>
      </w:r>
    </w:p>
    <w:p>
      <w:pPr>
        <w:pStyle w:val="31"/>
        <w:rPr>
          <w:color w:val="auto"/>
        </w:rPr>
      </w:pPr>
      <w:r>
        <w:rPr>
          <w:color w:val="auto"/>
        </w:rPr>
        <w:t>表4.3-4  汨罗江及车对河2021年水环境质量现状表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872"/>
        <w:gridCol w:w="1013"/>
        <w:gridCol w:w="521"/>
        <w:gridCol w:w="523"/>
        <w:gridCol w:w="527"/>
        <w:gridCol w:w="527"/>
        <w:gridCol w:w="527"/>
        <w:gridCol w:w="527"/>
        <w:gridCol w:w="527"/>
        <w:gridCol w:w="527"/>
        <w:gridCol w:w="527"/>
        <w:gridCol w:w="658"/>
        <w:gridCol w:w="607"/>
        <w:gridCol w:w="63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15" w:hRule="atLeast"/>
          <w:jc w:val="center"/>
        </w:trPr>
        <w:tc>
          <w:tcPr>
            <w:tcW w:w="512" w:type="pct"/>
            <w:vMerge w:val="restart"/>
            <w:vAlign w:val="center"/>
          </w:tcPr>
          <w:p>
            <w:pPr>
              <w:pStyle w:val="30"/>
              <w:rPr>
                <w:b/>
                <w:bCs/>
                <w:color w:val="auto"/>
              </w:rPr>
            </w:pPr>
            <w:r>
              <w:rPr>
                <w:b/>
                <w:bCs/>
                <w:color w:val="auto"/>
              </w:rPr>
              <w:t>断面名称</w:t>
            </w:r>
          </w:p>
        </w:tc>
        <w:tc>
          <w:tcPr>
            <w:tcW w:w="595" w:type="pct"/>
            <w:vMerge w:val="restart"/>
            <w:vAlign w:val="center"/>
          </w:tcPr>
          <w:p>
            <w:pPr>
              <w:pStyle w:val="30"/>
              <w:rPr>
                <w:b/>
                <w:bCs/>
                <w:color w:val="auto"/>
              </w:rPr>
            </w:pPr>
            <w:r>
              <w:rPr>
                <w:b/>
                <w:bCs/>
                <w:color w:val="auto"/>
              </w:rPr>
              <w:t>功能区类别（水质类别）</w:t>
            </w:r>
          </w:p>
        </w:tc>
        <w:tc>
          <w:tcPr>
            <w:tcW w:w="3893" w:type="pct"/>
            <w:gridSpan w:val="12"/>
            <w:vAlign w:val="center"/>
          </w:tcPr>
          <w:p>
            <w:pPr>
              <w:pStyle w:val="30"/>
              <w:rPr>
                <w:b/>
                <w:bCs/>
                <w:color w:val="auto"/>
              </w:rPr>
            </w:pPr>
            <w:r>
              <w:rPr>
                <w:b/>
                <w:bCs/>
                <w:color w:val="auto"/>
              </w:rPr>
              <w:t>各月已达类别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14" w:hRule="atLeast"/>
          <w:jc w:val="center"/>
        </w:trPr>
        <w:tc>
          <w:tcPr>
            <w:tcW w:w="512" w:type="pct"/>
            <w:vMerge w:val="continue"/>
            <w:vAlign w:val="center"/>
          </w:tcPr>
          <w:p>
            <w:pPr>
              <w:pStyle w:val="30"/>
              <w:rPr>
                <w:b/>
                <w:bCs/>
                <w:color w:val="auto"/>
              </w:rPr>
            </w:pPr>
          </w:p>
        </w:tc>
        <w:tc>
          <w:tcPr>
            <w:tcW w:w="595" w:type="pct"/>
            <w:vMerge w:val="continue"/>
            <w:vAlign w:val="center"/>
          </w:tcPr>
          <w:p>
            <w:pPr>
              <w:pStyle w:val="30"/>
              <w:rPr>
                <w:b/>
                <w:bCs/>
                <w:color w:val="auto"/>
              </w:rPr>
            </w:pPr>
          </w:p>
        </w:tc>
        <w:tc>
          <w:tcPr>
            <w:tcW w:w="306" w:type="pct"/>
            <w:vAlign w:val="center"/>
          </w:tcPr>
          <w:p>
            <w:pPr>
              <w:pStyle w:val="30"/>
              <w:rPr>
                <w:b/>
                <w:bCs/>
                <w:color w:val="auto"/>
              </w:rPr>
            </w:pPr>
            <w:r>
              <w:rPr>
                <w:b/>
                <w:bCs/>
                <w:color w:val="auto"/>
              </w:rPr>
              <w:t>1</w:t>
            </w:r>
          </w:p>
          <w:p>
            <w:pPr>
              <w:pStyle w:val="30"/>
              <w:rPr>
                <w:b/>
                <w:bCs/>
                <w:color w:val="auto"/>
              </w:rPr>
            </w:pPr>
            <w:r>
              <w:rPr>
                <w:b/>
                <w:bCs/>
                <w:color w:val="auto"/>
              </w:rPr>
              <w:t>月</w:t>
            </w:r>
          </w:p>
        </w:tc>
        <w:tc>
          <w:tcPr>
            <w:tcW w:w="307" w:type="pct"/>
            <w:vAlign w:val="center"/>
          </w:tcPr>
          <w:p>
            <w:pPr>
              <w:pStyle w:val="30"/>
              <w:rPr>
                <w:b/>
                <w:bCs/>
                <w:color w:val="auto"/>
              </w:rPr>
            </w:pPr>
            <w:r>
              <w:rPr>
                <w:b/>
                <w:bCs/>
                <w:color w:val="auto"/>
              </w:rPr>
              <w:t>2</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3</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4</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5</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6</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7</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8</w:t>
            </w:r>
          </w:p>
          <w:p>
            <w:pPr>
              <w:pStyle w:val="30"/>
              <w:rPr>
                <w:b/>
                <w:bCs/>
                <w:color w:val="auto"/>
              </w:rPr>
            </w:pPr>
            <w:r>
              <w:rPr>
                <w:b/>
                <w:bCs/>
                <w:color w:val="auto"/>
              </w:rPr>
              <w:t>月</w:t>
            </w:r>
          </w:p>
        </w:tc>
        <w:tc>
          <w:tcPr>
            <w:tcW w:w="309" w:type="pct"/>
            <w:vAlign w:val="center"/>
          </w:tcPr>
          <w:p>
            <w:pPr>
              <w:pStyle w:val="30"/>
              <w:rPr>
                <w:b/>
                <w:bCs/>
                <w:color w:val="auto"/>
              </w:rPr>
            </w:pPr>
            <w:r>
              <w:rPr>
                <w:b/>
                <w:bCs/>
                <w:color w:val="auto"/>
              </w:rPr>
              <w:t>9</w:t>
            </w:r>
          </w:p>
          <w:p>
            <w:pPr>
              <w:pStyle w:val="30"/>
              <w:rPr>
                <w:b/>
                <w:bCs/>
                <w:color w:val="auto"/>
              </w:rPr>
            </w:pPr>
            <w:r>
              <w:rPr>
                <w:b/>
                <w:bCs/>
                <w:color w:val="auto"/>
              </w:rPr>
              <w:t>月</w:t>
            </w:r>
          </w:p>
        </w:tc>
        <w:tc>
          <w:tcPr>
            <w:tcW w:w="386" w:type="pct"/>
            <w:vAlign w:val="center"/>
          </w:tcPr>
          <w:p>
            <w:pPr>
              <w:pStyle w:val="30"/>
              <w:rPr>
                <w:b/>
                <w:bCs/>
                <w:color w:val="auto"/>
              </w:rPr>
            </w:pPr>
            <w:r>
              <w:rPr>
                <w:b/>
                <w:bCs/>
                <w:color w:val="auto"/>
              </w:rPr>
              <w:t>10 月</w:t>
            </w:r>
          </w:p>
        </w:tc>
        <w:tc>
          <w:tcPr>
            <w:tcW w:w="356" w:type="pct"/>
            <w:vAlign w:val="center"/>
          </w:tcPr>
          <w:p>
            <w:pPr>
              <w:pStyle w:val="30"/>
              <w:rPr>
                <w:b/>
                <w:bCs/>
                <w:color w:val="auto"/>
              </w:rPr>
            </w:pPr>
            <w:r>
              <w:rPr>
                <w:b/>
                <w:bCs/>
                <w:color w:val="auto"/>
              </w:rPr>
              <w:t>11</w:t>
            </w:r>
          </w:p>
          <w:p>
            <w:pPr>
              <w:pStyle w:val="30"/>
              <w:rPr>
                <w:b/>
                <w:bCs/>
                <w:color w:val="auto"/>
              </w:rPr>
            </w:pPr>
            <w:r>
              <w:rPr>
                <w:b/>
                <w:bCs/>
                <w:color w:val="auto"/>
              </w:rPr>
              <w:t>月</w:t>
            </w:r>
          </w:p>
        </w:tc>
        <w:tc>
          <w:tcPr>
            <w:tcW w:w="377" w:type="pct"/>
            <w:vAlign w:val="center"/>
          </w:tcPr>
          <w:p>
            <w:pPr>
              <w:pStyle w:val="30"/>
              <w:rPr>
                <w:b/>
                <w:bCs/>
                <w:color w:val="auto"/>
              </w:rPr>
            </w:pPr>
            <w:r>
              <w:rPr>
                <w:b/>
                <w:bCs/>
                <w:color w:val="auto"/>
              </w:rPr>
              <w:t>12 月</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16" w:hRule="atLeast"/>
          <w:jc w:val="center"/>
        </w:trPr>
        <w:tc>
          <w:tcPr>
            <w:tcW w:w="512" w:type="pct"/>
            <w:vAlign w:val="center"/>
          </w:tcPr>
          <w:p>
            <w:pPr>
              <w:pStyle w:val="30"/>
              <w:rPr>
                <w:color w:val="auto"/>
              </w:rPr>
            </w:pPr>
            <w:r>
              <w:rPr>
                <w:color w:val="auto"/>
              </w:rPr>
              <w:t>窑州断面</w:t>
            </w:r>
          </w:p>
        </w:tc>
        <w:tc>
          <w:tcPr>
            <w:tcW w:w="595" w:type="pct"/>
            <w:vAlign w:val="center"/>
          </w:tcPr>
          <w:p>
            <w:pPr>
              <w:pStyle w:val="30"/>
              <w:rPr>
                <w:color w:val="auto"/>
              </w:rPr>
            </w:pPr>
            <w:r>
              <w:rPr>
                <w:color w:val="auto"/>
              </w:rPr>
              <w:t>饮用水源保护区（Ⅱ）</w:t>
            </w:r>
          </w:p>
        </w:tc>
        <w:tc>
          <w:tcPr>
            <w:tcW w:w="306" w:type="pct"/>
            <w:vAlign w:val="center"/>
          </w:tcPr>
          <w:p>
            <w:pPr>
              <w:pStyle w:val="30"/>
              <w:rPr>
                <w:color w:val="auto"/>
              </w:rPr>
            </w:pPr>
            <w:r>
              <w:rPr>
                <w:color w:val="auto"/>
              </w:rPr>
              <w:t>Ⅱ类</w:t>
            </w:r>
          </w:p>
        </w:tc>
        <w:tc>
          <w:tcPr>
            <w:tcW w:w="307"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Ⅱ类</w:t>
            </w:r>
          </w:p>
        </w:tc>
        <w:tc>
          <w:tcPr>
            <w:tcW w:w="386" w:type="pct"/>
            <w:vAlign w:val="center"/>
          </w:tcPr>
          <w:p>
            <w:pPr>
              <w:pStyle w:val="30"/>
              <w:rPr>
                <w:color w:val="auto"/>
              </w:rPr>
            </w:pPr>
            <w:r>
              <w:rPr>
                <w:color w:val="auto"/>
              </w:rPr>
              <w:t>Ⅱ类</w:t>
            </w:r>
          </w:p>
        </w:tc>
        <w:tc>
          <w:tcPr>
            <w:tcW w:w="356" w:type="pct"/>
            <w:vAlign w:val="center"/>
          </w:tcPr>
          <w:p>
            <w:pPr>
              <w:pStyle w:val="30"/>
              <w:rPr>
                <w:color w:val="auto"/>
              </w:rPr>
            </w:pPr>
            <w:r>
              <w:rPr>
                <w:color w:val="auto"/>
              </w:rPr>
              <w:t>Ⅱ类</w:t>
            </w:r>
          </w:p>
        </w:tc>
        <w:tc>
          <w:tcPr>
            <w:tcW w:w="377" w:type="pct"/>
            <w:vAlign w:val="center"/>
          </w:tcPr>
          <w:p>
            <w:pPr>
              <w:pStyle w:val="30"/>
              <w:rPr>
                <w:color w:val="auto"/>
              </w:rPr>
            </w:pPr>
            <w:r>
              <w:rPr>
                <w:color w:val="auto"/>
              </w:rPr>
              <w:t>Ⅱ类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jc w:val="center"/>
        </w:trPr>
        <w:tc>
          <w:tcPr>
            <w:tcW w:w="512" w:type="pct"/>
            <w:vAlign w:val="center"/>
          </w:tcPr>
          <w:p>
            <w:pPr>
              <w:pStyle w:val="30"/>
              <w:rPr>
                <w:color w:val="auto"/>
              </w:rPr>
            </w:pPr>
            <w:r>
              <w:rPr>
                <w:color w:val="auto"/>
              </w:rPr>
              <w:t>新市断面</w:t>
            </w:r>
          </w:p>
        </w:tc>
        <w:tc>
          <w:tcPr>
            <w:tcW w:w="595" w:type="pct"/>
            <w:vAlign w:val="center"/>
          </w:tcPr>
          <w:p>
            <w:pPr>
              <w:pStyle w:val="30"/>
              <w:rPr>
                <w:color w:val="auto"/>
              </w:rPr>
            </w:pPr>
            <w:r>
              <w:rPr>
                <w:color w:val="auto"/>
              </w:rPr>
              <w:t>省控断面（III）</w:t>
            </w:r>
          </w:p>
        </w:tc>
        <w:tc>
          <w:tcPr>
            <w:tcW w:w="306" w:type="pct"/>
            <w:vAlign w:val="center"/>
          </w:tcPr>
          <w:p>
            <w:pPr>
              <w:pStyle w:val="30"/>
              <w:rPr>
                <w:color w:val="auto"/>
              </w:rPr>
            </w:pPr>
            <w:r>
              <w:rPr>
                <w:color w:val="auto"/>
              </w:rPr>
              <w:t>III</w:t>
            </w:r>
          </w:p>
          <w:p>
            <w:pPr>
              <w:pStyle w:val="30"/>
              <w:rPr>
                <w:color w:val="auto"/>
              </w:rPr>
            </w:pPr>
            <w:r>
              <w:rPr>
                <w:color w:val="auto"/>
              </w:rPr>
              <w:t>类</w:t>
            </w:r>
          </w:p>
        </w:tc>
        <w:tc>
          <w:tcPr>
            <w:tcW w:w="307"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86" w:type="pct"/>
            <w:vAlign w:val="center"/>
          </w:tcPr>
          <w:p>
            <w:pPr>
              <w:pStyle w:val="30"/>
              <w:rPr>
                <w:color w:val="auto"/>
              </w:rPr>
            </w:pPr>
            <w:r>
              <w:rPr>
                <w:color w:val="auto"/>
              </w:rPr>
              <w:t>III 类</w:t>
            </w:r>
          </w:p>
        </w:tc>
        <w:tc>
          <w:tcPr>
            <w:tcW w:w="356" w:type="pct"/>
            <w:vAlign w:val="center"/>
          </w:tcPr>
          <w:p>
            <w:pPr>
              <w:pStyle w:val="30"/>
              <w:rPr>
                <w:color w:val="auto"/>
              </w:rPr>
            </w:pPr>
            <w:r>
              <w:rPr>
                <w:color w:val="auto"/>
              </w:rPr>
              <w:t>III</w:t>
            </w:r>
          </w:p>
          <w:p>
            <w:pPr>
              <w:pStyle w:val="30"/>
              <w:rPr>
                <w:color w:val="auto"/>
              </w:rPr>
            </w:pPr>
            <w:r>
              <w:rPr>
                <w:color w:val="auto"/>
              </w:rPr>
              <w:t>类</w:t>
            </w:r>
          </w:p>
        </w:tc>
        <w:tc>
          <w:tcPr>
            <w:tcW w:w="377" w:type="pct"/>
            <w:vAlign w:val="center"/>
          </w:tcPr>
          <w:p>
            <w:pPr>
              <w:pStyle w:val="30"/>
              <w:rPr>
                <w:color w:val="auto"/>
              </w:rPr>
            </w:pPr>
            <w:r>
              <w:rPr>
                <w:color w:val="auto"/>
              </w:rPr>
              <w:t>III 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17" w:hRule="atLeast"/>
          <w:jc w:val="center"/>
        </w:trPr>
        <w:tc>
          <w:tcPr>
            <w:tcW w:w="512" w:type="pct"/>
            <w:vAlign w:val="center"/>
          </w:tcPr>
          <w:p>
            <w:pPr>
              <w:pStyle w:val="30"/>
              <w:rPr>
                <w:color w:val="auto"/>
              </w:rPr>
            </w:pPr>
            <w:r>
              <w:rPr>
                <w:color w:val="auto"/>
              </w:rPr>
              <w:t>罗水入汨罗江</w:t>
            </w:r>
          </w:p>
          <w:p>
            <w:pPr>
              <w:pStyle w:val="30"/>
              <w:rPr>
                <w:color w:val="auto"/>
              </w:rPr>
            </w:pPr>
            <w:r>
              <w:rPr>
                <w:color w:val="auto"/>
              </w:rPr>
              <w:t>口断面</w:t>
            </w:r>
          </w:p>
        </w:tc>
        <w:tc>
          <w:tcPr>
            <w:tcW w:w="595" w:type="pct"/>
            <w:vAlign w:val="center"/>
          </w:tcPr>
          <w:p>
            <w:pPr>
              <w:pStyle w:val="30"/>
              <w:rPr>
                <w:color w:val="auto"/>
              </w:rPr>
            </w:pPr>
            <w:r>
              <w:rPr>
                <w:color w:val="auto"/>
              </w:rPr>
              <w:t>省控断面（III）</w:t>
            </w:r>
          </w:p>
        </w:tc>
        <w:tc>
          <w:tcPr>
            <w:tcW w:w="306" w:type="pct"/>
            <w:vAlign w:val="center"/>
          </w:tcPr>
          <w:p>
            <w:pPr>
              <w:pStyle w:val="30"/>
              <w:rPr>
                <w:color w:val="auto"/>
              </w:rPr>
            </w:pPr>
            <w:r>
              <w:rPr>
                <w:color w:val="auto"/>
              </w:rPr>
              <w:t>III</w:t>
            </w:r>
          </w:p>
          <w:p>
            <w:pPr>
              <w:pStyle w:val="30"/>
              <w:rPr>
                <w:color w:val="auto"/>
              </w:rPr>
            </w:pPr>
            <w:r>
              <w:rPr>
                <w:color w:val="auto"/>
              </w:rPr>
              <w:t>类</w:t>
            </w:r>
          </w:p>
        </w:tc>
        <w:tc>
          <w:tcPr>
            <w:tcW w:w="307"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Ⅱ 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Ⅱ类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Ⅱ 类</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86" w:type="pct"/>
            <w:vAlign w:val="center"/>
          </w:tcPr>
          <w:p>
            <w:pPr>
              <w:pStyle w:val="30"/>
              <w:rPr>
                <w:color w:val="auto"/>
              </w:rPr>
            </w:pPr>
            <w:r>
              <w:rPr>
                <w:color w:val="auto"/>
              </w:rPr>
              <w:t xml:space="preserve"> III 类</w:t>
            </w:r>
          </w:p>
        </w:tc>
        <w:tc>
          <w:tcPr>
            <w:tcW w:w="356" w:type="pct"/>
            <w:vAlign w:val="center"/>
          </w:tcPr>
          <w:p>
            <w:pPr>
              <w:pStyle w:val="30"/>
              <w:rPr>
                <w:color w:val="auto"/>
              </w:rPr>
            </w:pPr>
            <w:r>
              <w:rPr>
                <w:color w:val="auto"/>
              </w:rPr>
              <w:t>Ⅱ类</w:t>
            </w:r>
          </w:p>
        </w:tc>
        <w:tc>
          <w:tcPr>
            <w:tcW w:w="377" w:type="pct"/>
            <w:vAlign w:val="center"/>
          </w:tcPr>
          <w:p>
            <w:pPr>
              <w:pStyle w:val="30"/>
              <w:rPr>
                <w:color w:val="auto"/>
              </w:rPr>
            </w:pPr>
            <w:r>
              <w:rPr>
                <w:color w:val="auto"/>
              </w:rPr>
              <w:t>III 类</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3" w:hRule="atLeast"/>
          <w:jc w:val="center"/>
        </w:trPr>
        <w:tc>
          <w:tcPr>
            <w:tcW w:w="512" w:type="pct"/>
            <w:vAlign w:val="center"/>
          </w:tcPr>
          <w:p>
            <w:pPr>
              <w:pStyle w:val="30"/>
              <w:rPr>
                <w:color w:val="auto"/>
              </w:rPr>
            </w:pPr>
            <w:r>
              <w:rPr>
                <w:color w:val="auto"/>
              </w:rPr>
              <w:t>磊石断面</w:t>
            </w:r>
          </w:p>
        </w:tc>
        <w:tc>
          <w:tcPr>
            <w:tcW w:w="595" w:type="pct"/>
            <w:vAlign w:val="center"/>
          </w:tcPr>
          <w:p>
            <w:pPr>
              <w:pStyle w:val="30"/>
              <w:rPr>
                <w:color w:val="auto"/>
              </w:rPr>
            </w:pPr>
            <w:r>
              <w:rPr>
                <w:color w:val="auto"/>
              </w:rPr>
              <w:t>县控断面（III）</w:t>
            </w:r>
          </w:p>
        </w:tc>
        <w:tc>
          <w:tcPr>
            <w:tcW w:w="306" w:type="pct"/>
            <w:vAlign w:val="center"/>
          </w:tcPr>
          <w:p>
            <w:pPr>
              <w:pStyle w:val="30"/>
              <w:rPr>
                <w:color w:val="auto"/>
              </w:rPr>
            </w:pPr>
            <w:r>
              <w:rPr>
                <w:color w:val="auto"/>
              </w:rPr>
              <w:t>III</w:t>
            </w:r>
          </w:p>
          <w:p>
            <w:pPr>
              <w:pStyle w:val="30"/>
              <w:rPr>
                <w:color w:val="auto"/>
              </w:rPr>
            </w:pPr>
            <w:r>
              <w:rPr>
                <w:color w:val="auto"/>
              </w:rPr>
              <w:t>类</w:t>
            </w:r>
          </w:p>
        </w:tc>
        <w:tc>
          <w:tcPr>
            <w:tcW w:w="307"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86" w:type="pct"/>
            <w:vAlign w:val="center"/>
          </w:tcPr>
          <w:p>
            <w:pPr>
              <w:pStyle w:val="30"/>
              <w:rPr>
                <w:color w:val="auto"/>
              </w:rPr>
            </w:pPr>
            <w:r>
              <w:rPr>
                <w:color w:val="auto"/>
              </w:rPr>
              <w:t>Ⅱ类</w:t>
            </w:r>
          </w:p>
        </w:tc>
        <w:tc>
          <w:tcPr>
            <w:tcW w:w="356" w:type="pct"/>
            <w:vAlign w:val="center"/>
          </w:tcPr>
          <w:p>
            <w:pPr>
              <w:pStyle w:val="30"/>
              <w:rPr>
                <w:color w:val="auto"/>
              </w:rPr>
            </w:pPr>
            <w:r>
              <w:rPr>
                <w:color w:val="auto"/>
              </w:rPr>
              <w:t>/</w:t>
            </w:r>
          </w:p>
        </w:tc>
        <w:tc>
          <w:tcPr>
            <w:tcW w:w="377" w:type="pc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3" w:hRule="atLeast"/>
          <w:jc w:val="center"/>
        </w:trPr>
        <w:tc>
          <w:tcPr>
            <w:tcW w:w="512" w:type="pct"/>
            <w:vAlign w:val="center"/>
          </w:tcPr>
          <w:p>
            <w:pPr>
              <w:pStyle w:val="30"/>
              <w:rPr>
                <w:color w:val="auto"/>
              </w:rPr>
            </w:pPr>
            <w:r>
              <w:rPr>
                <w:color w:val="auto"/>
              </w:rPr>
              <w:t>车对河</w:t>
            </w:r>
          </w:p>
          <w:p>
            <w:pPr>
              <w:pStyle w:val="30"/>
              <w:rPr>
                <w:color w:val="auto"/>
              </w:rPr>
            </w:pPr>
            <w:r>
              <w:rPr>
                <w:color w:val="auto"/>
              </w:rPr>
              <w:t>赵公桥</w:t>
            </w:r>
          </w:p>
        </w:tc>
        <w:tc>
          <w:tcPr>
            <w:tcW w:w="595" w:type="pct"/>
            <w:vAlign w:val="center"/>
          </w:tcPr>
          <w:p>
            <w:pPr>
              <w:pStyle w:val="30"/>
              <w:rPr>
                <w:color w:val="auto"/>
              </w:rPr>
            </w:pPr>
            <w:r>
              <w:rPr>
                <w:color w:val="auto"/>
              </w:rPr>
              <w:t>县控断</w:t>
            </w:r>
          </w:p>
          <w:p>
            <w:pPr>
              <w:pStyle w:val="30"/>
              <w:rPr>
                <w:color w:val="auto"/>
              </w:rPr>
            </w:pPr>
            <w:r>
              <w:rPr>
                <w:color w:val="auto"/>
              </w:rPr>
              <w:t>面（III）</w:t>
            </w:r>
          </w:p>
        </w:tc>
        <w:tc>
          <w:tcPr>
            <w:tcW w:w="306" w:type="pct"/>
            <w:vAlign w:val="center"/>
          </w:tcPr>
          <w:p>
            <w:pPr>
              <w:pStyle w:val="30"/>
              <w:rPr>
                <w:color w:val="auto"/>
              </w:rPr>
            </w:pPr>
            <w:r>
              <w:rPr>
                <w:color w:val="auto"/>
              </w:rPr>
              <w:t>III</w:t>
            </w:r>
          </w:p>
          <w:p>
            <w:pPr>
              <w:pStyle w:val="30"/>
              <w:rPr>
                <w:color w:val="auto"/>
              </w:rPr>
            </w:pPr>
            <w:r>
              <w:rPr>
                <w:color w:val="auto"/>
              </w:rPr>
              <w:t>类</w:t>
            </w:r>
          </w:p>
        </w:tc>
        <w:tc>
          <w:tcPr>
            <w:tcW w:w="307"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III</w:t>
            </w:r>
          </w:p>
          <w:p>
            <w:pPr>
              <w:pStyle w:val="30"/>
              <w:rPr>
                <w:color w:val="auto"/>
              </w:rPr>
            </w:pPr>
            <w:r>
              <w:rPr>
                <w:color w:val="auto"/>
              </w:rPr>
              <w:t>类</w:t>
            </w:r>
          </w:p>
        </w:tc>
        <w:tc>
          <w:tcPr>
            <w:tcW w:w="309" w:type="pct"/>
            <w:vAlign w:val="center"/>
          </w:tcPr>
          <w:p>
            <w:pPr>
              <w:pStyle w:val="30"/>
              <w:rPr>
                <w:color w:val="auto"/>
              </w:rPr>
            </w:pPr>
            <w:r>
              <w:rPr>
                <w:color w:val="auto"/>
              </w:rPr>
              <w:t>/</w:t>
            </w:r>
          </w:p>
        </w:tc>
        <w:tc>
          <w:tcPr>
            <w:tcW w:w="309" w:type="pct"/>
            <w:vAlign w:val="center"/>
          </w:tcPr>
          <w:p>
            <w:pPr>
              <w:pStyle w:val="30"/>
              <w:rPr>
                <w:color w:val="auto"/>
              </w:rPr>
            </w:pPr>
            <w:r>
              <w:rPr>
                <w:color w:val="auto"/>
              </w:rPr>
              <w:t>/</w:t>
            </w:r>
          </w:p>
        </w:tc>
        <w:tc>
          <w:tcPr>
            <w:tcW w:w="386" w:type="pct"/>
            <w:vAlign w:val="center"/>
          </w:tcPr>
          <w:p>
            <w:pPr>
              <w:pStyle w:val="30"/>
              <w:rPr>
                <w:color w:val="auto"/>
              </w:rPr>
            </w:pPr>
            <w:r>
              <w:rPr>
                <w:color w:val="auto"/>
              </w:rPr>
              <w:t>Ⅱ类</w:t>
            </w:r>
          </w:p>
        </w:tc>
        <w:tc>
          <w:tcPr>
            <w:tcW w:w="356" w:type="pct"/>
            <w:vAlign w:val="center"/>
          </w:tcPr>
          <w:p>
            <w:pPr>
              <w:pStyle w:val="30"/>
              <w:rPr>
                <w:color w:val="auto"/>
              </w:rPr>
            </w:pPr>
            <w:r>
              <w:rPr>
                <w:color w:val="auto"/>
              </w:rPr>
              <w:t>/</w:t>
            </w:r>
          </w:p>
        </w:tc>
        <w:tc>
          <w:tcPr>
            <w:tcW w:w="377" w:type="pct"/>
            <w:vAlign w:val="center"/>
          </w:tcPr>
          <w:p>
            <w:pPr>
              <w:pStyle w:val="30"/>
              <w:rPr>
                <w:color w:val="auto"/>
              </w:rPr>
            </w:pPr>
            <w:r>
              <w:rPr>
                <w:color w:val="auto"/>
              </w:rPr>
              <w:t>/</w:t>
            </w:r>
          </w:p>
        </w:tc>
      </w:tr>
    </w:tbl>
    <w:p>
      <w:pPr>
        <w:ind w:firstLine="480"/>
        <w:rPr>
          <w:color w:val="auto"/>
        </w:rPr>
      </w:pPr>
      <w:r>
        <w:rPr>
          <w:color w:val="auto"/>
        </w:rPr>
        <w:t>根据上表汨罗市地表水水质情况监测月报，2021年项目区域水体汨罗江和车对河地表水常规监测断面水质均符合《地表水环境质量标准》（GB 3838-2002）的Ⅱ类和III类水质标准，区域地表水环境质量现状良好。</w:t>
      </w:r>
    </w:p>
    <w:p>
      <w:pPr>
        <w:ind w:firstLine="482"/>
        <w:rPr>
          <w:b/>
          <w:bCs/>
          <w:color w:val="auto"/>
        </w:rPr>
      </w:pPr>
      <w:r>
        <w:rPr>
          <w:b/>
          <w:bCs/>
          <w:color w:val="auto"/>
        </w:rPr>
        <w:t>2</w:t>
      </w:r>
      <w:r>
        <w:rPr>
          <w:rFonts w:hint="eastAsia"/>
          <w:b/>
          <w:bCs/>
          <w:color w:val="auto"/>
        </w:rPr>
        <w:t>、车对河监测</w:t>
      </w:r>
    </w:p>
    <w:p>
      <w:pPr>
        <w:ind w:firstLine="480"/>
        <w:rPr>
          <w:color w:val="auto"/>
        </w:rPr>
      </w:pPr>
      <w:r>
        <w:rPr>
          <w:rFonts w:hint="eastAsia"/>
          <w:color w:val="auto"/>
        </w:rPr>
        <w:t>本次委托湖南九鼎环保科技有限公司于20</w:t>
      </w:r>
      <w:r>
        <w:rPr>
          <w:color w:val="auto"/>
        </w:rPr>
        <w:t>23</w:t>
      </w:r>
      <w:r>
        <w:rPr>
          <w:rFonts w:hint="eastAsia"/>
          <w:color w:val="auto"/>
        </w:rPr>
        <w:t>年</w:t>
      </w:r>
      <w:r>
        <w:rPr>
          <w:color w:val="auto"/>
        </w:rPr>
        <w:t>2</w:t>
      </w:r>
      <w:r>
        <w:rPr>
          <w:rFonts w:hint="eastAsia"/>
          <w:color w:val="auto"/>
        </w:rPr>
        <w:t>月</w:t>
      </w:r>
      <w:r>
        <w:rPr>
          <w:color w:val="auto"/>
        </w:rPr>
        <w:t>15</w:t>
      </w:r>
      <w:r>
        <w:rPr>
          <w:rFonts w:hint="eastAsia"/>
          <w:color w:val="auto"/>
        </w:rPr>
        <w:t>日至202</w:t>
      </w:r>
      <w:r>
        <w:rPr>
          <w:color w:val="auto"/>
        </w:rPr>
        <w:t>3</w:t>
      </w:r>
      <w:r>
        <w:rPr>
          <w:rFonts w:hint="eastAsia"/>
          <w:color w:val="auto"/>
        </w:rPr>
        <w:t>年</w:t>
      </w:r>
      <w:r>
        <w:rPr>
          <w:color w:val="auto"/>
        </w:rPr>
        <w:t>2</w:t>
      </w:r>
      <w:r>
        <w:rPr>
          <w:rFonts w:hint="eastAsia"/>
          <w:color w:val="auto"/>
        </w:rPr>
        <w:t>月</w:t>
      </w:r>
      <w:r>
        <w:rPr>
          <w:color w:val="auto"/>
        </w:rPr>
        <w:t>17</w:t>
      </w:r>
      <w:r>
        <w:rPr>
          <w:rFonts w:hint="eastAsia"/>
          <w:color w:val="auto"/>
        </w:rPr>
        <w:t>日对项目所在地右侧7</w:t>
      </w:r>
      <w:r>
        <w:rPr>
          <w:color w:val="auto"/>
        </w:rPr>
        <w:t>00</w:t>
      </w:r>
      <w:r>
        <w:rPr>
          <w:rFonts w:hint="eastAsia"/>
          <w:color w:val="auto"/>
        </w:rPr>
        <w:t>m车对河</w:t>
      </w:r>
      <w:r>
        <w:rPr>
          <w:rFonts w:hint="eastAsia"/>
          <w:snapToGrid w:val="0"/>
          <w:color w:val="auto"/>
        </w:rPr>
        <w:t>上游500m和下游1000m处进行了</w:t>
      </w:r>
      <w:r>
        <w:rPr>
          <w:rFonts w:hint="eastAsia"/>
          <w:color w:val="auto"/>
        </w:rPr>
        <w:t>地表水环境质量现状监测。</w:t>
      </w:r>
    </w:p>
    <w:p>
      <w:pPr>
        <w:ind w:firstLine="480"/>
        <w:rPr>
          <w:color w:val="auto"/>
        </w:rPr>
      </w:pPr>
      <w:r>
        <w:rPr>
          <w:rFonts w:hint="eastAsia"/>
          <w:color w:val="auto"/>
        </w:rPr>
        <w:t>监测点位：</w:t>
      </w:r>
      <w:r>
        <w:rPr>
          <w:rFonts w:hint="eastAsia"/>
          <w:snapToGrid w:val="0"/>
          <w:color w:val="auto"/>
        </w:rPr>
        <w:t>项目所在地右侧700m车对河上游500m和下游1000m处。</w:t>
      </w:r>
    </w:p>
    <w:p>
      <w:pPr>
        <w:ind w:firstLine="480"/>
        <w:rPr>
          <w:color w:val="auto"/>
        </w:rPr>
      </w:pPr>
      <w:r>
        <w:rPr>
          <w:rFonts w:hint="eastAsia"/>
          <w:snapToGrid w:val="0"/>
          <w:color w:val="auto"/>
        </w:rPr>
        <w:t>监测因子：pH、C</w:t>
      </w:r>
      <w:r>
        <w:rPr>
          <w:color w:val="auto"/>
          <w:kern w:val="20"/>
        </w:rPr>
        <w:t>OD</w:t>
      </w:r>
      <w:r>
        <w:rPr>
          <w:rFonts w:hint="eastAsia"/>
          <w:color w:val="auto"/>
          <w:kern w:val="20"/>
        </w:rPr>
        <w:t>、</w:t>
      </w:r>
      <w:r>
        <w:rPr>
          <w:color w:val="auto"/>
          <w:kern w:val="20"/>
        </w:rPr>
        <w:t>BOD</w:t>
      </w:r>
      <w:r>
        <w:rPr>
          <w:color w:val="auto"/>
          <w:kern w:val="20"/>
          <w:vertAlign w:val="subscript"/>
        </w:rPr>
        <w:t>5</w:t>
      </w:r>
      <w:r>
        <w:rPr>
          <w:rFonts w:hint="eastAsia"/>
          <w:color w:val="auto"/>
          <w:kern w:val="20"/>
        </w:rPr>
        <w:t>、氨氮、</w:t>
      </w:r>
      <w:r>
        <w:rPr>
          <w:color w:val="auto"/>
          <w:kern w:val="20"/>
        </w:rPr>
        <w:t xml:space="preserve"> </w:t>
      </w:r>
      <w:r>
        <w:rPr>
          <w:rFonts w:hint="eastAsia"/>
          <w:color w:val="auto"/>
          <w:kern w:val="20"/>
        </w:rPr>
        <w:t>总氮、总磷、悬浮物、</w:t>
      </w:r>
      <w:r>
        <w:rPr>
          <w:rFonts w:hint="eastAsia"/>
          <w:color w:val="auto"/>
        </w:rPr>
        <w:t>水温、溶解氧、LAS、</w:t>
      </w:r>
      <w:r>
        <w:rPr>
          <w:rFonts w:hint="eastAsia"/>
          <w:color w:val="auto"/>
          <w:kern w:val="20"/>
        </w:rPr>
        <w:t>石油类、</w:t>
      </w:r>
      <w:r>
        <w:rPr>
          <w:rFonts w:hint="eastAsia"/>
          <w:color w:val="auto"/>
        </w:rPr>
        <w:t>铜、锌、氟化物、砷、汞、镉、六价铬、铅、镍、挥发酚、硫化物、</w:t>
      </w:r>
      <w:r>
        <w:rPr>
          <w:rFonts w:hint="eastAsia"/>
          <w:color w:val="auto"/>
          <w:kern w:val="20"/>
        </w:rPr>
        <w:t>粪大肠菌群</w:t>
      </w:r>
      <w:r>
        <w:rPr>
          <w:rFonts w:hint="eastAsia"/>
          <w:color w:val="auto"/>
        </w:rPr>
        <w:t>。</w:t>
      </w:r>
    </w:p>
    <w:p>
      <w:pPr>
        <w:ind w:firstLine="480"/>
        <w:rPr>
          <w:color w:val="auto"/>
        </w:rPr>
      </w:pPr>
      <w:r>
        <w:rPr>
          <w:rFonts w:hint="eastAsia"/>
          <w:color w:val="auto"/>
        </w:rPr>
        <w:t>监测频次：3天，1次/天；</w:t>
      </w:r>
    </w:p>
    <w:p>
      <w:pPr>
        <w:pStyle w:val="31"/>
        <w:rPr>
          <w:color w:val="auto"/>
        </w:rPr>
      </w:pPr>
      <w:r>
        <w:rPr>
          <w:rFonts w:hint="eastAsia"/>
          <w:color w:val="auto"/>
        </w:rPr>
        <w:t>表4.3</w:t>
      </w:r>
      <w:r>
        <w:rPr>
          <w:color w:val="auto"/>
        </w:rPr>
        <w:t>-5</w:t>
      </w:r>
      <w:r>
        <w:rPr>
          <w:rFonts w:hint="eastAsia"/>
          <w:color w:val="auto"/>
        </w:rPr>
        <w:t xml:space="preserve"> 车对河车对河上游500m水环境质量现状表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8"/>
        <w:gridCol w:w="1038"/>
        <w:gridCol w:w="1314"/>
        <w:gridCol w:w="1383"/>
        <w:gridCol w:w="1154"/>
        <w:gridCol w:w="27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blHeader/>
          <w:jc w:val="center"/>
        </w:trPr>
        <w:tc>
          <w:tcPr>
            <w:tcW w:w="527" w:type="pct"/>
            <w:vAlign w:val="center"/>
          </w:tcPr>
          <w:p>
            <w:pPr>
              <w:pStyle w:val="30"/>
              <w:rPr>
                <w:b/>
                <w:bCs/>
                <w:color w:val="auto"/>
              </w:rPr>
            </w:pPr>
            <w:r>
              <w:rPr>
                <w:b/>
                <w:bCs/>
                <w:color w:val="auto"/>
              </w:rPr>
              <w:br w:type="page"/>
            </w:r>
            <w:r>
              <w:rPr>
                <w:b/>
                <w:bCs/>
                <w:color w:val="auto"/>
              </w:rPr>
              <w:t>采样日期</w:t>
            </w:r>
          </w:p>
        </w:tc>
        <w:tc>
          <w:tcPr>
            <w:tcW w:w="609" w:type="pct"/>
            <w:vAlign w:val="center"/>
          </w:tcPr>
          <w:p>
            <w:pPr>
              <w:pStyle w:val="30"/>
              <w:rPr>
                <w:b/>
                <w:bCs/>
                <w:color w:val="auto"/>
              </w:rPr>
            </w:pPr>
            <w:r>
              <w:rPr>
                <w:b/>
                <w:bCs/>
                <w:color w:val="auto"/>
              </w:rPr>
              <w:t>检测点位</w:t>
            </w:r>
          </w:p>
        </w:tc>
        <w:tc>
          <w:tcPr>
            <w:tcW w:w="771" w:type="pct"/>
            <w:vAlign w:val="center"/>
          </w:tcPr>
          <w:p>
            <w:pPr>
              <w:pStyle w:val="30"/>
              <w:rPr>
                <w:b/>
                <w:bCs/>
                <w:color w:val="auto"/>
              </w:rPr>
            </w:pPr>
            <w:r>
              <w:rPr>
                <w:b/>
                <w:bCs/>
                <w:color w:val="auto"/>
              </w:rPr>
              <w:t>样品状态</w:t>
            </w:r>
          </w:p>
        </w:tc>
        <w:tc>
          <w:tcPr>
            <w:tcW w:w="811" w:type="pct"/>
            <w:vAlign w:val="center"/>
          </w:tcPr>
          <w:p>
            <w:pPr>
              <w:pStyle w:val="30"/>
              <w:rPr>
                <w:b/>
                <w:bCs/>
                <w:color w:val="auto"/>
              </w:rPr>
            </w:pPr>
            <w:r>
              <w:rPr>
                <w:b/>
                <w:bCs/>
                <w:color w:val="auto"/>
              </w:rPr>
              <w:t>样品编号</w:t>
            </w:r>
          </w:p>
        </w:tc>
        <w:tc>
          <w:tcPr>
            <w:tcW w:w="677" w:type="pct"/>
            <w:vAlign w:val="center"/>
          </w:tcPr>
          <w:p>
            <w:pPr>
              <w:pStyle w:val="30"/>
              <w:rPr>
                <w:b/>
                <w:bCs/>
                <w:color w:val="auto"/>
              </w:rPr>
            </w:pPr>
            <w:r>
              <w:rPr>
                <w:b/>
                <w:bCs/>
                <w:color w:val="auto"/>
              </w:rPr>
              <w:t>检测指标</w:t>
            </w:r>
          </w:p>
        </w:tc>
        <w:tc>
          <w:tcPr>
            <w:tcW w:w="1604" w:type="pct"/>
            <w:vAlign w:val="center"/>
          </w:tcPr>
          <w:p>
            <w:pPr>
              <w:pStyle w:val="30"/>
              <w:rPr>
                <w:b/>
                <w:bCs/>
                <w:color w:val="auto"/>
              </w:rPr>
            </w:pPr>
            <w:r>
              <w:rPr>
                <w:rFonts w:hint="eastAsia"/>
                <w:b/>
                <w:bCs/>
                <w:color w:val="auto"/>
              </w:rPr>
              <w:t>检测结果（</w:t>
            </w:r>
            <w:r>
              <w:rPr>
                <w:b/>
                <w:bCs/>
                <w:color w:val="auto"/>
              </w:rPr>
              <w:t>mg/</w:t>
            </w:r>
            <w:r>
              <w:rPr>
                <w:rFonts w:hint="eastAsia"/>
                <w:b/>
                <w:bCs/>
                <w:color w:val="auto"/>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restart"/>
            <w:vAlign w:val="center"/>
          </w:tcPr>
          <w:p>
            <w:pPr>
              <w:pStyle w:val="30"/>
              <w:rPr>
                <w:color w:val="auto"/>
              </w:rPr>
            </w:pPr>
            <w:r>
              <w:rPr>
                <w:rFonts w:hint="eastAsia"/>
                <w:color w:val="auto"/>
              </w:rPr>
              <w:t>02月</w:t>
            </w:r>
          </w:p>
          <w:p>
            <w:pPr>
              <w:pStyle w:val="30"/>
              <w:rPr>
                <w:color w:val="auto"/>
              </w:rPr>
            </w:pPr>
            <w:r>
              <w:rPr>
                <w:rFonts w:hint="eastAsia"/>
                <w:color w:val="auto"/>
              </w:rPr>
              <w:t>15日</w:t>
            </w:r>
          </w:p>
        </w:tc>
        <w:tc>
          <w:tcPr>
            <w:tcW w:w="609" w:type="pct"/>
            <w:vMerge w:val="restart"/>
            <w:vAlign w:val="center"/>
          </w:tcPr>
          <w:p>
            <w:pPr>
              <w:pStyle w:val="30"/>
              <w:rPr>
                <w:color w:val="auto"/>
              </w:rPr>
            </w:pPr>
            <w:r>
              <w:rPr>
                <w:color w:val="auto"/>
              </w:rPr>
              <w:t>项目所在地右侧</w:t>
            </w:r>
            <w:r>
              <w:rPr>
                <w:rFonts w:hint="eastAsia"/>
                <w:color w:val="auto"/>
              </w:rPr>
              <w:t>700m车对河上游500m</w:t>
            </w:r>
          </w:p>
        </w:tc>
        <w:tc>
          <w:tcPr>
            <w:tcW w:w="771" w:type="pct"/>
            <w:vMerge w:val="restart"/>
            <w:vAlign w:val="center"/>
          </w:tcPr>
          <w:p>
            <w:pPr>
              <w:pStyle w:val="30"/>
              <w:rPr>
                <w:color w:val="auto"/>
              </w:rPr>
            </w:pPr>
            <w:r>
              <w:rPr>
                <w:color w:val="auto"/>
              </w:rPr>
              <w:t>微黄、无味</w:t>
            </w:r>
            <w:r>
              <w:rPr>
                <w:rFonts w:hint="eastAsia"/>
                <w:color w:val="auto"/>
              </w:rPr>
              <w:t>、无浮油</w:t>
            </w:r>
          </w:p>
        </w:tc>
        <w:tc>
          <w:tcPr>
            <w:tcW w:w="811" w:type="pct"/>
            <w:vAlign w:val="center"/>
          </w:tcPr>
          <w:p>
            <w:pPr>
              <w:pStyle w:val="30"/>
              <w:rPr>
                <w:color w:val="auto"/>
              </w:rPr>
            </w:pPr>
            <w:r>
              <w:rPr>
                <w:rFonts w:hint="eastAsia"/>
                <w:color w:val="auto"/>
              </w:rPr>
              <w:t>/</w:t>
            </w:r>
          </w:p>
        </w:tc>
        <w:tc>
          <w:tcPr>
            <w:tcW w:w="677" w:type="pct"/>
            <w:vAlign w:val="center"/>
          </w:tcPr>
          <w:p>
            <w:pPr>
              <w:pStyle w:val="30"/>
              <w:rPr>
                <w:color w:val="auto"/>
              </w:rPr>
            </w:pPr>
            <w:r>
              <w:rPr>
                <w:rFonts w:hint="eastAsia"/>
                <w:color w:val="auto"/>
              </w:rPr>
              <w:t>pH</w:t>
            </w:r>
          </w:p>
        </w:tc>
        <w:tc>
          <w:tcPr>
            <w:tcW w:w="1604" w:type="pct"/>
            <w:vAlign w:val="center"/>
          </w:tcPr>
          <w:p>
            <w:pPr>
              <w:pStyle w:val="30"/>
              <w:rPr>
                <w:color w:val="auto"/>
              </w:rPr>
            </w:pPr>
            <w:r>
              <w:rPr>
                <w:rFonts w:hint="eastAsia"/>
                <w:color w:val="auto"/>
              </w:rPr>
              <w:t>6.73（无量纲）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DB02150101</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COD</w:t>
            </w:r>
            <w:r>
              <w:rPr>
                <w:rFonts w:hint="eastAsia"/>
                <w:color w:val="auto"/>
                <w:vertAlign w:val="subscript"/>
              </w:rPr>
              <w:t>Cr</w:t>
            </w:r>
          </w:p>
        </w:tc>
        <w:tc>
          <w:tcPr>
            <w:tcW w:w="1604" w:type="pct"/>
            <w:vAlign w:val="center"/>
          </w:tcPr>
          <w:p>
            <w:pPr>
              <w:pStyle w:val="30"/>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DB02150102</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BOD</w:t>
            </w:r>
            <w:r>
              <w:rPr>
                <w:rFonts w:hint="eastAsia"/>
                <w:color w:val="auto"/>
                <w:vertAlign w:val="subscript"/>
              </w:rPr>
              <w:t>5</w:t>
            </w:r>
          </w:p>
        </w:tc>
        <w:tc>
          <w:tcPr>
            <w:tcW w:w="1604" w:type="pct"/>
            <w:vAlign w:val="center"/>
          </w:tcPr>
          <w:p>
            <w:pPr>
              <w:pStyle w:val="30"/>
              <w:rPr>
                <w:color w:val="auto"/>
              </w:rPr>
            </w:pPr>
            <w:r>
              <w:rPr>
                <w:rFonts w:hint="eastAsia"/>
                <w:color w:val="auto"/>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DB02150103</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氨氮</w:t>
            </w:r>
          </w:p>
        </w:tc>
        <w:tc>
          <w:tcPr>
            <w:tcW w:w="1604" w:type="pct"/>
            <w:vAlign w:val="center"/>
          </w:tcPr>
          <w:p>
            <w:pPr>
              <w:pStyle w:val="30"/>
              <w:rPr>
                <w:color w:val="auto"/>
              </w:rPr>
            </w:pPr>
            <w:r>
              <w:rPr>
                <w:rFonts w:hint="eastAsia"/>
                <w:color w:val="auto"/>
              </w:rPr>
              <w:t>0.566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DB02150104</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总氮</w:t>
            </w:r>
          </w:p>
        </w:tc>
        <w:tc>
          <w:tcPr>
            <w:tcW w:w="1604" w:type="pct"/>
            <w:vAlign w:val="center"/>
          </w:tcPr>
          <w:p>
            <w:pPr>
              <w:pStyle w:val="30"/>
              <w:rPr>
                <w:color w:val="auto"/>
              </w:rPr>
            </w:pPr>
            <w:r>
              <w:rPr>
                <w:rFonts w:hint="eastAsia"/>
                <w:color w:val="auto"/>
              </w:rPr>
              <w:t>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DB02150105</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总磷</w:t>
            </w:r>
          </w:p>
        </w:tc>
        <w:tc>
          <w:tcPr>
            <w:tcW w:w="1604" w:type="pct"/>
            <w:vAlign w:val="center"/>
          </w:tcPr>
          <w:p>
            <w:pPr>
              <w:pStyle w:val="30"/>
              <w:rPr>
                <w:color w:val="auto"/>
              </w:rPr>
            </w:pPr>
            <w:r>
              <w:rPr>
                <w:rFonts w:hint="eastAsia"/>
                <w:color w:val="auto"/>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DB02150106</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悬浮物</w:t>
            </w:r>
          </w:p>
        </w:tc>
        <w:tc>
          <w:tcPr>
            <w:tcW w:w="1604" w:type="pct"/>
            <w:vAlign w:val="center"/>
          </w:tcPr>
          <w:p>
            <w:pPr>
              <w:pStyle w:val="30"/>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DB02150107</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溶解氧</w:t>
            </w:r>
          </w:p>
        </w:tc>
        <w:tc>
          <w:tcPr>
            <w:tcW w:w="1604" w:type="pct"/>
            <w:vAlign w:val="center"/>
          </w:tcPr>
          <w:p>
            <w:pPr>
              <w:pStyle w:val="30"/>
              <w:rPr>
                <w:color w:val="auto"/>
              </w:rPr>
            </w:pPr>
            <w:r>
              <w:rPr>
                <w:rFonts w:hint="eastAsia"/>
                <w:color w:val="auto"/>
              </w:rPr>
              <w:t>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DB02150108</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LAS</w:t>
            </w:r>
          </w:p>
        </w:tc>
        <w:tc>
          <w:tcPr>
            <w:tcW w:w="1604" w:type="pct"/>
            <w:vAlign w:val="center"/>
          </w:tcPr>
          <w:p>
            <w:pPr>
              <w:pStyle w:val="30"/>
              <w:rPr>
                <w:color w:val="auto"/>
              </w:rPr>
            </w:pPr>
            <w:r>
              <w:rPr>
                <w:rFonts w:hint="eastAsia"/>
                <w:color w:val="auto"/>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DB02150109</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石油类</w:t>
            </w:r>
          </w:p>
        </w:tc>
        <w:tc>
          <w:tcPr>
            <w:tcW w:w="1604" w:type="pct"/>
            <w:vAlign w:val="center"/>
          </w:tcPr>
          <w:p>
            <w:pPr>
              <w:pStyle w:val="30"/>
              <w:rPr>
                <w:color w:val="auto"/>
              </w:rPr>
            </w:pPr>
            <w:r>
              <w:rPr>
                <w:rFonts w:hint="eastAsia"/>
                <w:color w:val="auto"/>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DB02150110</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铜</w:t>
            </w:r>
          </w:p>
        </w:tc>
        <w:tc>
          <w:tcPr>
            <w:tcW w:w="1604" w:type="pct"/>
            <w:vAlign w:val="center"/>
          </w:tcPr>
          <w:p>
            <w:pPr>
              <w:pStyle w:val="30"/>
              <w:rPr>
                <w:color w:val="auto"/>
              </w:rPr>
            </w:pPr>
            <w:r>
              <w:rPr>
                <w:rFonts w:hint="eastAsia"/>
                <w:color w:val="auto"/>
              </w:rPr>
              <w:t>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DB02150111</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锌</w:t>
            </w:r>
          </w:p>
        </w:tc>
        <w:tc>
          <w:tcPr>
            <w:tcW w:w="1604" w:type="pct"/>
            <w:vAlign w:val="center"/>
          </w:tcPr>
          <w:p>
            <w:pPr>
              <w:pStyle w:val="30"/>
              <w:rPr>
                <w:color w:val="auto"/>
              </w:rPr>
            </w:pPr>
            <w:r>
              <w:rPr>
                <w:rFonts w:hint="eastAsia"/>
                <w:color w:val="auto"/>
              </w:rPr>
              <w:t>0.01ND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DB02150112</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氟化物</w:t>
            </w:r>
          </w:p>
        </w:tc>
        <w:tc>
          <w:tcPr>
            <w:tcW w:w="1604" w:type="pct"/>
            <w:vAlign w:val="center"/>
          </w:tcPr>
          <w:p>
            <w:pPr>
              <w:pStyle w:val="30"/>
              <w:rPr>
                <w:color w:val="auto"/>
              </w:rPr>
            </w:pPr>
            <w:r>
              <w:rPr>
                <w:rFonts w:hint="eastAsia"/>
                <w:color w:val="auto"/>
              </w:rPr>
              <w:t>0.026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DB02150113</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砷</w:t>
            </w:r>
          </w:p>
        </w:tc>
        <w:tc>
          <w:tcPr>
            <w:tcW w:w="1604" w:type="pct"/>
            <w:vAlign w:val="center"/>
          </w:tcPr>
          <w:p>
            <w:pPr>
              <w:pStyle w:val="30"/>
              <w:rPr>
                <w:color w:val="auto"/>
              </w:rPr>
            </w:pPr>
            <w:r>
              <w:rPr>
                <w:rFonts w:hint="eastAsia"/>
                <w:color w:val="auto"/>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DB02150114</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汞</w:t>
            </w:r>
          </w:p>
        </w:tc>
        <w:tc>
          <w:tcPr>
            <w:tcW w:w="1604" w:type="pct"/>
            <w:vAlign w:val="center"/>
          </w:tcPr>
          <w:p>
            <w:pPr>
              <w:pStyle w:val="30"/>
              <w:rPr>
                <w:color w:val="auto"/>
              </w:rPr>
            </w:pPr>
            <w:r>
              <w:rPr>
                <w:rFonts w:hint="eastAsia"/>
                <w:color w:val="auto"/>
              </w:rPr>
              <w:t>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DB02150115</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镉</w:t>
            </w:r>
          </w:p>
        </w:tc>
        <w:tc>
          <w:tcPr>
            <w:tcW w:w="1604" w:type="pct"/>
            <w:vAlign w:val="center"/>
          </w:tcPr>
          <w:p>
            <w:pPr>
              <w:pStyle w:val="30"/>
              <w:rPr>
                <w:color w:val="auto"/>
              </w:rPr>
            </w:pPr>
            <w:r>
              <w:rPr>
                <w:rFonts w:hint="eastAsia"/>
                <w:color w:val="auto"/>
              </w:rPr>
              <w:t>5.0×10</w:t>
            </w:r>
            <w:r>
              <w:rPr>
                <w:rFonts w:hint="eastAsia"/>
                <w:color w:val="auto"/>
                <w:vertAlign w:val="superscript"/>
              </w:rPr>
              <w:t>-4</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DB02150116</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六价铬</w:t>
            </w:r>
          </w:p>
        </w:tc>
        <w:tc>
          <w:tcPr>
            <w:tcW w:w="1604" w:type="pct"/>
            <w:vAlign w:val="center"/>
          </w:tcPr>
          <w:p>
            <w:pPr>
              <w:pStyle w:val="30"/>
              <w:rPr>
                <w:color w:val="auto"/>
              </w:rPr>
            </w:pPr>
            <w:r>
              <w:rPr>
                <w:rFonts w:hint="eastAsia"/>
                <w:color w:val="auto"/>
              </w:rPr>
              <w:t>0.004ND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DB02150117</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铅</w:t>
            </w:r>
          </w:p>
        </w:tc>
        <w:tc>
          <w:tcPr>
            <w:tcW w:w="1604" w:type="pct"/>
            <w:vAlign w:val="center"/>
          </w:tcPr>
          <w:p>
            <w:pPr>
              <w:pStyle w:val="30"/>
              <w:rPr>
                <w:color w:val="auto"/>
              </w:rPr>
            </w:pPr>
            <w:r>
              <w:rPr>
                <w:rFonts w:hint="eastAsia"/>
                <w:color w:val="auto"/>
              </w:rPr>
              <w:t>2.5×10</w:t>
            </w:r>
            <w:r>
              <w:rPr>
                <w:rFonts w:hint="eastAsia"/>
                <w:color w:val="auto"/>
                <w:vertAlign w:val="superscript"/>
              </w:rPr>
              <w:t>-3</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6"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DB02150118</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镍</w:t>
            </w:r>
          </w:p>
        </w:tc>
        <w:tc>
          <w:tcPr>
            <w:tcW w:w="1604" w:type="pct"/>
            <w:vAlign w:val="center"/>
          </w:tcPr>
          <w:p>
            <w:pPr>
              <w:pStyle w:val="30"/>
              <w:rPr>
                <w:color w:val="auto"/>
              </w:rPr>
            </w:pPr>
            <w:r>
              <w:rPr>
                <w:rFonts w:hint="eastAsia"/>
                <w:color w:val="auto"/>
              </w:rPr>
              <w:t>0.020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DB02150119</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挥发酚</w:t>
            </w:r>
          </w:p>
        </w:tc>
        <w:tc>
          <w:tcPr>
            <w:tcW w:w="1604" w:type="pct"/>
            <w:vAlign w:val="center"/>
          </w:tcPr>
          <w:p>
            <w:pPr>
              <w:pStyle w:val="30"/>
              <w:rPr>
                <w:color w:val="auto"/>
              </w:rPr>
            </w:pPr>
            <w:r>
              <w:rPr>
                <w:rFonts w:hint="eastAsia"/>
                <w:color w:val="auto"/>
              </w:rPr>
              <w:t>0.0041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5"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DB02150120</w:t>
            </w:r>
          </w:p>
          <w:p>
            <w:pPr>
              <w:pStyle w:val="30"/>
              <w:rPr>
                <w:color w:val="auto"/>
              </w:rPr>
            </w:pPr>
            <w:r>
              <w:rPr>
                <w:rFonts w:hint="eastAsia"/>
                <w:color w:val="auto"/>
              </w:rPr>
              <w:t>A</w:t>
            </w:r>
          </w:p>
        </w:tc>
        <w:tc>
          <w:tcPr>
            <w:tcW w:w="677" w:type="pct"/>
            <w:vAlign w:val="center"/>
          </w:tcPr>
          <w:p>
            <w:pPr>
              <w:pStyle w:val="30"/>
              <w:rPr>
                <w:color w:val="auto"/>
              </w:rPr>
            </w:pPr>
            <w:r>
              <w:rPr>
                <w:rFonts w:hint="eastAsia"/>
                <w:color w:val="auto"/>
              </w:rPr>
              <w:t>硫化物</w:t>
            </w:r>
          </w:p>
        </w:tc>
        <w:tc>
          <w:tcPr>
            <w:tcW w:w="1604" w:type="pct"/>
            <w:vAlign w:val="center"/>
          </w:tcPr>
          <w:p>
            <w:pPr>
              <w:pStyle w:val="30"/>
              <w:rPr>
                <w:color w:val="auto"/>
              </w:rPr>
            </w:pPr>
            <w:r>
              <w:rPr>
                <w:rFonts w:hint="eastAsia"/>
                <w:color w:val="auto"/>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7" w:hRule="atLeast"/>
          <w:jc w:val="center"/>
        </w:trPr>
        <w:tc>
          <w:tcPr>
            <w:tcW w:w="527" w:type="pct"/>
            <w:vMerge w:val="continue"/>
            <w:vAlign w:val="center"/>
          </w:tcPr>
          <w:p>
            <w:pPr>
              <w:pStyle w:val="30"/>
              <w:rPr>
                <w:color w:val="auto"/>
              </w:rPr>
            </w:pPr>
          </w:p>
        </w:tc>
        <w:tc>
          <w:tcPr>
            <w:tcW w:w="609" w:type="pct"/>
            <w:vMerge w:val="continue"/>
            <w:vAlign w:val="center"/>
          </w:tcPr>
          <w:p>
            <w:pPr>
              <w:pStyle w:val="30"/>
              <w:rPr>
                <w:color w:val="auto"/>
              </w:rPr>
            </w:pPr>
          </w:p>
        </w:tc>
        <w:tc>
          <w:tcPr>
            <w:tcW w:w="771" w:type="pct"/>
            <w:vMerge w:val="continue"/>
            <w:vAlign w:val="center"/>
          </w:tcPr>
          <w:p>
            <w:pPr>
              <w:pStyle w:val="30"/>
              <w:rPr>
                <w:color w:val="auto"/>
              </w:rPr>
            </w:pPr>
          </w:p>
        </w:tc>
        <w:tc>
          <w:tcPr>
            <w:tcW w:w="811" w:type="pct"/>
            <w:vAlign w:val="center"/>
          </w:tcPr>
          <w:p>
            <w:pPr>
              <w:pStyle w:val="30"/>
              <w:rPr>
                <w:color w:val="auto"/>
              </w:rPr>
            </w:pPr>
            <w:r>
              <w:rPr>
                <w:rFonts w:hint="eastAsia"/>
                <w:color w:val="auto"/>
              </w:rPr>
              <w:t>DB02150121</w:t>
            </w:r>
          </w:p>
          <w:p>
            <w:pPr>
              <w:pStyle w:val="30"/>
              <w:rPr>
                <w:color w:val="auto"/>
              </w:rPr>
            </w:pPr>
            <w:r>
              <w:rPr>
                <w:rFonts w:hint="eastAsia"/>
                <w:color w:val="auto"/>
              </w:rPr>
              <w:t>A</w:t>
            </w:r>
          </w:p>
        </w:tc>
        <w:tc>
          <w:tcPr>
            <w:tcW w:w="677" w:type="pct"/>
            <w:vAlign w:val="center"/>
          </w:tcPr>
          <w:p>
            <w:pPr>
              <w:pStyle w:val="30"/>
              <w:rPr>
                <w:color w:val="auto"/>
              </w:rPr>
            </w:pPr>
            <w:r>
              <w:rPr>
                <w:color w:val="auto"/>
              </w:rPr>
              <w:t>粪大肠菌群</w:t>
            </w:r>
          </w:p>
        </w:tc>
        <w:tc>
          <w:tcPr>
            <w:tcW w:w="1604" w:type="pct"/>
            <w:vAlign w:val="center"/>
          </w:tcPr>
          <w:p>
            <w:pPr>
              <w:pStyle w:val="30"/>
              <w:rPr>
                <w:color w:val="auto"/>
              </w:rPr>
            </w:pPr>
            <w:r>
              <w:rPr>
                <w:rFonts w:hint="eastAsia"/>
                <w:color w:val="auto"/>
              </w:rPr>
              <w:t>3.5×10</w:t>
            </w:r>
            <w:r>
              <w:rPr>
                <w:rFonts w:hint="eastAsia"/>
                <w:color w:val="auto"/>
                <w:vertAlign w:val="superscript"/>
              </w:rPr>
              <w:t>3</w:t>
            </w:r>
          </w:p>
        </w:tc>
      </w:tr>
    </w:tbl>
    <w:p>
      <w:pPr>
        <w:pStyle w:val="31"/>
        <w:rPr>
          <w:color w:val="auto"/>
        </w:rPr>
      </w:pPr>
      <w:r>
        <w:rPr>
          <w:rFonts w:hint="eastAsia"/>
          <w:color w:val="auto"/>
        </w:rPr>
        <w:t>表4.3</w:t>
      </w:r>
      <w:r>
        <w:rPr>
          <w:color w:val="auto"/>
        </w:rPr>
        <w:t>-6</w:t>
      </w:r>
      <w:r>
        <w:rPr>
          <w:rFonts w:hint="eastAsia"/>
          <w:color w:val="auto"/>
        </w:rPr>
        <w:t xml:space="preserve"> 车对河下游1000m水环境质量现状表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5"/>
        <w:gridCol w:w="2344"/>
        <w:gridCol w:w="1355"/>
        <w:gridCol w:w="1348"/>
        <w:gridCol w:w="992"/>
        <w:gridCol w:w="15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Align w:val="center"/>
          </w:tcPr>
          <w:p>
            <w:pPr>
              <w:pStyle w:val="30"/>
              <w:rPr>
                <w:b/>
                <w:bCs/>
                <w:color w:val="auto"/>
              </w:rPr>
            </w:pPr>
            <w:r>
              <w:rPr>
                <w:b/>
                <w:bCs/>
                <w:color w:val="auto"/>
              </w:rPr>
              <w:br w:type="page"/>
            </w:r>
            <w:r>
              <w:rPr>
                <w:b/>
                <w:bCs/>
                <w:color w:val="auto"/>
              </w:rPr>
              <w:t>采样日期</w:t>
            </w:r>
          </w:p>
        </w:tc>
        <w:tc>
          <w:tcPr>
            <w:tcW w:w="2344" w:type="dxa"/>
            <w:vAlign w:val="center"/>
          </w:tcPr>
          <w:p>
            <w:pPr>
              <w:pStyle w:val="30"/>
              <w:rPr>
                <w:b/>
                <w:bCs/>
                <w:color w:val="auto"/>
              </w:rPr>
            </w:pPr>
            <w:r>
              <w:rPr>
                <w:b/>
                <w:bCs/>
                <w:color w:val="auto"/>
              </w:rPr>
              <w:t>检测点位</w:t>
            </w:r>
          </w:p>
        </w:tc>
        <w:tc>
          <w:tcPr>
            <w:tcW w:w="1355" w:type="dxa"/>
            <w:vAlign w:val="center"/>
          </w:tcPr>
          <w:p>
            <w:pPr>
              <w:pStyle w:val="30"/>
              <w:rPr>
                <w:b/>
                <w:bCs/>
                <w:color w:val="auto"/>
              </w:rPr>
            </w:pPr>
            <w:r>
              <w:rPr>
                <w:b/>
                <w:bCs/>
                <w:color w:val="auto"/>
              </w:rPr>
              <w:t>样品状态</w:t>
            </w:r>
          </w:p>
        </w:tc>
        <w:tc>
          <w:tcPr>
            <w:tcW w:w="1348" w:type="dxa"/>
            <w:vAlign w:val="center"/>
          </w:tcPr>
          <w:p>
            <w:pPr>
              <w:pStyle w:val="30"/>
              <w:rPr>
                <w:b/>
                <w:bCs/>
                <w:color w:val="auto"/>
              </w:rPr>
            </w:pPr>
            <w:r>
              <w:rPr>
                <w:b/>
                <w:bCs/>
                <w:color w:val="auto"/>
              </w:rPr>
              <w:t>样品编号</w:t>
            </w:r>
          </w:p>
        </w:tc>
        <w:tc>
          <w:tcPr>
            <w:tcW w:w="992" w:type="dxa"/>
            <w:vAlign w:val="center"/>
          </w:tcPr>
          <w:p>
            <w:pPr>
              <w:pStyle w:val="30"/>
              <w:rPr>
                <w:b/>
                <w:bCs/>
                <w:color w:val="auto"/>
              </w:rPr>
            </w:pPr>
            <w:r>
              <w:rPr>
                <w:b/>
                <w:bCs/>
                <w:color w:val="auto"/>
              </w:rPr>
              <w:t>检测指标</w:t>
            </w:r>
          </w:p>
        </w:tc>
        <w:tc>
          <w:tcPr>
            <w:tcW w:w="1502" w:type="dxa"/>
            <w:vAlign w:val="center"/>
          </w:tcPr>
          <w:p>
            <w:pPr>
              <w:pStyle w:val="30"/>
              <w:rPr>
                <w:b/>
                <w:bCs/>
                <w:color w:val="auto"/>
              </w:rPr>
            </w:pPr>
            <w:r>
              <w:rPr>
                <w:rFonts w:hint="eastAsia"/>
                <w:b/>
                <w:bCs/>
                <w:color w:val="auto"/>
              </w:rPr>
              <w:t>检测结果（</w:t>
            </w:r>
            <w:r>
              <w:rPr>
                <w:b/>
                <w:bCs/>
                <w:color w:val="auto"/>
              </w:rPr>
              <w:t>mg/</w:t>
            </w:r>
            <w:r>
              <w:rPr>
                <w:rFonts w:hint="eastAsia"/>
                <w:b/>
                <w:bCs/>
                <w:color w:val="auto"/>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restart"/>
            <w:vAlign w:val="center"/>
          </w:tcPr>
          <w:p>
            <w:pPr>
              <w:pStyle w:val="30"/>
              <w:rPr>
                <w:color w:val="auto"/>
              </w:rPr>
            </w:pPr>
            <w:r>
              <w:rPr>
                <w:rFonts w:hint="eastAsia"/>
                <w:color w:val="auto"/>
              </w:rPr>
              <w:t>02月</w:t>
            </w:r>
          </w:p>
          <w:p>
            <w:pPr>
              <w:pStyle w:val="30"/>
              <w:rPr>
                <w:color w:val="auto"/>
              </w:rPr>
            </w:pPr>
            <w:r>
              <w:rPr>
                <w:rFonts w:hint="eastAsia"/>
                <w:color w:val="auto"/>
              </w:rPr>
              <w:t>16日</w:t>
            </w:r>
          </w:p>
        </w:tc>
        <w:tc>
          <w:tcPr>
            <w:tcW w:w="2344" w:type="dxa"/>
            <w:vMerge w:val="restart"/>
            <w:vAlign w:val="center"/>
          </w:tcPr>
          <w:p>
            <w:pPr>
              <w:pStyle w:val="30"/>
              <w:rPr>
                <w:color w:val="auto"/>
              </w:rPr>
            </w:pPr>
            <w:r>
              <w:rPr>
                <w:color w:val="auto"/>
              </w:rPr>
              <w:t>项目所在地右侧</w:t>
            </w:r>
            <w:r>
              <w:rPr>
                <w:rFonts w:hint="eastAsia"/>
                <w:color w:val="auto"/>
              </w:rPr>
              <w:t>700m</w:t>
            </w:r>
            <w:bookmarkStart w:id="131" w:name="_Hlk130968406"/>
            <w:r>
              <w:rPr>
                <w:rFonts w:hint="eastAsia"/>
                <w:color w:val="auto"/>
              </w:rPr>
              <w:t>车对河下游1000m</w:t>
            </w:r>
            <w:bookmarkEnd w:id="131"/>
          </w:p>
        </w:tc>
        <w:tc>
          <w:tcPr>
            <w:tcW w:w="1355" w:type="dxa"/>
            <w:vMerge w:val="restart"/>
            <w:vAlign w:val="center"/>
          </w:tcPr>
          <w:p>
            <w:pPr>
              <w:pStyle w:val="30"/>
              <w:rPr>
                <w:color w:val="auto"/>
              </w:rPr>
            </w:pPr>
            <w:r>
              <w:rPr>
                <w:color w:val="auto"/>
              </w:rPr>
              <w:t>微黄、无味</w:t>
            </w:r>
            <w:r>
              <w:rPr>
                <w:rFonts w:hint="eastAsia"/>
                <w:color w:val="auto"/>
              </w:rPr>
              <w:t>、无浮油</w:t>
            </w:r>
          </w:p>
        </w:tc>
        <w:tc>
          <w:tcPr>
            <w:tcW w:w="1348" w:type="dxa"/>
            <w:vAlign w:val="center"/>
          </w:tcPr>
          <w:p>
            <w:pPr>
              <w:pStyle w:val="30"/>
              <w:rPr>
                <w:color w:val="auto"/>
              </w:rPr>
            </w:pPr>
            <w:r>
              <w:rPr>
                <w:rFonts w:hint="eastAsia"/>
                <w:color w:val="auto"/>
              </w:rPr>
              <w:t>/</w:t>
            </w:r>
          </w:p>
        </w:tc>
        <w:tc>
          <w:tcPr>
            <w:tcW w:w="992" w:type="dxa"/>
            <w:vAlign w:val="center"/>
          </w:tcPr>
          <w:p>
            <w:pPr>
              <w:pStyle w:val="30"/>
              <w:rPr>
                <w:color w:val="auto"/>
              </w:rPr>
            </w:pPr>
            <w:r>
              <w:rPr>
                <w:rFonts w:hint="eastAsia"/>
                <w:color w:val="auto"/>
              </w:rPr>
              <w:t>pH</w:t>
            </w:r>
          </w:p>
        </w:tc>
        <w:tc>
          <w:tcPr>
            <w:tcW w:w="1502" w:type="dxa"/>
            <w:vAlign w:val="center"/>
          </w:tcPr>
          <w:p>
            <w:pPr>
              <w:pStyle w:val="30"/>
              <w:rPr>
                <w:color w:val="auto"/>
              </w:rPr>
            </w:pPr>
            <w:r>
              <w:rPr>
                <w:rFonts w:hint="eastAsia"/>
                <w:color w:val="auto"/>
              </w:rPr>
              <w:t>6.65（无量纲）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DB02160101</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COD</w:t>
            </w:r>
          </w:p>
        </w:tc>
        <w:tc>
          <w:tcPr>
            <w:tcW w:w="1502" w:type="dxa"/>
            <w:vAlign w:val="center"/>
          </w:tcPr>
          <w:p>
            <w:pPr>
              <w:pStyle w:val="30"/>
              <w:rPr>
                <w:color w:val="auto"/>
              </w:rPr>
            </w:pPr>
            <w:r>
              <w:rPr>
                <w:rFonts w:hint="eastAsia"/>
                <w:color w:val="auto"/>
              </w:rPr>
              <w:t>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DB02160102</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BOD</w:t>
            </w:r>
            <w:r>
              <w:rPr>
                <w:rFonts w:hint="eastAsia"/>
                <w:color w:val="auto"/>
                <w:vertAlign w:val="subscript"/>
              </w:rPr>
              <w:t>5</w:t>
            </w:r>
          </w:p>
        </w:tc>
        <w:tc>
          <w:tcPr>
            <w:tcW w:w="1502" w:type="dxa"/>
            <w:vAlign w:val="center"/>
          </w:tcPr>
          <w:p>
            <w:pPr>
              <w:pStyle w:val="30"/>
              <w:rPr>
                <w:color w:val="auto"/>
              </w:rPr>
            </w:pPr>
            <w:r>
              <w:rPr>
                <w:rFonts w:hint="eastAsia"/>
                <w:color w:val="auto"/>
              </w:rPr>
              <w:t>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DB02160103</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氨氮</w:t>
            </w:r>
          </w:p>
        </w:tc>
        <w:tc>
          <w:tcPr>
            <w:tcW w:w="1502" w:type="dxa"/>
            <w:vAlign w:val="center"/>
          </w:tcPr>
          <w:p>
            <w:pPr>
              <w:pStyle w:val="30"/>
              <w:rPr>
                <w:color w:val="auto"/>
              </w:rPr>
            </w:pPr>
            <w:r>
              <w:rPr>
                <w:rFonts w:hint="eastAsia"/>
                <w:color w:val="auto"/>
              </w:rPr>
              <w:t>0.545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DB02160104</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总氮</w:t>
            </w:r>
          </w:p>
        </w:tc>
        <w:tc>
          <w:tcPr>
            <w:tcW w:w="1502" w:type="dxa"/>
            <w:vAlign w:val="center"/>
          </w:tcPr>
          <w:p>
            <w:pPr>
              <w:pStyle w:val="30"/>
              <w:rPr>
                <w:color w:val="auto"/>
              </w:rPr>
            </w:pPr>
            <w:r>
              <w:rPr>
                <w:rFonts w:hint="eastAsia"/>
                <w:color w:val="auto"/>
              </w:rPr>
              <w:t>0.83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DB02160105</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总磷</w:t>
            </w:r>
          </w:p>
        </w:tc>
        <w:tc>
          <w:tcPr>
            <w:tcW w:w="1502" w:type="dxa"/>
            <w:vAlign w:val="center"/>
          </w:tcPr>
          <w:p>
            <w:pPr>
              <w:pStyle w:val="30"/>
              <w:rPr>
                <w:color w:val="auto"/>
              </w:rPr>
            </w:pPr>
            <w:r>
              <w:rPr>
                <w:rFonts w:hint="eastAsia"/>
                <w:color w:val="auto"/>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DB02160106</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悬浮物</w:t>
            </w:r>
          </w:p>
        </w:tc>
        <w:tc>
          <w:tcPr>
            <w:tcW w:w="1502" w:type="dxa"/>
            <w:vAlign w:val="center"/>
          </w:tcPr>
          <w:p>
            <w:pPr>
              <w:pStyle w:val="30"/>
              <w:rPr>
                <w:color w:val="auto"/>
              </w:rPr>
            </w:pPr>
            <w:r>
              <w:rPr>
                <w:rFonts w:hint="eastAsia"/>
                <w:color w:val="auto"/>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DB02160107</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溶解氧</w:t>
            </w:r>
          </w:p>
        </w:tc>
        <w:tc>
          <w:tcPr>
            <w:tcW w:w="1502" w:type="dxa"/>
            <w:vAlign w:val="center"/>
          </w:tcPr>
          <w:p>
            <w:pPr>
              <w:pStyle w:val="30"/>
              <w:rPr>
                <w:color w:val="auto"/>
              </w:rPr>
            </w:pPr>
            <w:r>
              <w:rPr>
                <w:rFonts w:hint="eastAsia"/>
                <w:color w:val="auto"/>
              </w:rPr>
              <w:t>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DB02160108</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LAS</w:t>
            </w:r>
          </w:p>
        </w:tc>
        <w:tc>
          <w:tcPr>
            <w:tcW w:w="1502" w:type="dxa"/>
            <w:vAlign w:val="center"/>
          </w:tcPr>
          <w:p>
            <w:pPr>
              <w:pStyle w:val="30"/>
              <w:rPr>
                <w:color w:val="auto"/>
              </w:rPr>
            </w:pPr>
            <w:r>
              <w:rPr>
                <w:rFonts w:hint="eastAsia"/>
                <w:color w:val="auto"/>
              </w:rPr>
              <w:t>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DB02160109</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石油类</w:t>
            </w:r>
          </w:p>
        </w:tc>
        <w:tc>
          <w:tcPr>
            <w:tcW w:w="1502" w:type="dxa"/>
            <w:vAlign w:val="center"/>
          </w:tcPr>
          <w:p>
            <w:pPr>
              <w:pStyle w:val="30"/>
              <w:rPr>
                <w:color w:val="auto"/>
              </w:rPr>
            </w:pPr>
            <w:r>
              <w:rPr>
                <w:rFonts w:hint="eastAsia"/>
                <w:color w:val="auto"/>
              </w:rPr>
              <w:t>0.03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DB02160110</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铜</w:t>
            </w:r>
          </w:p>
        </w:tc>
        <w:tc>
          <w:tcPr>
            <w:tcW w:w="1502" w:type="dxa"/>
            <w:vAlign w:val="center"/>
          </w:tcPr>
          <w:p>
            <w:pPr>
              <w:pStyle w:val="30"/>
              <w:rPr>
                <w:color w:val="auto"/>
              </w:rPr>
            </w:pPr>
            <w:r>
              <w:rPr>
                <w:rFonts w:hint="eastAsia"/>
                <w:color w:val="auto"/>
              </w:rPr>
              <w:t>0.008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DB02160111</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锌</w:t>
            </w:r>
          </w:p>
        </w:tc>
        <w:tc>
          <w:tcPr>
            <w:tcW w:w="1502" w:type="dxa"/>
            <w:vAlign w:val="center"/>
          </w:tcPr>
          <w:p>
            <w:pPr>
              <w:pStyle w:val="30"/>
              <w:rPr>
                <w:color w:val="auto"/>
              </w:rPr>
            </w:pPr>
            <w:r>
              <w:rPr>
                <w:rFonts w:hint="eastAsia"/>
                <w:color w:val="auto"/>
              </w:rPr>
              <w:t>0.01ND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DB02160112</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氟化物</w:t>
            </w:r>
          </w:p>
        </w:tc>
        <w:tc>
          <w:tcPr>
            <w:tcW w:w="1502" w:type="dxa"/>
            <w:vAlign w:val="center"/>
          </w:tcPr>
          <w:p>
            <w:pPr>
              <w:pStyle w:val="30"/>
              <w:rPr>
                <w:color w:val="auto"/>
              </w:rPr>
            </w:pPr>
            <w:r>
              <w:rPr>
                <w:rFonts w:hint="eastAsia"/>
                <w:color w:val="auto"/>
              </w:rPr>
              <w:t>0.045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DB02160113</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砷</w:t>
            </w:r>
          </w:p>
        </w:tc>
        <w:tc>
          <w:tcPr>
            <w:tcW w:w="1502" w:type="dxa"/>
            <w:vAlign w:val="center"/>
          </w:tcPr>
          <w:p>
            <w:pPr>
              <w:pStyle w:val="30"/>
              <w:rPr>
                <w:color w:val="auto"/>
              </w:rPr>
            </w:pPr>
            <w:r>
              <w:rPr>
                <w:rFonts w:hint="eastAsia"/>
                <w:color w:val="auto"/>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DB02160114</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汞</w:t>
            </w:r>
          </w:p>
        </w:tc>
        <w:tc>
          <w:tcPr>
            <w:tcW w:w="1502" w:type="dxa"/>
            <w:vAlign w:val="center"/>
          </w:tcPr>
          <w:p>
            <w:pPr>
              <w:pStyle w:val="30"/>
              <w:rPr>
                <w:color w:val="auto"/>
              </w:rPr>
            </w:pPr>
            <w:r>
              <w:rPr>
                <w:rFonts w:hint="eastAsia"/>
                <w:color w:val="auto"/>
              </w:rPr>
              <w:t>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DB02160115</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镉</w:t>
            </w:r>
          </w:p>
        </w:tc>
        <w:tc>
          <w:tcPr>
            <w:tcW w:w="1502" w:type="dxa"/>
            <w:vAlign w:val="center"/>
          </w:tcPr>
          <w:p>
            <w:pPr>
              <w:pStyle w:val="30"/>
              <w:rPr>
                <w:color w:val="auto"/>
              </w:rPr>
            </w:pPr>
            <w:r>
              <w:rPr>
                <w:rFonts w:hint="eastAsia"/>
                <w:color w:val="auto"/>
              </w:rPr>
              <w:t>5.0×10</w:t>
            </w:r>
            <w:r>
              <w:rPr>
                <w:rFonts w:hint="eastAsia"/>
                <w:color w:val="auto"/>
                <w:vertAlign w:val="superscript"/>
              </w:rPr>
              <w:t>-4</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DB02160116</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六价铬</w:t>
            </w:r>
          </w:p>
        </w:tc>
        <w:tc>
          <w:tcPr>
            <w:tcW w:w="1502" w:type="dxa"/>
            <w:vAlign w:val="center"/>
          </w:tcPr>
          <w:p>
            <w:pPr>
              <w:pStyle w:val="30"/>
              <w:rPr>
                <w:color w:val="auto"/>
              </w:rPr>
            </w:pPr>
            <w:r>
              <w:rPr>
                <w:rFonts w:hint="eastAsia"/>
                <w:color w:val="auto"/>
              </w:rPr>
              <w:t>0.004ND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DB02160117</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铅</w:t>
            </w:r>
          </w:p>
        </w:tc>
        <w:tc>
          <w:tcPr>
            <w:tcW w:w="1502" w:type="dxa"/>
            <w:vAlign w:val="center"/>
          </w:tcPr>
          <w:p>
            <w:pPr>
              <w:pStyle w:val="30"/>
              <w:rPr>
                <w:color w:val="auto"/>
              </w:rPr>
            </w:pPr>
            <w:r>
              <w:rPr>
                <w:rFonts w:hint="eastAsia"/>
                <w:color w:val="auto"/>
              </w:rPr>
              <w:t>2.5×10</w:t>
            </w:r>
            <w:r>
              <w:rPr>
                <w:rFonts w:hint="eastAsia"/>
                <w:color w:val="auto"/>
                <w:vertAlign w:val="superscript"/>
              </w:rPr>
              <w:t>-3</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Align w:val="center"/>
          </w:tcPr>
          <w:p>
            <w:pPr>
              <w:pStyle w:val="30"/>
              <w:rPr>
                <w:color w:val="auto"/>
              </w:rPr>
            </w:pPr>
            <w:r>
              <w:rPr>
                <w:bCs/>
                <w:color w:val="auto"/>
              </w:rPr>
              <w:br w:type="page"/>
            </w:r>
            <w:r>
              <w:rPr>
                <w:color w:val="auto"/>
              </w:rPr>
              <w:t>采样日期</w:t>
            </w:r>
          </w:p>
        </w:tc>
        <w:tc>
          <w:tcPr>
            <w:tcW w:w="2344" w:type="dxa"/>
            <w:vAlign w:val="center"/>
          </w:tcPr>
          <w:p>
            <w:pPr>
              <w:pStyle w:val="30"/>
              <w:rPr>
                <w:color w:val="auto"/>
              </w:rPr>
            </w:pPr>
            <w:r>
              <w:rPr>
                <w:color w:val="auto"/>
              </w:rPr>
              <w:t>检测点位</w:t>
            </w:r>
          </w:p>
        </w:tc>
        <w:tc>
          <w:tcPr>
            <w:tcW w:w="1355" w:type="dxa"/>
            <w:vAlign w:val="center"/>
          </w:tcPr>
          <w:p>
            <w:pPr>
              <w:pStyle w:val="30"/>
              <w:rPr>
                <w:color w:val="auto"/>
              </w:rPr>
            </w:pPr>
            <w:r>
              <w:rPr>
                <w:color w:val="auto"/>
              </w:rPr>
              <w:t>样品状态</w:t>
            </w:r>
          </w:p>
        </w:tc>
        <w:tc>
          <w:tcPr>
            <w:tcW w:w="1348" w:type="dxa"/>
            <w:vAlign w:val="center"/>
          </w:tcPr>
          <w:p>
            <w:pPr>
              <w:pStyle w:val="30"/>
              <w:rPr>
                <w:color w:val="auto"/>
              </w:rPr>
            </w:pPr>
            <w:r>
              <w:rPr>
                <w:color w:val="auto"/>
              </w:rPr>
              <w:t>样品编号</w:t>
            </w:r>
          </w:p>
        </w:tc>
        <w:tc>
          <w:tcPr>
            <w:tcW w:w="992" w:type="dxa"/>
            <w:vAlign w:val="center"/>
          </w:tcPr>
          <w:p>
            <w:pPr>
              <w:pStyle w:val="30"/>
              <w:rPr>
                <w:color w:val="auto"/>
              </w:rPr>
            </w:pPr>
            <w:r>
              <w:rPr>
                <w:color w:val="auto"/>
              </w:rPr>
              <w:t>检测指标</w:t>
            </w:r>
          </w:p>
        </w:tc>
        <w:tc>
          <w:tcPr>
            <w:tcW w:w="1502" w:type="dxa"/>
            <w:vAlign w:val="center"/>
          </w:tcPr>
          <w:p>
            <w:pPr>
              <w:pStyle w:val="30"/>
              <w:rPr>
                <w:color w:val="auto"/>
              </w:rPr>
            </w:pPr>
            <w:r>
              <w:rPr>
                <w:rFonts w:hint="eastAsia"/>
                <w:color w:val="auto"/>
              </w:rPr>
              <w:t>检测结果（</w:t>
            </w:r>
            <w:r>
              <w:rPr>
                <w:color w:val="auto"/>
              </w:rPr>
              <w:t>mg/</w:t>
            </w:r>
            <w:r>
              <w:rPr>
                <w:rFonts w:hint="eastAsia"/>
                <w:color w:val="auto"/>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restart"/>
            <w:vAlign w:val="center"/>
          </w:tcPr>
          <w:p>
            <w:pPr>
              <w:pStyle w:val="30"/>
              <w:rPr>
                <w:color w:val="auto"/>
              </w:rPr>
            </w:pPr>
            <w:r>
              <w:rPr>
                <w:rFonts w:hint="eastAsia"/>
                <w:color w:val="auto"/>
              </w:rPr>
              <w:t>02月</w:t>
            </w:r>
          </w:p>
          <w:p>
            <w:pPr>
              <w:pStyle w:val="30"/>
              <w:rPr>
                <w:color w:val="auto"/>
              </w:rPr>
            </w:pPr>
            <w:r>
              <w:rPr>
                <w:rFonts w:hint="eastAsia"/>
                <w:color w:val="auto"/>
              </w:rPr>
              <w:t>16日</w:t>
            </w:r>
          </w:p>
        </w:tc>
        <w:tc>
          <w:tcPr>
            <w:tcW w:w="2344" w:type="dxa"/>
            <w:vMerge w:val="restart"/>
            <w:vAlign w:val="center"/>
          </w:tcPr>
          <w:p>
            <w:pPr>
              <w:pStyle w:val="30"/>
              <w:rPr>
                <w:color w:val="auto"/>
              </w:rPr>
            </w:pPr>
            <w:r>
              <w:rPr>
                <w:color w:val="auto"/>
              </w:rPr>
              <w:t>项目所在地右侧</w:t>
            </w:r>
            <w:r>
              <w:rPr>
                <w:rFonts w:hint="eastAsia"/>
                <w:color w:val="auto"/>
              </w:rPr>
              <w:t>700m车对河下游1000m</w:t>
            </w:r>
          </w:p>
        </w:tc>
        <w:tc>
          <w:tcPr>
            <w:tcW w:w="1355" w:type="dxa"/>
            <w:vMerge w:val="restart"/>
            <w:vAlign w:val="center"/>
          </w:tcPr>
          <w:p>
            <w:pPr>
              <w:pStyle w:val="30"/>
              <w:rPr>
                <w:color w:val="auto"/>
              </w:rPr>
            </w:pPr>
            <w:r>
              <w:rPr>
                <w:color w:val="auto"/>
              </w:rPr>
              <w:t>微黄、无味</w:t>
            </w:r>
            <w:r>
              <w:rPr>
                <w:rFonts w:hint="eastAsia"/>
                <w:color w:val="auto"/>
              </w:rPr>
              <w:t>、无浮油</w:t>
            </w:r>
          </w:p>
        </w:tc>
        <w:tc>
          <w:tcPr>
            <w:tcW w:w="1348" w:type="dxa"/>
            <w:vAlign w:val="center"/>
          </w:tcPr>
          <w:p>
            <w:pPr>
              <w:pStyle w:val="30"/>
              <w:rPr>
                <w:color w:val="auto"/>
              </w:rPr>
            </w:pPr>
            <w:r>
              <w:rPr>
                <w:rFonts w:hint="eastAsia"/>
                <w:color w:val="auto"/>
              </w:rPr>
              <w:t>DB02150118</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镍</w:t>
            </w:r>
          </w:p>
        </w:tc>
        <w:tc>
          <w:tcPr>
            <w:tcW w:w="1502" w:type="dxa"/>
            <w:vAlign w:val="center"/>
          </w:tcPr>
          <w:p>
            <w:pPr>
              <w:pStyle w:val="30"/>
              <w:rPr>
                <w:color w:val="auto"/>
              </w:rPr>
            </w:pPr>
            <w:r>
              <w:rPr>
                <w:rFonts w:hint="eastAsia"/>
                <w:color w:val="auto"/>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DB02160119</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挥发酚</w:t>
            </w:r>
          </w:p>
        </w:tc>
        <w:tc>
          <w:tcPr>
            <w:tcW w:w="1502" w:type="dxa"/>
            <w:vAlign w:val="center"/>
          </w:tcPr>
          <w:p>
            <w:pPr>
              <w:pStyle w:val="30"/>
              <w:rPr>
                <w:color w:val="auto"/>
              </w:rPr>
            </w:pPr>
            <w:r>
              <w:rPr>
                <w:rFonts w:hint="eastAsia"/>
                <w:color w:val="auto"/>
              </w:rPr>
              <w:t>0.003ND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DB02160120</w:t>
            </w:r>
          </w:p>
          <w:p>
            <w:pPr>
              <w:pStyle w:val="30"/>
              <w:rPr>
                <w:color w:val="auto"/>
              </w:rPr>
            </w:pPr>
            <w:r>
              <w:rPr>
                <w:rFonts w:hint="eastAsia"/>
                <w:color w:val="auto"/>
              </w:rPr>
              <w:t>A</w:t>
            </w:r>
          </w:p>
        </w:tc>
        <w:tc>
          <w:tcPr>
            <w:tcW w:w="992" w:type="dxa"/>
            <w:vAlign w:val="center"/>
          </w:tcPr>
          <w:p>
            <w:pPr>
              <w:pStyle w:val="30"/>
              <w:rPr>
                <w:color w:val="auto"/>
              </w:rPr>
            </w:pPr>
            <w:r>
              <w:rPr>
                <w:rFonts w:hint="eastAsia"/>
                <w:color w:val="auto"/>
              </w:rPr>
              <w:t>硫化物</w:t>
            </w:r>
          </w:p>
        </w:tc>
        <w:tc>
          <w:tcPr>
            <w:tcW w:w="1502" w:type="dxa"/>
            <w:vAlign w:val="center"/>
          </w:tcPr>
          <w:p>
            <w:pPr>
              <w:pStyle w:val="30"/>
              <w:rPr>
                <w:color w:val="auto"/>
              </w:rPr>
            </w:pPr>
            <w:r>
              <w:rPr>
                <w:rFonts w:hint="eastAsia"/>
                <w:color w:val="auto"/>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35" w:type="dxa"/>
            <w:vMerge w:val="continue"/>
            <w:vAlign w:val="center"/>
          </w:tcPr>
          <w:p>
            <w:pPr>
              <w:pStyle w:val="30"/>
              <w:rPr>
                <w:color w:val="auto"/>
              </w:rPr>
            </w:pPr>
          </w:p>
        </w:tc>
        <w:tc>
          <w:tcPr>
            <w:tcW w:w="2344" w:type="dxa"/>
            <w:vMerge w:val="continue"/>
            <w:vAlign w:val="center"/>
          </w:tcPr>
          <w:p>
            <w:pPr>
              <w:pStyle w:val="30"/>
              <w:rPr>
                <w:color w:val="auto"/>
              </w:rPr>
            </w:pPr>
          </w:p>
        </w:tc>
        <w:tc>
          <w:tcPr>
            <w:tcW w:w="1355" w:type="dxa"/>
            <w:vMerge w:val="continue"/>
            <w:vAlign w:val="center"/>
          </w:tcPr>
          <w:p>
            <w:pPr>
              <w:pStyle w:val="30"/>
              <w:rPr>
                <w:color w:val="auto"/>
              </w:rPr>
            </w:pPr>
          </w:p>
        </w:tc>
        <w:tc>
          <w:tcPr>
            <w:tcW w:w="1348" w:type="dxa"/>
            <w:vAlign w:val="center"/>
          </w:tcPr>
          <w:p>
            <w:pPr>
              <w:pStyle w:val="30"/>
              <w:rPr>
                <w:color w:val="auto"/>
              </w:rPr>
            </w:pPr>
            <w:r>
              <w:rPr>
                <w:rFonts w:hint="eastAsia"/>
                <w:color w:val="auto"/>
              </w:rPr>
              <w:t>DB02160121</w:t>
            </w:r>
          </w:p>
          <w:p>
            <w:pPr>
              <w:pStyle w:val="30"/>
              <w:rPr>
                <w:color w:val="auto"/>
              </w:rPr>
            </w:pPr>
            <w:r>
              <w:rPr>
                <w:rFonts w:hint="eastAsia"/>
                <w:color w:val="auto"/>
              </w:rPr>
              <w:t>A</w:t>
            </w:r>
          </w:p>
        </w:tc>
        <w:tc>
          <w:tcPr>
            <w:tcW w:w="992" w:type="dxa"/>
            <w:vAlign w:val="center"/>
          </w:tcPr>
          <w:p>
            <w:pPr>
              <w:pStyle w:val="30"/>
              <w:rPr>
                <w:color w:val="auto"/>
              </w:rPr>
            </w:pPr>
            <w:r>
              <w:rPr>
                <w:color w:val="auto"/>
              </w:rPr>
              <w:t>粪大肠菌群</w:t>
            </w:r>
          </w:p>
        </w:tc>
        <w:tc>
          <w:tcPr>
            <w:tcW w:w="1502" w:type="dxa"/>
            <w:vAlign w:val="center"/>
          </w:tcPr>
          <w:p>
            <w:pPr>
              <w:pStyle w:val="30"/>
              <w:rPr>
                <w:color w:val="auto"/>
              </w:rPr>
            </w:pPr>
            <w:r>
              <w:rPr>
                <w:rFonts w:hint="eastAsia"/>
                <w:color w:val="auto"/>
              </w:rPr>
              <w:t>3.5×10</w:t>
            </w:r>
            <w:r>
              <w:rPr>
                <w:rFonts w:hint="eastAsia"/>
                <w:color w:val="auto"/>
                <w:vertAlign w:val="superscript"/>
              </w:rPr>
              <w:t>3</w:t>
            </w:r>
          </w:p>
        </w:tc>
      </w:tr>
    </w:tbl>
    <w:p>
      <w:pPr>
        <w:pStyle w:val="31"/>
        <w:rPr>
          <w:color w:val="auto"/>
        </w:rPr>
      </w:pPr>
      <w:r>
        <w:rPr>
          <w:rFonts w:hint="eastAsia"/>
          <w:color w:val="auto"/>
        </w:rPr>
        <w:t>表4.3-</w:t>
      </w:r>
      <w:r>
        <w:rPr>
          <w:color w:val="auto"/>
        </w:rPr>
        <w:t xml:space="preserve">7 </w:t>
      </w:r>
      <w:r>
        <w:rPr>
          <w:rFonts w:hint="eastAsia"/>
          <w:color w:val="auto"/>
        </w:rPr>
        <w:t xml:space="preserve"> 车对河下游1000m水环境质量现状表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22"/>
        <w:gridCol w:w="1178"/>
        <w:gridCol w:w="1052"/>
        <w:gridCol w:w="1348"/>
        <w:gridCol w:w="1173"/>
        <w:gridCol w:w="28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tblHeader/>
          <w:jc w:val="center"/>
        </w:trPr>
        <w:tc>
          <w:tcPr>
            <w:tcW w:w="556" w:type="pct"/>
            <w:vAlign w:val="center"/>
          </w:tcPr>
          <w:p>
            <w:pPr>
              <w:pStyle w:val="30"/>
              <w:rPr>
                <w:b/>
                <w:bCs/>
                <w:color w:val="auto"/>
              </w:rPr>
            </w:pPr>
            <w:r>
              <w:rPr>
                <w:b/>
                <w:bCs/>
                <w:color w:val="auto"/>
              </w:rPr>
              <w:br w:type="page"/>
            </w:r>
            <w:r>
              <w:rPr>
                <w:b/>
                <w:bCs/>
                <w:color w:val="auto"/>
              </w:rPr>
              <w:t>采样日期</w:t>
            </w:r>
          </w:p>
        </w:tc>
        <w:tc>
          <w:tcPr>
            <w:tcW w:w="706" w:type="pct"/>
            <w:vAlign w:val="center"/>
          </w:tcPr>
          <w:p>
            <w:pPr>
              <w:pStyle w:val="30"/>
              <w:rPr>
                <w:b/>
                <w:bCs/>
                <w:color w:val="auto"/>
              </w:rPr>
            </w:pPr>
            <w:r>
              <w:rPr>
                <w:b/>
                <w:bCs/>
                <w:color w:val="auto"/>
              </w:rPr>
              <w:t>检测点位</w:t>
            </w:r>
          </w:p>
        </w:tc>
        <w:tc>
          <w:tcPr>
            <w:tcW w:w="632" w:type="pct"/>
            <w:vAlign w:val="center"/>
          </w:tcPr>
          <w:p>
            <w:pPr>
              <w:pStyle w:val="30"/>
              <w:rPr>
                <w:b/>
                <w:bCs/>
                <w:color w:val="auto"/>
              </w:rPr>
            </w:pPr>
            <w:r>
              <w:rPr>
                <w:b/>
                <w:bCs/>
                <w:color w:val="auto"/>
              </w:rPr>
              <w:t>样品状态</w:t>
            </w:r>
          </w:p>
        </w:tc>
        <w:tc>
          <w:tcPr>
            <w:tcW w:w="717" w:type="pct"/>
            <w:vAlign w:val="center"/>
          </w:tcPr>
          <w:p>
            <w:pPr>
              <w:pStyle w:val="30"/>
              <w:rPr>
                <w:b/>
                <w:bCs/>
                <w:color w:val="auto"/>
              </w:rPr>
            </w:pPr>
            <w:r>
              <w:rPr>
                <w:b/>
                <w:bCs/>
                <w:color w:val="auto"/>
              </w:rPr>
              <w:t>样品编号</w:t>
            </w:r>
          </w:p>
        </w:tc>
        <w:tc>
          <w:tcPr>
            <w:tcW w:w="703" w:type="pct"/>
            <w:vAlign w:val="center"/>
          </w:tcPr>
          <w:p>
            <w:pPr>
              <w:pStyle w:val="30"/>
              <w:rPr>
                <w:b/>
                <w:bCs/>
                <w:color w:val="auto"/>
              </w:rPr>
            </w:pPr>
            <w:r>
              <w:rPr>
                <w:b/>
                <w:bCs/>
                <w:color w:val="auto"/>
              </w:rPr>
              <w:t>检测指标</w:t>
            </w:r>
          </w:p>
        </w:tc>
        <w:tc>
          <w:tcPr>
            <w:tcW w:w="1686" w:type="pct"/>
            <w:vAlign w:val="center"/>
          </w:tcPr>
          <w:p>
            <w:pPr>
              <w:pStyle w:val="30"/>
              <w:rPr>
                <w:b/>
                <w:bCs/>
                <w:color w:val="auto"/>
              </w:rPr>
            </w:pPr>
            <w:r>
              <w:rPr>
                <w:rFonts w:hint="eastAsia"/>
                <w:b/>
                <w:bCs/>
                <w:color w:val="auto"/>
              </w:rPr>
              <w:t>检测结果（</w:t>
            </w:r>
            <w:r>
              <w:rPr>
                <w:b/>
                <w:bCs/>
                <w:color w:val="auto"/>
              </w:rPr>
              <w:t>mg/</w:t>
            </w:r>
            <w:r>
              <w:rPr>
                <w:rFonts w:hint="eastAsia"/>
                <w:b/>
                <w:bCs/>
                <w:color w:val="auto"/>
              </w:rPr>
              <w:t>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restart"/>
            <w:vAlign w:val="center"/>
          </w:tcPr>
          <w:p>
            <w:pPr>
              <w:pStyle w:val="30"/>
              <w:rPr>
                <w:color w:val="auto"/>
              </w:rPr>
            </w:pPr>
            <w:r>
              <w:rPr>
                <w:rFonts w:hint="eastAsia"/>
                <w:color w:val="auto"/>
              </w:rPr>
              <w:t>02月</w:t>
            </w:r>
          </w:p>
          <w:p>
            <w:pPr>
              <w:pStyle w:val="30"/>
              <w:rPr>
                <w:color w:val="auto"/>
              </w:rPr>
            </w:pPr>
            <w:r>
              <w:rPr>
                <w:rFonts w:hint="eastAsia"/>
                <w:color w:val="auto"/>
              </w:rPr>
              <w:t>17日</w:t>
            </w:r>
          </w:p>
        </w:tc>
        <w:tc>
          <w:tcPr>
            <w:tcW w:w="706" w:type="pct"/>
            <w:vMerge w:val="restart"/>
            <w:vAlign w:val="center"/>
          </w:tcPr>
          <w:p>
            <w:pPr>
              <w:pStyle w:val="30"/>
              <w:rPr>
                <w:color w:val="auto"/>
              </w:rPr>
            </w:pPr>
            <w:r>
              <w:rPr>
                <w:color w:val="auto"/>
              </w:rPr>
              <w:t>项目所在地右侧</w:t>
            </w:r>
            <w:r>
              <w:rPr>
                <w:rFonts w:hint="eastAsia"/>
                <w:color w:val="auto"/>
              </w:rPr>
              <w:t>700m车对河下游1000m</w:t>
            </w:r>
          </w:p>
        </w:tc>
        <w:tc>
          <w:tcPr>
            <w:tcW w:w="632" w:type="pct"/>
            <w:vMerge w:val="restart"/>
            <w:vAlign w:val="center"/>
          </w:tcPr>
          <w:p>
            <w:pPr>
              <w:pStyle w:val="30"/>
              <w:rPr>
                <w:color w:val="auto"/>
              </w:rPr>
            </w:pPr>
            <w:r>
              <w:rPr>
                <w:color w:val="auto"/>
              </w:rPr>
              <w:t>微黄、无味</w:t>
            </w:r>
            <w:r>
              <w:rPr>
                <w:rFonts w:hint="eastAsia"/>
                <w:color w:val="auto"/>
              </w:rPr>
              <w:t>、无浮油</w:t>
            </w:r>
          </w:p>
        </w:tc>
        <w:tc>
          <w:tcPr>
            <w:tcW w:w="717" w:type="pct"/>
            <w:vAlign w:val="center"/>
          </w:tcPr>
          <w:p>
            <w:pPr>
              <w:pStyle w:val="30"/>
              <w:rPr>
                <w:color w:val="auto"/>
              </w:rPr>
            </w:pPr>
            <w:r>
              <w:rPr>
                <w:rFonts w:hint="eastAsia"/>
                <w:color w:val="auto"/>
              </w:rPr>
              <w:t>/</w:t>
            </w:r>
          </w:p>
        </w:tc>
        <w:tc>
          <w:tcPr>
            <w:tcW w:w="703" w:type="pct"/>
            <w:vAlign w:val="center"/>
          </w:tcPr>
          <w:p>
            <w:pPr>
              <w:pStyle w:val="30"/>
              <w:rPr>
                <w:color w:val="auto"/>
              </w:rPr>
            </w:pPr>
            <w:r>
              <w:rPr>
                <w:rFonts w:hint="eastAsia"/>
                <w:color w:val="auto"/>
              </w:rPr>
              <w:t>pH</w:t>
            </w:r>
          </w:p>
        </w:tc>
        <w:tc>
          <w:tcPr>
            <w:tcW w:w="1686" w:type="pct"/>
            <w:vAlign w:val="center"/>
          </w:tcPr>
          <w:p>
            <w:pPr>
              <w:pStyle w:val="30"/>
              <w:rPr>
                <w:color w:val="auto"/>
              </w:rPr>
            </w:pPr>
            <w:r>
              <w:rPr>
                <w:rFonts w:hint="eastAsia"/>
                <w:color w:val="auto"/>
              </w:rPr>
              <w:t>6.52（无量纲）</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DB02170101</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COD</w:t>
            </w:r>
          </w:p>
        </w:tc>
        <w:tc>
          <w:tcPr>
            <w:tcW w:w="1686" w:type="pct"/>
            <w:vAlign w:val="center"/>
          </w:tcPr>
          <w:p>
            <w:pPr>
              <w:pStyle w:val="30"/>
              <w:rPr>
                <w:color w:val="auto"/>
              </w:rPr>
            </w:pPr>
            <w:r>
              <w:rPr>
                <w:rFonts w:hint="eastAsia"/>
                <w:color w:val="auto"/>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DB02170102</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BOD</w:t>
            </w:r>
            <w:r>
              <w:rPr>
                <w:rFonts w:hint="eastAsia"/>
                <w:color w:val="auto"/>
                <w:vertAlign w:val="subscript"/>
              </w:rPr>
              <w:t>5</w:t>
            </w:r>
          </w:p>
        </w:tc>
        <w:tc>
          <w:tcPr>
            <w:tcW w:w="1686" w:type="pct"/>
            <w:vAlign w:val="center"/>
          </w:tcPr>
          <w:p>
            <w:pPr>
              <w:pStyle w:val="30"/>
              <w:rPr>
                <w:color w:val="auto"/>
              </w:rPr>
            </w:pPr>
            <w:r>
              <w:rPr>
                <w:rFonts w:hint="eastAsia"/>
                <w:color w:val="auto"/>
              </w:rPr>
              <w:t>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DB02170103</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氨氮</w:t>
            </w:r>
          </w:p>
        </w:tc>
        <w:tc>
          <w:tcPr>
            <w:tcW w:w="1686" w:type="pct"/>
            <w:vAlign w:val="center"/>
          </w:tcPr>
          <w:p>
            <w:pPr>
              <w:pStyle w:val="30"/>
              <w:rPr>
                <w:color w:val="auto"/>
              </w:rPr>
            </w:pPr>
            <w:r>
              <w:rPr>
                <w:rFonts w:hint="eastAsia"/>
                <w:color w:val="auto"/>
              </w:rPr>
              <w:t>0.523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DB02170104</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总氮</w:t>
            </w:r>
          </w:p>
        </w:tc>
        <w:tc>
          <w:tcPr>
            <w:tcW w:w="1686" w:type="pct"/>
            <w:vAlign w:val="center"/>
          </w:tcPr>
          <w:p>
            <w:pPr>
              <w:pStyle w:val="30"/>
              <w:rPr>
                <w:color w:val="auto"/>
              </w:rPr>
            </w:pPr>
            <w:r>
              <w:rPr>
                <w:rFonts w:hint="eastAsia"/>
                <w:color w:val="auto"/>
              </w:rPr>
              <w:t>0.91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DB02170105</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总磷</w:t>
            </w:r>
          </w:p>
        </w:tc>
        <w:tc>
          <w:tcPr>
            <w:tcW w:w="1686" w:type="pct"/>
            <w:vAlign w:val="center"/>
          </w:tcPr>
          <w:p>
            <w:pPr>
              <w:pStyle w:val="30"/>
              <w:rPr>
                <w:color w:val="auto"/>
              </w:rPr>
            </w:pPr>
            <w:r>
              <w:rPr>
                <w:rFonts w:hint="eastAsia"/>
                <w:color w:val="auto"/>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DB02170106</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悬浮物</w:t>
            </w:r>
          </w:p>
        </w:tc>
        <w:tc>
          <w:tcPr>
            <w:tcW w:w="1686" w:type="pct"/>
            <w:vAlign w:val="center"/>
          </w:tcPr>
          <w:p>
            <w:pPr>
              <w:pStyle w:val="30"/>
              <w:rPr>
                <w:color w:val="auto"/>
              </w:rPr>
            </w:pPr>
            <w:r>
              <w:rPr>
                <w:rFonts w:hint="eastAsia"/>
                <w:color w:val="auto"/>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DB02170207</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溶解氧</w:t>
            </w:r>
          </w:p>
        </w:tc>
        <w:tc>
          <w:tcPr>
            <w:tcW w:w="1686" w:type="pct"/>
            <w:vAlign w:val="center"/>
          </w:tcPr>
          <w:p>
            <w:pPr>
              <w:pStyle w:val="30"/>
              <w:rPr>
                <w:color w:val="auto"/>
              </w:rPr>
            </w:pPr>
            <w:r>
              <w:rPr>
                <w:rFonts w:hint="eastAsia"/>
                <w:color w:val="auto"/>
              </w:rPr>
              <w:t>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DB02170108</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LAS</w:t>
            </w:r>
          </w:p>
        </w:tc>
        <w:tc>
          <w:tcPr>
            <w:tcW w:w="1686" w:type="pct"/>
            <w:vAlign w:val="center"/>
          </w:tcPr>
          <w:p>
            <w:pPr>
              <w:pStyle w:val="30"/>
              <w:rPr>
                <w:color w:val="auto"/>
              </w:rPr>
            </w:pPr>
            <w:r>
              <w:rPr>
                <w:rFonts w:hint="eastAsia"/>
                <w:color w:val="auto"/>
              </w:rPr>
              <w:t>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DB02170109</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石油类</w:t>
            </w:r>
          </w:p>
        </w:tc>
        <w:tc>
          <w:tcPr>
            <w:tcW w:w="1686" w:type="pct"/>
            <w:vAlign w:val="center"/>
          </w:tcPr>
          <w:p>
            <w:pPr>
              <w:pStyle w:val="30"/>
              <w:rPr>
                <w:color w:val="auto"/>
              </w:rPr>
            </w:pPr>
            <w:r>
              <w:rPr>
                <w:rFonts w:hint="eastAsia"/>
                <w:color w:val="auto"/>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DB02170110</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铜</w:t>
            </w:r>
          </w:p>
        </w:tc>
        <w:tc>
          <w:tcPr>
            <w:tcW w:w="1686" w:type="pct"/>
            <w:vAlign w:val="center"/>
          </w:tcPr>
          <w:p>
            <w:pPr>
              <w:pStyle w:val="30"/>
              <w:rPr>
                <w:color w:val="auto"/>
              </w:rPr>
            </w:pPr>
            <w:r>
              <w:rPr>
                <w:rFonts w:hint="eastAsia"/>
                <w:color w:val="auto"/>
              </w:rPr>
              <w:t>0.07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DB02170111</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锌</w:t>
            </w:r>
          </w:p>
        </w:tc>
        <w:tc>
          <w:tcPr>
            <w:tcW w:w="1686" w:type="pct"/>
            <w:vAlign w:val="center"/>
          </w:tcPr>
          <w:p>
            <w:pPr>
              <w:pStyle w:val="30"/>
              <w:rPr>
                <w:color w:val="auto"/>
              </w:rPr>
            </w:pPr>
            <w:r>
              <w:rPr>
                <w:rFonts w:hint="eastAsia"/>
                <w:color w:val="auto"/>
              </w:rPr>
              <w:t>0.01ND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DB02170112</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氟化物</w:t>
            </w:r>
          </w:p>
        </w:tc>
        <w:tc>
          <w:tcPr>
            <w:tcW w:w="1686" w:type="pct"/>
            <w:vAlign w:val="center"/>
          </w:tcPr>
          <w:p>
            <w:pPr>
              <w:pStyle w:val="30"/>
              <w:rPr>
                <w:color w:val="auto"/>
              </w:rPr>
            </w:pPr>
            <w:r>
              <w:rPr>
                <w:rFonts w:hint="eastAsia"/>
                <w:color w:val="auto"/>
              </w:rPr>
              <w:t>0.006ND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50"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DB02170113</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砷</w:t>
            </w:r>
          </w:p>
        </w:tc>
        <w:tc>
          <w:tcPr>
            <w:tcW w:w="1686" w:type="pct"/>
            <w:vAlign w:val="center"/>
          </w:tcPr>
          <w:p>
            <w:pPr>
              <w:pStyle w:val="30"/>
              <w:rPr>
                <w:color w:val="auto"/>
              </w:rPr>
            </w:pPr>
            <w:r>
              <w:rPr>
                <w:rFonts w:hint="eastAsia"/>
                <w:color w:val="auto"/>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4"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DB02170114</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汞</w:t>
            </w:r>
          </w:p>
        </w:tc>
        <w:tc>
          <w:tcPr>
            <w:tcW w:w="1686" w:type="pct"/>
            <w:vAlign w:val="center"/>
          </w:tcPr>
          <w:p>
            <w:pPr>
              <w:pStyle w:val="30"/>
              <w:rPr>
                <w:color w:val="auto"/>
              </w:rPr>
            </w:pPr>
            <w:r>
              <w:rPr>
                <w:rFonts w:hint="eastAsia"/>
                <w:color w:val="auto"/>
              </w:rPr>
              <w:t>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restart"/>
            <w:vAlign w:val="center"/>
          </w:tcPr>
          <w:p>
            <w:pPr>
              <w:pStyle w:val="30"/>
              <w:rPr>
                <w:color w:val="auto"/>
              </w:rPr>
            </w:pPr>
            <w:r>
              <w:rPr>
                <w:rFonts w:hint="eastAsia"/>
                <w:color w:val="auto"/>
              </w:rPr>
              <w:t>02月</w:t>
            </w:r>
          </w:p>
          <w:p>
            <w:pPr>
              <w:pStyle w:val="30"/>
              <w:rPr>
                <w:color w:val="auto"/>
              </w:rPr>
            </w:pPr>
            <w:r>
              <w:rPr>
                <w:rFonts w:hint="eastAsia"/>
                <w:color w:val="auto"/>
              </w:rPr>
              <w:t>17日</w:t>
            </w:r>
          </w:p>
        </w:tc>
        <w:tc>
          <w:tcPr>
            <w:tcW w:w="706" w:type="pct"/>
            <w:vMerge w:val="restart"/>
            <w:vAlign w:val="center"/>
          </w:tcPr>
          <w:p>
            <w:pPr>
              <w:pStyle w:val="30"/>
              <w:rPr>
                <w:color w:val="auto"/>
              </w:rPr>
            </w:pPr>
            <w:r>
              <w:rPr>
                <w:color w:val="auto"/>
              </w:rPr>
              <w:t>项目所在地右侧</w:t>
            </w:r>
            <w:r>
              <w:rPr>
                <w:rFonts w:hint="eastAsia"/>
                <w:color w:val="auto"/>
              </w:rPr>
              <w:t>700m车对河下游1000m</w:t>
            </w:r>
          </w:p>
        </w:tc>
        <w:tc>
          <w:tcPr>
            <w:tcW w:w="632" w:type="pct"/>
            <w:vMerge w:val="restart"/>
            <w:vAlign w:val="center"/>
          </w:tcPr>
          <w:p>
            <w:pPr>
              <w:pStyle w:val="30"/>
              <w:rPr>
                <w:color w:val="auto"/>
              </w:rPr>
            </w:pPr>
            <w:r>
              <w:rPr>
                <w:color w:val="auto"/>
              </w:rPr>
              <w:t>微黄、无味</w:t>
            </w:r>
            <w:r>
              <w:rPr>
                <w:rFonts w:hint="eastAsia"/>
                <w:color w:val="auto"/>
              </w:rPr>
              <w:t>、无浮油</w:t>
            </w:r>
          </w:p>
        </w:tc>
        <w:tc>
          <w:tcPr>
            <w:tcW w:w="717" w:type="pct"/>
            <w:vAlign w:val="center"/>
          </w:tcPr>
          <w:p>
            <w:pPr>
              <w:pStyle w:val="30"/>
              <w:rPr>
                <w:color w:val="auto"/>
              </w:rPr>
            </w:pPr>
            <w:r>
              <w:rPr>
                <w:rFonts w:hint="eastAsia"/>
                <w:color w:val="auto"/>
              </w:rPr>
              <w:t>DB02170115</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镉</w:t>
            </w:r>
          </w:p>
        </w:tc>
        <w:tc>
          <w:tcPr>
            <w:tcW w:w="1686" w:type="pct"/>
            <w:vAlign w:val="center"/>
          </w:tcPr>
          <w:p>
            <w:pPr>
              <w:pStyle w:val="30"/>
              <w:rPr>
                <w:color w:val="auto"/>
              </w:rPr>
            </w:pPr>
            <w:r>
              <w:rPr>
                <w:rFonts w:hint="eastAsia"/>
                <w:color w:val="auto"/>
              </w:rPr>
              <w:t>5.0×10</w:t>
            </w:r>
            <w:r>
              <w:rPr>
                <w:rFonts w:hint="eastAsia"/>
                <w:color w:val="auto"/>
                <w:vertAlign w:val="superscript"/>
              </w:rPr>
              <w:t>-4</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DB02170116</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六价铬</w:t>
            </w:r>
          </w:p>
        </w:tc>
        <w:tc>
          <w:tcPr>
            <w:tcW w:w="1686" w:type="pct"/>
            <w:vAlign w:val="center"/>
          </w:tcPr>
          <w:p>
            <w:pPr>
              <w:pStyle w:val="30"/>
              <w:rPr>
                <w:color w:val="auto"/>
              </w:rPr>
            </w:pPr>
            <w:r>
              <w:rPr>
                <w:rFonts w:hint="eastAsia"/>
                <w:color w:val="auto"/>
              </w:rPr>
              <w:t>0.004ND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DB02170117</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铅</w:t>
            </w:r>
          </w:p>
        </w:tc>
        <w:tc>
          <w:tcPr>
            <w:tcW w:w="1686" w:type="pct"/>
            <w:vAlign w:val="center"/>
          </w:tcPr>
          <w:p>
            <w:pPr>
              <w:pStyle w:val="30"/>
              <w:rPr>
                <w:color w:val="auto"/>
              </w:rPr>
            </w:pPr>
            <w:r>
              <w:rPr>
                <w:rFonts w:hint="eastAsia"/>
                <w:color w:val="auto"/>
              </w:rPr>
              <w:t>2.5×10</w:t>
            </w:r>
            <w:r>
              <w:rPr>
                <w:rFonts w:hint="eastAsia"/>
                <w:color w:val="auto"/>
                <w:vertAlign w:val="superscript"/>
              </w:rPr>
              <w:t>-3</w:t>
            </w:r>
            <w:r>
              <w:rPr>
                <w:rFonts w:hint="eastAsia"/>
                <w:color w:val="auto"/>
              </w:rPr>
              <w:t>ND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DB02170118</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镍</w:t>
            </w:r>
          </w:p>
        </w:tc>
        <w:tc>
          <w:tcPr>
            <w:tcW w:w="1686" w:type="pct"/>
            <w:vAlign w:val="center"/>
          </w:tcPr>
          <w:p>
            <w:pPr>
              <w:pStyle w:val="30"/>
              <w:rPr>
                <w:color w:val="auto"/>
              </w:rPr>
            </w:pPr>
            <w:r>
              <w:rPr>
                <w:rFonts w:hint="eastAsia"/>
                <w:color w:val="auto"/>
              </w:rPr>
              <w:t>0.019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DB02170119</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挥发酚</w:t>
            </w:r>
          </w:p>
        </w:tc>
        <w:tc>
          <w:tcPr>
            <w:tcW w:w="1686" w:type="pct"/>
            <w:vAlign w:val="center"/>
          </w:tcPr>
          <w:p>
            <w:pPr>
              <w:pStyle w:val="30"/>
              <w:rPr>
                <w:color w:val="auto"/>
              </w:rPr>
            </w:pPr>
            <w:r>
              <w:rPr>
                <w:rFonts w:hint="eastAsia"/>
                <w:color w:val="auto"/>
              </w:rPr>
              <w:t>0.0042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DB02170120</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硫化物</w:t>
            </w:r>
          </w:p>
        </w:tc>
        <w:tc>
          <w:tcPr>
            <w:tcW w:w="1686" w:type="pct"/>
            <w:vAlign w:val="center"/>
          </w:tcPr>
          <w:p>
            <w:pPr>
              <w:pStyle w:val="30"/>
              <w:rPr>
                <w:color w:val="auto"/>
              </w:rPr>
            </w:pPr>
            <w:r>
              <w:rPr>
                <w:rFonts w:hint="eastAsia"/>
                <w:color w:val="auto"/>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556" w:type="pct"/>
            <w:vMerge w:val="continue"/>
            <w:vAlign w:val="center"/>
          </w:tcPr>
          <w:p>
            <w:pPr>
              <w:pStyle w:val="30"/>
              <w:rPr>
                <w:color w:val="auto"/>
              </w:rPr>
            </w:pPr>
          </w:p>
        </w:tc>
        <w:tc>
          <w:tcPr>
            <w:tcW w:w="706" w:type="pct"/>
            <w:vMerge w:val="continue"/>
            <w:vAlign w:val="center"/>
          </w:tcPr>
          <w:p>
            <w:pPr>
              <w:pStyle w:val="30"/>
              <w:rPr>
                <w:color w:val="auto"/>
              </w:rPr>
            </w:pPr>
          </w:p>
        </w:tc>
        <w:tc>
          <w:tcPr>
            <w:tcW w:w="632" w:type="pct"/>
            <w:vMerge w:val="continue"/>
            <w:vAlign w:val="center"/>
          </w:tcPr>
          <w:p>
            <w:pPr>
              <w:pStyle w:val="30"/>
              <w:rPr>
                <w:color w:val="auto"/>
              </w:rPr>
            </w:pPr>
          </w:p>
        </w:tc>
        <w:tc>
          <w:tcPr>
            <w:tcW w:w="717" w:type="pct"/>
            <w:vAlign w:val="center"/>
          </w:tcPr>
          <w:p>
            <w:pPr>
              <w:pStyle w:val="30"/>
              <w:rPr>
                <w:color w:val="auto"/>
              </w:rPr>
            </w:pPr>
            <w:r>
              <w:rPr>
                <w:rFonts w:hint="eastAsia"/>
                <w:color w:val="auto"/>
              </w:rPr>
              <w:t>DB02170121</w:t>
            </w:r>
          </w:p>
          <w:p>
            <w:pPr>
              <w:pStyle w:val="30"/>
              <w:rPr>
                <w:color w:val="auto"/>
              </w:rPr>
            </w:pPr>
            <w:r>
              <w:rPr>
                <w:rFonts w:hint="eastAsia"/>
                <w:color w:val="auto"/>
              </w:rPr>
              <w:t>A</w:t>
            </w:r>
          </w:p>
        </w:tc>
        <w:tc>
          <w:tcPr>
            <w:tcW w:w="703" w:type="pct"/>
            <w:vAlign w:val="center"/>
          </w:tcPr>
          <w:p>
            <w:pPr>
              <w:pStyle w:val="30"/>
              <w:rPr>
                <w:color w:val="auto"/>
              </w:rPr>
            </w:pPr>
            <w:r>
              <w:rPr>
                <w:rFonts w:hint="eastAsia"/>
                <w:color w:val="auto"/>
              </w:rPr>
              <w:t>粪大肠菌群</w:t>
            </w:r>
          </w:p>
        </w:tc>
        <w:tc>
          <w:tcPr>
            <w:tcW w:w="1686" w:type="pct"/>
            <w:vAlign w:val="center"/>
          </w:tcPr>
          <w:p>
            <w:pPr>
              <w:pStyle w:val="30"/>
              <w:rPr>
                <w:color w:val="auto"/>
              </w:rPr>
            </w:pPr>
            <w:r>
              <w:rPr>
                <w:rFonts w:hint="eastAsia"/>
                <w:color w:val="auto"/>
              </w:rPr>
              <w:t>3.5×10</w:t>
            </w:r>
            <w:r>
              <w:rPr>
                <w:rFonts w:hint="eastAsia"/>
                <w:color w:val="auto"/>
                <w:vertAlign w:val="superscript"/>
              </w:rPr>
              <w:t>3</w:t>
            </w:r>
          </w:p>
        </w:tc>
      </w:tr>
    </w:tbl>
    <w:p>
      <w:pPr>
        <w:ind w:firstLine="480"/>
        <w:rPr>
          <w:color w:val="auto"/>
        </w:rPr>
      </w:pPr>
      <w:r>
        <w:rPr>
          <w:rFonts w:hint="eastAsia"/>
          <w:color w:val="auto"/>
        </w:rPr>
        <w:t>根据上表水质情况监测月报，项目区域车对河地表水常规监测断面水质均符合《地表水环境质量标准》（GB 3838-2002）的III类水质标准，地表水环境质量现状良好。</w:t>
      </w:r>
    </w:p>
    <w:p>
      <w:pPr>
        <w:ind w:firstLine="482"/>
        <w:rPr>
          <w:b/>
          <w:bCs/>
          <w:color w:val="auto"/>
        </w:rPr>
      </w:pPr>
      <w:r>
        <w:rPr>
          <w:b/>
          <w:bCs/>
          <w:color w:val="auto"/>
        </w:rPr>
        <w:t>3、汨罗江监测数据</w:t>
      </w:r>
    </w:p>
    <w:p>
      <w:pPr>
        <w:ind w:firstLine="480"/>
        <w:rPr>
          <w:color w:val="auto"/>
        </w:rPr>
      </w:pPr>
      <w:r>
        <w:rPr>
          <w:color w:val="auto"/>
        </w:rPr>
        <w:t>本项目收集了汨罗市环境保护监测站2021年1-12月全年对汨罗江窑洲断面、南渡断面（均位于园区重金属污水提质处理厂排口上游）常规监测断面监测数据。另外收集了湖南谱实检测技术有限公司于2021年8月27日至2021年8月29日对汨罗江李家河入河口下游1000m断面（园区重金属污水提质处理厂排口下游）地表水环境质量现状监测结果，汨罗江窑洲断面、南渡断面、李家河入河口下游1000m断面执行《地表水环境质量标准》（GB3838-2002）中的Ⅲ类标准。</w:t>
      </w:r>
    </w:p>
    <w:p>
      <w:pPr>
        <w:ind w:firstLine="480"/>
        <w:rPr>
          <w:color w:val="auto"/>
        </w:rPr>
      </w:pPr>
      <w:r>
        <w:rPr>
          <w:rFonts w:hint="eastAsia"/>
          <w:color w:val="auto"/>
        </w:rPr>
        <w:t>（</w:t>
      </w:r>
      <w:r>
        <w:rPr>
          <w:color w:val="auto"/>
        </w:rPr>
        <w:t>1</w:t>
      </w:r>
      <w:r>
        <w:rPr>
          <w:rFonts w:hint="eastAsia"/>
          <w:color w:val="auto"/>
        </w:rPr>
        <w:t>）</w:t>
      </w:r>
      <w:r>
        <w:rPr>
          <w:color w:val="auto"/>
        </w:rPr>
        <w:t>现状监测项目</w:t>
      </w:r>
    </w:p>
    <w:p>
      <w:pPr>
        <w:ind w:firstLine="480"/>
        <w:rPr>
          <w:color w:val="auto"/>
        </w:rPr>
      </w:pPr>
      <w:r>
        <w:rPr>
          <w:color w:val="auto"/>
        </w:rPr>
        <w:t>对区域地表水汨罗江水质进行监测，监测因子为pH、COD、BOD</w:t>
      </w:r>
      <w:r>
        <w:rPr>
          <w:color w:val="auto"/>
          <w:vertAlign w:val="subscript"/>
        </w:rPr>
        <w:t>5</w:t>
      </w:r>
      <w:r>
        <w:rPr>
          <w:color w:val="auto"/>
        </w:rPr>
        <w:t>、氨氮、总磷、石油类、硫酸盐、铜、铅、镉、砷、汞、粪大肠菌群。</w:t>
      </w:r>
    </w:p>
    <w:p>
      <w:pPr>
        <w:ind w:firstLine="480"/>
        <w:rPr>
          <w:color w:val="auto"/>
        </w:rPr>
      </w:pPr>
      <w:r>
        <w:rPr>
          <w:rFonts w:hint="eastAsia"/>
          <w:color w:val="auto"/>
        </w:rPr>
        <w:t>（2）</w:t>
      </w:r>
      <w:r>
        <w:rPr>
          <w:color w:val="auto"/>
        </w:rPr>
        <w:t>监测布点</w:t>
      </w:r>
    </w:p>
    <w:p>
      <w:pPr>
        <w:ind w:firstLine="480"/>
        <w:rPr>
          <w:color w:val="auto"/>
        </w:rPr>
      </w:pPr>
      <w:r>
        <w:rPr>
          <w:color w:val="auto"/>
        </w:rPr>
        <w:t>汨罗江新市、窑州二个常规监测断面。</w:t>
      </w:r>
    </w:p>
    <w:p>
      <w:pPr>
        <w:ind w:firstLine="480"/>
        <w:rPr>
          <w:color w:val="auto"/>
        </w:rPr>
      </w:pPr>
      <w:r>
        <w:rPr>
          <w:rFonts w:hint="eastAsia"/>
          <w:color w:val="auto"/>
        </w:rPr>
        <w:t>（3）</w:t>
      </w:r>
      <w:r>
        <w:rPr>
          <w:color w:val="auto"/>
        </w:rPr>
        <w:t>监测时间、频次</w:t>
      </w:r>
    </w:p>
    <w:p>
      <w:pPr>
        <w:ind w:firstLine="480"/>
        <w:rPr>
          <w:color w:val="auto"/>
        </w:rPr>
      </w:pPr>
      <w:r>
        <w:rPr>
          <w:color w:val="auto"/>
        </w:rPr>
        <w:t>汨罗市环境保护监测站2021年1-12月对汨罗江进行了监测，每个点位监测一天，二次采样，同期记录水深、流速、流量、河宽等水质参数。</w:t>
      </w:r>
    </w:p>
    <w:p>
      <w:pPr>
        <w:ind w:firstLine="480"/>
        <w:rPr>
          <w:color w:val="auto"/>
        </w:rPr>
      </w:pPr>
      <w:r>
        <w:rPr>
          <w:rFonts w:hint="eastAsia"/>
          <w:color w:val="auto"/>
        </w:rPr>
        <w:t>（4）</w:t>
      </w:r>
      <w:r>
        <w:rPr>
          <w:color w:val="auto"/>
        </w:rPr>
        <w:t>评价标准</w:t>
      </w:r>
    </w:p>
    <w:p>
      <w:pPr>
        <w:ind w:firstLine="480"/>
        <w:rPr>
          <w:color w:val="auto"/>
        </w:rPr>
      </w:pPr>
      <w:r>
        <w:rPr>
          <w:color w:val="auto"/>
        </w:rPr>
        <w:t>汨罗江窑洲断面、汨罗江新市断面执行《地表水环境质量标准》（GB3838-2002）中的Ⅲ类标准。</w:t>
      </w:r>
    </w:p>
    <w:p>
      <w:pPr>
        <w:ind w:firstLine="480"/>
        <w:rPr>
          <w:color w:val="auto"/>
        </w:rPr>
      </w:pPr>
      <w:r>
        <w:rPr>
          <w:rFonts w:hint="eastAsia"/>
          <w:color w:val="auto"/>
        </w:rPr>
        <w:t>（5）</w:t>
      </w:r>
      <w:r>
        <w:rPr>
          <w:color w:val="auto"/>
        </w:rPr>
        <w:t>监测数据</w:t>
      </w:r>
    </w:p>
    <w:p>
      <w:pPr>
        <w:pStyle w:val="31"/>
        <w:rPr>
          <w:color w:val="auto"/>
        </w:rPr>
      </w:pPr>
      <w:r>
        <w:rPr>
          <w:color w:val="auto"/>
        </w:rPr>
        <w:t>表4.3-8   2021年1-12月汨罗江监测数据统计单位：mg/L（pH值除外）</w:t>
      </w:r>
    </w:p>
    <w:tbl>
      <w:tblPr>
        <w:tblStyle w:val="21"/>
        <w:tblW w:w="907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09"/>
        <w:gridCol w:w="1275"/>
        <w:gridCol w:w="993"/>
        <w:gridCol w:w="992"/>
        <w:gridCol w:w="851"/>
        <w:gridCol w:w="1134"/>
        <w:gridCol w:w="1134"/>
        <w:gridCol w:w="709"/>
        <w:gridCol w:w="560"/>
        <w:gridCol w:w="7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restart"/>
            <w:vAlign w:val="center"/>
          </w:tcPr>
          <w:p>
            <w:pPr>
              <w:pStyle w:val="30"/>
              <w:rPr>
                <w:b/>
                <w:bCs/>
                <w:color w:val="auto"/>
              </w:rPr>
            </w:pPr>
            <w:r>
              <w:rPr>
                <w:b/>
                <w:bCs/>
                <w:color w:val="auto"/>
              </w:rPr>
              <w:t>监测断面</w:t>
            </w:r>
          </w:p>
        </w:tc>
        <w:tc>
          <w:tcPr>
            <w:tcW w:w="1275" w:type="dxa"/>
            <w:vMerge w:val="restart"/>
            <w:vAlign w:val="center"/>
          </w:tcPr>
          <w:p>
            <w:pPr>
              <w:pStyle w:val="30"/>
              <w:rPr>
                <w:b/>
                <w:bCs/>
                <w:color w:val="auto"/>
              </w:rPr>
            </w:pPr>
            <w:r>
              <w:rPr>
                <w:b/>
                <w:bCs/>
                <w:color w:val="auto"/>
              </w:rPr>
              <w:t>项目</w:t>
            </w:r>
          </w:p>
        </w:tc>
        <w:tc>
          <w:tcPr>
            <w:tcW w:w="7088" w:type="dxa"/>
            <w:gridSpan w:val="8"/>
            <w:vAlign w:val="center"/>
          </w:tcPr>
          <w:p>
            <w:pPr>
              <w:pStyle w:val="30"/>
              <w:rPr>
                <w:b/>
                <w:bCs/>
                <w:color w:val="auto"/>
              </w:rPr>
            </w:pPr>
            <w:r>
              <w:rPr>
                <w:b/>
                <w:bCs/>
                <w:color w:val="auto"/>
              </w:rPr>
              <w:t>监测项目及结果</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b/>
                <w:bCs/>
                <w:color w:val="auto"/>
              </w:rPr>
            </w:pPr>
          </w:p>
        </w:tc>
        <w:tc>
          <w:tcPr>
            <w:tcW w:w="1275" w:type="dxa"/>
            <w:vMerge w:val="continue"/>
            <w:vAlign w:val="center"/>
          </w:tcPr>
          <w:p>
            <w:pPr>
              <w:pStyle w:val="30"/>
              <w:rPr>
                <w:b/>
                <w:bCs/>
                <w:color w:val="auto"/>
              </w:rPr>
            </w:pPr>
          </w:p>
        </w:tc>
        <w:tc>
          <w:tcPr>
            <w:tcW w:w="993" w:type="dxa"/>
            <w:vAlign w:val="center"/>
          </w:tcPr>
          <w:p>
            <w:pPr>
              <w:pStyle w:val="30"/>
              <w:rPr>
                <w:b/>
                <w:bCs/>
                <w:color w:val="auto"/>
              </w:rPr>
            </w:pPr>
            <w:r>
              <w:rPr>
                <w:b/>
                <w:bCs/>
                <w:color w:val="auto"/>
              </w:rPr>
              <w:t>pH</w:t>
            </w:r>
          </w:p>
        </w:tc>
        <w:tc>
          <w:tcPr>
            <w:tcW w:w="992" w:type="dxa"/>
            <w:vAlign w:val="center"/>
          </w:tcPr>
          <w:p>
            <w:pPr>
              <w:pStyle w:val="30"/>
              <w:rPr>
                <w:b/>
                <w:bCs/>
                <w:color w:val="auto"/>
              </w:rPr>
            </w:pPr>
            <w:r>
              <w:rPr>
                <w:b/>
                <w:bCs/>
                <w:color w:val="auto"/>
              </w:rPr>
              <w:t>COD</w:t>
            </w:r>
          </w:p>
        </w:tc>
        <w:tc>
          <w:tcPr>
            <w:tcW w:w="851" w:type="dxa"/>
            <w:vAlign w:val="center"/>
          </w:tcPr>
          <w:p>
            <w:pPr>
              <w:pStyle w:val="30"/>
              <w:rPr>
                <w:b/>
                <w:bCs/>
                <w:color w:val="auto"/>
              </w:rPr>
            </w:pPr>
            <w:r>
              <w:rPr>
                <w:b/>
                <w:bCs/>
                <w:color w:val="auto"/>
              </w:rPr>
              <w:t>BOD</w:t>
            </w:r>
            <w:r>
              <w:rPr>
                <w:b/>
                <w:bCs/>
                <w:color w:val="auto"/>
                <w:vertAlign w:val="subscript"/>
              </w:rPr>
              <w:t>5</w:t>
            </w:r>
          </w:p>
        </w:tc>
        <w:tc>
          <w:tcPr>
            <w:tcW w:w="1134" w:type="dxa"/>
            <w:vAlign w:val="center"/>
          </w:tcPr>
          <w:p>
            <w:pPr>
              <w:pStyle w:val="30"/>
              <w:rPr>
                <w:b/>
                <w:bCs/>
                <w:color w:val="auto"/>
              </w:rPr>
            </w:pPr>
            <w:r>
              <w:rPr>
                <w:b/>
                <w:bCs/>
                <w:color w:val="auto"/>
              </w:rPr>
              <w:t>氨氮</w:t>
            </w:r>
          </w:p>
        </w:tc>
        <w:tc>
          <w:tcPr>
            <w:tcW w:w="1134" w:type="dxa"/>
            <w:vAlign w:val="center"/>
          </w:tcPr>
          <w:p>
            <w:pPr>
              <w:pStyle w:val="30"/>
              <w:rPr>
                <w:b/>
                <w:bCs/>
                <w:color w:val="auto"/>
              </w:rPr>
            </w:pPr>
            <w:r>
              <w:rPr>
                <w:b/>
                <w:bCs/>
                <w:color w:val="auto"/>
              </w:rPr>
              <w:t>总磷</w:t>
            </w:r>
          </w:p>
        </w:tc>
        <w:tc>
          <w:tcPr>
            <w:tcW w:w="709" w:type="dxa"/>
            <w:vAlign w:val="center"/>
          </w:tcPr>
          <w:p>
            <w:pPr>
              <w:pStyle w:val="30"/>
              <w:rPr>
                <w:b/>
                <w:bCs/>
                <w:color w:val="auto"/>
              </w:rPr>
            </w:pPr>
            <w:r>
              <w:rPr>
                <w:b/>
                <w:bCs/>
                <w:color w:val="auto"/>
              </w:rPr>
              <w:t>石油类</w:t>
            </w:r>
          </w:p>
        </w:tc>
        <w:tc>
          <w:tcPr>
            <w:tcW w:w="1275" w:type="dxa"/>
            <w:gridSpan w:val="2"/>
            <w:vAlign w:val="center"/>
          </w:tcPr>
          <w:p>
            <w:pPr>
              <w:pStyle w:val="30"/>
              <w:rPr>
                <w:b/>
                <w:bCs/>
                <w:color w:val="auto"/>
              </w:rPr>
            </w:pPr>
            <w:r>
              <w:rPr>
                <w:b/>
                <w:bCs/>
                <w:color w:val="auto"/>
              </w:rPr>
              <w:t>硫酸盐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restart"/>
            <w:vAlign w:val="center"/>
          </w:tcPr>
          <w:p>
            <w:pPr>
              <w:pStyle w:val="30"/>
              <w:rPr>
                <w:color w:val="auto"/>
              </w:rPr>
            </w:pPr>
            <w:r>
              <w:rPr>
                <w:color w:val="auto"/>
              </w:rPr>
              <w:t>窑州断面W01</w:t>
            </w:r>
          </w:p>
        </w:tc>
        <w:tc>
          <w:tcPr>
            <w:tcW w:w="1275" w:type="dxa"/>
            <w:vAlign w:val="center"/>
          </w:tcPr>
          <w:p>
            <w:pPr>
              <w:pStyle w:val="30"/>
              <w:rPr>
                <w:color w:val="auto"/>
              </w:rPr>
            </w:pPr>
            <w:r>
              <w:rPr>
                <w:color w:val="auto"/>
              </w:rPr>
              <w:t>监测值范围</w:t>
            </w:r>
          </w:p>
        </w:tc>
        <w:tc>
          <w:tcPr>
            <w:tcW w:w="993" w:type="dxa"/>
            <w:vAlign w:val="center"/>
          </w:tcPr>
          <w:p>
            <w:pPr>
              <w:pStyle w:val="30"/>
              <w:rPr>
                <w:color w:val="auto"/>
              </w:rPr>
            </w:pPr>
            <w:r>
              <w:rPr>
                <w:color w:val="auto"/>
              </w:rPr>
              <w:t>7.15-7.24</w:t>
            </w:r>
          </w:p>
        </w:tc>
        <w:tc>
          <w:tcPr>
            <w:tcW w:w="992" w:type="dxa"/>
            <w:vAlign w:val="center"/>
          </w:tcPr>
          <w:p>
            <w:pPr>
              <w:pStyle w:val="30"/>
              <w:rPr>
                <w:color w:val="auto"/>
              </w:rPr>
            </w:pPr>
            <w:r>
              <w:rPr>
                <w:color w:val="auto"/>
              </w:rPr>
              <w:t>9-14</w:t>
            </w:r>
          </w:p>
        </w:tc>
        <w:tc>
          <w:tcPr>
            <w:tcW w:w="851" w:type="dxa"/>
            <w:vAlign w:val="center"/>
          </w:tcPr>
          <w:p>
            <w:pPr>
              <w:pStyle w:val="30"/>
              <w:rPr>
                <w:color w:val="auto"/>
              </w:rPr>
            </w:pPr>
            <w:r>
              <w:rPr>
                <w:color w:val="auto"/>
              </w:rPr>
              <w:t>2.2-2.5</w:t>
            </w:r>
          </w:p>
        </w:tc>
        <w:tc>
          <w:tcPr>
            <w:tcW w:w="1134" w:type="dxa"/>
            <w:vAlign w:val="center"/>
          </w:tcPr>
          <w:p>
            <w:pPr>
              <w:pStyle w:val="30"/>
              <w:rPr>
                <w:color w:val="auto"/>
              </w:rPr>
            </w:pPr>
            <w:r>
              <w:rPr>
                <w:color w:val="auto"/>
              </w:rPr>
              <w:t>0.20-0.33</w:t>
            </w:r>
          </w:p>
        </w:tc>
        <w:tc>
          <w:tcPr>
            <w:tcW w:w="1134" w:type="dxa"/>
            <w:vAlign w:val="center"/>
          </w:tcPr>
          <w:p>
            <w:pPr>
              <w:pStyle w:val="30"/>
              <w:rPr>
                <w:color w:val="auto"/>
              </w:rPr>
            </w:pPr>
            <w:r>
              <w:rPr>
                <w:color w:val="auto"/>
              </w:rPr>
              <w:t>0.06-0.10</w:t>
            </w:r>
          </w:p>
        </w:tc>
        <w:tc>
          <w:tcPr>
            <w:tcW w:w="709" w:type="dxa"/>
            <w:vAlign w:val="center"/>
          </w:tcPr>
          <w:p>
            <w:pPr>
              <w:pStyle w:val="30"/>
              <w:rPr>
                <w:color w:val="auto"/>
              </w:rPr>
            </w:pPr>
            <w:r>
              <w:rPr>
                <w:color w:val="auto"/>
              </w:rPr>
              <w:t>ND</w:t>
            </w:r>
          </w:p>
        </w:tc>
        <w:tc>
          <w:tcPr>
            <w:tcW w:w="1275" w:type="dxa"/>
            <w:gridSpan w:val="2"/>
            <w:vAlign w:val="center"/>
          </w:tcPr>
          <w:p>
            <w:pPr>
              <w:pStyle w:val="30"/>
              <w:rPr>
                <w:color w:val="auto"/>
              </w:rPr>
            </w:pPr>
            <w:r>
              <w:rPr>
                <w:color w:val="auto"/>
              </w:rPr>
              <w:t>12-18</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标准指数</w:t>
            </w:r>
          </w:p>
        </w:tc>
        <w:tc>
          <w:tcPr>
            <w:tcW w:w="993" w:type="dxa"/>
            <w:vAlign w:val="center"/>
          </w:tcPr>
          <w:p>
            <w:pPr>
              <w:pStyle w:val="30"/>
              <w:rPr>
                <w:color w:val="auto"/>
              </w:rPr>
            </w:pPr>
            <w:r>
              <w:rPr>
                <w:color w:val="auto"/>
              </w:rPr>
              <w:t>0.075~0.12</w:t>
            </w:r>
          </w:p>
        </w:tc>
        <w:tc>
          <w:tcPr>
            <w:tcW w:w="992" w:type="dxa"/>
            <w:vAlign w:val="center"/>
          </w:tcPr>
          <w:p>
            <w:pPr>
              <w:pStyle w:val="30"/>
              <w:rPr>
                <w:color w:val="auto"/>
              </w:rPr>
            </w:pPr>
            <w:r>
              <w:rPr>
                <w:color w:val="auto"/>
              </w:rPr>
              <w:t>0.45-0.7</w:t>
            </w:r>
          </w:p>
        </w:tc>
        <w:tc>
          <w:tcPr>
            <w:tcW w:w="851" w:type="dxa"/>
            <w:vAlign w:val="center"/>
          </w:tcPr>
          <w:p>
            <w:pPr>
              <w:pStyle w:val="30"/>
              <w:rPr>
                <w:color w:val="auto"/>
              </w:rPr>
            </w:pPr>
            <w:r>
              <w:rPr>
                <w:color w:val="auto"/>
              </w:rPr>
              <w:t>0.55-0.63</w:t>
            </w:r>
          </w:p>
        </w:tc>
        <w:tc>
          <w:tcPr>
            <w:tcW w:w="1134" w:type="dxa"/>
            <w:vAlign w:val="center"/>
          </w:tcPr>
          <w:p>
            <w:pPr>
              <w:pStyle w:val="30"/>
              <w:rPr>
                <w:color w:val="auto"/>
              </w:rPr>
            </w:pPr>
            <w:r>
              <w:rPr>
                <w:color w:val="auto"/>
              </w:rPr>
              <w:t>0.20-0.33</w:t>
            </w:r>
          </w:p>
        </w:tc>
        <w:tc>
          <w:tcPr>
            <w:tcW w:w="1134" w:type="dxa"/>
            <w:vAlign w:val="center"/>
          </w:tcPr>
          <w:p>
            <w:pPr>
              <w:pStyle w:val="30"/>
              <w:rPr>
                <w:color w:val="auto"/>
              </w:rPr>
            </w:pPr>
            <w:r>
              <w:rPr>
                <w:color w:val="auto"/>
              </w:rPr>
              <w:t>0.3-0.5</w:t>
            </w:r>
          </w:p>
        </w:tc>
        <w:tc>
          <w:tcPr>
            <w:tcW w:w="709" w:type="dxa"/>
            <w:vAlign w:val="center"/>
          </w:tcPr>
          <w:p>
            <w:pPr>
              <w:pStyle w:val="30"/>
              <w:rPr>
                <w:color w:val="auto"/>
              </w:rPr>
            </w:pPr>
            <w:r>
              <w:rPr>
                <w:color w:val="auto"/>
              </w:rPr>
              <w:t>0.2</w:t>
            </w:r>
          </w:p>
        </w:tc>
        <w:tc>
          <w:tcPr>
            <w:tcW w:w="1275" w:type="dxa"/>
            <w:gridSpan w:val="2"/>
            <w:vAlign w:val="center"/>
          </w:tcPr>
          <w:p>
            <w:pPr>
              <w:pStyle w:val="30"/>
              <w:rPr>
                <w:color w:val="auto"/>
              </w:rPr>
            </w:pPr>
            <w:r>
              <w:rPr>
                <w:color w:val="auto"/>
              </w:rPr>
              <w:t>0.05-0.07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最大超标倍数</w:t>
            </w:r>
          </w:p>
        </w:tc>
        <w:tc>
          <w:tcPr>
            <w:tcW w:w="993" w:type="dxa"/>
            <w:vAlign w:val="center"/>
          </w:tcPr>
          <w:p>
            <w:pPr>
              <w:pStyle w:val="30"/>
              <w:rPr>
                <w:color w:val="auto"/>
              </w:rPr>
            </w:pPr>
            <w:r>
              <w:rPr>
                <w:color w:val="auto"/>
              </w:rPr>
              <w:t>/</w:t>
            </w:r>
          </w:p>
        </w:tc>
        <w:tc>
          <w:tcPr>
            <w:tcW w:w="992" w:type="dxa"/>
            <w:vAlign w:val="center"/>
          </w:tcPr>
          <w:p>
            <w:pPr>
              <w:pStyle w:val="30"/>
              <w:rPr>
                <w:color w:val="auto"/>
              </w:rPr>
            </w:pPr>
            <w:r>
              <w:rPr>
                <w:color w:val="auto"/>
              </w:rPr>
              <w:t>/</w:t>
            </w:r>
          </w:p>
        </w:tc>
        <w:tc>
          <w:tcPr>
            <w:tcW w:w="85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709" w:type="dxa"/>
            <w:vAlign w:val="center"/>
          </w:tcPr>
          <w:p>
            <w:pPr>
              <w:pStyle w:val="30"/>
              <w:rPr>
                <w:color w:val="auto"/>
              </w:rPr>
            </w:pPr>
            <w:r>
              <w:rPr>
                <w:color w:val="auto"/>
              </w:rPr>
              <w:t>/</w:t>
            </w:r>
          </w:p>
        </w:tc>
        <w:tc>
          <w:tcPr>
            <w:tcW w:w="1275" w:type="dxa"/>
            <w:gridSpan w:val="2"/>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达标情况</w:t>
            </w:r>
          </w:p>
        </w:tc>
        <w:tc>
          <w:tcPr>
            <w:tcW w:w="993" w:type="dxa"/>
            <w:vAlign w:val="center"/>
          </w:tcPr>
          <w:p>
            <w:pPr>
              <w:pStyle w:val="30"/>
              <w:rPr>
                <w:color w:val="auto"/>
              </w:rPr>
            </w:pPr>
            <w:r>
              <w:rPr>
                <w:color w:val="auto"/>
              </w:rPr>
              <w:t>达标</w:t>
            </w:r>
          </w:p>
        </w:tc>
        <w:tc>
          <w:tcPr>
            <w:tcW w:w="992" w:type="dxa"/>
            <w:vAlign w:val="center"/>
          </w:tcPr>
          <w:p>
            <w:pPr>
              <w:pStyle w:val="30"/>
              <w:rPr>
                <w:color w:val="auto"/>
              </w:rPr>
            </w:pPr>
            <w:r>
              <w:rPr>
                <w:color w:val="auto"/>
              </w:rPr>
              <w:t>达标</w:t>
            </w:r>
          </w:p>
        </w:tc>
        <w:tc>
          <w:tcPr>
            <w:tcW w:w="851"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709" w:type="dxa"/>
            <w:vAlign w:val="center"/>
          </w:tcPr>
          <w:p>
            <w:pPr>
              <w:pStyle w:val="30"/>
              <w:rPr>
                <w:color w:val="auto"/>
              </w:rPr>
            </w:pPr>
            <w:r>
              <w:rPr>
                <w:color w:val="auto"/>
              </w:rPr>
              <w:t>达标</w:t>
            </w:r>
          </w:p>
        </w:tc>
        <w:tc>
          <w:tcPr>
            <w:tcW w:w="1275" w:type="dxa"/>
            <w:gridSpan w:val="2"/>
            <w:vAlign w:val="center"/>
          </w:tcPr>
          <w:p>
            <w:pPr>
              <w:pStyle w:val="30"/>
              <w:rPr>
                <w:color w:val="auto"/>
              </w:rPr>
            </w:pPr>
            <w:r>
              <w:rPr>
                <w:color w:val="auto"/>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3"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GB3838-2002Ⅲ</w:t>
            </w:r>
          </w:p>
          <w:p>
            <w:pPr>
              <w:pStyle w:val="30"/>
              <w:rPr>
                <w:color w:val="auto"/>
              </w:rPr>
            </w:pPr>
            <w:r>
              <w:rPr>
                <w:color w:val="auto"/>
              </w:rPr>
              <w:t>标准</w:t>
            </w:r>
          </w:p>
        </w:tc>
        <w:tc>
          <w:tcPr>
            <w:tcW w:w="993" w:type="dxa"/>
            <w:vAlign w:val="center"/>
          </w:tcPr>
          <w:p>
            <w:pPr>
              <w:pStyle w:val="30"/>
              <w:rPr>
                <w:color w:val="auto"/>
              </w:rPr>
            </w:pPr>
            <w:r>
              <w:rPr>
                <w:color w:val="auto"/>
              </w:rPr>
              <w:t>6~9</w:t>
            </w:r>
          </w:p>
        </w:tc>
        <w:tc>
          <w:tcPr>
            <w:tcW w:w="992" w:type="dxa"/>
            <w:vAlign w:val="center"/>
          </w:tcPr>
          <w:p>
            <w:pPr>
              <w:pStyle w:val="30"/>
              <w:rPr>
                <w:color w:val="auto"/>
              </w:rPr>
            </w:pPr>
            <w:r>
              <w:rPr>
                <w:color w:val="auto"/>
              </w:rPr>
              <w:t>20</w:t>
            </w:r>
          </w:p>
        </w:tc>
        <w:tc>
          <w:tcPr>
            <w:tcW w:w="851" w:type="dxa"/>
            <w:vAlign w:val="center"/>
          </w:tcPr>
          <w:p>
            <w:pPr>
              <w:pStyle w:val="30"/>
              <w:rPr>
                <w:color w:val="auto"/>
              </w:rPr>
            </w:pPr>
            <w:r>
              <w:rPr>
                <w:color w:val="auto"/>
              </w:rPr>
              <w:t>4</w:t>
            </w:r>
          </w:p>
        </w:tc>
        <w:tc>
          <w:tcPr>
            <w:tcW w:w="1134" w:type="dxa"/>
            <w:vAlign w:val="center"/>
          </w:tcPr>
          <w:p>
            <w:pPr>
              <w:pStyle w:val="30"/>
              <w:rPr>
                <w:color w:val="auto"/>
              </w:rPr>
            </w:pPr>
            <w:r>
              <w:rPr>
                <w:color w:val="auto"/>
              </w:rPr>
              <w:t>1.0</w:t>
            </w:r>
          </w:p>
        </w:tc>
        <w:tc>
          <w:tcPr>
            <w:tcW w:w="1134" w:type="dxa"/>
            <w:vAlign w:val="center"/>
          </w:tcPr>
          <w:p>
            <w:pPr>
              <w:pStyle w:val="30"/>
              <w:rPr>
                <w:color w:val="auto"/>
              </w:rPr>
            </w:pPr>
            <w:r>
              <w:rPr>
                <w:color w:val="auto"/>
              </w:rPr>
              <w:t>0.2</w:t>
            </w:r>
          </w:p>
        </w:tc>
        <w:tc>
          <w:tcPr>
            <w:tcW w:w="709" w:type="dxa"/>
            <w:vAlign w:val="center"/>
          </w:tcPr>
          <w:p>
            <w:pPr>
              <w:pStyle w:val="30"/>
              <w:rPr>
                <w:color w:val="auto"/>
              </w:rPr>
            </w:pPr>
            <w:r>
              <w:rPr>
                <w:color w:val="auto"/>
              </w:rPr>
              <w:t>0.05</w:t>
            </w:r>
          </w:p>
        </w:tc>
        <w:tc>
          <w:tcPr>
            <w:tcW w:w="1275" w:type="dxa"/>
            <w:gridSpan w:val="2"/>
            <w:vAlign w:val="center"/>
          </w:tcPr>
          <w:p>
            <w:pPr>
              <w:pStyle w:val="30"/>
              <w:rPr>
                <w:color w:val="auto"/>
              </w:rPr>
            </w:pPr>
            <w:r>
              <w:rPr>
                <w:color w:val="auto"/>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项目</w:t>
            </w:r>
          </w:p>
        </w:tc>
        <w:tc>
          <w:tcPr>
            <w:tcW w:w="993" w:type="dxa"/>
            <w:vAlign w:val="center"/>
          </w:tcPr>
          <w:p>
            <w:pPr>
              <w:pStyle w:val="30"/>
              <w:rPr>
                <w:color w:val="auto"/>
              </w:rPr>
            </w:pPr>
            <w:r>
              <w:rPr>
                <w:color w:val="auto"/>
              </w:rPr>
              <w:t>铜</w:t>
            </w:r>
          </w:p>
        </w:tc>
        <w:tc>
          <w:tcPr>
            <w:tcW w:w="992" w:type="dxa"/>
            <w:vAlign w:val="center"/>
          </w:tcPr>
          <w:p>
            <w:pPr>
              <w:pStyle w:val="30"/>
              <w:rPr>
                <w:color w:val="auto"/>
              </w:rPr>
            </w:pPr>
            <w:r>
              <w:rPr>
                <w:color w:val="auto"/>
              </w:rPr>
              <w:t>铅</w:t>
            </w:r>
          </w:p>
        </w:tc>
        <w:tc>
          <w:tcPr>
            <w:tcW w:w="851" w:type="dxa"/>
            <w:vAlign w:val="center"/>
          </w:tcPr>
          <w:p>
            <w:pPr>
              <w:pStyle w:val="30"/>
              <w:rPr>
                <w:color w:val="auto"/>
              </w:rPr>
            </w:pPr>
            <w:r>
              <w:rPr>
                <w:color w:val="auto"/>
              </w:rPr>
              <w:t>镉</w:t>
            </w:r>
          </w:p>
        </w:tc>
        <w:tc>
          <w:tcPr>
            <w:tcW w:w="1134" w:type="dxa"/>
            <w:vAlign w:val="center"/>
          </w:tcPr>
          <w:p>
            <w:pPr>
              <w:pStyle w:val="30"/>
              <w:rPr>
                <w:color w:val="auto"/>
              </w:rPr>
            </w:pPr>
            <w:r>
              <w:rPr>
                <w:color w:val="auto"/>
              </w:rPr>
              <w:t>砷</w:t>
            </w:r>
          </w:p>
        </w:tc>
        <w:tc>
          <w:tcPr>
            <w:tcW w:w="1134" w:type="dxa"/>
            <w:vAlign w:val="center"/>
          </w:tcPr>
          <w:p>
            <w:pPr>
              <w:pStyle w:val="30"/>
              <w:rPr>
                <w:color w:val="auto"/>
              </w:rPr>
            </w:pPr>
            <w:r>
              <w:rPr>
                <w:color w:val="auto"/>
              </w:rPr>
              <w:t>汞</w:t>
            </w:r>
          </w:p>
        </w:tc>
        <w:tc>
          <w:tcPr>
            <w:tcW w:w="1984" w:type="dxa"/>
            <w:gridSpan w:val="3"/>
            <w:vAlign w:val="center"/>
          </w:tcPr>
          <w:p>
            <w:pPr>
              <w:pStyle w:val="30"/>
              <w:rPr>
                <w:color w:val="auto"/>
              </w:rPr>
            </w:pPr>
            <w:r>
              <w:rPr>
                <w:color w:val="auto"/>
              </w:rPr>
              <w:t>粪大肠菌群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监测值范围</w:t>
            </w:r>
          </w:p>
        </w:tc>
        <w:tc>
          <w:tcPr>
            <w:tcW w:w="993" w:type="dxa"/>
            <w:vAlign w:val="center"/>
          </w:tcPr>
          <w:p>
            <w:pPr>
              <w:pStyle w:val="30"/>
              <w:rPr>
                <w:color w:val="auto"/>
              </w:rPr>
            </w:pPr>
            <w:r>
              <w:rPr>
                <w:color w:val="auto"/>
              </w:rPr>
              <w:t>ND</w:t>
            </w:r>
          </w:p>
        </w:tc>
        <w:tc>
          <w:tcPr>
            <w:tcW w:w="992" w:type="dxa"/>
            <w:vAlign w:val="center"/>
          </w:tcPr>
          <w:p>
            <w:pPr>
              <w:pStyle w:val="30"/>
              <w:rPr>
                <w:color w:val="auto"/>
              </w:rPr>
            </w:pPr>
            <w:r>
              <w:rPr>
                <w:color w:val="auto"/>
              </w:rPr>
              <w:t>ND</w:t>
            </w:r>
          </w:p>
        </w:tc>
        <w:tc>
          <w:tcPr>
            <w:tcW w:w="851" w:type="dxa"/>
            <w:vAlign w:val="center"/>
          </w:tcPr>
          <w:p>
            <w:pPr>
              <w:pStyle w:val="30"/>
              <w:rPr>
                <w:color w:val="auto"/>
              </w:rPr>
            </w:pPr>
            <w:r>
              <w:rPr>
                <w:color w:val="auto"/>
              </w:rPr>
              <w:t>ND</w:t>
            </w:r>
          </w:p>
        </w:tc>
        <w:tc>
          <w:tcPr>
            <w:tcW w:w="1134" w:type="dxa"/>
            <w:vAlign w:val="center"/>
          </w:tcPr>
          <w:p>
            <w:pPr>
              <w:pStyle w:val="30"/>
              <w:rPr>
                <w:color w:val="auto"/>
              </w:rPr>
            </w:pPr>
            <w:r>
              <w:rPr>
                <w:color w:val="auto"/>
              </w:rPr>
              <w:t>ND</w:t>
            </w:r>
          </w:p>
        </w:tc>
        <w:tc>
          <w:tcPr>
            <w:tcW w:w="1134" w:type="dxa"/>
            <w:vAlign w:val="center"/>
          </w:tcPr>
          <w:p>
            <w:pPr>
              <w:pStyle w:val="30"/>
              <w:rPr>
                <w:color w:val="auto"/>
              </w:rPr>
            </w:pPr>
            <w:r>
              <w:rPr>
                <w:color w:val="auto"/>
              </w:rPr>
              <w:t>ND</w:t>
            </w:r>
          </w:p>
        </w:tc>
        <w:tc>
          <w:tcPr>
            <w:tcW w:w="1984" w:type="dxa"/>
            <w:gridSpan w:val="3"/>
            <w:vAlign w:val="center"/>
          </w:tcPr>
          <w:p>
            <w:pPr>
              <w:pStyle w:val="30"/>
              <w:rPr>
                <w:color w:val="auto"/>
              </w:rPr>
            </w:pPr>
            <w:r>
              <w:rPr>
                <w:color w:val="auto"/>
              </w:rPr>
              <w:t>2800-4347</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标准指数</w:t>
            </w:r>
          </w:p>
        </w:tc>
        <w:tc>
          <w:tcPr>
            <w:tcW w:w="993" w:type="dxa"/>
            <w:vAlign w:val="center"/>
          </w:tcPr>
          <w:p>
            <w:pPr>
              <w:pStyle w:val="30"/>
              <w:rPr>
                <w:color w:val="auto"/>
              </w:rPr>
            </w:pPr>
            <w:r>
              <w:rPr>
                <w:color w:val="auto"/>
              </w:rPr>
              <w:t>/</w:t>
            </w:r>
          </w:p>
        </w:tc>
        <w:tc>
          <w:tcPr>
            <w:tcW w:w="992" w:type="dxa"/>
            <w:vAlign w:val="center"/>
          </w:tcPr>
          <w:p>
            <w:pPr>
              <w:pStyle w:val="30"/>
              <w:rPr>
                <w:color w:val="auto"/>
              </w:rPr>
            </w:pPr>
            <w:r>
              <w:rPr>
                <w:color w:val="auto"/>
              </w:rPr>
              <w:t>/</w:t>
            </w:r>
          </w:p>
        </w:tc>
        <w:tc>
          <w:tcPr>
            <w:tcW w:w="85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984" w:type="dxa"/>
            <w:gridSpan w:val="3"/>
            <w:vAlign w:val="center"/>
          </w:tcPr>
          <w:p>
            <w:pPr>
              <w:pStyle w:val="30"/>
              <w:rPr>
                <w:color w:val="auto"/>
              </w:rPr>
            </w:pPr>
            <w:r>
              <w:rPr>
                <w:color w:val="auto"/>
              </w:rPr>
              <w:t>0.28-0.43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最大超标倍数</w:t>
            </w:r>
          </w:p>
        </w:tc>
        <w:tc>
          <w:tcPr>
            <w:tcW w:w="993" w:type="dxa"/>
            <w:vAlign w:val="center"/>
          </w:tcPr>
          <w:p>
            <w:pPr>
              <w:pStyle w:val="30"/>
              <w:rPr>
                <w:color w:val="auto"/>
              </w:rPr>
            </w:pPr>
            <w:r>
              <w:rPr>
                <w:color w:val="auto"/>
              </w:rPr>
              <w:t>/</w:t>
            </w:r>
          </w:p>
        </w:tc>
        <w:tc>
          <w:tcPr>
            <w:tcW w:w="992" w:type="dxa"/>
            <w:vAlign w:val="center"/>
          </w:tcPr>
          <w:p>
            <w:pPr>
              <w:pStyle w:val="30"/>
              <w:rPr>
                <w:color w:val="auto"/>
              </w:rPr>
            </w:pPr>
            <w:r>
              <w:rPr>
                <w:color w:val="auto"/>
              </w:rPr>
              <w:t>/</w:t>
            </w:r>
          </w:p>
        </w:tc>
        <w:tc>
          <w:tcPr>
            <w:tcW w:w="85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984" w:type="dxa"/>
            <w:gridSpan w:val="3"/>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达标情况</w:t>
            </w:r>
          </w:p>
        </w:tc>
        <w:tc>
          <w:tcPr>
            <w:tcW w:w="993" w:type="dxa"/>
            <w:vAlign w:val="center"/>
          </w:tcPr>
          <w:p>
            <w:pPr>
              <w:pStyle w:val="30"/>
              <w:rPr>
                <w:color w:val="auto"/>
              </w:rPr>
            </w:pPr>
            <w:r>
              <w:rPr>
                <w:color w:val="auto"/>
              </w:rPr>
              <w:t>达标</w:t>
            </w:r>
          </w:p>
        </w:tc>
        <w:tc>
          <w:tcPr>
            <w:tcW w:w="992" w:type="dxa"/>
            <w:vAlign w:val="center"/>
          </w:tcPr>
          <w:p>
            <w:pPr>
              <w:pStyle w:val="30"/>
              <w:rPr>
                <w:color w:val="auto"/>
              </w:rPr>
            </w:pPr>
            <w:r>
              <w:rPr>
                <w:color w:val="auto"/>
              </w:rPr>
              <w:t>达标</w:t>
            </w:r>
          </w:p>
        </w:tc>
        <w:tc>
          <w:tcPr>
            <w:tcW w:w="851"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984" w:type="dxa"/>
            <w:gridSpan w:val="3"/>
            <w:vAlign w:val="center"/>
          </w:tcPr>
          <w:p>
            <w:pPr>
              <w:pStyle w:val="30"/>
              <w:rPr>
                <w:color w:val="auto"/>
              </w:rPr>
            </w:pPr>
            <w:r>
              <w:rPr>
                <w:color w:val="auto"/>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GB3838-2002Ⅲ</w:t>
            </w:r>
          </w:p>
          <w:p>
            <w:pPr>
              <w:pStyle w:val="30"/>
              <w:rPr>
                <w:color w:val="auto"/>
              </w:rPr>
            </w:pPr>
            <w:r>
              <w:rPr>
                <w:color w:val="auto"/>
              </w:rPr>
              <w:t>标准</w:t>
            </w:r>
          </w:p>
        </w:tc>
        <w:tc>
          <w:tcPr>
            <w:tcW w:w="993" w:type="dxa"/>
            <w:vAlign w:val="center"/>
          </w:tcPr>
          <w:p>
            <w:pPr>
              <w:pStyle w:val="30"/>
              <w:rPr>
                <w:color w:val="auto"/>
              </w:rPr>
            </w:pPr>
            <w:r>
              <w:rPr>
                <w:color w:val="auto"/>
              </w:rPr>
              <w:t>1.0</w:t>
            </w:r>
          </w:p>
        </w:tc>
        <w:tc>
          <w:tcPr>
            <w:tcW w:w="992" w:type="dxa"/>
            <w:vAlign w:val="center"/>
          </w:tcPr>
          <w:p>
            <w:pPr>
              <w:pStyle w:val="30"/>
              <w:rPr>
                <w:color w:val="auto"/>
              </w:rPr>
            </w:pPr>
            <w:r>
              <w:rPr>
                <w:color w:val="auto"/>
              </w:rPr>
              <w:t>0.05</w:t>
            </w:r>
          </w:p>
        </w:tc>
        <w:tc>
          <w:tcPr>
            <w:tcW w:w="851" w:type="dxa"/>
            <w:vAlign w:val="center"/>
          </w:tcPr>
          <w:p>
            <w:pPr>
              <w:pStyle w:val="30"/>
              <w:rPr>
                <w:color w:val="auto"/>
              </w:rPr>
            </w:pPr>
            <w:r>
              <w:rPr>
                <w:color w:val="auto"/>
              </w:rPr>
              <w:t>0.005</w:t>
            </w:r>
          </w:p>
        </w:tc>
        <w:tc>
          <w:tcPr>
            <w:tcW w:w="1134" w:type="dxa"/>
            <w:vAlign w:val="center"/>
          </w:tcPr>
          <w:p>
            <w:pPr>
              <w:pStyle w:val="30"/>
              <w:rPr>
                <w:color w:val="auto"/>
              </w:rPr>
            </w:pPr>
            <w:r>
              <w:rPr>
                <w:color w:val="auto"/>
              </w:rPr>
              <w:t>0.05</w:t>
            </w:r>
          </w:p>
        </w:tc>
        <w:tc>
          <w:tcPr>
            <w:tcW w:w="1134" w:type="dxa"/>
            <w:vAlign w:val="center"/>
          </w:tcPr>
          <w:p>
            <w:pPr>
              <w:pStyle w:val="30"/>
              <w:rPr>
                <w:color w:val="auto"/>
              </w:rPr>
            </w:pPr>
            <w:r>
              <w:rPr>
                <w:color w:val="auto"/>
              </w:rPr>
              <w:t>0.0001</w:t>
            </w:r>
          </w:p>
        </w:tc>
        <w:tc>
          <w:tcPr>
            <w:tcW w:w="1984" w:type="dxa"/>
            <w:gridSpan w:val="3"/>
            <w:vAlign w:val="center"/>
          </w:tcPr>
          <w:p>
            <w:pPr>
              <w:pStyle w:val="30"/>
              <w:rPr>
                <w:color w:val="auto"/>
              </w:rPr>
            </w:pPr>
            <w:r>
              <w:rPr>
                <w:color w:val="auto"/>
              </w:rPr>
              <w:t>10000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709" w:type="dxa"/>
            <w:vMerge w:val="restart"/>
            <w:vAlign w:val="center"/>
          </w:tcPr>
          <w:p>
            <w:pPr>
              <w:pStyle w:val="30"/>
              <w:rPr>
                <w:color w:val="auto"/>
              </w:rPr>
            </w:pPr>
            <w:r>
              <w:rPr>
                <w:color w:val="auto"/>
              </w:rPr>
              <w:t>南渡断面W02</w:t>
            </w:r>
          </w:p>
        </w:tc>
        <w:tc>
          <w:tcPr>
            <w:tcW w:w="1275" w:type="dxa"/>
            <w:vAlign w:val="center"/>
          </w:tcPr>
          <w:p>
            <w:pPr>
              <w:pStyle w:val="30"/>
              <w:rPr>
                <w:color w:val="auto"/>
              </w:rPr>
            </w:pPr>
            <w:r>
              <w:rPr>
                <w:color w:val="auto"/>
              </w:rPr>
              <w:t>项目</w:t>
            </w:r>
          </w:p>
        </w:tc>
        <w:tc>
          <w:tcPr>
            <w:tcW w:w="993" w:type="dxa"/>
            <w:vAlign w:val="center"/>
          </w:tcPr>
          <w:p>
            <w:pPr>
              <w:pStyle w:val="30"/>
              <w:rPr>
                <w:color w:val="auto"/>
              </w:rPr>
            </w:pPr>
            <w:r>
              <w:rPr>
                <w:color w:val="auto"/>
              </w:rPr>
              <w:t>pH</w:t>
            </w:r>
          </w:p>
        </w:tc>
        <w:tc>
          <w:tcPr>
            <w:tcW w:w="992" w:type="dxa"/>
            <w:vAlign w:val="center"/>
          </w:tcPr>
          <w:p>
            <w:pPr>
              <w:pStyle w:val="30"/>
              <w:rPr>
                <w:color w:val="auto"/>
              </w:rPr>
            </w:pPr>
            <w:r>
              <w:rPr>
                <w:color w:val="auto"/>
              </w:rPr>
              <w:t>COD</w:t>
            </w:r>
          </w:p>
        </w:tc>
        <w:tc>
          <w:tcPr>
            <w:tcW w:w="851" w:type="dxa"/>
            <w:vAlign w:val="center"/>
          </w:tcPr>
          <w:p>
            <w:pPr>
              <w:pStyle w:val="30"/>
              <w:rPr>
                <w:color w:val="auto"/>
              </w:rPr>
            </w:pPr>
            <w:r>
              <w:rPr>
                <w:color w:val="auto"/>
              </w:rPr>
              <w:t>BOD</w:t>
            </w:r>
            <w:r>
              <w:rPr>
                <w:color w:val="auto"/>
                <w:vertAlign w:val="subscript"/>
              </w:rPr>
              <w:t>5</w:t>
            </w:r>
          </w:p>
        </w:tc>
        <w:tc>
          <w:tcPr>
            <w:tcW w:w="1134" w:type="dxa"/>
            <w:vAlign w:val="center"/>
          </w:tcPr>
          <w:p>
            <w:pPr>
              <w:pStyle w:val="30"/>
              <w:rPr>
                <w:color w:val="auto"/>
              </w:rPr>
            </w:pPr>
            <w:r>
              <w:rPr>
                <w:color w:val="auto"/>
              </w:rPr>
              <w:t>氨氮</w:t>
            </w:r>
          </w:p>
        </w:tc>
        <w:tc>
          <w:tcPr>
            <w:tcW w:w="1134" w:type="dxa"/>
            <w:vAlign w:val="center"/>
          </w:tcPr>
          <w:p>
            <w:pPr>
              <w:pStyle w:val="30"/>
              <w:rPr>
                <w:color w:val="auto"/>
              </w:rPr>
            </w:pPr>
            <w:r>
              <w:rPr>
                <w:color w:val="auto"/>
              </w:rPr>
              <w:t>总磷</w:t>
            </w:r>
          </w:p>
        </w:tc>
        <w:tc>
          <w:tcPr>
            <w:tcW w:w="709" w:type="dxa"/>
            <w:vAlign w:val="center"/>
          </w:tcPr>
          <w:p>
            <w:pPr>
              <w:pStyle w:val="30"/>
              <w:rPr>
                <w:color w:val="auto"/>
              </w:rPr>
            </w:pPr>
            <w:r>
              <w:rPr>
                <w:color w:val="auto"/>
              </w:rPr>
              <w:t>石油类</w:t>
            </w:r>
          </w:p>
        </w:tc>
        <w:tc>
          <w:tcPr>
            <w:tcW w:w="1275" w:type="dxa"/>
            <w:gridSpan w:val="2"/>
            <w:vAlign w:val="center"/>
          </w:tcPr>
          <w:p>
            <w:pPr>
              <w:pStyle w:val="30"/>
              <w:rPr>
                <w:color w:val="auto"/>
              </w:rPr>
            </w:pPr>
            <w:r>
              <w:rPr>
                <w:color w:val="auto"/>
              </w:rPr>
              <w:t>硫酸盐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73"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监测值范围</w:t>
            </w:r>
          </w:p>
        </w:tc>
        <w:tc>
          <w:tcPr>
            <w:tcW w:w="993" w:type="dxa"/>
            <w:vAlign w:val="center"/>
          </w:tcPr>
          <w:p>
            <w:pPr>
              <w:pStyle w:val="30"/>
              <w:rPr>
                <w:color w:val="auto"/>
              </w:rPr>
            </w:pPr>
            <w:r>
              <w:rPr>
                <w:color w:val="auto"/>
              </w:rPr>
              <w:t>6-7</w:t>
            </w:r>
          </w:p>
        </w:tc>
        <w:tc>
          <w:tcPr>
            <w:tcW w:w="992" w:type="dxa"/>
            <w:vAlign w:val="center"/>
          </w:tcPr>
          <w:p>
            <w:pPr>
              <w:pStyle w:val="30"/>
              <w:rPr>
                <w:color w:val="auto"/>
              </w:rPr>
            </w:pPr>
            <w:r>
              <w:rPr>
                <w:color w:val="auto"/>
              </w:rPr>
              <w:t>2-10</w:t>
            </w:r>
          </w:p>
        </w:tc>
        <w:tc>
          <w:tcPr>
            <w:tcW w:w="851" w:type="dxa"/>
            <w:vAlign w:val="center"/>
          </w:tcPr>
          <w:p>
            <w:pPr>
              <w:pStyle w:val="30"/>
              <w:rPr>
                <w:color w:val="auto"/>
              </w:rPr>
            </w:pPr>
            <w:r>
              <w:rPr>
                <w:color w:val="auto"/>
              </w:rPr>
              <w:t>0.2-1.8</w:t>
            </w:r>
          </w:p>
        </w:tc>
        <w:tc>
          <w:tcPr>
            <w:tcW w:w="1134" w:type="dxa"/>
            <w:vAlign w:val="center"/>
          </w:tcPr>
          <w:p>
            <w:pPr>
              <w:pStyle w:val="30"/>
              <w:rPr>
                <w:color w:val="auto"/>
              </w:rPr>
            </w:pPr>
            <w:r>
              <w:rPr>
                <w:color w:val="auto"/>
              </w:rPr>
              <w:t>0.20-0.63</w:t>
            </w:r>
          </w:p>
        </w:tc>
        <w:tc>
          <w:tcPr>
            <w:tcW w:w="1134" w:type="dxa"/>
            <w:vAlign w:val="center"/>
          </w:tcPr>
          <w:p>
            <w:pPr>
              <w:pStyle w:val="30"/>
              <w:rPr>
                <w:color w:val="auto"/>
              </w:rPr>
            </w:pPr>
            <w:r>
              <w:rPr>
                <w:color w:val="auto"/>
              </w:rPr>
              <w:t>0.07-0.11</w:t>
            </w:r>
          </w:p>
        </w:tc>
        <w:tc>
          <w:tcPr>
            <w:tcW w:w="709" w:type="dxa"/>
            <w:vAlign w:val="center"/>
          </w:tcPr>
          <w:p>
            <w:pPr>
              <w:pStyle w:val="30"/>
              <w:rPr>
                <w:color w:val="auto"/>
              </w:rPr>
            </w:pPr>
            <w:r>
              <w:rPr>
                <w:color w:val="auto"/>
              </w:rPr>
              <w:t>0.005-0.</w:t>
            </w:r>
          </w:p>
          <w:p>
            <w:pPr>
              <w:pStyle w:val="30"/>
              <w:rPr>
                <w:color w:val="auto"/>
              </w:rPr>
            </w:pPr>
            <w:r>
              <w:rPr>
                <w:color w:val="auto"/>
              </w:rPr>
              <w:t>01</w:t>
            </w:r>
          </w:p>
        </w:tc>
        <w:tc>
          <w:tcPr>
            <w:tcW w:w="1275" w:type="dxa"/>
            <w:gridSpan w:val="2"/>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标准指数</w:t>
            </w:r>
          </w:p>
        </w:tc>
        <w:tc>
          <w:tcPr>
            <w:tcW w:w="993" w:type="dxa"/>
            <w:vAlign w:val="center"/>
          </w:tcPr>
          <w:p>
            <w:pPr>
              <w:pStyle w:val="30"/>
              <w:rPr>
                <w:color w:val="auto"/>
              </w:rPr>
            </w:pPr>
            <w:r>
              <w:rPr>
                <w:color w:val="auto"/>
              </w:rPr>
              <w:t>0-1</w:t>
            </w:r>
          </w:p>
        </w:tc>
        <w:tc>
          <w:tcPr>
            <w:tcW w:w="992" w:type="dxa"/>
            <w:vAlign w:val="center"/>
          </w:tcPr>
          <w:p>
            <w:pPr>
              <w:pStyle w:val="30"/>
              <w:rPr>
                <w:color w:val="auto"/>
              </w:rPr>
            </w:pPr>
            <w:r>
              <w:rPr>
                <w:color w:val="auto"/>
              </w:rPr>
              <w:t>0.1-0.5</w:t>
            </w:r>
          </w:p>
        </w:tc>
        <w:tc>
          <w:tcPr>
            <w:tcW w:w="851" w:type="dxa"/>
            <w:vAlign w:val="center"/>
          </w:tcPr>
          <w:p>
            <w:pPr>
              <w:pStyle w:val="30"/>
              <w:rPr>
                <w:color w:val="auto"/>
              </w:rPr>
            </w:pPr>
            <w:r>
              <w:rPr>
                <w:color w:val="auto"/>
              </w:rPr>
              <w:t>0.05-0.45</w:t>
            </w:r>
          </w:p>
        </w:tc>
        <w:tc>
          <w:tcPr>
            <w:tcW w:w="1134" w:type="dxa"/>
            <w:vAlign w:val="center"/>
          </w:tcPr>
          <w:p>
            <w:pPr>
              <w:pStyle w:val="30"/>
              <w:rPr>
                <w:color w:val="auto"/>
              </w:rPr>
            </w:pPr>
            <w:r>
              <w:rPr>
                <w:color w:val="auto"/>
              </w:rPr>
              <w:t>0.20-0.63</w:t>
            </w:r>
          </w:p>
        </w:tc>
        <w:tc>
          <w:tcPr>
            <w:tcW w:w="1134" w:type="dxa"/>
            <w:vAlign w:val="center"/>
          </w:tcPr>
          <w:p>
            <w:pPr>
              <w:pStyle w:val="30"/>
              <w:rPr>
                <w:color w:val="auto"/>
              </w:rPr>
            </w:pPr>
            <w:r>
              <w:rPr>
                <w:color w:val="auto"/>
              </w:rPr>
              <w:t>0.33-0.56</w:t>
            </w:r>
          </w:p>
        </w:tc>
        <w:tc>
          <w:tcPr>
            <w:tcW w:w="709" w:type="dxa"/>
            <w:vAlign w:val="center"/>
          </w:tcPr>
          <w:p>
            <w:pPr>
              <w:pStyle w:val="30"/>
              <w:rPr>
                <w:color w:val="auto"/>
              </w:rPr>
            </w:pPr>
            <w:r>
              <w:rPr>
                <w:color w:val="auto"/>
              </w:rPr>
              <w:t>0.1-0.4</w:t>
            </w:r>
          </w:p>
        </w:tc>
        <w:tc>
          <w:tcPr>
            <w:tcW w:w="1275" w:type="dxa"/>
            <w:gridSpan w:val="2"/>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最大超标倍数</w:t>
            </w:r>
          </w:p>
        </w:tc>
        <w:tc>
          <w:tcPr>
            <w:tcW w:w="993" w:type="dxa"/>
            <w:vAlign w:val="center"/>
          </w:tcPr>
          <w:p>
            <w:pPr>
              <w:pStyle w:val="30"/>
              <w:rPr>
                <w:color w:val="auto"/>
              </w:rPr>
            </w:pPr>
            <w:r>
              <w:rPr>
                <w:color w:val="auto"/>
              </w:rPr>
              <w:t>/</w:t>
            </w:r>
          </w:p>
        </w:tc>
        <w:tc>
          <w:tcPr>
            <w:tcW w:w="992" w:type="dxa"/>
            <w:vAlign w:val="center"/>
          </w:tcPr>
          <w:p>
            <w:pPr>
              <w:pStyle w:val="30"/>
              <w:rPr>
                <w:color w:val="auto"/>
              </w:rPr>
            </w:pPr>
            <w:r>
              <w:rPr>
                <w:color w:val="auto"/>
              </w:rPr>
              <w:t>/</w:t>
            </w:r>
          </w:p>
        </w:tc>
        <w:tc>
          <w:tcPr>
            <w:tcW w:w="85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134" w:type="dxa"/>
            <w:vAlign w:val="center"/>
          </w:tcPr>
          <w:p>
            <w:pPr>
              <w:pStyle w:val="30"/>
              <w:rPr>
                <w:color w:val="auto"/>
              </w:rPr>
            </w:pPr>
            <w:r>
              <w:rPr>
                <w:color w:val="auto"/>
              </w:rPr>
              <w:t>0.2</w:t>
            </w:r>
          </w:p>
        </w:tc>
        <w:tc>
          <w:tcPr>
            <w:tcW w:w="709" w:type="dxa"/>
            <w:vAlign w:val="center"/>
          </w:tcPr>
          <w:p>
            <w:pPr>
              <w:pStyle w:val="30"/>
              <w:rPr>
                <w:color w:val="auto"/>
              </w:rPr>
            </w:pPr>
            <w:r>
              <w:rPr>
                <w:color w:val="auto"/>
              </w:rPr>
              <w:t>/</w:t>
            </w:r>
          </w:p>
        </w:tc>
        <w:tc>
          <w:tcPr>
            <w:tcW w:w="1275" w:type="dxa"/>
            <w:gridSpan w:val="2"/>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达标情况</w:t>
            </w:r>
          </w:p>
        </w:tc>
        <w:tc>
          <w:tcPr>
            <w:tcW w:w="993" w:type="dxa"/>
            <w:vAlign w:val="center"/>
          </w:tcPr>
          <w:p>
            <w:pPr>
              <w:pStyle w:val="30"/>
              <w:rPr>
                <w:color w:val="auto"/>
              </w:rPr>
            </w:pPr>
            <w:r>
              <w:rPr>
                <w:color w:val="auto"/>
              </w:rPr>
              <w:t>达标</w:t>
            </w:r>
          </w:p>
        </w:tc>
        <w:tc>
          <w:tcPr>
            <w:tcW w:w="992" w:type="dxa"/>
            <w:vAlign w:val="center"/>
          </w:tcPr>
          <w:p>
            <w:pPr>
              <w:pStyle w:val="30"/>
              <w:rPr>
                <w:color w:val="auto"/>
              </w:rPr>
            </w:pPr>
            <w:r>
              <w:rPr>
                <w:color w:val="auto"/>
              </w:rPr>
              <w:t>达标</w:t>
            </w:r>
          </w:p>
        </w:tc>
        <w:tc>
          <w:tcPr>
            <w:tcW w:w="851"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709" w:type="dxa"/>
            <w:vAlign w:val="center"/>
          </w:tcPr>
          <w:p>
            <w:pPr>
              <w:pStyle w:val="30"/>
              <w:rPr>
                <w:color w:val="auto"/>
              </w:rPr>
            </w:pPr>
            <w:r>
              <w:rPr>
                <w:color w:val="auto"/>
              </w:rPr>
              <w:t>达标</w:t>
            </w:r>
          </w:p>
        </w:tc>
        <w:tc>
          <w:tcPr>
            <w:tcW w:w="1275" w:type="dxa"/>
            <w:gridSpan w:val="2"/>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06"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GB3838-2002</w:t>
            </w:r>
          </w:p>
          <w:p>
            <w:pPr>
              <w:pStyle w:val="30"/>
              <w:rPr>
                <w:color w:val="auto"/>
              </w:rPr>
            </w:pPr>
            <w:r>
              <w:rPr>
                <w:color w:val="auto"/>
              </w:rPr>
              <w:t>Ⅲ标准</w:t>
            </w:r>
          </w:p>
        </w:tc>
        <w:tc>
          <w:tcPr>
            <w:tcW w:w="993" w:type="dxa"/>
            <w:vAlign w:val="center"/>
          </w:tcPr>
          <w:p>
            <w:pPr>
              <w:pStyle w:val="30"/>
              <w:rPr>
                <w:color w:val="auto"/>
              </w:rPr>
            </w:pPr>
            <w:r>
              <w:rPr>
                <w:color w:val="auto"/>
              </w:rPr>
              <w:t>6~9</w:t>
            </w:r>
          </w:p>
        </w:tc>
        <w:tc>
          <w:tcPr>
            <w:tcW w:w="992" w:type="dxa"/>
            <w:vAlign w:val="center"/>
          </w:tcPr>
          <w:p>
            <w:pPr>
              <w:pStyle w:val="30"/>
              <w:rPr>
                <w:color w:val="auto"/>
              </w:rPr>
            </w:pPr>
            <w:r>
              <w:rPr>
                <w:color w:val="auto"/>
              </w:rPr>
              <w:t>20</w:t>
            </w:r>
          </w:p>
        </w:tc>
        <w:tc>
          <w:tcPr>
            <w:tcW w:w="851" w:type="dxa"/>
            <w:vAlign w:val="center"/>
          </w:tcPr>
          <w:p>
            <w:pPr>
              <w:pStyle w:val="30"/>
              <w:rPr>
                <w:color w:val="auto"/>
              </w:rPr>
            </w:pPr>
            <w:r>
              <w:rPr>
                <w:color w:val="auto"/>
              </w:rPr>
              <w:t>4</w:t>
            </w:r>
          </w:p>
        </w:tc>
        <w:tc>
          <w:tcPr>
            <w:tcW w:w="1134" w:type="dxa"/>
            <w:vAlign w:val="center"/>
          </w:tcPr>
          <w:p>
            <w:pPr>
              <w:pStyle w:val="30"/>
              <w:rPr>
                <w:color w:val="auto"/>
              </w:rPr>
            </w:pPr>
            <w:r>
              <w:rPr>
                <w:color w:val="auto"/>
              </w:rPr>
              <w:t>1.0</w:t>
            </w:r>
          </w:p>
        </w:tc>
        <w:tc>
          <w:tcPr>
            <w:tcW w:w="1134" w:type="dxa"/>
            <w:vAlign w:val="center"/>
          </w:tcPr>
          <w:p>
            <w:pPr>
              <w:pStyle w:val="30"/>
              <w:rPr>
                <w:color w:val="auto"/>
              </w:rPr>
            </w:pPr>
            <w:r>
              <w:rPr>
                <w:color w:val="auto"/>
              </w:rPr>
              <w:t>0.2</w:t>
            </w:r>
          </w:p>
        </w:tc>
        <w:tc>
          <w:tcPr>
            <w:tcW w:w="709" w:type="dxa"/>
            <w:vAlign w:val="center"/>
          </w:tcPr>
          <w:p>
            <w:pPr>
              <w:pStyle w:val="30"/>
              <w:rPr>
                <w:color w:val="auto"/>
              </w:rPr>
            </w:pPr>
            <w:r>
              <w:rPr>
                <w:color w:val="auto"/>
              </w:rPr>
              <w:t>0.05</w:t>
            </w:r>
          </w:p>
        </w:tc>
        <w:tc>
          <w:tcPr>
            <w:tcW w:w="1275" w:type="dxa"/>
            <w:gridSpan w:val="2"/>
            <w:vAlign w:val="center"/>
          </w:tcPr>
          <w:p>
            <w:pPr>
              <w:pStyle w:val="30"/>
              <w:rPr>
                <w:color w:val="auto"/>
              </w:rPr>
            </w:pPr>
            <w:r>
              <w:rPr>
                <w:color w:val="auto"/>
              </w:rPr>
              <w:t>250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restart"/>
            <w:vAlign w:val="center"/>
          </w:tcPr>
          <w:p>
            <w:pPr>
              <w:pStyle w:val="30"/>
              <w:rPr>
                <w:color w:val="auto"/>
              </w:rPr>
            </w:pPr>
          </w:p>
        </w:tc>
        <w:tc>
          <w:tcPr>
            <w:tcW w:w="1275" w:type="dxa"/>
            <w:vAlign w:val="center"/>
          </w:tcPr>
          <w:p>
            <w:pPr>
              <w:pStyle w:val="30"/>
              <w:rPr>
                <w:color w:val="auto"/>
              </w:rPr>
            </w:pPr>
            <w:r>
              <w:rPr>
                <w:color w:val="auto"/>
              </w:rPr>
              <w:t>项目</w:t>
            </w:r>
          </w:p>
        </w:tc>
        <w:tc>
          <w:tcPr>
            <w:tcW w:w="993" w:type="dxa"/>
            <w:vAlign w:val="center"/>
          </w:tcPr>
          <w:p>
            <w:pPr>
              <w:pStyle w:val="30"/>
              <w:rPr>
                <w:color w:val="auto"/>
              </w:rPr>
            </w:pPr>
            <w:r>
              <w:rPr>
                <w:color w:val="auto"/>
              </w:rPr>
              <w:t>铜</w:t>
            </w:r>
          </w:p>
        </w:tc>
        <w:tc>
          <w:tcPr>
            <w:tcW w:w="992" w:type="dxa"/>
            <w:vAlign w:val="center"/>
          </w:tcPr>
          <w:p>
            <w:pPr>
              <w:pStyle w:val="30"/>
              <w:rPr>
                <w:color w:val="auto"/>
              </w:rPr>
            </w:pPr>
            <w:r>
              <w:rPr>
                <w:color w:val="auto"/>
              </w:rPr>
              <w:t>铅</w:t>
            </w:r>
          </w:p>
        </w:tc>
        <w:tc>
          <w:tcPr>
            <w:tcW w:w="851" w:type="dxa"/>
            <w:vAlign w:val="center"/>
          </w:tcPr>
          <w:p>
            <w:pPr>
              <w:pStyle w:val="30"/>
              <w:rPr>
                <w:color w:val="auto"/>
              </w:rPr>
            </w:pPr>
            <w:r>
              <w:rPr>
                <w:color w:val="auto"/>
              </w:rPr>
              <w:t>镉</w:t>
            </w:r>
          </w:p>
        </w:tc>
        <w:tc>
          <w:tcPr>
            <w:tcW w:w="1134" w:type="dxa"/>
            <w:vAlign w:val="center"/>
          </w:tcPr>
          <w:p>
            <w:pPr>
              <w:pStyle w:val="30"/>
              <w:rPr>
                <w:color w:val="auto"/>
              </w:rPr>
            </w:pPr>
            <w:r>
              <w:rPr>
                <w:color w:val="auto"/>
              </w:rPr>
              <w:t>砷</w:t>
            </w:r>
          </w:p>
        </w:tc>
        <w:tc>
          <w:tcPr>
            <w:tcW w:w="1134" w:type="dxa"/>
            <w:vAlign w:val="center"/>
          </w:tcPr>
          <w:p>
            <w:pPr>
              <w:pStyle w:val="30"/>
              <w:rPr>
                <w:color w:val="auto"/>
              </w:rPr>
            </w:pPr>
            <w:r>
              <w:rPr>
                <w:color w:val="auto"/>
              </w:rPr>
              <w:t>汞</w:t>
            </w:r>
          </w:p>
        </w:tc>
        <w:tc>
          <w:tcPr>
            <w:tcW w:w="1984" w:type="dxa"/>
            <w:gridSpan w:val="3"/>
            <w:vAlign w:val="center"/>
          </w:tcPr>
          <w:p>
            <w:pPr>
              <w:pStyle w:val="30"/>
              <w:rPr>
                <w:color w:val="auto"/>
              </w:rPr>
            </w:pPr>
            <w:r>
              <w:rPr>
                <w:color w:val="auto"/>
              </w:rPr>
              <w:t>粪大肠菌群</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6" w:hRule="atLeast"/>
          <w:jc w:val="center"/>
        </w:trPr>
        <w:tc>
          <w:tcPr>
            <w:tcW w:w="709" w:type="dxa"/>
            <w:vMerge w:val="continue"/>
            <w:vAlign w:val="center"/>
          </w:tcPr>
          <w:p>
            <w:pPr>
              <w:pStyle w:val="30"/>
              <w:rPr>
                <w:color w:val="auto"/>
              </w:rPr>
            </w:pPr>
          </w:p>
        </w:tc>
        <w:tc>
          <w:tcPr>
            <w:tcW w:w="1275" w:type="dxa"/>
            <w:vMerge w:val="restart"/>
            <w:vAlign w:val="center"/>
          </w:tcPr>
          <w:p>
            <w:pPr>
              <w:pStyle w:val="30"/>
              <w:rPr>
                <w:color w:val="auto"/>
              </w:rPr>
            </w:pPr>
            <w:r>
              <w:rPr>
                <w:color w:val="auto"/>
              </w:rPr>
              <w:t>监测值范围</w:t>
            </w:r>
          </w:p>
        </w:tc>
        <w:tc>
          <w:tcPr>
            <w:tcW w:w="993" w:type="dxa"/>
            <w:vAlign w:val="center"/>
          </w:tcPr>
          <w:p>
            <w:pPr>
              <w:pStyle w:val="30"/>
              <w:rPr>
                <w:color w:val="auto"/>
              </w:rPr>
            </w:pPr>
            <w:r>
              <w:rPr>
                <w:color w:val="auto"/>
              </w:rPr>
              <w:t>0.002-0.00</w:t>
            </w:r>
          </w:p>
        </w:tc>
        <w:tc>
          <w:tcPr>
            <w:tcW w:w="992" w:type="dxa"/>
            <w:vAlign w:val="center"/>
          </w:tcPr>
          <w:p>
            <w:pPr>
              <w:pStyle w:val="30"/>
              <w:rPr>
                <w:color w:val="auto"/>
              </w:rPr>
            </w:pPr>
            <w:r>
              <w:rPr>
                <w:color w:val="auto"/>
              </w:rPr>
              <w:t>0.00004-0.</w:t>
            </w:r>
          </w:p>
        </w:tc>
        <w:tc>
          <w:tcPr>
            <w:tcW w:w="851" w:type="dxa"/>
            <w:vAlign w:val="center"/>
          </w:tcPr>
          <w:p>
            <w:pPr>
              <w:pStyle w:val="30"/>
              <w:rPr>
                <w:color w:val="auto"/>
              </w:rPr>
            </w:pPr>
            <w:r>
              <w:rPr>
                <w:color w:val="auto"/>
              </w:rPr>
              <w:t>0.00002-0.</w:t>
            </w:r>
          </w:p>
        </w:tc>
        <w:tc>
          <w:tcPr>
            <w:tcW w:w="1134" w:type="dxa"/>
            <w:vAlign w:val="center"/>
          </w:tcPr>
          <w:p>
            <w:pPr>
              <w:pStyle w:val="30"/>
              <w:rPr>
                <w:color w:val="auto"/>
              </w:rPr>
            </w:pPr>
            <w:r>
              <w:rPr>
                <w:color w:val="auto"/>
              </w:rPr>
              <w:t>0.0018-0.0</w:t>
            </w:r>
          </w:p>
        </w:tc>
        <w:tc>
          <w:tcPr>
            <w:tcW w:w="1134" w:type="dxa"/>
            <w:vAlign w:val="center"/>
          </w:tcPr>
          <w:p>
            <w:pPr>
              <w:pStyle w:val="30"/>
              <w:rPr>
                <w:color w:val="auto"/>
              </w:rPr>
            </w:pPr>
            <w:r>
              <w:rPr>
                <w:color w:val="auto"/>
              </w:rPr>
              <w:t>0.000005-</w:t>
            </w:r>
          </w:p>
        </w:tc>
        <w:tc>
          <w:tcPr>
            <w:tcW w:w="1984" w:type="dxa"/>
            <w:gridSpan w:val="3"/>
            <w:vMerge w:val="restar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6" w:hRule="atLeast"/>
          <w:jc w:val="center"/>
        </w:trPr>
        <w:tc>
          <w:tcPr>
            <w:tcW w:w="709" w:type="dxa"/>
            <w:vMerge w:val="continue"/>
            <w:vAlign w:val="center"/>
          </w:tcPr>
          <w:p>
            <w:pPr>
              <w:pStyle w:val="30"/>
              <w:rPr>
                <w:color w:val="auto"/>
              </w:rPr>
            </w:pPr>
          </w:p>
        </w:tc>
        <w:tc>
          <w:tcPr>
            <w:tcW w:w="1275" w:type="dxa"/>
            <w:vMerge w:val="continue"/>
            <w:vAlign w:val="center"/>
          </w:tcPr>
          <w:p>
            <w:pPr>
              <w:pStyle w:val="30"/>
              <w:rPr>
                <w:color w:val="auto"/>
              </w:rPr>
            </w:pPr>
          </w:p>
        </w:tc>
        <w:tc>
          <w:tcPr>
            <w:tcW w:w="993" w:type="dxa"/>
            <w:vAlign w:val="center"/>
          </w:tcPr>
          <w:p>
            <w:pPr>
              <w:pStyle w:val="30"/>
              <w:rPr>
                <w:color w:val="auto"/>
              </w:rPr>
            </w:pPr>
            <w:r>
              <w:rPr>
                <w:color w:val="auto"/>
              </w:rPr>
              <w:t>8</w:t>
            </w:r>
          </w:p>
        </w:tc>
        <w:tc>
          <w:tcPr>
            <w:tcW w:w="992" w:type="dxa"/>
            <w:vAlign w:val="center"/>
          </w:tcPr>
          <w:p>
            <w:pPr>
              <w:pStyle w:val="30"/>
              <w:rPr>
                <w:color w:val="auto"/>
              </w:rPr>
            </w:pPr>
            <w:r>
              <w:rPr>
                <w:color w:val="auto"/>
              </w:rPr>
              <w:t>001</w:t>
            </w:r>
          </w:p>
        </w:tc>
        <w:tc>
          <w:tcPr>
            <w:tcW w:w="851" w:type="dxa"/>
            <w:vAlign w:val="center"/>
          </w:tcPr>
          <w:p>
            <w:pPr>
              <w:pStyle w:val="30"/>
              <w:rPr>
                <w:color w:val="auto"/>
              </w:rPr>
            </w:pPr>
            <w:r>
              <w:rPr>
                <w:color w:val="auto"/>
              </w:rPr>
              <w:t>00005</w:t>
            </w:r>
          </w:p>
        </w:tc>
        <w:tc>
          <w:tcPr>
            <w:tcW w:w="1134" w:type="dxa"/>
            <w:vAlign w:val="center"/>
          </w:tcPr>
          <w:p>
            <w:pPr>
              <w:pStyle w:val="30"/>
              <w:rPr>
                <w:color w:val="auto"/>
              </w:rPr>
            </w:pPr>
            <w:r>
              <w:rPr>
                <w:color w:val="auto"/>
              </w:rPr>
              <w:t>038</w:t>
            </w:r>
          </w:p>
        </w:tc>
        <w:tc>
          <w:tcPr>
            <w:tcW w:w="1134" w:type="dxa"/>
            <w:vAlign w:val="center"/>
          </w:tcPr>
          <w:p>
            <w:pPr>
              <w:pStyle w:val="30"/>
              <w:rPr>
                <w:color w:val="auto"/>
              </w:rPr>
            </w:pPr>
            <w:r>
              <w:rPr>
                <w:color w:val="auto"/>
              </w:rPr>
              <w:t>0.00002</w:t>
            </w:r>
          </w:p>
        </w:tc>
        <w:tc>
          <w:tcPr>
            <w:tcW w:w="1984" w:type="dxa"/>
            <w:gridSpan w:val="3"/>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35" w:hRule="atLeast"/>
          <w:jc w:val="center"/>
        </w:trPr>
        <w:tc>
          <w:tcPr>
            <w:tcW w:w="709" w:type="dxa"/>
            <w:vMerge w:val="continue"/>
            <w:vAlign w:val="center"/>
          </w:tcPr>
          <w:p>
            <w:pPr>
              <w:pStyle w:val="30"/>
              <w:rPr>
                <w:color w:val="auto"/>
              </w:rPr>
            </w:pPr>
          </w:p>
        </w:tc>
        <w:tc>
          <w:tcPr>
            <w:tcW w:w="1275" w:type="dxa"/>
            <w:vMerge w:val="restart"/>
            <w:vAlign w:val="center"/>
          </w:tcPr>
          <w:p>
            <w:pPr>
              <w:pStyle w:val="30"/>
              <w:rPr>
                <w:color w:val="auto"/>
              </w:rPr>
            </w:pPr>
            <w:r>
              <w:rPr>
                <w:color w:val="auto"/>
              </w:rPr>
              <w:t>标准指数</w:t>
            </w:r>
          </w:p>
        </w:tc>
        <w:tc>
          <w:tcPr>
            <w:tcW w:w="993" w:type="dxa"/>
            <w:vAlign w:val="center"/>
          </w:tcPr>
          <w:p>
            <w:pPr>
              <w:pStyle w:val="30"/>
              <w:rPr>
                <w:color w:val="auto"/>
              </w:rPr>
            </w:pPr>
            <w:r>
              <w:rPr>
                <w:color w:val="auto"/>
              </w:rPr>
              <w:t>0.002-0.00</w:t>
            </w:r>
          </w:p>
        </w:tc>
        <w:tc>
          <w:tcPr>
            <w:tcW w:w="992" w:type="dxa"/>
            <w:vAlign w:val="center"/>
          </w:tcPr>
          <w:p>
            <w:pPr>
              <w:pStyle w:val="30"/>
              <w:rPr>
                <w:color w:val="auto"/>
              </w:rPr>
            </w:pPr>
            <w:r>
              <w:rPr>
                <w:color w:val="auto"/>
              </w:rPr>
              <w:t>0.0008-0.0</w:t>
            </w:r>
          </w:p>
        </w:tc>
        <w:tc>
          <w:tcPr>
            <w:tcW w:w="851" w:type="dxa"/>
            <w:vAlign w:val="center"/>
          </w:tcPr>
          <w:p>
            <w:pPr>
              <w:pStyle w:val="30"/>
              <w:rPr>
                <w:color w:val="auto"/>
              </w:rPr>
            </w:pPr>
            <w:r>
              <w:rPr>
                <w:color w:val="auto"/>
              </w:rPr>
              <w:t>0.004-0.</w:t>
            </w:r>
          </w:p>
        </w:tc>
        <w:tc>
          <w:tcPr>
            <w:tcW w:w="1134" w:type="dxa"/>
            <w:vAlign w:val="center"/>
          </w:tcPr>
          <w:p>
            <w:pPr>
              <w:pStyle w:val="30"/>
              <w:rPr>
                <w:color w:val="auto"/>
              </w:rPr>
            </w:pPr>
            <w:r>
              <w:rPr>
                <w:color w:val="auto"/>
              </w:rPr>
              <w:t>0.036-0.07</w:t>
            </w:r>
          </w:p>
        </w:tc>
        <w:tc>
          <w:tcPr>
            <w:tcW w:w="1134" w:type="dxa"/>
            <w:vMerge w:val="restart"/>
            <w:vAlign w:val="center"/>
          </w:tcPr>
          <w:p>
            <w:pPr>
              <w:pStyle w:val="30"/>
              <w:rPr>
                <w:color w:val="auto"/>
              </w:rPr>
            </w:pPr>
            <w:r>
              <w:rPr>
                <w:color w:val="auto"/>
              </w:rPr>
              <w:t>0.05-0.2</w:t>
            </w:r>
          </w:p>
        </w:tc>
        <w:tc>
          <w:tcPr>
            <w:tcW w:w="1984" w:type="dxa"/>
            <w:gridSpan w:val="3"/>
            <w:vMerge w:val="restar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7" w:hRule="atLeast"/>
          <w:jc w:val="center"/>
        </w:trPr>
        <w:tc>
          <w:tcPr>
            <w:tcW w:w="709" w:type="dxa"/>
            <w:vMerge w:val="continue"/>
            <w:vAlign w:val="center"/>
          </w:tcPr>
          <w:p>
            <w:pPr>
              <w:pStyle w:val="30"/>
              <w:rPr>
                <w:color w:val="auto"/>
              </w:rPr>
            </w:pPr>
          </w:p>
        </w:tc>
        <w:tc>
          <w:tcPr>
            <w:tcW w:w="1275" w:type="dxa"/>
            <w:vMerge w:val="continue"/>
            <w:vAlign w:val="center"/>
          </w:tcPr>
          <w:p>
            <w:pPr>
              <w:pStyle w:val="30"/>
              <w:rPr>
                <w:color w:val="auto"/>
              </w:rPr>
            </w:pPr>
          </w:p>
        </w:tc>
        <w:tc>
          <w:tcPr>
            <w:tcW w:w="993" w:type="dxa"/>
            <w:vAlign w:val="center"/>
          </w:tcPr>
          <w:p>
            <w:pPr>
              <w:pStyle w:val="30"/>
              <w:rPr>
                <w:color w:val="auto"/>
              </w:rPr>
            </w:pPr>
            <w:r>
              <w:rPr>
                <w:color w:val="auto"/>
              </w:rPr>
              <w:t>8</w:t>
            </w:r>
          </w:p>
        </w:tc>
        <w:tc>
          <w:tcPr>
            <w:tcW w:w="992" w:type="dxa"/>
            <w:vAlign w:val="center"/>
          </w:tcPr>
          <w:p>
            <w:pPr>
              <w:pStyle w:val="30"/>
              <w:rPr>
                <w:color w:val="auto"/>
              </w:rPr>
            </w:pPr>
            <w:r>
              <w:rPr>
                <w:color w:val="auto"/>
              </w:rPr>
              <w:t>2</w:t>
            </w:r>
          </w:p>
        </w:tc>
        <w:tc>
          <w:tcPr>
            <w:tcW w:w="851" w:type="dxa"/>
            <w:vAlign w:val="center"/>
          </w:tcPr>
          <w:p>
            <w:pPr>
              <w:pStyle w:val="30"/>
              <w:rPr>
                <w:color w:val="auto"/>
              </w:rPr>
            </w:pPr>
            <w:r>
              <w:rPr>
                <w:color w:val="auto"/>
              </w:rPr>
              <w:t>01</w:t>
            </w:r>
          </w:p>
        </w:tc>
        <w:tc>
          <w:tcPr>
            <w:tcW w:w="1134" w:type="dxa"/>
            <w:vAlign w:val="center"/>
          </w:tcPr>
          <w:p>
            <w:pPr>
              <w:pStyle w:val="30"/>
              <w:rPr>
                <w:color w:val="auto"/>
              </w:rPr>
            </w:pPr>
            <w:r>
              <w:rPr>
                <w:color w:val="auto"/>
              </w:rPr>
              <w:t>6</w:t>
            </w:r>
          </w:p>
        </w:tc>
        <w:tc>
          <w:tcPr>
            <w:tcW w:w="1134" w:type="dxa"/>
            <w:vMerge w:val="continue"/>
            <w:vAlign w:val="center"/>
          </w:tcPr>
          <w:p>
            <w:pPr>
              <w:pStyle w:val="30"/>
              <w:rPr>
                <w:color w:val="auto"/>
              </w:rPr>
            </w:pPr>
          </w:p>
        </w:tc>
        <w:tc>
          <w:tcPr>
            <w:tcW w:w="1984" w:type="dxa"/>
            <w:gridSpan w:val="3"/>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最大超标倍数</w:t>
            </w:r>
          </w:p>
        </w:tc>
        <w:tc>
          <w:tcPr>
            <w:tcW w:w="993" w:type="dxa"/>
            <w:vAlign w:val="center"/>
          </w:tcPr>
          <w:p>
            <w:pPr>
              <w:pStyle w:val="30"/>
              <w:rPr>
                <w:color w:val="auto"/>
              </w:rPr>
            </w:pPr>
            <w:r>
              <w:rPr>
                <w:color w:val="auto"/>
              </w:rPr>
              <w:t>/</w:t>
            </w:r>
          </w:p>
        </w:tc>
        <w:tc>
          <w:tcPr>
            <w:tcW w:w="992" w:type="dxa"/>
            <w:vAlign w:val="center"/>
          </w:tcPr>
          <w:p>
            <w:pPr>
              <w:pStyle w:val="30"/>
              <w:rPr>
                <w:color w:val="auto"/>
              </w:rPr>
            </w:pPr>
            <w:r>
              <w:rPr>
                <w:color w:val="auto"/>
              </w:rPr>
              <w:t>/</w:t>
            </w:r>
          </w:p>
        </w:tc>
        <w:tc>
          <w:tcPr>
            <w:tcW w:w="85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1984" w:type="dxa"/>
            <w:gridSpan w:val="3"/>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达标情况</w:t>
            </w:r>
          </w:p>
        </w:tc>
        <w:tc>
          <w:tcPr>
            <w:tcW w:w="993" w:type="dxa"/>
            <w:vAlign w:val="center"/>
          </w:tcPr>
          <w:p>
            <w:pPr>
              <w:pStyle w:val="30"/>
              <w:rPr>
                <w:color w:val="auto"/>
              </w:rPr>
            </w:pPr>
            <w:r>
              <w:rPr>
                <w:color w:val="auto"/>
              </w:rPr>
              <w:t>达标</w:t>
            </w:r>
          </w:p>
        </w:tc>
        <w:tc>
          <w:tcPr>
            <w:tcW w:w="992" w:type="dxa"/>
            <w:vAlign w:val="center"/>
          </w:tcPr>
          <w:p>
            <w:pPr>
              <w:pStyle w:val="30"/>
              <w:rPr>
                <w:color w:val="auto"/>
              </w:rPr>
            </w:pPr>
            <w:r>
              <w:rPr>
                <w:color w:val="auto"/>
              </w:rPr>
              <w:t>达标</w:t>
            </w:r>
          </w:p>
        </w:tc>
        <w:tc>
          <w:tcPr>
            <w:tcW w:w="851"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134" w:type="dxa"/>
            <w:vAlign w:val="center"/>
          </w:tcPr>
          <w:p>
            <w:pPr>
              <w:pStyle w:val="30"/>
              <w:rPr>
                <w:color w:val="auto"/>
              </w:rPr>
            </w:pPr>
            <w:r>
              <w:rPr>
                <w:color w:val="auto"/>
              </w:rPr>
              <w:t>达标</w:t>
            </w:r>
          </w:p>
        </w:tc>
        <w:tc>
          <w:tcPr>
            <w:tcW w:w="1984" w:type="dxa"/>
            <w:gridSpan w:val="3"/>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69"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GB3838-2002Ⅲ</w:t>
            </w:r>
          </w:p>
        </w:tc>
        <w:tc>
          <w:tcPr>
            <w:tcW w:w="993" w:type="dxa"/>
            <w:vMerge w:val="restart"/>
            <w:vAlign w:val="center"/>
          </w:tcPr>
          <w:p>
            <w:pPr>
              <w:pStyle w:val="30"/>
              <w:rPr>
                <w:color w:val="auto"/>
              </w:rPr>
            </w:pPr>
            <w:r>
              <w:rPr>
                <w:color w:val="auto"/>
              </w:rPr>
              <w:t>1.0</w:t>
            </w:r>
          </w:p>
        </w:tc>
        <w:tc>
          <w:tcPr>
            <w:tcW w:w="992" w:type="dxa"/>
            <w:vMerge w:val="restart"/>
            <w:vAlign w:val="center"/>
          </w:tcPr>
          <w:p>
            <w:pPr>
              <w:pStyle w:val="30"/>
              <w:rPr>
                <w:color w:val="auto"/>
              </w:rPr>
            </w:pPr>
            <w:r>
              <w:rPr>
                <w:color w:val="auto"/>
              </w:rPr>
              <w:t>0.05</w:t>
            </w:r>
          </w:p>
        </w:tc>
        <w:tc>
          <w:tcPr>
            <w:tcW w:w="851" w:type="dxa"/>
            <w:vMerge w:val="restart"/>
            <w:vAlign w:val="center"/>
          </w:tcPr>
          <w:p>
            <w:pPr>
              <w:pStyle w:val="30"/>
              <w:rPr>
                <w:color w:val="auto"/>
              </w:rPr>
            </w:pPr>
            <w:r>
              <w:rPr>
                <w:color w:val="auto"/>
              </w:rPr>
              <w:t>0.005</w:t>
            </w:r>
          </w:p>
        </w:tc>
        <w:tc>
          <w:tcPr>
            <w:tcW w:w="1134" w:type="dxa"/>
            <w:vMerge w:val="restart"/>
            <w:vAlign w:val="center"/>
          </w:tcPr>
          <w:p>
            <w:pPr>
              <w:pStyle w:val="30"/>
              <w:rPr>
                <w:color w:val="auto"/>
              </w:rPr>
            </w:pPr>
            <w:r>
              <w:rPr>
                <w:color w:val="auto"/>
              </w:rPr>
              <w:t>0.05</w:t>
            </w:r>
          </w:p>
        </w:tc>
        <w:tc>
          <w:tcPr>
            <w:tcW w:w="1134" w:type="dxa"/>
            <w:vMerge w:val="restart"/>
            <w:vAlign w:val="center"/>
          </w:tcPr>
          <w:p>
            <w:pPr>
              <w:pStyle w:val="30"/>
              <w:rPr>
                <w:color w:val="auto"/>
              </w:rPr>
            </w:pPr>
            <w:r>
              <w:rPr>
                <w:color w:val="auto"/>
              </w:rPr>
              <w:t>0.0001</w:t>
            </w:r>
          </w:p>
        </w:tc>
        <w:tc>
          <w:tcPr>
            <w:tcW w:w="1984" w:type="dxa"/>
            <w:gridSpan w:val="3"/>
            <w:vMerge w:val="restart"/>
            <w:vAlign w:val="center"/>
          </w:tcPr>
          <w:p>
            <w:pPr>
              <w:pStyle w:val="30"/>
              <w:rPr>
                <w:color w:val="auto"/>
              </w:rPr>
            </w:pPr>
            <w:r>
              <w:rPr>
                <w:color w:val="auto"/>
              </w:rPr>
              <w:t>10000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标准</w:t>
            </w:r>
          </w:p>
        </w:tc>
        <w:tc>
          <w:tcPr>
            <w:tcW w:w="993" w:type="dxa"/>
            <w:vMerge w:val="continue"/>
            <w:vAlign w:val="center"/>
          </w:tcPr>
          <w:p>
            <w:pPr>
              <w:pStyle w:val="30"/>
              <w:rPr>
                <w:color w:val="auto"/>
              </w:rPr>
            </w:pPr>
          </w:p>
        </w:tc>
        <w:tc>
          <w:tcPr>
            <w:tcW w:w="992" w:type="dxa"/>
            <w:vMerge w:val="continue"/>
            <w:vAlign w:val="center"/>
          </w:tcPr>
          <w:p>
            <w:pPr>
              <w:pStyle w:val="30"/>
              <w:rPr>
                <w:color w:val="auto"/>
              </w:rPr>
            </w:pPr>
          </w:p>
        </w:tc>
        <w:tc>
          <w:tcPr>
            <w:tcW w:w="851" w:type="dxa"/>
            <w:vMerge w:val="continue"/>
            <w:vAlign w:val="center"/>
          </w:tcPr>
          <w:p>
            <w:pPr>
              <w:pStyle w:val="30"/>
              <w:rPr>
                <w:color w:val="auto"/>
              </w:rPr>
            </w:pPr>
          </w:p>
        </w:tc>
        <w:tc>
          <w:tcPr>
            <w:tcW w:w="1134" w:type="dxa"/>
            <w:vMerge w:val="continue"/>
            <w:vAlign w:val="center"/>
          </w:tcPr>
          <w:p>
            <w:pPr>
              <w:pStyle w:val="30"/>
              <w:rPr>
                <w:color w:val="auto"/>
              </w:rPr>
            </w:pPr>
          </w:p>
        </w:tc>
        <w:tc>
          <w:tcPr>
            <w:tcW w:w="1134" w:type="dxa"/>
            <w:vMerge w:val="continue"/>
            <w:vAlign w:val="center"/>
          </w:tcPr>
          <w:p>
            <w:pPr>
              <w:pStyle w:val="30"/>
              <w:rPr>
                <w:color w:val="auto"/>
              </w:rPr>
            </w:pPr>
          </w:p>
        </w:tc>
        <w:tc>
          <w:tcPr>
            <w:tcW w:w="1984" w:type="dxa"/>
            <w:gridSpan w:val="3"/>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09" w:type="dxa"/>
            <w:vAlign w:val="center"/>
          </w:tcPr>
          <w:p>
            <w:pPr>
              <w:pStyle w:val="30"/>
              <w:rPr>
                <w:color w:val="auto"/>
              </w:rPr>
            </w:pPr>
          </w:p>
        </w:tc>
        <w:tc>
          <w:tcPr>
            <w:tcW w:w="1275" w:type="dxa"/>
            <w:vAlign w:val="center"/>
          </w:tcPr>
          <w:p>
            <w:pPr>
              <w:pStyle w:val="30"/>
              <w:rPr>
                <w:color w:val="auto"/>
              </w:rPr>
            </w:pPr>
            <w:r>
              <w:rPr>
                <w:color w:val="auto"/>
              </w:rPr>
              <w:t>项目</w:t>
            </w:r>
          </w:p>
        </w:tc>
        <w:tc>
          <w:tcPr>
            <w:tcW w:w="993" w:type="dxa"/>
            <w:vAlign w:val="center"/>
          </w:tcPr>
          <w:p>
            <w:pPr>
              <w:pStyle w:val="30"/>
              <w:rPr>
                <w:color w:val="auto"/>
              </w:rPr>
            </w:pPr>
            <w:r>
              <w:rPr>
                <w:color w:val="auto"/>
              </w:rPr>
              <w:t>pH</w:t>
            </w:r>
          </w:p>
        </w:tc>
        <w:tc>
          <w:tcPr>
            <w:tcW w:w="992" w:type="dxa"/>
            <w:vAlign w:val="center"/>
          </w:tcPr>
          <w:p>
            <w:pPr>
              <w:pStyle w:val="30"/>
              <w:rPr>
                <w:color w:val="auto"/>
              </w:rPr>
            </w:pPr>
            <w:r>
              <w:rPr>
                <w:color w:val="auto"/>
              </w:rPr>
              <w:t>Cu</w:t>
            </w:r>
          </w:p>
        </w:tc>
        <w:tc>
          <w:tcPr>
            <w:tcW w:w="851" w:type="dxa"/>
            <w:vAlign w:val="center"/>
          </w:tcPr>
          <w:p>
            <w:pPr>
              <w:pStyle w:val="30"/>
              <w:rPr>
                <w:color w:val="auto"/>
              </w:rPr>
            </w:pPr>
            <w:r>
              <w:rPr>
                <w:color w:val="auto"/>
              </w:rPr>
              <w:t>Pb</w:t>
            </w:r>
          </w:p>
        </w:tc>
        <w:tc>
          <w:tcPr>
            <w:tcW w:w="1134" w:type="dxa"/>
            <w:vAlign w:val="center"/>
          </w:tcPr>
          <w:p>
            <w:pPr>
              <w:pStyle w:val="30"/>
              <w:rPr>
                <w:color w:val="auto"/>
              </w:rPr>
            </w:pPr>
            <w:r>
              <w:rPr>
                <w:color w:val="auto"/>
              </w:rPr>
              <w:t>Zn</w:t>
            </w:r>
          </w:p>
        </w:tc>
        <w:tc>
          <w:tcPr>
            <w:tcW w:w="1134" w:type="dxa"/>
            <w:vAlign w:val="center"/>
          </w:tcPr>
          <w:p>
            <w:pPr>
              <w:pStyle w:val="30"/>
              <w:rPr>
                <w:color w:val="auto"/>
              </w:rPr>
            </w:pPr>
            <w:r>
              <w:rPr>
                <w:color w:val="auto"/>
              </w:rPr>
              <w:t>Ni</w:t>
            </w:r>
          </w:p>
        </w:tc>
        <w:tc>
          <w:tcPr>
            <w:tcW w:w="709" w:type="dxa"/>
            <w:vAlign w:val="center"/>
          </w:tcPr>
          <w:p>
            <w:pPr>
              <w:pStyle w:val="30"/>
              <w:rPr>
                <w:color w:val="auto"/>
              </w:rPr>
            </w:pPr>
            <w:r>
              <w:rPr>
                <w:color w:val="auto"/>
              </w:rPr>
              <w:t>As</w:t>
            </w:r>
          </w:p>
        </w:tc>
        <w:tc>
          <w:tcPr>
            <w:tcW w:w="560" w:type="dxa"/>
            <w:vAlign w:val="center"/>
          </w:tcPr>
          <w:p>
            <w:pPr>
              <w:pStyle w:val="30"/>
              <w:rPr>
                <w:color w:val="auto"/>
              </w:rPr>
            </w:pPr>
            <w:r>
              <w:rPr>
                <w:color w:val="auto"/>
              </w:rPr>
              <w:t>Cd</w:t>
            </w:r>
          </w:p>
        </w:tc>
        <w:tc>
          <w:tcPr>
            <w:tcW w:w="715" w:type="dxa"/>
            <w:vAlign w:val="center"/>
          </w:tcPr>
          <w:p>
            <w:pPr>
              <w:pStyle w:val="30"/>
              <w:rPr>
                <w:color w:val="auto"/>
              </w:rPr>
            </w:pPr>
            <w:r>
              <w:rPr>
                <w:color w:val="auto"/>
              </w:rPr>
              <w:t>Cr6+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70" w:hRule="atLeast"/>
          <w:jc w:val="center"/>
        </w:trPr>
        <w:tc>
          <w:tcPr>
            <w:tcW w:w="709" w:type="dxa"/>
            <w:vAlign w:val="center"/>
          </w:tcPr>
          <w:p>
            <w:pPr>
              <w:pStyle w:val="30"/>
              <w:rPr>
                <w:color w:val="auto"/>
              </w:rPr>
            </w:pPr>
            <w:r>
              <w:rPr>
                <w:color w:val="auto"/>
              </w:rPr>
              <w:t>李家</w:t>
            </w:r>
          </w:p>
        </w:tc>
        <w:tc>
          <w:tcPr>
            <w:tcW w:w="1275" w:type="dxa"/>
            <w:vMerge w:val="restart"/>
            <w:vAlign w:val="center"/>
          </w:tcPr>
          <w:p>
            <w:pPr>
              <w:pStyle w:val="30"/>
              <w:rPr>
                <w:color w:val="auto"/>
              </w:rPr>
            </w:pPr>
            <w:r>
              <w:rPr>
                <w:color w:val="auto"/>
              </w:rPr>
              <w:t>监测值范围</w:t>
            </w:r>
          </w:p>
        </w:tc>
        <w:tc>
          <w:tcPr>
            <w:tcW w:w="993" w:type="dxa"/>
            <w:vMerge w:val="restart"/>
            <w:vAlign w:val="center"/>
          </w:tcPr>
          <w:p>
            <w:pPr>
              <w:pStyle w:val="30"/>
              <w:rPr>
                <w:color w:val="auto"/>
              </w:rPr>
            </w:pPr>
            <w:r>
              <w:rPr>
                <w:color w:val="auto"/>
              </w:rPr>
              <w:t>7.7~7.8</w:t>
            </w:r>
          </w:p>
        </w:tc>
        <w:tc>
          <w:tcPr>
            <w:tcW w:w="992" w:type="dxa"/>
            <w:vMerge w:val="restart"/>
            <w:vAlign w:val="center"/>
          </w:tcPr>
          <w:p>
            <w:pPr>
              <w:pStyle w:val="30"/>
              <w:rPr>
                <w:color w:val="auto"/>
              </w:rPr>
            </w:pPr>
            <w:r>
              <w:rPr>
                <w:color w:val="auto"/>
              </w:rPr>
              <w:t>&lt;0.05</w:t>
            </w:r>
          </w:p>
        </w:tc>
        <w:tc>
          <w:tcPr>
            <w:tcW w:w="851" w:type="dxa"/>
            <w:vMerge w:val="restart"/>
            <w:vAlign w:val="center"/>
          </w:tcPr>
          <w:p>
            <w:pPr>
              <w:pStyle w:val="30"/>
              <w:rPr>
                <w:color w:val="auto"/>
              </w:rPr>
            </w:pPr>
            <w:r>
              <w:rPr>
                <w:color w:val="auto"/>
              </w:rPr>
              <w:t>&lt;0.01</w:t>
            </w:r>
          </w:p>
        </w:tc>
        <w:tc>
          <w:tcPr>
            <w:tcW w:w="1134" w:type="dxa"/>
            <w:vMerge w:val="restart"/>
            <w:vAlign w:val="center"/>
          </w:tcPr>
          <w:p>
            <w:pPr>
              <w:pStyle w:val="30"/>
              <w:rPr>
                <w:color w:val="auto"/>
              </w:rPr>
            </w:pPr>
            <w:r>
              <w:rPr>
                <w:color w:val="auto"/>
              </w:rPr>
              <w:t>&lt;0.05</w:t>
            </w:r>
          </w:p>
        </w:tc>
        <w:tc>
          <w:tcPr>
            <w:tcW w:w="1134" w:type="dxa"/>
            <w:vMerge w:val="restart"/>
            <w:vAlign w:val="center"/>
          </w:tcPr>
          <w:p>
            <w:pPr>
              <w:pStyle w:val="30"/>
              <w:rPr>
                <w:color w:val="auto"/>
              </w:rPr>
            </w:pPr>
            <w:r>
              <w:rPr>
                <w:color w:val="auto"/>
              </w:rPr>
              <w:t>&lt;0.007</w:t>
            </w:r>
          </w:p>
        </w:tc>
        <w:tc>
          <w:tcPr>
            <w:tcW w:w="709" w:type="dxa"/>
            <w:vMerge w:val="restart"/>
            <w:vAlign w:val="center"/>
          </w:tcPr>
          <w:p>
            <w:pPr>
              <w:pStyle w:val="30"/>
              <w:rPr>
                <w:color w:val="auto"/>
              </w:rPr>
            </w:pPr>
            <w:r>
              <w:rPr>
                <w:color w:val="auto"/>
              </w:rPr>
              <w:t>&lt;0.0003</w:t>
            </w:r>
          </w:p>
        </w:tc>
        <w:tc>
          <w:tcPr>
            <w:tcW w:w="560" w:type="dxa"/>
            <w:vMerge w:val="restart"/>
            <w:vAlign w:val="center"/>
          </w:tcPr>
          <w:p>
            <w:pPr>
              <w:pStyle w:val="30"/>
              <w:rPr>
                <w:color w:val="auto"/>
              </w:rPr>
            </w:pPr>
            <w:r>
              <w:rPr>
                <w:color w:val="auto"/>
              </w:rPr>
              <w:t>&lt;0.001</w:t>
            </w:r>
          </w:p>
        </w:tc>
        <w:tc>
          <w:tcPr>
            <w:tcW w:w="715" w:type="dxa"/>
            <w:vMerge w:val="restart"/>
            <w:vAlign w:val="center"/>
          </w:tcPr>
          <w:p>
            <w:pPr>
              <w:pStyle w:val="30"/>
              <w:rPr>
                <w:color w:val="auto"/>
              </w:rPr>
            </w:pPr>
            <w:r>
              <w:rPr>
                <w:color w:val="auto"/>
              </w:rPr>
              <w:t>&lt;0.004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709" w:type="dxa"/>
            <w:vMerge w:val="restart"/>
            <w:vAlign w:val="center"/>
          </w:tcPr>
          <w:p>
            <w:pPr>
              <w:pStyle w:val="30"/>
              <w:rPr>
                <w:color w:val="auto"/>
              </w:rPr>
            </w:pPr>
            <w:r>
              <w:rPr>
                <w:color w:val="auto"/>
              </w:rPr>
              <w:t>河入</w:t>
            </w:r>
          </w:p>
        </w:tc>
        <w:tc>
          <w:tcPr>
            <w:tcW w:w="1275" w:type="dxa"/>
            <w:vMerge w:val="continue"/>
            <w:vAlign w:val="center"/>
          </w:tcPr>
          <w:p>
            <w:pPr>
              <w:pStyle w:val="30"/>
              <w:rPr>
                <w:color w:val="auto"/>
              </w:rPr>
            </w:pPr>
          </w:p>
        </w:tc>
        <w:tc>
          <w:tcPr>
            <w:tcW w:w="993" w:type="dxa"/>
            <w:vMerge w:val="continue"/>
            <w:vAlign w:val="center"/>
          </w:tcPr>
          <w:p>
            <w:pPr>
              <w:pStyle w:val="30"/>
              <w:rPr>
                <w:color w:val="auto"/>
              </w:rPr>
            </w:pPr>
          </w:p>
        </w:tc>
        <w:tc>
          <w:tcPr>
            <w:tcW w:w="992" w:type="dxa"/>
            <w:vMerge w:val="continue"/>
            <w:vAlign w:val="center"/>
          </w:tcPr>
          <w:p>
            <w:pPr>
              <w:pStyle w:val="30"/>
              <w:rPr>
                <w:color w:val="auto"/>
              </w:rPr>
            </w:pPr>
          </w:p>
        </w:tc>
        <w:tc>
          <w:tcPr>
            <w:tcW w:w="851" w:type="dxa"/>
            <w:vMerge w:val="continue"/>
            <w:vAlign w:val="center"/>
          </w:tcPr>
          <w:p>
            <w:pPr>
              <w:pStyle w:val="30"/>
              <w:rPr>
                <w:color w:val="auto"/>
              </w:rPr>
            </w:pPr>
          </w:p>
        </w:tc>
        <w:tc>
          <w:tcPr>
            <w:tcW w:w="1134" w:type="dxa"/>
            <w:vMerge w:val="continue"/>
            <w:vAlign w:val="center"/>
          </w:tcPr>
          <w:p>
            <w:pPr>
              <w:pStyle w:val="30"/>
              <w:rPr>
                <w:color w:val="auto"/>
              </w:rPr>
            </w:pPr>
          </w:p>
        </w:tc>
        <w:tc>
          <w:tcPr>
            <w:tcW w:w="1134" w:type="dxa"/>
            <w:vMerge w:val="continue"/>
            <w:vAlign w:val="center"/>
          </w:tcPr>
          <w:p>
            <w:pPr>
              <w:pStyle w:val="30"/>
              <w:rPr>
                <w:color w:val="auto"/>
              </w:rPr>
            </w:pPr>
          </w:p>
        </w:tc>
        <w:tc>
          <w:tcPr>
            <w:tcW w:w="709" w:type="dxa"/>
            <w:vMerge w:val="continue"/>
            <w:vAlign w:val="center"/>
          </w:tcPr>
          <w:p>
            <w:pPr>
              <w:pStyle w:val="30"/>
              <w:rPr>
                <w:color w:val="auto"/>
              </w:rPr>
            </w:pPr>
          </w:p>
        </w:tc>
        <w:tc>
          <w:tcPr>
            <w:tcW w:w="560" w:type="dxa"/>
            <w:vMerge w:val="continue"/>
            <w:vAlign w:val="center"/>
          </w:tcPr>
          <w:p>
            <w:pPr>
              <w:pStyle w:val="30"/>
              <w:rPr>
                <w:color w:val="auto"/>
              </w:rPr>
            </w:pPr>
          </w:p>
        </w:tc>
        <w:tc>
          <w:tcPr>
            <w:tcW w:w="715" w:type="dxa"/>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709" w:type="dxa"/>
            <w:vMerge w:val="continue"/>
            <w:vAlign w:val="center"/>
          </w:tcPr>
          <w:p>
            <w:pPr>
              <w:pStyle w:val="30"/>
              <w:rPr>
                <w:color w:val="auto"/>
              </w:rPr>
            </w:pPr>
          </w:p>
        </w:tc>
        <w:tc>
          <w:tcPr>
            <w:tcW w:w="1275" w:type="dxa"/>
            <w:vMerge w:val="restart"/>
            <w:vAlign w:val="center"/>
          </w:tcPr>
          <w:p>
            <w:pPr>
              <w:pStyle w:val="30"/>
              <w:rPr>
                <w:color w:val="auto"/>
              </w:rPr>
            </w:pPr>
            <w:r>
              <w:rPr>
                <w:color w:val="auto"/>
              </w:rPr>
              <w:t>标准指数</w:t>
            </w:r>
          </w:p>
        </w:tc>
        <w:tc>
          <w:tcPr>
            <w:tcW w:w="993" w:type="dxa"/>
            <w:vMerge w:val="restart"/>
            <w:vAlign w:val="center"/>
          </w:tcPr>
          <w:p>
            <w:pPr>
              <w:pStyle w:val="30"/>
              <w:rPr>
                <w:color w:val="auto"/>
              </w:rPr>
            </w:pPr>
            <w:r>
              <w:rPr>
                <w:color w:val="auto"/>
              </w:rPr>
              <w:t>0.4</w:t>
            </w:r>
          </w:p>
        </w:tc>
        <w:tc>
          <w:tcPr>
            <w:tcW w:w="992" w:type="dxa"/>
            <w:vMerge w:val="restart"/>
            <w:vAlign w:val="center"/>
          </w:tcPr>
          <w:p>
            <w:pPr>
              <w:pStyle w:val="30"/>
              <w:rPr>
                <w:color w:val="auto"/>
              </w:rPr>
            </w:pPr>
            <w:r>
              <w:rPr>
                <w:color w:val="auto"/>
              </w:rPr>
              <w:t>/</w:t>
            </w:r>
          </w:p>
        </w:tc>
        <w:tc>
          <w:tcPr>
            <w:tcW w:w="851" w:type="dxa"/>
            <w:vMerge w:val="restart"/>
            <w:vAlign w:val="center"/>
          </w:tcPr>
          <w:p>
            <w:pPr>
              <w:pStyle w:val="30"/>
              <w:rPr>
                <w:color w:val="auto"/>
              </w:rPr>
            </w:pPr>
            <w:r>
              <w:rPr>
                <w:color w:val="auto"/>
              </w:rPr>
              <w:t>/</w:t>
            </w:r>
          </w:p>
        </w:tc>
        <w:tc>
          <w:tcPr>
            <w:tcW w:w="1134" w:type="dxa"/>
            <w:vMerge w:val="restart"/>
            <w:vAlign w:val="center"/>
          </w:tcPr>
          <w:p>
            <w:pPr>
              <w:pStyle w:val="30"/>
              <w:rPr>
                <w:color w:val="auto"/>
              </w:rPr>
            </w:pPr>
            <w:r>
              <w:rPr>
                <w:color w:val="auto"/>
              </w:rPr>
              <w:t>/</w:t>
            </w:r>
          </w:p>
        </w:tc>
        <w:tc>
          <w:tcPr>
            <w:tcW w:w="1134" w:type="dxa"/>
            <w:vMerge w:val="restart"/>
            <w:vAlign w:val="center"/>
          </w:tcPr>
          <w:p>
            <w:pPr>
              <w:pStyle w:val="30"/>
              <w:rPr>
                <w:color w:val="auto"/>
              </w:rPr>
            </w:pPr>
            <w:r>
              <w:rPr>
                <w:color w:val="auto"/>
              </w:rPr>
              <w:t>/</w:t>
            </w:r>
          </w:p>
        </w:tc>
        <w:tc>
          <w:tcPr>
            <w:tcW w:w="709" w:type="dxa"/>
            <w:vMerge w:val="restart"/>
            <w:vAlign w:val="center"/>
          </w:tcPr>
          <w:p>
            <w:pPr>
              <w:pStyle w:val="30"/>
              <w:rPr>
                <w:color w:val="auto"/>
              </w:rPr>
            </w:pPr>
            <w:r>
              <w:rPr>
                <w:color w:val="auto"/>
              </w:rPr>
              <w:t>/</w:t>
            </w:r>
          </w:p>
        </w:tc>
        <w:tc>
          <w:tcPr>
            <w:tcW w:w="560" w:type="dxa"/>
            <w:vMerge w:val="restart"/>
            <w:vAlign w:val="center"/>
          </w:tcPr>
          <w:p>
            <w:pPr>
              <w:pStyle w:val="30"/>
              <w:rPr>
                <w:color w:val="auto"/>
              </w:rPr>
            </w:pPr>
            <w:r>
              <w:rPr>
                <w:color w:val="auto"/>
              </w:rPr>
              <w:t>/</w:t>
            </w:r>
          </w:p>
        </w:tc>
        <w:tc>
          <w:tcPr>
            <w:tcW w:w="715" w:type="dxa"/>
            <w:vMerge w:val="restar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709" w:type="dxa"/>
            <w:vMerge w:val="restart"/>
            <w:vAlign w:val="center"/>
          </w:tcPr>
          <w:p>
            <w:pPr>
              <w:pStyle w:val="30"/>
              <w:rPr>
                <w:color w:val="auto"/>
              </w:rPr>
            </w:pPr>
            <w:r>
              <w:rPr>
                <w:color w:val="auto"/>
              </w:rPr>
              <w:t>河口</w:t>
            </w:r>
          </w:p>
        </w:tc>
        <w:tc>
          <w:tcPr>
            <w:tcW w:w="1275" w:type="dxa"/>
            <w:vMerge w:val="continue"/>
            <w:vAlign w:val="center"/>
          </w:tcPr>
          <w:p>
            <w:pPr>
              <w:pStyle w:val="30"/>
              <w:rPr>
                <w:color w:val="auto"/>
              </w:rPr>
            </w:pPr>
          </w:p>
        </w:tc>
        <w:tc>
          <w:tcPr>
            <w:tcW w:w="993" w:type="dxa"/>
            <w:vMerge w:val="continue"/>
            <w:vAlign w:val="center"/>
          </w:tcPr>
          <w:p>
            <w:pPr>
              <w:pStyle w:val="30"/>
              <w:rPr>
                <w:color w:val="auto"/>
              </w:rPr>
            </w:pPr>
          </w:p>
        </w:tc>
        <w:tc>
          <w:tcPr>
            <w:tcW w:w="992" w:type="dxa"/>
            <w:vMerge w:val="continue"/>
            <w:vAlign w:val="center"/>
          </w:tcPr>
          <w:p>
            <w:pPr>
              <w:pStyle w:val="30"/>
              <w:rPr>
                <w:color w:val="auto"/>
              </w:rPr>
            </w:pPr>
          </w:p>
        </w:tc>
        <w:tc>
          <w:tcPr>
            <w:tcW w:w="851" w:type="dxa"/>
            <w:vMerge w:val="continue"/>
            <w:vAlign w:val="center"/>
          </w:tcPr>
          <w:p>
            <w:pPr>
              <w:pStyle w:val="30"/>
              <w:rPr>
                <w:color w:val="auto"/>
              </w:rPr>
            </w:pPr>
          </w:p>
        </w:tc>
        <w:tc>
          <w:tcPr>
            <w:tcW w:w="1134" w:type="dxa"/>
            <w:vMerge w:val="continue"/>
            <w:vAlign w:val="center"/>
          </w:tcPr>
          <w:p>
            <w:pPr>
              <w:pStyle w:val="30"/>
              <w:rPr>
                <w:color w:val="auto"/>
              </w:rPr>
            </w:pPr>
          </w:p>
        </w:tc>
        <w:tc>
          <w:tcPr>
            <w:tcW w:w="1134" w:type="dxa"/>
            <w:vMerge w:val="continue"/>
            <w:vAlign w:val="center"/>
          </w:tcPr>
          <w:p>
            <w:pPr>
              <w:pStyle w:val="30"/>
              <w:rPr>
                <w:color w:val="auto"/>
              </w:rPr>
            </w:pPr>
          </w:p>
        </w:tc>
        <w:tc>
          <w:tcPr>
            <w:tcW w:w="709" w:type="dxa"/>
            <w:vMerge w:val="continue"/>
            <w:vAlign w:val="center"/>
          </w:tcPr>
          <w:p>
            <w:pPr>
              <w:pStyle w:val="30"/>
              <w:rPr>
                <w:color w:val="auto"/>
              </w:rPr>
            </w:pPr>
          </w:p>
        </w:tc>
        <w:tc>
          <w:tcPr>
            <w:tcW w:w="560" w:type="dxa"/>
            <w:vMerge w:val="continue"/>
            <w:vAlign w:val="center"/>
          </w:tcPr>
          <w:p>
            <w:pPr>
              <w:pStyle w:val="30"/>
              <w:rPr>
                <w:color w:val="auto"/>
              </w:rPr>
            </w:pPr>
          </w:p>
        </w:tc>
        <w:tc>
          <w:tcPr>
            <w:tcW w:w="715" w:type="dxa"/>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709" w:type="dxa"/>
            <w:vMerge w:val="continue"/>
            <w:vAlign w:val="center"/>
          </w:tcPr>
          <w:p>
            <w:pPr>
              <w:pStyle w:val="30"/>
              <w:rPr>
                <w:color w:val="auto"/>
              </w:rPr>
            </w:pPr>
          </w:p>
        </w:tc>
        <w:tc>
          <w:tcPr>
            <w:tcW w:w="1275" w:type="dxa"/>
            <w:vMerge w:val="restart"/>
            <w:vAlign w:val="center"/>
          </w:tcPr>
          <w:p>
            <w:pPr>
              <w:pStyle w:val="30"/>
              <w:rPr>
                <w:color w:val="auto"/>
              </w:rPr>
            </w:pPr>
            <w:r>
              <w:rPr>
                <w:color w:val="auto"/>
              </w:rPr>
              <w:t>最大超标倍数</w:t>
            </w:r>
          </w:p>
        </w:tc>
        <w:tc>
          <w:tcPr>
            <w:tcW w:w="993" w:type="dxa"/>
            <w:vMerge w:val="restart"/>
            <w:vAlign w:val="center"/>
          </w:tcPr>
          <w:p>
            <w:pPr>
              <w:pStyle w:val="30"/>
              <w:rPr>
                <w:color w:val="auto"/>
              </w:rPr>
            </w:pPr>
            <w:r>
              <w:rPr>
                <w:color w:val="auto"/>
              </w:rPr>
              <w:t>/</w:t>
            </w:r>
          </w:p>
        </w:tc>
        <w:tc>
          <w:tcPr>
            <w:tcW w:w="992" w:type="dxa"/>
            <w:vMerge w:val="restart"/>
            <w:vAlign w:val="center"/>
          </w:tcPr>
          <w:p>
            <w:pPr>
              <w:pStyle w:val="30"/>
              <w:rPr>
                <w:color w:val="auto"/>
              </w:rPr>
            </w:pPr>
            <w:r>
              <w:rPr>
                <w:color w:val="auto"/>
              </w:rPr>
              <w:t>/</w:t>
            </w:r>
          </w:p>
        </w:tc>
        <w:tc>
          <w:tcPr>
            <w:tcW w:w="851" w:type="dxa"/>
            <w:vMerge w:val="restart"/>
            <w:vAlign w:val="center"/>
          </w:tcPr>
          <w:p>
            <w:pPr>
              <w:pStyle w:val="30"/>
              <w:rPr>
                <w:color w:val="auto"/>
              </w:rPr>
            </w:pPr>
            <w:r>
              <w:rPr>
                <w:color w:val="auto"/>
              </w:rPr>
              <w:t>/</w:t>
            </w:r>
          </w:p>
        </w:tc>
        <w:tc>
          <w:tcPr>
            <w:tcW w:w="1134" w:type="dxa"/>
            <w:vMerge w:val="restart"/>
            <w:vAlign w:val="center"/>
          </w:tcPr>
          <w:p>
            <w:pPr>
              <w:pStyle w:val="30"/>
              <w:rPr>
                <w:color w:val="auto"/>
              </w:rPr>
            </w:pPr>
            <w:r>
              <w:rPr>
                <w:color w:val="auto"/>
              </w:rPr>
              <w:t>/</w:t>
            </w:r>
          </w:p>
        </w:tc>
        <w:tc>
          <w:tcPr>
            <w:tcW w:w="1134" w:type="dxa"/>
            <w:vMerge w:val="restart"/>
            <w:vAlign w:val="center"/>
          </w:tcPr>
          <w:p>
            <w:pPr>
              <w:pStyle w:val="30"/>
              <w:rPr>
                <w:color w:val="auto"/>
              </w:rPr>
            </w:pPr>
            <w:r>
              <w:rPr>
                <w:color w:val="auto"/>
              </w:rPr>
              <w:t>/</w:t>
            </w:r>
          </w:p>
        </w:tc>
        <w:tc>
          <w:tcPr>
            <w:tcW w:w="709" w:type="dxa"/>
            <w:vMerge w:val="restart"/>
            <w:vAlign w:val="center"/>
          </w:tcPr>
          <w:p>
            <w:pPr>
              <w:pStyle w:val="30"/>
              <w:rPr>
                <w:color w:val="auto"/>
              </w:rPr>
            </w:pPr>
            <w:r>
              <w:rPr>
                <w:color w:val="auto"/>
              </w:rPr>
              <w:t>/</w:t>
            </w:r>
          </w:p>
        </w:tc>
        <w:tc>
          <w:tcPr>
            <w:tcW w:w="560" w:type="dxa"/>
            <w:vMerge w:val="restart"/>
            <w:vAlign w:val="center"/>
          </w:tcPr>
          <w:p>
            <w:pPr>
              <w:pStyle w:val="30"/>
              <w:rPr>
                <w:color w:val="auto"/>
              </w:rPr>
            </w:pPr>
            <w:r>
              <w:rPr>
                <w:color w:val="auto"/>
              </w:rPr>
              <w:t>/</w:t>
            </w:r>
          </w:p>
        </w:tc>
        <w:tc>
          <w:tcPr>
            <w:tcW w:w="715" w:type="dxa"/>
            <w:vMerge w:val="restart"/>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23" w:hRule="atLeast"/>
          <w:jc w:val="center"/>
        </w:trPr>
        <w:tc>
          <w:tcPr>
            <w:tcW w:w="709" w:type="dxa"/>
            <w:vAlign w:val="center"/>
          </w:tcPr>
          <w:p>
            <w:pPr>
              <w:pStyle w:val="30"/>
              <w:rPr>
                <w:color w:val="auto"/>
              </w:rPr>
            </w:pPr>
            <w:r>
              <w:rPr>
                <w:color w:val="auto"/>
              </w:rPr>
              <w:t>下游</w:t>
            </w:r>
          </w:p>
        </w:tc>
        <w:tc>
          <w:tcPr>
            <w:tcW w:w="1275" w:type="dxa"/>
            <w:vMerge w:val="continue"/>
            <w:vAlign w:val="center"/>
          </w:tcPr>
          <w:p>
            <w:pPr>
              <w:pStyle w:val="30"/>
              <w:rPr>
                <w:color w:val="auto"/>
              </w:rPr>
            </w:pPr>
          </w:p>
        </w:tc>
        <w:tc>
          <w:tcPr>
            <w:tcW w:w="993" w:type="dxa"/>
            <w:vMerge w:val="continue"/>
            <w:vAlign w:val="center"/>
          </w:tcPr>
          <w:p>
            <w:pPr>
              <w:pStyle w:val="30"/>
              <w:rPr>
                <w:color w:val="auto"/>
              </w:rPr>
            </w:pPr>
          </w:p>
        </w:tc>
        <w:tc>
          <w:tcPr>
            <w:tcW w:w="992" w:type="dxa"/>
            <w:vMerge w:val="continue"/>
            <w:vAlign w:val="center"/>
          </w:tcPr>
          <w:p>
            <w:pPr>
              <w:pStyle w:val="30"/>
              <w:rPr>
                <w:color w:val="auto"/>
              </w:rPr>
            </w:pPr>
          </w:p>
        </w:tc>
        <w:tc>
          <w:tcPr>
            <w:tcW w:w="851" w:type="dxa"/>
            <w:vMerge w:val="continue"/>
            <w:vAlign w:val="center"/>
          </w:tcPr>
          <w:p>
            <w:pPr>
              <w:pStyle w:val="30"/>
              <w:rPr>
                <w:color w:val="auto"/>
              </w:rPr>
            </w:pPr>
          </w:p>
        </w:tc>
        <w:tc>
          <w:tcPr>
            <w:tcW w:w="1134" w:type="dxa"/>
            <w:vMerge w:val="continue"/>
            <w:vAlign w:val="center"/>
          </w:tcPr>
          <w:p>
            <w:pPr>
              <w:pStyle w:val="30"/>
              <w:rPr>
                <w:color w:val="auto"/>
              </w:rPr>
            </w:pPr>
          </w:p>
        </w:tc>
        <w:tc>
          <w:tcPr>
            <w:tcW w:w="1134" w:type="dxa"/>
            <w:vMerge w:val="continue"/>
            <w:vAlign w:val="center"/>
          </w:tcPr>
          <w:p>
            <w:pPr>
              <w:pStyle w:val="30"/>
              <w:rPr>
                <w:color w:val="auto"/>
              </w:rPr>
            </w:pPr>
          </w:p>
        </w:tc>
        <w:tc>
          <w:tcPr>
            <w:tcW w:w="709" w:type="dxa"/>
            <w:vMerge w:val="continue"/>
            <w:vAlign w:val="center"/>
          </w:tcPr>
          <w:p>
            <w:pPr>
              <w:pStyle w:val="30"/>
              <w:rPr>
                <w:color w:val="auto"/>
              </w:rPr>
            </w:pPr>
          </w:p>
        </w:tc>
        <w:tc>
          <w:tcPr>
            <w:tcW w:w="560" w:type="dxa"/>
            <w:vMerge w:val="continue"/>
            <w:vAlign w:val="center"/>
          </w:tcPr>
          <w:p>
            <w:pPr>
              <w:pStyle w:val="30"/>
              <w:rPr>
                <w:color w:val="auto"/>
              </w:rPr>
            </w:pPr>
          </w:p>
        </w:tc>
        <w:tc>
          <w:tcPr>
            <w:tcW w:w="715" w:type="dxa"/>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54" w:hRule="atLeast"/>
          <w:jc w:val="center"/>
        </w:trPr>
        <w:tc>
          <w:tcPr>
            <w:tcW w:w="709" w:type="dxa"/>
            <w:vAlign w:val="center"/>
          </w:tcPr>
          <w:p>
            <w:pPr>
              <w:pStyle w:val="30"/>
              <w:rPr>
                <w:color w:val="auto"/>
              </w:rPr>
            </w:pPr>
            <w:r>
              <w:rPr>
                <w:color w:val="auto"/>
              </w:rPr>
              <w:t>1000</w:t>
            </w:r>
          </w:p>
        </w:tc>
        <w:tc>
          <w:tcPr>
            <w:tcW w:w="1275" w:type="dxa"/>
            <w:vMerge w:val="restart"/>
            <w:vAlign w:val="center"/>
          </w:tcPr>
          <w:p>
            <w:pPr>
              <w:pStyle w:val="30"/>
              <w:rPr>
                <w:color w:val="auto"/>
              </w:rPr>
            </w:pPr>
            <w:r>
              <w:rPr>
                <w:color w:val="auto"/>
              </w:rPr>
              <w:t>达标情况</w:t>
            </w:r>
          </w:p>
        </w:tc>
        <w:tc>
          <w:tcPr>
            <w:tcW w:w="993" w:type="dxa"/>
            <w:vMerge w:val="restart"/>
            <w:vAlign w:val="center"/>
          </w:tcPr>
          <w:p>
            <w:pPr>
              <w:pStyle w:val="30"/>
              <w:rPr>
                <w:color w:val="auto"/>
              </w:rPr>
            </w:pPr>
            <w:r>
              <w:rPr>
                <w:color w:val="auto"/>
              </w:rPr>
              <w:t>达标</w:t>
            </w:r>
          </w:p>
        </w:tc>
        <w:tc>
          <w:tcPr>
            <w:tcW w:w="992" w:type="dxa"/>
            <w:vMerge w:val="restart"/>
            <w:vAlign w:val="center"/>
          </w:tcPr>
          <w:p>
            <w:pPr>
              <w:pStyle w:val="30"/>
              <w:rPr>
                <w:color w:val="auto"/>
              </w:rPr>
            </w:pPr>
            <w:r>
              <w:rPr>
                <w:color w:val="auto"/>
              </w:rPr>
              <w:t>达标</w:t>
            </w:r>
          </w:p>
        </w:tc>
        <w:tc>
          <w:tcPr>
            <w:tcW w:w="851" w:type="dxa"/>
            <w:vMerge w:val="restart"/>
            <w:vAlign w:val="center"/>
          </w:tcPr>
          <w:p>
            <w:pPr>
              <w:pStyle w:val="30"/>
              <w:rPr>
                <w:color w:val="auto"/>
              </w:rPr>
            </w:pPr>
            <w:r>
              <w:rPr>
                <w:color w:val="auto"/>
              </w:rPr>
              <w:t>达标</w:t>
            </w:r>
          </w:p>
        </w:tc>
        <w:tc>
          <w:tcPr>
            <w:tcW w:w="1134" w:type="dxa"/>
            <w:vMerge w:val="restart"/>
            <w:vAlign w:val="center"/>
          </w:tcPr>
          <w:p>
            <w:pPr>
              <w:pStyle w:val="30"/>
              <w:rPr>
                <w:color w:val="auto"/>
              </w:rPr>
            </w:pPr>
            <w:r>
              <w:rPr>
                <w:color w:val="auto"/>
              </w:rPr>
              <w:t>达标</w:t>
            </w:r>
          </w:p>
        </w:tc>
        <w:tc>
          <w:tcPr>
            <w:tcW w:w="1134" w:type="dxa"/>
            <w:vMerge w:val="restart"/>
            <w:vAlign w:val="center"/>
          </w:tcPr>
          <w:p>
            <w:pPr>
              <w:pStyle w:val="30"/>
              <w:rPr>
                <w:color w:val="auto"/>
              </w:rPr>
            </w:pPr>
            <w:r>
              <w:rPr>
                <w:color w:val="auto"/>
              </w:rPr>
              <w:t>达标</w:t>
            </w:r>
          </w:p>
        </w:tc>
        <w:tc>
          <w:tcPr>
            <w:tcW w:w="709" w:type="dxa"/>
            <w:vMerge w:val="restart"/>
            <w:vAlign w:val="center"/>
          </w:tcPr>
          <w:p>
            <w:pPr>
              <w:pStyle w:val="30"/>
              <w:rPr>
                <w:color w:val="auto"/>
              </w:rPr>
            </w:pPr>
            <w:r>
              <w:rPr>
                <w:color w:val="auto"/>
              </w:rPr>
              <w:t>达标</w:t>
            </w:r>
          </w:p>
        </w:tc>
        <w:tc>
          <w:tcPr>
            <w:tcW w:w="560" w:type="dxa"/>
            <w:vMerge w:val="restart"/>
            <w:vAlign w:val="center"/>
          </w:tcPr>
          <w:p>
            <w:pPr>
              <w:pStyle w:val="30"/>
              <w:rPr>
                <w:color w:val="auto"/>
              </w:rPr>
            </w:pPr>
            <w:r>
              <w:rPr>
                <w:color w:val="auto"/>
              </w:rPr>
              <w:t>达标</w:t>
            </w:r>
          </w:p>
        </w:tc>
        <w:tc>
          <w:tcPr>
            <w:tcW w:w="715" w:type="dxa"/>
            <w:vMerge w:val="restart"/>
            <w:vAlign w:val="center"/>
          </w:tcPr>
          <w:p>
            <w:pPr>
              <w:pStyle w:val="30"/>
              <w:rPr>
                <w:color w:val="auto"/>
              </w:rPr>
            </w:pPr>
            <w:r>
              <w:rPr>
                <w:color w:val="auto"/>
              </w:rPr>
              <w:t>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8" w:hRule="atLeast"/>
          <w:jc w:val="center"/>
        </w:trPr>
        <w:tc>
          <w:tcPr>
            <w:tcW w:w="709" w:type="dxa"/>
            <w:vMerge w:val="restart"/>
            <w:vAlign w:val="center"/>
          </w:tcPr>
          <w:p>
            <w:pPr>
              <w:pStyle w:val="30"/>
              <w:rPr>
                <w:color w:val="auto"/>
              </w:rPr>
            </w:pPr>
            <w:r>
              <w:rPr>
                <w:color w:val="auto"/>
              </w:rPr>
              <w:t>m</w:t>
            </w:r>
          </w:p>
        </w:tc>
        <w:tc>
          <w:tcPr>
            <w:tcW w:w="1275" w:type="dxa"/>
            <w:vMerge w:val="continue"/>
            <w:vAlign w:val="center"/>
          </w:tcPr>
          <w:p>
            <w:pPr>
              <w:pStyle w:val="30"/>
              <w:rPr>
                <w:color w:val="auto"/>
              </w:rPr>
            </w:pPr>
          </w:p>
        </w:tc>
        <w:tc>
          <w:tcPr>
            <w:tcW w:w="993" w:type="dxa"/>
            <w:vMerge w:val="continue"/>
            <w:vAlign w:val="center"/>
          </w:tcPr>
          <w:p>
            <w:pPr>
              <w:pStyle w:val="30"/>
              <w:rPr>
                <w:color w:val="auto"/>
              </w:rPr>
            </w:pPr>
          </w:p>
        </w:tc>
        <w:tc>
          <w:tcPr>
            <w:tcW w:w="992" w:type="dxa"/>
            <w:vMerge w:val="continue"/>
            <w:vAlign w:val="center"/>
          </w:tcPr>
          <w:p>
            <w:pPr>
              <w:pStyle w:val="30"/>
              <w:rPr>
                <w:color w:val="auto"/>
              </w:rPr>
            </w:pPr>
          </w:p>
        </w:tc>
        <w:tc>
          <w:tcPr>
            <w:tcW w:w="851" w:type="dxa"/>
            <w:vMerge w:val="continue"/>
            <w:vAlign w:val="center"/>
          </w:tcPr>
          <w:p>
            <w:pPr>
              <w:pStyle w:val="30"/>
              <w:rPr>
                <w:color w:val="auto"/>
              </w:rPr>
            </w:pPr>
          </w:p>
        </w:tc>
        <w:tc>
          <w:tcPr>
            <w:tcW w:w="1134" w:type="dxa"/>
            <w:vMerge w:val="continue"/>
            <w:vAlign w:val="center"/>
          </w:tcPr>
          <w:p>
            <w:pPr>
              <w:pStyle w:val="30"/>
              <w:rPr>
                <w:color w:val="auto"/>
              </w:rPr>
            </w:pPr>
          </w:p>
        </w:tc>
        <w:tc>
          <w:tcPr>
            <w:tcW w:w="1134" w:type="dxa"/>
            <w:vMerge w:val="continue"/>
            <w:vAlign w:val="center"/>
          </w:tcPr>
          <w:p>
            <w:pPr>
              <w:pStyle w:val="30"/>
              <w:rPr>
                <w:color w:val="auto"/>
              </w:rPr>
            </w:pPr>
          </w:p>
        </w:tc>
        <w:tc>
          <w:tcPr>
            <w:tcW w:w="709" w:type="dxa"/>
            <w:vMerge w:val="continue"/>
            <w:vAlign w:val="center"/>
          </w:tcPr>
          <w:p>
            <w:pPr>
              <w:pStyle w:val="30"/>
              <w:rPr>
                <w:color w:val="auto"/>
              </w:rPr>
            </w:pPr>
          </w:p>
        </w:tc>
        <w:tc>
          <w:tcPr>
            <w:tcW w:w="560" w:type="dxa"/>
            <w:vMerge w:val="continue"/>
            <w:vAlign w:val="center"/>
          </w:tcPr>
          <w:p>
            <w:pPr>
              <w:pStyle w:val="30"/>
              <w:rPr>
                <w:color w:val="auto"/>
              </w:rPr>
            </w:pPr>
          </w:p>
        </w:tc>
        <w:tc>
          <w:tcPr>
            <w:tcW w:w="715" w:type="dxa"/>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0" w:hRule="atLeast"/>
          <w:jc w:val="center"/>
        </w:trPr>
        <w:tc>
          <w:tcPr>
            <w:tcW w:w="709" w:type="dxa"/>
            <w:vMerge w:val="continue"/>
            <w:vAlign w:val="center"/>
          </w:tcPr>
          <w:p>
            <w:pPr>
              <w:pStyle w:val="30"/>
              <w:rPr>
                <w:color w:val="auto"/>
              </w:rPr>
            </w:pPr>
          </w:p>
        </w:tc>
        <w:tc>
          <w:tcPr>
            <w:tcW w:w="1275" w:type="dxa"/>
            <w:vAlign w:val="center"/>
          </w:tcPr>
          <w:p>
            <w:pPr>
              <w:pStyle w:val="30"/>
              <w:rPr>
                <w:color w:val="auto"/>
              </w:rPr>
            </w:pPr>
            <w:r>
              <w:rPr>
                <w:color w:val="auto"/>
              </w:rPr>
              <w:t>GB3838-2002</w:t>
            </w:r>
          </w:p>
        </w:tc>
        <w:tc>
          <w:tcPr>
            <w:tcW w:w="993" w:type="dxa"/>
            <w:vAlign w:val="center"/>
          </w:tcPr>
          <w:p>
            <w:pPr>
              <w:pStyle w:val="30"/>
              <w:rPr>
                <w:color w:val="auto"/>
              </w:rPr>
            </w:pPr>
            <w:r>
              <w:rPr>
                <w:color w:val="auto"/>
              </w:rPr>
              <w:t>6~9</w:t>
            </w:r>
          </w:p>
        </w:tc>
        <w:tc>
          <w:tcPr>
            <w:tcW w:w="992" w:type="dxa"/>
            <w:vAlign w:val="center"/>
          </w:tcPr>
          <w:p>
            <w:pPr>
              <w:pStyle w:val="30"/>
              <w:rPr>
                <w:color w:val="auto"/>
              </w:rPr>
            </w:pPr>
            <w:r>
              <w:rPr>
                <w:color w:val="auto"/>
              </w:rPr>
              <w:t>1.0</w:t>
            </w:r>
          </w:p>
        </w:tc>
        <w:tc>
          <w:tcPr>
            <w:tcW w:w="851" w:type="dxa"/>
            <w:vAlign w:val="center"/>
          </w:tcPr>
          <w:p>
            <w:pPr>
              <w:pStyle w:val="30"/>
              <w:rPr>
                <w:color w:val="auto"/>
              </w:rPr>
            </w:pPr>
            <w:r>
              <w:rPr>
                <w:color w:val="auto"/>
              </w:rPr>
              <w:t>0.05</w:t>
            </w:r>
          </w:p>
        </w:tc>
        <w:tc>
          <w:tcPr>
            <w:tcW w:w="1134" w:type="dxa"/>
            <w:vAlign w:val="center"/>
          </w:tcPr>
          <w:p>
            <w:pPr>
              <w:pStyle w:val="30"/>
              <w:rPr>
                <w:color w:val="auto"/>
              </w:rPr>
            </w:pPr>
            <w:r>
              <w:rPr>
                <w:color w:val="auto"/>
              </w:rPr>
              <w:t>1.0</w:t>
            </w:r>
          </w:p>
        </w:tc>
        <w:tc>
          <w:tcPr>
            <w:tcW w:w="1134" w:type="dxa"/>
            <w:vAlign w:val="center"/>
          </w:tcPr>
          <w:p>
            <w:pPr>
              <w:pStyle w:val="30"/>
              <w:rPr>
                <w:color w:val="auto"/>
              </w:rPr>
            </w:pPr>
            <w:r>
              <w:rPr>
                <w:color w:val="auto"/>
              </w:rPr>
              <w:t>0.02</w:t>
            </w:r>
          </w:p>
        </w:tc>
        <w:tc>
          <w:tcPr>
            <w:tcW w:w="709" w:type="dxa"/>
            <w:vAlign w:val="center"/>
          </w:tcPr>
          <w:p>
            <w:pPr>
              <w:pStyle w:val="30"/>
              <w:rPr>
                <w:color w:val="auto"/>
              </w:rPr>
            </w:pPr>
            <w:r>
              <w:rPr>
                <w:color w:val="auto"/>
              </w:rPr>
              <w:t>0.05</w:t>
            </w:r>
          </w:p>
        </w:tc>
        <w:tc>
          <w:tcPr>
            <w:tcW w:w="560" w:type="dxa"/>
            <w:vAlign w:val="center"/>
          </w:tcPr>
          <w:p>
            <w:pPr>
              <w:pStyle w:val="30"/>
              <w:rPr>
                <w:color w:val="auto"/>
              </w:rPr>
            </w:pPr>
            <w:r>
              <w:rPr>
                <w:color w:val="auto"/>
              </w:rPr>
              <w:t>0.005</w:t>
            </w:r>
          </w:p>
        </w:tc>
        <w:tc>
          <w:tcPr>
            <w:tcW w:w="715" w:type="dxa"/>
            <w:vAlign w:val="center"/>
          </w:tcPr>
          <w:p>
            <w:pPr>
              <w:pStyle w:val="30"/>
              <w:rPr>
                <w:color w:val="auto"/>
              </w:rPr>
            </w:pPr>
            <w:r>
              <w:rPr>
                <w:color w:val="auto"/>
              </w:rPr>
              <w:t>0.05</w:t>
            </w:r>
          </w:p>
        </w:tc>
      </w:tr>
    </w:tbl>
    <w:p>
      <w:pPr>
        <w:pStyle w:val="31"/>
        <w:jc w:val="left"/>
        <w:rPr>
          <w:color w:val="auto"/>
        </w:rPr>
      </w:pPr>
      <w:r>
        <w:rPr>
          <w:color w:val="auto"/>
        </w:rPr>
        <w:t>注：ND 表示检验数值低于方法最低检出限，不计算标准指数。</w:t>
      </w:r>
    </w:p>
    <w:p>
      <w:pPr>
        <w:ind w:firstLine="480"/>
        <w:rPr>
          <w:color w:val="auto"/>
        </w:rPr>
      </w:pPr>
      <w:r>
        <w:rPr>
          <w:color w:val="auto"/>
        </w:rPr>
        <w:t>由上表可知，汨罗江南渡断面、窑州断面和李家河入河口下游1000m断面各监测因子均符合《地表水环境质量标准》（GB3838-2002）中的Ⅲ类标准，汨罗江水环境质量较好。</w:t>
      </w:r>
    </w:p>
    <w:p>
      <w:pPr>
        <w:pStyle w:val="7"/>
        <w:rPr>
          <w:color w:val="auto"/>
        </w:rPr>
      </w:pPr>
      <w:bookmarkStart w:id="132" w:name="_Toc15586"/>
      <w:r>
        <w:rPr>
          <w:color w:val="auto"/>
        </w:rPr>
        <w:t>4.</w:t>
      </w:r>
      <w:r>
        <w:rPr>
          <w:rFonts w:hint="eastAsia"/>
          <w:color w:val="auto"/>
        </w:rPr>
        <w:t>3.3</w:t>
      </w:r>
      <w:r>
        <w:rPr>
          <w:color w:val="auto"/>
        </w:rPr>
        <w:t>地下水</w:t>
      </w:r>
      <w:r>
        <w:rPr>
          <w:rFonts w:hint="eastAsia"/>
          <w:color w:val="auto"/>
        </w:rPr>
        <w:t>环境</w:t>
      </w:r>
      <w:r>
        <w:rPr>
          <w:color w:val="auto"/>
        </w:rPr>
        <w:t>质量现状</w:t>
      </w:r>
      <w:bookmarkEnd w:id="132"/>
    </w:p>
    <w:p>
      <w:pPr>
        <w:ind w:firstLine="480"/>
        <w:rPr>
          <w:color w:val="auto"/>
        </w:rPr>
      </w:pPr>
      <w:r>
        <w:rPr>
          <w:color w:val="auto"/>
        </w:rPr>
        <w:t>为了了解本项目所在区域内的地下水环境质量现状，</w:t>
      </w:r>
      <w:r>
        <w:rPr>
          <w:rFonts w:hint="eastAsia"/>
          <w:color w:val="auto"/>
        </w:rPr>
        <w:t>本次委托湖南九鼎环保科技有限公司对项目周边地下水进行了监测。</w:t>
      </w:r>
    </w:p>
    <w:p>
      <w:pPr>
        <w:ind w:firstLine="480"/>
        <w:rPr>
          <w:color w:val="auto"/>
        </w:rPr>
      </w:pPr>
      <w:r>
        <w:rPr>
          <w:rFonts w:hint="eastAsia"/>
          <w:color w:val="auto"/>
        </w:rPr>
        <w:t>监测点位：</w:t>
      </w:r>
      <w:r>
        <w:rPr>
          <w:color w:val="auto"/>
        </w:rPr>
        <w:t>本项目地下水环境影响评价等级为</w:t>
      </w:r>
      <w:r>
        <w:rPr>
          <w:rFonts w:hint="eastAsia"/>
          <w:color w:val="auto"/>
        </w:rPr>
        <w:t>三</w:t>
      </w:r>
      <w:r>
        <w:rPr>
          <w:color w:val="auto"/>
        </w:rPr>
        <w:t>级，根据《环境影响评价技术导则—地下水环境》（HJ610-2016），（</w:t>
      </w:r>
      <w:r>
        <w:rPr>
          <w:rFonts w:hint="eastAsia"/>
          <w:color w:val="auto"/>
        </w:rPr>
        <w:t>三</w:t>
      </w:r>
      <w:r>
        <w:rPr>
          <w:color w:val="auto"/>
        </w:rPr>
        <w:t>级评价项目潜水含水层的水质监测点应不少于</w:t>
      </w:r>
      <w:r>
        <w:rPr>
          <w:rFonts w:hint="eastAsia"/>
          <w:color w:val="auto"/>
        </w:rPr>
        <w:t>3</w:t>
      </w:r>
      <w:r>
        <w:rPr>
          <w:color w:val="auto"/>
        </w:rPr>
        <w:t>个，可能受建设项目影响且具有饮用水开发利用价值的含水层</w:t>
      </w:r>
      <w:r>
        <w:rPr>
          <w:rFonts w:hint="eastAsia"/>
          <w:color w:val="auto"/>
        </w:rPr>
        <w:t>1</w:t>
      </w:r>
      <w:r>
        <w:rPr>
          <w:color w:val="auto"/>
        </w:rPr>
        <w:t>~</w:t>
      </w:r>
      <w:r>
        <w:rPr>
          <w:rFonts w:hint="eastAsia"/>
          <w:color w:val="auto"/>
        </w:rPr>
        <w:t>2</w:t>
      </w:r>
      <w:r>
        <w:rPr>
          <w:color w:val="auto"/>
        </w:rPr>
        <w:t>个，原则上建设项目场地上游</w:t>
      </w:r>
      <w:r>
        <w:rPr>
          <w:rFonts w:hint="eastAsia"/>
          <w:color w:val="auto"/>
        </w:rPr>
        <w:t>及下游影响区的地下水水质监测点各不得少于1个。</w:t>
      </w:r>
      <w:r>
        <w:rPr>
          <w:color w:val="auto"/>
        </w:rPr>
        <w:t>所以本项目共布设</w:t>
      </w:r>
      <w:r>
        <w:rPr>
          <w:rFonts w:hint="eastAsia"/>
          <w:color w:val="auto"/>
        </w:rPr>
        <w:t>3</w:t>
      </w:r>
      <w:r>
        <w:rPr>
          <w:color w:val="auto"/>
        </w:rPr>
        <w:t>个环境监测点，</w:t>
      </w:r>
      <w:r>
        <w:rPr>
          <w:rFonts w:hint="eastAsia"/>
          <w:color w:val="auto"/>
        </w:rPr>
        <w:t>监测点位布置于地下水水流向上游1个，下游2个（布置在居民地下水水井处）。</w:t>
      </w:r>
    </w:p>
    <w:p>
      <w:pPr>
        <w:ind w:firstLine="480"/>
        <w:rPr>
          <w:color w:val="auto"/>
        </w:rPr>
      </w:pPr>
      <w:r>
        <w:rPr>
          <w:rFonts w:hint="eastAsia"/>
          <w:color w:val="auto"/>
        </w:rPr>
        <w:t>监测因子：</w:t>
      </w:r>
      <w:r>
        <w:rPr>
          <w:color w:val="auto"/>
        </w:rPr>
        <w:t>K</w:t>
      </w:r>
      <w:r>
        <w:rPr>
          <w:color w:val="auto"/>
          <w:vertAlign w:val="superscript"/>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；pH、氨氮、硝酸盐（以N计）、亚硝酸盐（以N计）、挥发酚、氰化物、砷（As）、汞（Hg）、六价铬（Cr</w:t>
      </w:r>
      <w:r>
        <w:rPr>
          <w:color w:val="auto"/>
          <w:vertAlign w:val="superscript"/>
        </w:rPr>
        <w:t>6+</w:t>
      </w:r>
      <w:r>
        <w:rPr>
          <w:color w:val="auto"/>
        </w:rPr>
        <w:t>）、总硬度、铅（Pb）、氟（F）、镉（Cd）、铁（Fe）、锰（Mn）、溶解性总固体、高锰酸盐指数、硫酸盐、氯化物、总大肠菌群、</w:t>
      </w:r>
      <w:bookmarkStart w:id="133" w:name="_Hlk46219557"/>
      <w:r>
        <w:rPr>
          <w:color w:val="auto"/>
        </w:rPr>
        <w:t>菌落总数、</w:t>
      </w:r>
      <w:bookmarkEnd w:id="133"/>
      <w:r>
        <w:rPr>
          <w:color w:val="auto"/>
        </w:rPr>
        <w:t>地下水位（测</w:t>
      </w:r>
      <w:r>
        <w:rPr>
          <w:rFonts w:hint="eastAsia"/>
          <w:color w:val="auto"/>
        </w:rPr>
        <w:t>6</w:t>
      </w:r>
      <w:r>
        <w:rPr>
          <w:color w:val="auto"/>
        </w:rPr>
        <w:t>个井的地下水位）</w:t>
      </w:r>
    </w:p>
    <w:p>
      <w:pPr>
        <w:ind w:firstLine="480"/>
        <w:rPr>
          <w:color w:val="auto"/>
        </w:rPr>
      </w:pPr>
      <w:r>
        <w:rPr>
          <w:rFonts w:hint="eastAsia"/>
          <w:color w:val="auto"/>
        </w:rPr>
        <w:t>监测频次：</w:t>
      </w:r>
      <w:r>
        <w:rPr>
          <w:color w:val="auto"/>
        </w:rPr>
        <w:t>监测</w:t>
      </w:r>
      <w:r>
        <w:rPr>
          <w:rFonts w:hint="eastAsia"/>
          <w:color w:val="auto"/>
        </w:rPr>
        <w:t>1</w:t>
      </w:r>
      <w:r>
        <w:rPr>
          <w:color w:val="auto"/>
        </w:rPr>
        <w:t>天，每日采样监测一次</w:t>
      </w:r>
      <w:r>
        <w:rPr>
          <w:rFonts w:hint="eastAsia"/>
          <w:color w:val="auto"/>
        </w:rPr>
        <w:t>。</w:t>
      </w:r>
    </w:p>
    <w:p>
      <w:pPr>
        <w:ind w:firstLine="480"/>
        <w:rPr>
          <w:color w:val="auto"/>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1"/>
        <w:rPr>
          <w:color w:val="auto"/>
        </w:rPr>
      </w:pPr>
      <w:r>
        <w:rPr>
          <w:color w:val="auto"/>
        </w:rPr>
        <w:t>表4.3-10  地下水水质监测结果</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81"/>
        <w:gridCol w:w="1976"/>
        <w:gridCol w:w="1318"/>
        <w:gridCol w:w="1338"/>
        <w:gridCol w:w="1633"/>
        <w:gridCol w:w="1338"/>
        <w:gridCol w:w="1318"/>
        <w:gridCol w:w="1338"/>
        <w:gridCol w:w="1318"/>
        <w:gridCol w:w="13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0" w:hRule="atLeast"/>
          <w:jc w:val="center"/>
        </w:trPr>
        <w:tc>
          <w:tcPr>
            <w:tcW w:w="452" w:type="pct"/>
            <w:vAlign w:val="center"/>
          </w:tcPr>
          <w:p>
            <w:pPr>
              <w:pStyle w:val="30"/>
              <w:rPr>
                <w:b/>
                <w:bCs/>
                <w:color w:val="auto"/>
              </w:rPr>
            </w:pPr>
            <w:r>
              <w:rPr>
                <w:rFonts w:hint="eastAsia"/>
                <w:b/>
                <w:bCs/>
                <w:color w:val="auto"/>
              </w:rPr>
              <w:t>监测</w:t>
            </w:r>
          </w:p>
        </w:tc>
        <w:tc>
          <w:tcPr>
            <w:tcW w:w="697" w:type="pct"/>
            <w:vMerge w:val="restart"/>
            <w:vAlign w:val="center"/>
          </w:tcPr>
          <w:p>
            <w:pPr>
              <w:pStyle w:val="30"/>
              <w:rPr>
                <w:b/>
                <w:bCs/>
                <w:color w:val="auto"/>
              </w:rPr>
            </w:pPr>
            <w:r>
              <w:rPr>
                <w:rFonts w:hint="eastAsia"/>
                <w:b/>
                <w:bCs/>
                <w:color w:val="auto"/>
              </w:rPr>
              <w:t>样品编号</w:t>
            </w:r>
          </w:p>
        </w:tc>
        <w:tc>
          <w:tcPr>
            <w:tcW w:w="465" w:type="pct"/>
            <w:vMerge w:val="restart"/>
            <w:vAlign w:val="center"/>
          </w:tcPr>
          <w:p>
            <w:pPr>
              <w:pStyle w:val="30"/>
              <w:rPr>
                <w:b/>
                <w:bCs/>
                <w:color w:val="auto"/>
              </w:rPr>
            </w:pPr>
            <w:r>
              <w:rPr>
                <w:rFonts w:hint="eastAsia"/>
                <w:b/>
                <w:bCs/>
                <w:color w:val="auto"/>
              </w:rPr>
              <w:t>检测项目</w:t>
            </w:r>
          </w:p>
        </w:tc>
        <w:tc>
          <w:tcPr>
            <w:tcW w:w="472" w:type="pct"/>
            <w:vAlign w:val="center"/>
          </w:tcPr>
          <w:p>
            <w:pPr>
              <w:pStyle w:val="30"/>
              <w:rPr>
                <w:b/>
                <w:bCs/>
                <w:color w:val="auto"/>
              </w:rPr>
            </w:pPr>
            <w:r>
              <w:rPr>
                <w:rFonts w:hint="eastAsia"/>
                <w:b/>
                <w:bCs/>
                <w:color w:val="auto"/>
              </w:rPr>
              <w:t>监测结果</w:t>
            </w:r>
          </w:p>
        </w:tc>
        <w:tc>
          <w:tcPr>
            <w:tcW w:w="576" w:type="pct"/>
            <w:vAlign w:val="center"/>
          </w:tcPr>
          <w:p>
            <w:pPr>
              <w:pStyle w:val="30"/>
              <w:rPr>
                <w:b/>
                <w:bCs/>
                <w:color w:val="auto"/>
              </w:rPr>
            </w:pPr>
            <w:r>
              <w:rPr>
                <w:rFonts w:hint="eastAsia"/>
                <w:b/>
                <w:bCs/>
                <w:color w:val="auto"/>
              </w:rPr>
              <w:t>标准指数</w:t>
            </w:r>
          </w:p>
        </w:tc>
        <w:tc>
          <w:tcPr>
            <w:tcW w:w="472" w:type="pct"/>
            <w:vAlign w:val="center"/>
          </w:tcPr>
          <w:p>
            <w:pPr>
              <w:pStyle w:val="30"/>
              <w:rPr>
                <w:b/>
                <w:bCs/>
                <w:color w:val="auto"/>
              </w:rPr>
            </w:pPr>
            <w:r>
              <w:rPr>
                <w:rFonts w:hint="eastAsia"/>
                <w:b/>
                <w:bCs/>
                <w:color w:val="auto"/>
              </w:rPr>
              <w:t>监测结果</w:t>
            </w:r>
          </w:p>
        </w:tc>
        <w:tc>
          <w:tcPr>
            <w:tcW w:w="465" w:type="pct"/>
            <w:vAlign w:val="center"/>
          </w:tcPr>
          <w:p>
            <w:pPr>
              <w:pStyle w:val="30"/>
              <w:rPr>
                <w:b/>
                <w:bCs/>
                <w:color w:val="auto"/>
              </w:rPr>
            </w:pPr>
            <w:r>
              <w:rPr>
                <w:rFonts w:hint="eastAsia"/>
                <w:b/>
                <w:bCs/>
                <w:color w:val="auto"/>
              </w:rPr>
              <w:t>标准指数</w:t>
            </w:r>
          </w:p>
        </w:tc>
        <w:tc>
          <w:tcPr>
            <w:tcW w:w="472" w:type="pct"/>
            <w:vAlign w:val="center"/>
          </w:tcPr>
          <w:p>
            <w:pPr>
              <w:pStyle w:val="30"/>
              <w:rPr>
                <w:b/>
                <w:bCs/>
                <w:color w:val="auto"/>
              </w:rPr>
            </w:pPr>
            <w:r>
              <w:rPr>
                <w:rFonts w:hint="eastAsia"/>
                <w:b/>
                <w:bCs/>
                <w:color w:val="auto"/>
              </w:rPr>
              <w:t>监测结果</w:t>
            </w:r>
          </w:p>
        </w:tc>
        <w:tc>
          <w:tcPr>
            <w:tcW w:w="465" w:type="pct"/>
            <w:vAlign w:val="center"/>
          </w:tcPr>
          <w:p>
            <w:pPr>
              <w:pStyle w:val="30"/>
              <w:rPr>
                <w:b/>
                <w:bCs/>
                <w:color w:val="auto"/>
              </w:rPr>
            </w:pPr>
            <w:r>
              <w:rPr>
                <w:rFonts w:hint="eastAsia"/>
                <w:b/>
                <w:bCs/>
                <w:color w:val="auto"/>
              </w:rPr>
              <w:t>标准指数</w:t>
            </w:r>
          </w:p>
        </w:tc>
        <w:tc>
          <w:tcPr>
            <w:tcW w:w="467" w:type="pct"/>
            <w:vMerge w:val="restart"/>
            <w:vAlign w:val="center"/>
          </w:tcPr>
          <w:p>
            <w:pPr>
              <w:pStyle w:val="30"/>
              <w:rPr>
                <w:b/>
                <w:bCs/>
                <w:color w:val="auto"/>
              </w:rPr>
            </w:pPr>
            <w:r>
              <w:rPr>
                <w:rFonts w:hint="eastAsia"/>
                <w:b/>
                <w:bCs/>
                <w:color w:val="auto"/>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jc w:val="center"/>
        </w:trPr>
        <w:tc>
          <w:tcPr>
            <w:tcW w:w="452" w:type="pct"/>
            <w:vAlign w:val="center"/>
          </w:tcPr>
          <w:p>
            <w:pPr>
              <w:pStyle w:val="30"/>
              <w:rPr>
                <w:b/>
                <w:bCs/>
                <w:color w:val="auto"/>
              </w:rPr>
            </w:pPr>
            <w:r>
              <w:rPr>
                <w:rFonts w:hint="eastAsia"/>
                <w:b/>
                <w:bCs/>
                <w:color w:val="auto"/>
              </w:rPr>
              <w:t>时间</w:t>
            </w:r>
          </w:p>
        </w:tc>
        <w:tc>
          <w:tcPr>
            <w:tcW w:w="697" w:type="pct"/>
            <w:vMerge w:val="continue"/>
            <w:vAlign w:val="center"/>
          </w:tcPr>
          <w:p>
            <w:pPr>
              <w:pStyle w:val="30"/>
              <w:rPr>
                <w:b/>
                <w:bCs/>
                <w:color w:val="auto"/>
              </w:rPr>
            </w:pPr>
          </w:p>
        </w:tc>
        <w:tc>
          <w:tcPr>
            <w:tcW w:w="465" w:type="pct"/>
            <w:vMerge w:val="continue"/>
            <w:vAlign w:val="center"/>
          </w:tcPr>
          <w:p>
            <w:pPr>
              <w:pStyle w:val="30"/>
              <w:rPr>
                <w:b/>
                <w:bCs/>
                <w:color w:val="auto"/>
              </w:rPr>
            </w:pPr>
          </w:p>
        </w:tc>
        <w:tc>
          <w:tcPr>
            <w:tcW w:w="1047" w:type="pct"/>
            <w:gridSpan w:val="2"/>
            <w:vAlign w:val="center"/>
          </w:tcPr>
          <w:p>
            <w:pPr>
              <w:pStyle w:val="30"/>
              <w:rPr>
                <w:b/>
                <w:bCs/>
                <w:color w:val="auto"/>
              </w:rPr>
            </w:pPr>
            <w:r>
              <w:rPr>
                <w:b/>
                <w:bCs/>
                <w:color w:val="auto"/>
              </w:rPr>
              <w:t>D1</w:t>
            </w:r>
          </w:p>
        </w:tc>
        <w:tc>
          <w:tcPr>
            <w:tcW w:w="936" w:type="pct"/>
            <w:gridSpan w:val="2"/>
            <w:vAlign w:val="center"/>
          </w:tcPr>
          <w:p>
            <w:pPr>
              <w:pStyle w:val="30"/>
              <w:rPr>
                <w:b/>
                <w:bCs/>
                <w:color w:val="auto"/>
              </w:rPr>
            </w:pPr>
            <w:r>
              <w:rPr>
                <w:b/>
                <w:bCs/>
                <w:color w:val="auto"/>
              </w:rPr>
              <w:t>D2</w:t>
            </w:r>
          </w:p>
        </w:tc>
        <w:tc>
          <w:tcPr>
            <w:tcW w:w="936" w:type="pct"/>
            <w:gridSpan w:val="2"/>
            <w:vAlign w:val="center"/>
          </w:tcPr>
          <w:p>
            <w:pPr>
              <w:pStyle w:val="30"/>
              <w:rPr>
                <w:b/>
                <w:bCs/>
                <w:color w:val="auto"/>
              </w:rPr>
            </w:pPr>
            <w:r>
              <w:rPr>
                <w:b/>
                <w:bCs/>
                <w:color w:val="auto"/>
              </w:rPr>
              <w:t>D3</w:t>
            </w:r>
          </w:p>
        </w:tc>
        <w:tc>
          <w:tcPr>
            <w:tcW w:w="467" w:type="pct"/>
            <w:vMerge w:val="continue"/>
            <w:vAlign w:val="center"/>
          </w:tcPr>
          <w:p>
            <w:pPr>
              <w:pStyle w:val="30"/>
              <w:rPr>
                <w:b/>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2" w:type="pct"/>
            <w:vMerge w:val="restart"/>
            <w:vAlign w:val="center"/>
          </w:tcPr>
          <w:p>
            <w:pPr>
              <w:pStyle w:val="30"/>
              <w:rPr>
                <w:color w:val="auto"/>
              </w:rPr>
            </w:pPr>
            <w:r>
              <w:rPr>
                <w:color w:val="auto"/>
              </w:rPr>
              <w:t>2月15日</w:t>
            </w:r>
          </w:p>
        </w:tc>
        <w:tc>
          <w:tcPr>
            <w:tcW w:w="697" w:type="pct"/>
            <w:vAlign w:val="center"/>
          </w:tcPr>
          <w:p>
            <w:pPr>
              <w:pStyle w:val="30"/>
              <w:rPr>
                <w:color w:val="auto"/>
              </w:rPr>
            </w:pPr>
            <w:r>
              <w:rPr>
                <w:color w:val="auto"/>
              </w:rPr>
              <w:t>/</w:t>
            </w:r>
          </w:p>
        </w:tc>
        <w:tc>
          <w:tcPr>
            <w:tcW w:w="465" w:type="pct"/>
            <w:vAlign w:val="center"/>
          </w:tcPr>
          <w:p>
            <w:pPr>
              <w:pStyle w:val="30"/>
              <w:rPr>
                <w:color w:val="auto"/>
              </w:rPr>
            </w:pPr>
            <w:r>
              <w:rPr>
                <w:rFonts w:hint="eastAsia"/>
                <w:color w:val="auto"/>
              </w:rPr>
              <w:t>水位（</w:t>
            </w:r>
            <w:r>
              <w:rPr>
                <w:color w:val="auto"/>
              </w:rPr>
              <w:t>m</w:t>
            </w:r>
            <w:r>
              <w:rPr>
                <w:rFonts w:hint="eastAsia"/>
                <w:color w:val="auto"/>
              </w:rPr>
              <w:t>）</w:t>
            </w:r>
          </w:p>
        </w:tc>
        <w:tc>
          <w:tcPr>
            <w:tcW w:w="1047" w:type="pct"/>
            <w:gridSpan w:val="2"/>
            <w:vAlign w:val="center"/>
          </w:tcPr>
          <w:p>
            <w:pPr>
              <w:pStyle w:val="30"/>
              <w:rPr>
                <w:color w:val="auto"/>
              </w:rPr>
            </w:pPr>
            <w:r>
              <w:rPr>
                <w:color w:val="auto"/>
              </w:rPr>
              <w:t>6.83</w:t>
            </w:r>
          </w:p>
        </w:tc>
        <w:tc>
          <w:tcPr>
            <w:tcW w:w="936" w:type="pct"/>
            <w:gridSpan w:val="2"/>
            <w:vAlign w:val="center"/>
          </w:tcPr>
          <w:p>
            <w:pPr>
              <w:pStyle w:val="30"/>
              <w:rPr>
                <w:color w:val="auto"/>
              </w:rPr>
            </w:pPr>
            <w:r>
              <w:rPr>
                <w:color w:val="auto"/>
              </w:rPr>
              <w:t>6.85</w:t>
            </w:r>
          </w:p>
        </w:tc>
        <w:tc>
          <w:tcPr>
            <w:tcW w:w="936" w:type="pct"/>
            <w:gridSpan w:val="2"/>
            <w:vAlign w:val="center"/>
          </w:tcPr>
          <w:p>
            <w:pPr>
              <w:pStyle w:val="30"/>
              <w:rPr>
                <w:color w:val="auto"/>
              </w:rPr>
            </w:pPr>
            <w:r>
              <w:rPr>
                <w:color w:val="auto"/>
              </w:rPr>
              <w:t>6.88</w:t>
            </w: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DX02150101A</w:t>
            </w:r>
          </w:p>
        </w:tc>
        <w:tc>
          <w:tcPr>
            <w:tcW w:w="465" w:type="pct"/>
            <w:vMerge w:val="restart"/>
            <w:vAlign w:val="center"/>
          </w:tcPr>
          <w:p>
            <w:pPr>
              <w:pStyle w:val="30"/>
              <w:rPr>
                <w:color w:val="auto"/>
              </w:rPr>
            </w:pPr>
            <w:r>
              <w:rPr>
                <w:color w:val="auto"/>
              </w:rPr>
              <w:t>K+</w:t>
            </w:r>
          </w:p>
        </w:tc>
        <w:tc>
          <w:tcPr>
            <w:tcW w:w="472" w:type="pct"/>
            <w:vMerge w:val="restart"/>
            <w:vAlign w:val="center"/>
          </w:tcPr>
          <w:p>
            <w:pPr>
              <w:pStyle w:val="30"/>
              <w:rPr>
                <w:color w:val="auto"/>
              </w:rPr>
            </w:pPr>
            <w:r>
              <w:rPr>
                <w:color w:val="auto"/>
              </w:rPr>
              <w:t>3.11</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2.36</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3.53</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DX02150102A</w:t>
            </w:r>
          </w:p>
        </w:tc>
        <w:tc>
          <w:tcPr>
            <w:tcW w:w="465" w:type="pct"/>
            <w:vMerge w:val="restart"/>
            <w:vAlign w:val="center"/>
          </w:tcPr>
          <w:p>
            <w:pPr>
              <w:pStyle w:val="30"/>
              <w:rPr>
                <w:color w:val="auto"/>
              </w:rPr>
            </w:pPr>
            <w:r>
              <w:rPr>
                <w:color w:val="auto"/>
              </w:rPr>
              <w:t>Na+</w:t>
            </w:r>
          </w:p>
        </w:tc>
        <w:tc>
          <w:tcPr>
            <w:tcW w:w="472" w:type="pct"/>
            <w:vMerge w:val="restart"/>
            <w:vAlign w:val="center"/>
          </w:tcPr>
          <w:p>
            <w:pPr>
              <w:pStyle w:val="30"/>
              <w:rPr>
                <w:color w:val="auto"/>
              </w:rPr>
            </w:pPr>
            <w:r>
              <w:rPr>
                <w:color w:val="auto"/>
              </w:rPr>
              <w:t>4.64</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4.21</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4.18</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DX02150103A</w:t>
            </w:r>
          </w:p>
        </w:tc>
        <w:tc>
          <w:tcPr>
            <w:tcW w:w="465" w:type="pct"/>
            <w:vMerge w:val="restart"/>
            <w:vAlign w:val="center"/>
          </w:tcPr>
          <w:p>
            <w:pPr>
              <w:pStyle w:val="30"/>
              <w:rPr>
                <w:color w:val="auto"/>
              </w:rPr>
            </w:pPr>
            <w:r>
              <w:rPr>
                <w:color w:val="auto"/>
              </w:rPr>
              <w:t>Ca</w:t>
            </w:r>
            <w:r>
              <w:rPr>
                <w:color w:val="auto"/>
                <w:vertAlign w:val="superscript"/>
              </w:rPr>
              <w:t>2+</w:t>
            </w:r>
          </w:p>
        </w:tc>
        <w:tc>
          <w:tcPr>
            <w:tcW w:w="472" w:type="pct"/>
            <w:vMerge w:val="restart"/>
            <w:vAlign w:val="center"/>
          </w:tcPr>
          <w:p>
            <w:pPr>
              <w:pStyle w:val="30"/>
              <w:rPr>
                <w:color w:val="auto"/>
              </w:rPr>
            </w:pPr>
            <w:r>
              <w:rPr>
                <w:color w:val="auto"/>
              </w:rPr>
              <w:t>18.7</w:t>
            </w:r>
          </w:p>
        </w:tc>
        <w:tc>
          <w:tcPr>
            <w:tcW w:w="576" w:type="pct"/>
            <w:vMerge w:val="restart"/>
            <w:vAlign w:val="center"/>
          </w:tcPr>
          <w:p>
            <w:pPr>
              <w:pStyle w:val="30"/>
              <w:rPr>
                <w:color w:val="auto"/>
              </w:rPr>
            </w:pPr>
            <w:r>
              <w:rPr>
                <w:color w:val="auto"/>
              </w:rPr>
              <w:t>0.0748</w:t>
            </w:r>
          </w:p>
        </w:tc>
        <w:tc>
          <w:tcPr>
            <w:tcW w:w="472" w:type="pct"/>
            <w:vMerge w:val="restart"/>
            <w:vAlign w:val="center"/>
          </w:tcPr>
          <w:p>
            <w:pPr>
              <w:pStyle w:val="30"/>
              <w:rPr>
                <w:color w:val="auto"/>
              </w:rPr>
            </w:pPr>
            <w:r>
              <w:rPr>
                <w:color w:val="auto"/>
              </w:rPr>
              <w:t>19.3</w:t>
            </w:r>
          </w:p>
        </w:tc>
        <w:tc>
          <w:tcPr>
            <w:tcW w:w="465" w:type="pct"/>
            <w:vMerge w:val="restart"/>
            <w:vAlign w:val="center"/>
          </w:tcPr>
          <w:p>
            <w:pPr>
              <w:pStyle w:val="30"/>
              <w:rPr>
                <w:color w:val="auto"/>
              </w:rPr>
            </w:pPr>
            <w:r>
              <w:rPr>
                <w:color w:val="auto"/>
              </w:rPr>
              <w:t>0.0772</w:t>
            </w:r>
          </w:p>
        </w:tc>
        <w:tc>
          <w:tcPr>
            <w:tcW w:w="472" w:type="pct"/>
            <w:vMerge w:val="restart"/>
            <w:vAlign w:val="center"/>
          </w:tcPr>
          <w:p>
            <w:pPr>
              <w:pStyle w:val="30"/>
              <w:rPr>
                <w:color w:val="auto"/>
              </w:rPr>
            </w:pPr>
            <w:r>
              <w:rPr>
                <w:color w:val="auto"/>
              </w:rPr>
              <w:t>16.9</w:t>
            </w:r>
          </w:p>
        </w:tc>
        <w:tc>
          <w:tcPr>
            <w:tcW w:w="465" w:type="pct"/>
            <w:vMerge w:val="restart"/>
            <w:vAlign w:val="center"/>
          </w:tcPr>
          <w:p>
            <w:pPr>
              <w:pStyle w:val="30"/>
              <w:rPr>
                <w:color w:val="auto"/>
              </w:rPr>
            </w:pPr>
            <w:r>
              <w:rPr>
                <w:color w:val="auto"/>
              </w:rPr>
              <w:t>0.0676</w:t>
            </w:r>
          </w:p>
        </w:tc>
        <w:tc>
          <w:tcPr>
            <w:tcW w:w="467" w:type="pct"/>
            <w:vMerge w:val="restart"/>
            <w:vAlign w:val="center"/>
          </w:tcPr>
          <w:p>
            <w:pPr>
              <w:pStyle w:val="30"/>
              <w:rPr>
                <w:color w:val="auto"/>
              </w:rPr>
            </w:pPr>
            <w:r>
              <w:rPr>
                <w:color w:val="auto"/>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3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DX02150104A</w:t>
            </w:r>
          </w:p>
        </w:tc>
        <w:tc>
          <w:tcPr>
            <w:tcW w:w="465" w:type="pct"/>
            <w:vMerge w:val="restart"/>
            <w:vAlign w:val="center"/>
          </w:tcPr>
          <w:p>
            <w:pPr>
              <w:pStyle w:val="30"/>
              <w:rPr>
                <w:color w:val="auto"/>
              </w:rPr>
            </w:pPr>
            <w:r>
              <w:rPr>
                <w:color w:val="auto"/>
              </w:rPr>
              <w:t>Mg</w:t>
            </w:r>
            <w:r>
              <w:rPr>
                <w:color w:val="auto"/>
                <w:vertAlign w:val="superscript"/>
              </w:rPr>
              <w:t>2+</w:t>
            </w:r>
          </w:p>
        </w:tc>
        <w:tc>
          <w:tcPr>
            <w:tcW w:w="472" w:type="pct"/>
            <w:vMerge w:val="restart"/>
            <w:vAlign w:val="center"/>
          </w:tcPr>
          <w:p>
            <w:pPr>
              <w:pStyle w:val="30"/>
              <w:rPr>
                <w:color w:val="auto"/>
              </w:rPr>
            </w:pPr>
            <w:r>
              <w:rPr>
                <w:color w:val="auto"/>
              </w:rPr>
              <w:t>2.76</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2.77</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2.66</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63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DX02150105A</w:t>
            </w:r>
          </w:p>
        </w:tc>
        <w:tc>
          <w:tcPr>
            <w:tcW w:w="465" w:type="pct"/>
            <w:vMerge w:val="restart"/>
            <w:vAlign w:val="center"/>
          </w:tcPr>
          <w:p>
            <w:pPr>
              <w:pStyle w:val="30"/>
              <w:rPr>
                <w:color w:val="auto"/>
              </w:rPr>
            </w:pPr>
            <w:r>
              <w:rPr>
                <w:color w:val="auto"/>
              </w:rPr>
              <w:t>CO</w:t>
            </w:r>
            <w:r>
              <w:rPr>
                <w:color w:val="auto"/>
                <w:vertAlign w:val="subscript"/>
              </w:rPr>
              <w:t>3</w:t>
            </w:r>
            <w:r>
              <w:rPr>
                <w:color w:val="auto"/>
                <w:vertAlign w:val="superscript"/>
              </w:rPr>
              <w:t>2-</w:t>
            </w:r>
          </w:p>
        </w:tc>
        <w:tc>
          <w:tcPr>
            <w:tcW w:w="472" w:type="pct"/>
            <w:vMerge w:val="restart"/>
            <w:vAlign w:val="center"/>
          </w:tcPr>
          <w:p>
            <w:pPr>
              <w:pStyle w:val="30"/>
              <w:rPr>
                <w:color w:val="auto"/>
              </w:rPr>
            </w:pPr>
            <w:r>
              <w:rPr>
                <w:color w:val="auto"/>
              </w:rPr>
              <w:t>0</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DX02150205A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DX02150305A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DX02150106A</w:t>
            </w:r>
          </w:p>
        </w:tc>
        <w:tc>
          <w:tcPr>
            <w:tcW w:w="465" w:type="pct"/>
            <w:vMerge w:val="restart"/>
            <w:vAlign w:val="center"/>
          </w:tcPr>
          <w:p>
            <w:pPr>
              <w:pStyle w:val="30"/>
              <w:rPr>
                <w:color w:val="auto"/>
              </w:rPr>
            </w:pPr>
            <w:r>
              <w:rPr>
                <w:color w:val="auto"/>
              </w:rPr>
              <w:t>HCO</w:t>
            </w:r>
            <w:r>
              <w:rPr>
                <w:color w:val="auto"/>
                <w:vertAlign w:val="subscript"/>
              </w:rPr>
              <w:t>3</w:t>
            </w:r>
            <w:r>
              <w:rPr>
                <w:color w:val="auto"/>
                <w:vertAlign w:val="superscript"/>
              </w:rPr>
              <w:t>-</w:t>
            </w:r>
          </w:p>
        </w:tc>
        <w:tc>
          <w:tcPr>
            <w:tcW w:w="472" w:type="pct"/>
            <w:vMerge w:val="restart"/>
            <w:vAlign w:val="center"/>
          </w:tcPr>
          <w:p>
            <w:pPr>
              <w:pStyle w:val="30"/>
              <w:rPr>
                <w:color w:val="auto"/>
              </w:rPr>
            </w:pPr>
            <w:r>
              <w:rPr>
                <w:color w:val="auto"/>
              </w:rPr>
              <w:t>44.5</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53.4</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53.4</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DX02150206A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DX02150306A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DX02150107A</w:t>
            </w:r>
          </w:p>
        </w:tc>
        <w:tc>
          <w:tcPr>
            <w:tcW w:w="465" w:type="pct"/>
            <w:vMerge w:val="restart"/>
            <w:vAlign w:val="center"/>
          </w:tcPr>
          <w:p>
            <w:pPr>
              <w:pStyle w:val="30"/>
              <w:rPr>
                <w:color w:val="auto"/>
              </w:rPr>
            </w:pPr>
            <w:r>
              <w:rPr>
                <w:color w:val="auto"/>
              </w:rPr>
              <w:t>Cl</w:t>
            </w:r>
            <w:r>
              <w:rPr>
                <w:color w:val="auto"/>
                <w:vertAlign w:val="superscript"/>
              </w:rPr>
              <w:t>-</w:t>
            </w:r>
          </w:p>
        </w:tc>
        <w:tc>
          <w:tcPr>
            <w:tcW w:w="472" w:type="pct"/>
            <w:vMerge w:val="restart"/>
            <w:vAlign w:val="center"/>
          </w:tcPr>
          <w:p>
            <w:pPr>
              <w:pStyle w:val="30"/>
              <w:rPr>
                <w:color w:val="auto"/>
              </w:rPr>
            </w:pPr>
            <w:r>
              <w:rPr>
                <w:color w:val="auto"/>
              </w:rPr>
              <w:t>18.8</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10.6</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10</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3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DX02150108A</w:t>
            </w:r>
          </w:p>
        </w:tc>
        <w:tc>
          <w:tcPr>
            <w:tcW w:w="465" w:type="pct"/>
            <w:vMerge w:val="restart"/>
            <w:vAlign w:val="center"/>
          </w:tcPr>
          <w:p>
            <w:pPr>
              <w:pStyle w:val="30"/>
              <w:rPr>
                <w:color w:val="auto"/>
              </w:rPr>
            </w:pPr>
            <w:r>
              <w:rPr>
                <w:color w:val="auto"/>
              </w:rPr>
              <w:t>SO</w:t>
            </w:r>
            <w:r>
              <w:rPr>
                <w:color w:val="auto"/>
                <w:vertAlign w:val="subscript"/>
              </w:rPr>
              <w:t>4</w:t>
            </w:r>
            <w:r>
              <w:rPr>
                <w:color w:val="auto"/>
                <w:vertAlign w:val="superscript"/>
              </w:rPr>
              <w:t>2-</w:t>
            </w:r>
          </w:p>
        </w:tc>
        <w:tc>
          <w:tcPr>
            <w:tcW w:w="472" w:type="pct"/>
            <w:vMerge w:val="restart"/>
            <w:vAlign w:val="center"/>
          </w:tcPr>
          <w:p>
            <w:pPr>
              <w:pStyle w:val="30"/>
              <w:rPr>
                <w:color w:val="auto"/>
              </w:rPr>
            </w:pPr>
            <w:r>
              <w:rPr>
                <w:color w:val="auto"/>
              </w:rPr>
              <w:t>12.4</w:t>
            </w:r>
          </w:p>
        </w:tc>
        <w:tc>
          <w:tcPr>
            <w:tcW w:w="576" w:type="pct"/>
            <w:vMerge w:val="restart"/>
            <w:vAlign w:val="center"/>
          </w:tcPr>
          <w:p>
            <w:pPr>
              <w:pStyle w:val="30"/>
              <w:rPr>
                <w:color w:val="auto"/>
              </w:rPr>
            </w:pPr>
            <w:r>
              <w:rPr>
                <w:color w:val="auto"/>
              </w:rPr>
              <w:t>0.0496</w:t>
            </w:r>
          </w:p>
        </w:tc>
        <w:tc>
          <w:tcPr>
            <w:tcW w:w="472" w:type="pct"/>
            <w:vMerge w:val="restart"/>
            <w:vAlign w:val="center"/>
          </w:tcPr>
          <w:p>
            <w:pPr>
              <w:pStyle w:val="30"/>
              <w:rPr>
                <w:color w:val="auto"/>
              </w:rPr>
            </w:pPr>
            <w:r>
              <w:rPr>
                <w:color w:val="auto"/>
              </w:rPr>
              <w:t>50.5</w:t>
            </w:r>
          </w:p>
        </w:tc>
        <w:tc>
          <w:tcPr>
            <w:tcW w:w="465" w:type="pct"/>
            <w:vMerge w:val="restart"/>
            <w:vAlign w:val="center"/>
          </w:tcPr>
          <w:p>
            <w:pPr>
              <w:pStyle w:val="30"/>
              <w:rPr>
                <w:color w:val="auto"/>
              </w:rPr>
            </w:pPr>
            <w:r>
              <w:rPr>
                <w:color w:val="auto"/>
              </w:rPr>
              <w:t>0.202</w:t>
            </w:r>
          </w:p>
        </w:tc>
        <w:tc>
          <w:tcPr>
            <w:tcW w:w="472" w:type="pct"/>
            <w:vMerge w:val="restart"/>
            <w:vAlign w:val="center"/>
          </w:tcPr>
          <w:p>
            <w:pPr>
              <w:pStyle w:val="30"/>
              <w:rPr>
                <w:color w:val="auto"/>
              </w:rPr>
            </w:pPr>
            <w:r>
              <w:rPr>
                <w:color w:val="auto"/>
              </w:rPr>
              <w:t>56.1</w:t>
            </w:r>
          </w:p>
        </w:tc>
        <w:tc>
          <w:tcPr>
            <w:tcW w:w="465" w:type="pct"/>
            <w:vMerge w:val="restart"/>
            <w:vAlign w:val="center"/>
          </w:tcPr>
          <w:p>
            <w:pPr>
              <w:pStyle w:val="30"/>
              <w:rPr>
                <w:color w:val="auto"/>
              </w:rPr>
            </w:pPr>
            <w:r>
              <w:rPr>
                <w:color w:val="auto"/>
              </w:rPr>
              <w:t>0.2244</w:t>
            </w:r>
          </w:p>
        </w:tc>
        <w:tc>
          <w:tcPr>
            <w:tcW w:w="467" w:type="pct"/>
            <w:vMerge w:val="restart"/>
            <w:vAlign w:val="center"/>
          </w:tcPr>
          <w:p>
            <w:pPr>
              <w:pStyle w:val="30"/>
              <w:rPr>
                <w:color w:val="auto"/>
              </w:rPr>
            </w:pPr>
            <w:r>
              <w:rPr>
                <w:color w:val="auto"/>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w:t>
            </w:r>
          </w:p>
        </w:tc>
        <w:tc>
          <w:tcPr>
            <w:tcW w:w="465" w:type="pct"/>
            <w:vAlign w:val="center"/>
          </w:tcPr>
          <w:p>
            <w:pPr>
              <w:pStyle w:val="30"/>
              <w:rPr>
                <w:color w:val="auto"/>
              </w:rPr>
            </w:pPr>
            <w:r>
              <w:rPr>
                <w:color w:val="auto"/>
              </w:rPr>
              <w:t>pH</w:t>
            </w:r>
          </w:p>
        </w:tc>
        <w:tc>
          <w:tcPr>
            <w:tcW w:w="472" w:type="pct"/>
            <w:vAlign w:val="center"/>
          </w:tcPr>
          <w:p>
            <w:pPr>
              <w:pStyle w:val="30"/>
              <w:rPr>
                <w:color w:val="auto"/>
              </w:rPr>
            </w:pPr>
            <w:r>
              <w:rPr>
                <w:color w:val="auto"/>
              </w:rPr>
              <w:t>6.83</w:t>
            </w:r>
          </w:p>
        </w:tc>
        <w:tc>
          <w:tcPr>
            <w:tcW w:w="576" w:type="pct"/>
            <w:vAlign w:val="center"/>
          </w:tcPr>
          <w:p>
            <w:pPr>
              <w:pStyle w:val="30"/>
              <w:rPr>
                <w:color w:val="auto"/>
              </w:rPr>
            </w:pPr>
            <w:r>
              <w:rPr>
                <w:color w:val="auto"/>
              </w:rPr>
              <w:t>/</w:t>
            </w:r>
          </w:p>
        </w:tc>
        <w:tc>
          <w:tcPr>
            <w:tcW w:w="472" w:type="pct"/>
            <w:vAlign w:val="center"/>
          </w:tcPr>
          <w:p>
            <w:pPr>
              <w:pStyle w:val="30"/>
              <w:rPr>
                <w:color w:val="auto"/>
              </w:rPr>
            </w:pPr>
            <w:r>
              <w:rPr>
                <w:color w:val="auto"/>
              </w:rPr>
              <w:t>6.88</w:t>
            </w:r>
          </w:p>
        </w:tc>
        <w:tc>
          <w:tcPr>
            <w:tcW w:w="465" w:type="pct"/>
            <w:vAlign w:val="center"/>
          </w:tcPr>
          <w:p>
            <w:pPr>
              <w:pStyle w:val="30"/>
              <w:rPr>
                <w:color w:val="auto"/>
              </w:rPr>
            </w:pPr>
            <w:r>
              <w:rPr>
                <w:color w:val="auto"/>
              </w:rPr>
              <w:t>/</w:t>
            </w:r>
          </w:p>
        </w:tc>
        <w:tc>
          <w:tcPr>
            <w:tcW w:w="472" w:type="pct"/>
            <w:vAlign w:val="center"/>
          </w:tcPr>
          <w:p>
            <w:pPr>
              <w:pStyle w:val="30"/>
              <w:rPr>
                <w:color w:val="auto"/>
              </w:rPr>
            </w:pPr>
            <w:r>
              <w:rPr>
                <w:color w:val="auto"/>
              </w:rPr>
              <w:t>6.86</w:t>
            </w:r>
          </w:p>
        </w:tc>
        <w:tc>
          <w:tcPr>
            <w:tcW w:w="465" w:type="pct"/>
            <w:vAlign w:val="center"/>
          </w:tcPr>
          <w:p>
            <w:pPr>
              <w:pStyle w:val="30"/>
              <w:rPr>
                <w:color w:val="auto"/>
              </w:rPr>
            </w:pPr>
            <w:r>
              <w:rPr>
                <w:color w:val="auto"/>
              </w:rPr>
              <w:t>/</w:t>
            </w:r>
          </w:p>
        </w:tc>
        <w:tc>
          <w:tcPr>
            <w:tcW w:w="467" w:type="pct"/>
            <w:vAlign w:val="center"/>
          </w:tcPr>
          <w:p>
            <w:pPr>
              <w:pStyle w:val="30"/>
              <w:rPr>
                <w:color w:val="auto"/>
              </w:rPr>
            </w:pPr>
            <w:r>
              <w:rPr>
                <w:color w:val="auto"/>
              </w:rPr>
              <w:t>6.5~8.5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DX02150109A</w:t>
            </w:r>
          </w:p>
        </w:tc>
        <w:tc>
          <w:tcPr>
            <w:tcW w:w="465" w:type="pct"/>
            <w:vMerge w:val="restart"/>
            <w:vAlign w:val="center"/>
          </w:tcPr>
          <w:p>
            <w:pPr>
              <w:pStyle w:val="30"/>
              <w:rPr>
                <w:color w:val="auto"/>
              </w:rPr>
            </w:pPr>
            <w:r>
              <w:rPr>
                <w:rFonts w:hint="eastAsia"/>
                <w:color w:val="auto"/>
              </w:rPr>
              <w:t>氨氮</w:t>
            </w:r>
          </w:p>
        </w:tc>
        <w:tc>
          <w:tcPr>
            <w:tcW w:w="472" w:type="pct"/>
            <w:vMerge w:val="restart"/>
            <w:vAlign w:val="center"/>
          </w:tcPr>
          <w:p>
            <w:pPr>
              <w:pStyle w:val="30"/>
              <w:rPr>
                <w:color w:val="auto"/>
              </w:rPr>
            </w:pPr>
            <w:r>
              <w:rPr>
                <w:color w:val="auto"/>
              </w:rPr>
              <w:t>0.036</w:t>
            </w:r>
          </w:p>
        </w:tc>
        <w:tc>
          <w:tcPr>
            <w:tcW w:w="576" w:type="pct"/>
            <w:vMerge w:val="restart"/>
            <w:vAlign w:val="center"/>
          </w:tcPr>
          <w:p>
            <w:pPr>
              <w:pStyle w:val="30"/>
              <w:rPr>
                <w:color w:val="auto"/>
              </w:rPr>
            </w:pPr>
            <w:r>
              <w:rPr>
                <w:color w:val="auto"/>
              </w:rPr>
              <w:t>0.072</w:t>
            </w:r>
          </w:p>
        </w:tc>
        <w:tc>
          <w:tcPr>
            <w:tcW w:w="472" w:type="pct"/>
            <w:vMerge w:val="restart"/>
            <w:vAlign w:val="center"/>
          </w:tcPr>
          <w:p>
            <w:pPr>
              <w:pStyle w:val="30"/>
              <w:rPr>
                <w:color w:val="auto"/>
              </w:rPr>
            </w:pPr>
            <w:r>
              <w:rPr>
                <w:color w:val="auto"/>
              </w:rPr>
              <w:t>0.034</w:t>
            </w:r>
          </w:p>
        </w:tc>
        <w:tc>
          <w:tcPr>
            <w:tcW w:w="465" w:type="pct"/>
            <w:vMerge w:val="restart"/>
            <w:vAlign w:val="center"/>
          </w:tcPr>
          <w:p>
            <w:pPr>
              <w:pStyle w:val="30"/>
              <w:rPr>
                <w:color w:val="auto"/>
              </w:rPr>
            </w:pPr>
            <w:r>
              <w:rPr>
                <w:color w:val="auto"/>
              </w:rPr>
              <w:t>0.068</w:t>
            </w:r>
          </w:p>
        </w:tc>
        <w:tc>
          <w:tcPr>
            <w:tcW w:w="472" w:type="pct"/>
            <w:vMerge w:val="restart"/>
            <w:vAlign w:val="center"/>
          </w:tcPr>
          <w:p>
            <w:pPr>
              <w:pStyle w:val="30"/>
              <w:rPr>
                <w:color w:val="auto"/>
              </w:rPr>
            </w:pPr>
            <w:r>
              <w:rPr>
                <w:color w:val="auto"/>
              </w:rPr>
              <w:t>0.039</w:t>
            </w:r>
          </w:p>
        </w:tc>
        <w:tc>
          <w:tcPr>
            <w:tcW w:w="465" w:type="pct"/>
            <w:vMerge w:val="restart"/>
            <w:vAlign w:val="center"/>
          </w:tcPr>
          <w:p>
            <w:pPr>
              <w:pStyle w:val="30"/>
              <w:rPr>
                <w:color w:val="auto"/>
              </w:rPr>
            </w:pPr>
            <w:r>
              <w:rPr>
                <w:color w:val="auto"/>
              </w:rPr>
              <w:t>0.078</w:t>
            </w:r>
          </w:p>
        </w:tc>
        <w:tc>
          <w:tcPr>
            <w:tcW w:w="467" w:type="pct"/>
            <w:vMerge w:val="restart"/>
            <w:vAlign w:val="center"/>
          </w:tcPr>
          <w:p>
            <w:pPr>
              <w:pStyle w:val="30"/>
              <w:rPr>
                <w:color w:val="auto"/>
              </w:rPr>
            </w:pPr>
            <w:r>
              <w:rPr>
                <w:color w:val="auto"/>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DX02150209A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DX02150309A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DX02150110A</w:t>
            </w:r>
          </w:p>
        </w:tc>
        <w:tc>
          <w:tcPr>
            <w:tcW w:w="465" w:type="pct"/>
            <w:vMerge w:val="restart"/>
            <w:vAlign w:val="center"/>
          </w:tcPr>
          <w:p>
            <w:pPr>
              <w:pStyle w:val="30"/>
              <w:rPr>
                <w:color w:val="auto"/>
              </w:rPr>
            </w:pPr>
            <w:r>
              <w:rPr>
                <w:rFonts w:hint="eastAsia"/>
                <w:color w:val="auto"/>
              </w:rPr>
              <w:t>硝酸盐</w:t>
            </w:r>
          </w:p>
        </w:tc>
        <w:tc>
          <w:tcPr>
            <w:tcW w:w="472" w:type="pct"/>
            <w:vMerge w:val="restart"/>
            <w:vAlign w:val="center"/>
          </w:tcPr>
          <w:p>
            <w:pPr>
              <w:pStyle w:val="30"/>
              <w:rPr>
                <w:color w:val="auto"/>
              </w:rPr>
            </w:pPr>
            <w:r>
              <w:rPr>
                <w:color w:val="auto"/>
              </w:rPr>
              <w:t>0.016ND</w:t>
            </w:r>
          </w:p>
        </w:tc>
        <w:tc>
          <w:tcPr>
            <w:tcW w:w="576" w:type="pct"/>
            <w:vMerge w:val="restart"/>
            <w:vAlign w:val="center"/>
          </w:tcPr>
          <w:p>
            <w:pPr>
              <w:pStyle w:val="30"/>
              <w:rPr>
                <w:color w:val="auto"/>
              </w:rPr>
            </w:pPr>
            <w:r>
              <w:rPr>
                <w:rFonts w:hint="eastAsia"/>
                <w:color w:val="auto"/>
              </w:rPr>
              <w:t>/</w:t>
            </w:r>
          </w:p>
        </w:tc>
        <w:tc>
          <w:tcPr>
            <w:tcW w:w="472" w:type="pct"/>
            <w:vMerge w:val="restart"/>
            <w:vAlign w:val="center"/>
          </w:tcPr>
          <w:p>
            <w:pPr>
              <w:pStyle w:val="30"/>
              <w:rPr>
                <w:color w:val="auto"/>
              </w:rPr>
            </w:pPr>
            <w:r>
              <w:rPr>
                <w:color w:val="auto"/>
              </w:rPr>
              <w:t>0.016ND</w:t>
            </w:r>
          </w:p>
        </w:tc>
        <w:tc>
          <w:tcPr>
            <w:tcW w:w="465" w:type="pct"/>
            <w:vMerge w:val="restart"/>
            <w:vAlign w:val="center"/>
          </w:tcPr>
          <w:p>
            <w:pPr>
              <w:pStyle w:val="30"/>
              <w:rPr>
                <w:color w:val="auto"/>
              </w:rPr>
            </w:pPr>
            <w:r>
              <w:rPr>
                <w:rFonts w:hint="eastAsia"/>
                <w:color w:val="auto"/>
              </w:rPr>
              <w:t>/</w:t>
            </w:r>
          </w:p>
        </w:tc>
        <w:tc>
          <w:tcPr>
            <w:tcW w:w="472" w:type="pct"/>
            <w:vMerge w:val="restart"/>
            <w:vAlign w:val="center"/>
          </w:tcPr>
          <w:p>
            <w:pPr>
              <w:pStyle w:val="30"/>
              <w:rPr>
                <w:color w:val="auto"/>
              </w:rPr>
            </w:pPr>
            <w:r>
              <w:rPr>
                <w:color w:val="auto"/>
              </w:rPr>
              <w:t>0.016ND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DX02150120A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DX02150130A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DX02150111A</w:t>
            </w:r>
          </w:p>
        </w:tc>
        <w:tc>
          <w:tcPr>
            <w:tcW w:w="465" w:type="pct"/>
            <w:vMerge w:val="restart"/>
            <w:vAlign w:val="center"/>
          </w:tcPr>
          <w:p>
            <w:pPr>
              <w:pStyle w:val="30"/>
              <w:rPr>
                <w:color w:val="auto"/>
              </w:rPr>
            </w:pPr>
            <w:r>
              <w:rPr>
                <w:rFonts w:hint="eastAsia"/>
                <w:color w:val="auto"/>
              </w:rPr>
              <w:t>亚硝酸盐</w:t>
            </w:r>
          </w:p>
        </w:tc>
        <w:tc>
          <w:tcPr>
            <w:tcW w:w="472" w:type="pct"/>
            <w:vMerge w:val="restart"/>
            <w:vAlign w:val="center"/>
          </w:tcPr>
          <w:p>
            <w:pPr>
              <w:pStyle w:val="30"/>
              <w:rPr>
                <w:color w:val="auto"/>
              </w:rPr>
            </w:pPr>
            <w:r>
              <w:rPr>
                <w:color w:val="auto"/>
              </w:rPr>
              <w:t>0.016ND</w:t>
            </w:r>
          </w:p>
        </w:tc>
        <w:tc>
          <w:tcPr>
            <w:tcW w:w="576" w:type="pct"/>
            <w:vMerge w:val="restart"/>
            <w:vAlign w:val="center"/>
          </w:tcPr>
          <w:p>
            <w:pPr>
              <w:pStyle w:val="30"/>
              <w:rPr>
                <w:color w:val="auto"/>
              </w:rPr>
            </w:pPr>
            <w:r>
              <w:rPr>
                <w:rFonts w:hint="eastAsia"/>
                <w:color w:val="auto"/>
              </w:rPr>
              <w:t>/</w:t>
            </w:r>
          </w:p>
        </w:tc>
        <w:tc>
          <w:tcPr>
            <w:tcW w:w="472" w:type="pct"/>
            <w:vMerge w:val="restart"/>
            <w:vAlign w:val="center"/>
          </w:tcPr>
          <w:p>
            <w:pPr>
              <w:pStyle w:val="30"/>
              <w:rPr>
                <w:color w:val="auto"/>
              </w:rPr>
            </w:pPr>
            <w:r>
              <w:rPr>
                <w:color w:val="auto"/>
              </w:rPr>
              <w:t>0.016ND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0.016ND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DX02150112A</w:t>
            </w:r>
          </w:p>
        </w:tc>
        <w:tc>
          <w:tcPr>
            <w:tcW w:w="465" w:type="pct"/>
            <w:vMerge w:val="restart"/>
            <w:vAlign w:val="center"/>
          </w:tcPr>
          <w:p>
            <w:pPr>
              <w:pStyle w:val="30"/>
              <w:rPr>
                <w:color w:val="auto"/>
              </w:rPr>
            </w:pPr>
            <w:r>
              <w:rPr>
                <w:rFonts w:hint="eastAsia"/>
                <w:color w:val="auto"/>
              </w:rPr>
              <w:t>挥发酚</w:t>
            </w:r>
          </w:p>
        </w:tc>
        <w:tc>
          <w:tcPr>
            <w:tcW w:w="472" w:type="pct"/>
            <w:vMerge w:val="restart"/>
            <w:vAlign w:val="center"/>
          </w:tcPr>
          <w:p>
            <w:pPr>
              <w:pStyle w:val="30"/>
              <w:rPr>
                <w:color w:val="auto"/>
              </w:rPr>
            </w:pPr>
            <w:r>
              <w:rPr>
                <w:color w:val="auto"/>
              </w:rPr>
              <w:t>0.0013</w:t>
            </w:r>
          </w:p>
        </w:tc>
        <w:tc>
          <w:tcPr>
            <w:tcW w:w="576" w:type="pct"/>
            <w:vMerge w:val="restart"/>
            <w:vAlign w:val="center"/>
          </w:tcPr>
          <w:p>
            <w:pPr>
              <w:pStyle w:val="30"/>
              <w:rPr>
                <w:color w:val="auto"/>
              </w:rPr>
            </w:pPr>
            <w:r>
              <w:rPr>
                <w:color w:val="auto"/>
              </w:rPr>
              <w:t>0.65</w:t>
            </w:r>
          </w:p>
        </w:tc>
        <w:tc>
          <w:tcPr>
            <w:tcW w:w="472" w:type="pct"/>
            <w:vMerge w:val="restart"/>
            <w:vAlign w:val="center"/>
          </w:tcPr>
          <w:p>
            <w:pPr>
              <w:pStyle w:val="30"/>
              <w:rPr>
                <w:color w:val="auto"/>
              </w:rPr>
            </w:pPr>
            <w:r>
              <w:rPr>
                <w:color w:val="auto"/>
              </w:rPr>
              <w:t>0.0012</w:t>
            </w:r>
          </w:p>
        </w:tc>
        <w:tc>
          <w:tcPr>
            <w:tcW w:w="465" w:type="pct"/>
            <w:vMerge w:val="restart"/>
            <w:vAlign w:val="center"/>
          </w:tcPr>
          <w:p>
            <w:pPr>
              <w:pStyle w:val="30"/>
              <w:rPr>
                <w:color w:val="auto"/>
              </w:rPr>
            </w:pPr>
            <w:r>
              <w:rPr>
                <w:color w:val="auto"/>
              </w:rPr>
              <w:t>0.6</w:t>
            </w:r>
          </w:p>
        </w:tc>
        <w:tc>
          <w:tcPr>
            <w:tcW w:w="472" w:type="pct"/>
            <w:vMerge w:val="restart"/>
            <w:vAlign w:val="center"/>
          </w:tcPr>
          <w:p>
            <w:pPr>
              <w:pStyle w:val="30"/>
              <w:rPr>
                <w:color w:val="auto"/>
              </w:rPr>
            </w:pPr>
            <w:r>
              <w:rPr>
                <w:color w:val="auto"/>
              </w:rPr>
              <w:t>0.0009</w:t>
            </w:r>
          </w:p>
        </w:tc>
        <w:tc>
          <w:tcPr>
            <w:tcW w:w="465" w:type="pct"/>
            <w:vMerge w:val="restart"/>
            <w:vAlign w:val="center"/>
          </w:tcPr>
          <w:p>
            <w:pPr>
              <w:pStyle w:val="30"/>
              <w:rPr>
                <w:color w:val="auto"/>
              </w:rPr>
            </w:pPr>
            <w:r>
              <w:rPr>
                <w:color w:val="auto"/>
              </w:rPr>
              <w:t>0.45</w:t>
            </w:r>
          </w:p>
        </w:tc>
        <w:tc>
          <w:tcPr>
            <w:tcW w:w="467" w:type="pct"/>
            <w:vMerge w:val="restart"/>
            <w:vAlign w:val="center"/>
          </w:tcPr>
          <w:p>
            <w:pPr>
              <w:pStyle w:val="30"/>
              <w:rPr>
                <w:color w:val="auto"/>
              </w:rPr>
            </w:pPr>
            <w:r>
              <w:rPr>
                <w:color w:val="auto"/>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DX02150113A</w:t>
            </w:r>
          </w:p>
        </w:tc>
        <w:tc>
          <w:tcPr>
            <w:tcW w:w="465" w:type="pct"/>
            <w:vMerge w:val="restart"/>
            <w:vAlign w:val="center"/>
          </w:tcPr>
          <w:p>
            <w:pPr>
              <w:pStyle w:val="30"/>
              <w:rPr>
                <w:color w:val="auto"/>
              </w:rPr>
            </w:pPr>
            <w:r>
              <w:rPr>
                <w:rFonts w:hint="eastAsia"/>
                <w:color w:val="auto"/>
              </w:rPr>
              <w:t>氰化物</w:t>
            </w:r>
          </w:p>
        </w:tc>
        <w:tc>
          <w:tcPr>
            <w:tcW w:w="472" w:type="pct"/>
            <w:vMerge w:val="restart"/>
            <w:vAlign w:val="center"/>
          </w:tcPr>
          <w:p>
            <w:pPr>
              <w:pStyle w:val="30"/>
              <w:rPr>
                <w:color w:val="auto"/>
              </w:rPr>
            </w:pPr>
            <w:r>
              <w:rPr>
                <w:color w:val="auto"/>
              </w:rPr>
              <w:t>0.001ND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0.001ND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0.002</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DX02150114A</w:t>
            </w:r>
          </w:p>
        </w:tc>
        <w:tc>
          <w:tcPr>
            <w:tcW w:w="465" w:type="pct"/>
            <w:vMerge w:val="restart"/>
            <w:vAlign w:val="center"/>
          </w:tcPr>
          <w:p>
            <w:pPr>
              <w:pStyle w:val="30"/>
              <w:rPr>
                <w:color w:val="auto"/>
              </w:rPr>
            </w:pPr>
            <w:r>
              <w:rPr>
                <w:rFonts w:hint="eastAsia"/>
                <w:color w:val="auto"/>
              </w:rPr>
              <w:t>砷</w:t>
            </w:r>
            <w:r>
              <w:rPr>
                <w:color w:val="auto"/>
              </w:rPr>
              <w:t>(</w:t>
            </w:r>
            <w:r>
              <w:rPr>
                <w:rFonts w:hint="eastAsia"/>
                <w:color w:val="auto"/>
              </w:rPr>
              <w:t>μ</w:t>
            </w:r>
            <w:r>
              <w:rPr>
                <w:color w:val="auto"/>
              </w:rPr>
              <w:t>g/L)</w:t>
            </w:r>
          </w:p>
        </w:tc>
        <w:tc>
          <w:tcPr>
            <w:tcW w:w="472" w:type="pct"/>
            <w:vMerge w:val="restart"/>
            <w:vAlign w:val="center"/>
          </w:tcPr>
          <w:p>
            <w:pPr>
              <w:pStyle w:val="30"/>
              <w:rPr>
                <w:color w:val="auto"/>
              </w:rPr>
            </w:pPr>
            <w:r>
              <w:rPr>
                <w:color w:val="auto"/>
              </w:rPr>
              <w:t>0</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DX02150115A</w:t>
            </w:r>
          </w:p>
        </w:tc>
        <w:tc>
          <w:tcPr>
            <w:tcW w:w="465" w:type="pct"/>
            <w:vMerge w:val="restart"/>
            <w:vAlign w:val="center"/>
          </w:tcPr>
          <w:p>
            <w:pPr>
              <w:pStyle w:val="30"/>
              <w:rPr>
                <w:color w:val="auto"/>
              </w:rPr>
            </w:pPr>
            <w:r>
              <w:rPr>
                <w:rFonts w:hint="eastAsia"/>
                <w:color w:val="auto"/>
              </w:rPr>
              <w:t>汞</w:t>
            </w:r>
            <w:r>
              <w:rPr>
                <w:color w:val="auto"/>
              </w:rPr>
              <w:t>(</w:t>
            </w:r>
            <w:r>
              <w:rPr>
                <w:rFonts w:hint="eastAsia"/>
                <w:color w:val="auto"/>
              </w:rPr>
              <w:t>μ</w:t>
            </w:r>
            <w:r>
              <w:rPr>
                <w:color w:val="auto"/>
              </w:rPr>
              <w:t>g/L)</w:t>
            </w:r>
          </w:p>
        </w:tc>
        <w:tc>
          <w:tcPr>
            <w:tcW w:w="472" w:type="pct"/>
            <w:vMerge w:val="restart"/>
            <w:vAlign w:val="center"/>
          </w:tcPr>
          <w:p>
            <w:pPr>
              <w:pStyle w:val="30"/>
              <w:rPr>
                <w:color w:val="auto"/>
              </w:rPr>
            </w:pPr>
            <w:r>
              <w:rPr>
                <w:color w:val="auto"/>
              </w:rPr>
              <w:t>0.04ND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0.04ND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0.04ND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DX02150215A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DX02150315A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DX02150116A</w:t>
            </w:r>
          </w:p>
        </w:tc>
        <w:tc>
          <w:tcPr>
            <w:tcW w:w="465" w:type="pct"/>
            <w:vMerge w:val="restart"/>
            <w:vAlign w:val="center"/>
          </w:tcPr>
          <w:p>
            <w:pPr>
              <w:pStyle w:val="30"/>
              <w:rPr>
                <w:color w:val="auto"/>
              </w:rPr>
            </w:pPr>
            <w:r>
              <w:rPr>
                <w:rFonts w:hint="eastAsia"/>
                <w:color w:val="auto"/>
              </w:rPr>
              <w:t>六价铬</w:t>
            </w:r>
          </w:p>
        </w:tc>
        <w:tc>
          <w:tcPr>
            <w:tcW w:w="472" w:type="pct"/>
            <w:vMerge w:val="restart"/>
            <w:vAlign w:val="center"/>
          </w:tcPr>
          <w:p>
            <w:pPr>
              <w:pStyle w:val="30"/>
              <w:rPr>
                <w:color w:val="auto"/>
              </w:rPr>
            </w:pPr>
            <w:r>
              <w:rPr>
                <w:color w:val="auto"/>
              </w:rPr>
              <w:t>0.004ND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0.004ND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0.004ND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DX02150216A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DX02150316A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DX02150117A</w:t>
            </w:r>
          </w:p>
        </w:tc>
        <w:tc>
          <w:tcPr>
            <w:tcW w:w="465" w:type="pct"/>
            <w:vMerge w:val="restart"/>
            <w:vAlign w:val="center"/>
          </w:tcPr>
          <w:p>
            <w:pPr>
              <w:pStyle w:val="30"/>
              <w:rPr>
                <w:color w:val="auto"/>
              </w:rPr>
            </w:pPr>
            <w:r>
              <w:rPr>
                <w:rFonts w:hint="eastAsia"/>
                <w:color w:val="auto"/>
              </w:rPr>
              <w:t>总硬度</w:t>
            </w:r>
          </w:p>
        </w:tc>
        <w:tc>
          <w:tcPr>
            <w:tcW w:w="472" w:type="pct"/>
            <w:vMerge w:val="restart"/>
            <w:vAlign w:val="center"/>
          </w:tcPr>
          <w:p>
            <w:pPr>
              <w:pStyle w:val="30"/>
              <w:rPr>
                <w:color w:val="auto"/>
              </w:rPr>
            </w:pPr>
            <w:r>
              <w:rPr>
                <w:color w:val="auto"/>
              </w:rPr>
              <w:t>90.3</w:t>
            </w:r>
          </w:p>
        </w:tc>
        <w:tc>
          <w:tcPr>
            <w:tcW w:w="576" w:type="pct"/>
            <w:vMerge w:val="restart"/>
            <w:vAlign w:val="center"/>
          </w:tcPr>
          <w:p>
            <w:pPr>
              <w:pStyle w:val="30"/>
              <w:rPr>
                <w:color w:val="auto"/>
              </w:rPr>
            </w:pPr>
            <w:r>
              <w:rPr>
                <w:color w:val="auto"/>
              </w:rPr>
              <w:t xml:space="preserve">0.20 </w:t>
            </w:r>
          </w:p>
        </w:tc>
        <w:tc>
          <w:tcPr>
            <w:tcW w:w="472" w:type="pct"/>
            <w:vMerge w:val="restart"/>
            <w:vAlign w:val="center"/>
          </w:tcPr>
          <w:p>
            <w:pPr>
              <w:pStyle w:val="30"/>
              <w:rPr>
                <w:color w:val="auto"/>
              </w:rPr>
            </w:pPr>
            <w:r>
              <w:rPr>
                <w:color w:val="auto"/>
              </w:rPr>
              <w:t>80.1</w:t>
            </w:r>
          </w:p>
        </w:tc>
        <w:tc>
          <w:tcPr>
            <w:tcW w:w="465" w:type="pct"/>
            <w:vMerge w:val="restart"/>
            <w:vAlign w:val="center"/>
          </w:tcPr>
          <w:p>
            <w:pPr>
              <w:pStyle w:val="30"/>
              <w:rPr>
                <w:color w:val="auto"/>
              </w:rPr>
            </w:pPr>
            <w:r>
              <w:rPr>
                <w:color w:val="auto"/>
              </w:rPr>
              <w:t>0.178</w:t>
            </w:r>
          </w:p>
        </w:tc>
        <w:tc>
          <w:tcPr>
            <w:tcW w:w="472" w:type="pct"/>
            <w:vMerge w:val="restart"/>
            <w:vAlign w:val="center"/>
          </w:tcPr>
          <w:p>
            <w:pPr>
              <w:pStyle w:val="30"/>
              <w:rPr>
                <w:color w:val="auto"/>
              </w:rPr>
            </w:pPr>
            <w:r>
              <w:rPr>
                <w:color w:val="auto"/>
              </w:rPr>
              <w:t>82.9</w:t>
            </w:r>
          </w:p>
        </w:tc>
        <w:tc>
          <w:tcPr>
            <w:tcW w:w="465" w:type="pct"/>
            <w:vMerge w:val="restart"/>
            <w:vAlign w:val="center"/>
          </w:tcPr>
          <w:p>
            <w:pPr>
              <w:pStyle w:val="30"/>
              <w:rPr>
                <w:color w:val="auto"/>
              </w:rPr>
            </w:pPr>
            <w:r>
              <w:rPr>
                <w:color w:val="auto"/>
              </w:rPr>
              <w:t xml:space="preserve">0.18 </w:t>
            </w:r>
          </w:p>
        </w:tc>
        <w:tc>
          <w:tcPr>
            <w:tcW w:w="467" w:type="pct"/>
            <w:vMerge w:val="restart"/>
            <w:vAlign w:val="center"/>
          </w:tcPr>
          <w:p>
            <w:pPr>
              <w:pStyle w:val="30"/>
              <w:rPr>
                <w:color w:val="auto"/>
              </w:rPr>
            </w:pPr>
            <w:r>
              <w:rPr>
                <w:color w:val="auto"/>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DX02150118A</w:t>
            </w:r>
          </w:p>
        </w:tc>
        <w:tc>
          <w:tcPr>
            <w:tcW w:w="465" w:type="pct"/>
            <w:vMerge w:val="restart"/>
            <w:vAlign w:val="center"/>
          </w:tcPr>
          <w:p>
            <w:pPr>
              <w:pStyle w:val="30"/>
              <w:rPr>
                <w:color w:val="auto"/>
              </w:rPr>
            </w:pPr>
            <w:r>
              <w:rPr>
                <w:rFonts w:hint="eastAsia"/>
                <w:color w:val="auto"/>
              </w:rPr>
              <w:t>铅</w:t>
            </w:r>
          </w:p>
        </w:tc>
        <w:tc>
          <w:tcPr>
            <w:tcW w:w="472" w:type="pct"/>
            <w:vMerge w:val="restart"/>
            <w:vAlign w:val="center"/>
          </w:tcPr>
          <w:p>
            <w:pPr>
              <w:pStyle w:val="30"/>
              <w:rPr>
                <w:color w:val="auto"/>
              </w:rPr>
            </w:pPr>
            <w:r>
              <w:rPr>
                <w:color w:val="auto"/>
              </w:rPr>
              <w:t>2.5</w:t>
            </w:r>
            <w:r>
              <w:rPr>
                <w:rFonts w:hint="eastAsia"/>
                <w:color w:val="auto"/>
              </w:rPr>
              <w:t>×</w:t>
            </w:r>
            <w:r>
              <w:rPr>
                <w:color w:val="auto"/>
              </w:rPr>
              <w:t>10</w:t>
            </w:r>
            <w:r>
              <w:rPr>
                <w:color w:val="auto"/>
                <w:vertAlign w:val="superscript"/>
              </w:rPr>
              <w:t>-3</w:t>
            </w:r>
            <w:r>
              <w:rPr>
                <w:color w:val="auto"/>
              </w:rPr>
              <w:t>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2.5</w:t>
            </w:r>
            <w:r>
              <w:rPr>
                <w:rFonts w:hint="eastAsia"/>
                <w:color w:val="auto"/>
              </w:rPr>
              <w:t>×</w:t>
            </w:r>
            <w:r>
              <w:rPr>
                <w:color w:val="auto"/>
              </w:rPr>
              <w:t>10</w:t>
            </w:r>
            <w:r>
              <w:rPr>
                <w:color w:val="auto"/>
                <w:vertAlign w:val="superscript"/>
              </w:rPr>
              <w:t>-3</w:t>
            </w:r>
            <w:r>
              <w:rPr>
                <w:color w:val="auto"/>
              </w:rPr>
              <w:t>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2.5</w:t>
            </w:r>
            <w:r>
              <w:rPr>
                <w:rFonts w:hint="eastAsia"/>
                <w:color w:val="auto"/>
              </w:rPr>
              <w:t>×</w:t>
            </w:r>
            <w:r>
              <w:rPr>
                <w:color w:val="auto"/>
              </w:rPr>
              <w:t>10</w:t>
            </w:r>
            <w:r>
              <w:rPr>
                <w:color w:val="auto"/>
                <w:vertAlign w:val="superscript"/>
              </w:rPr>
              <w:t>-3</w:t>
            </w:r>
            <w:r>
              <w:rPr>
                <w:color w:val="auto"/>
              </w:rPr>
              <w:t>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DX02150119A</w:t>
            </w:r>
          </w:p>
        </w:tc>
        <w:tc>
          <w:tcPr>
            <w:tcW w:w="465" w:type="pct"/>
            <w:vMerge w:val="restart"/>
            <w:vAlign w:val="center"/>
          </w:tcPr>
          <w:p>
            <w:pPr>
              <w:pStyle w:val="30"/>
              <w:rPr>
                <w:color w:val="auto"/>
              </w:rPr>
            </w:pPr>
            <w:r>
              <w:rPr>
                <w:rFonts w:hint="eastAsia"/>
                <w:color w:val="auto"/>
              </w:rPr>
              <w:t>氟</w:t>
            </w:r>
          </w:p>
        </w:tc>
        <w:tc>
          <w:tcPr>
            <w:tcW w:w="472" w:type="pct"/>
            <w:vMerge w:val="restart"/>
            <w:vAlign w:val="center"/>
          </w:tcPr>
          <w:p>
            <w:pPr>
              <w:pStyle w:val="30"/>
              <w:rPr>
                <w:color w:val="auto"/>
              </w:rPr>
            </w:pPr>
            <w:r>
              <w:rPr>
                <w:color w:val="auto"/>
              </w:rPr>
              <w:t>0.068</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0.006ND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0.006ND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DX02150219A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DX02150319A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DX02150120A</w:t>
            </w:r>
          </w:p>
        </w:tc>
        <w:tc>
          <w:tcPr>
            <w:tcW w:w="465" w:type="pct"/>
            <w:vMerge w:val="restart"/>
            <w:vAlign w:val="center"/>
          </w:tcPr>
          <w:p>
            <w:pPr>
              <w:pStyle w:val="30"/>
              <w:rPr>
                <w:color w:val="auto"/>
              </w:rPr>
            </w:pPr>
            <w:r>
              <w:rPr>
                <w:rFonts w:hint="eastAsia"/>
                <w:color w:val="auto"/>
              </w:rPr>
              <w:t>镉</w:t>
            </w:r>
          </w:p>
        </w:tc>
        <w:tc>
          <w:tcPr>
            <w:tcW w:w="472" w:type="pct"/>
            <w:vMerge w:val="restart"/>
            <w:vAlign w:val="center"/>
          </w:tcPr>
          <w:p>
            <w:pPr>
              <w:pStyle w:val="30"/>
              <w:rPr>
                <w:color w:val="auto"/>
              </w:rPr>
            </w:pPr>
            <w:r>
              <w:rPr>
                <w:color w:val="auto"/>
              </w:rPr>
              <w:t>5.0</w:t>
            </w:r>
            <w:r>
              <w:rPr>
                <w:rFonts w:hint="eastAsia"/>
                <w:color w:val="auto"/>
              </w:rPr>
              <w:t>×</w:t>
            </w:r>
            <w:r>
              <w:rPr>
                <w:color w:val="auto"/>
              </w:rPr>
              <w:t>10</w:t>
            </w:r>
            <w:r>
              <w:rPr>
                <w:color w:val="auto"/>
                <w:vertAlign w:val="superscript"/>
              </w:rPr>
              <w:t>-4</w:t>
            </w:r>
            <w:r>
              <w:rPr>
                <w:color w:val="auto"/>
              </w:rPr>
              <w:t>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5.0</w:t>
            </w:r>
            <w:r>
              <w:rPr>
                <w:rFonts w:hint="eastAsia"/>
                <w:color w:val="auto"/>
              </w:rPr>
              <w:t>×</w:t>
            </w:r>
            <w:r>
              <w:rPr>
                <w:color w:val="auto"/>
              </w:rPr>
              <w:t>10</w:t>
            </w:r>
            <w:r>
              <w:rPr>
                <w:color w:val="auto"/>
                <w:vertAlign w:val="superscript"/>
              </w:rPr>
              <w:t>-4</w:t>
            </w:r>
            <w:r>
              <w:rPr>
                <w:color w:val="auto"/>
              </w:rPr>
              <w:t>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5.0</w:t>
            </w:r>
            <w:r>
              <w:rPr>
                <w:rFonts w:hint="eastAsia"/>
                <w:color w:val="auto"/>
              </w:rPr>
              <w:t>×</w:t>
            </w:r>
            <w:r>
              <w:rPr>
                <w:color w:val="auto"/>
              </w:rPr>
              <w:t>10</w:t>
            </w:r>
            <w:r>
              <w:rPr>
                <w:color w:val="auto"/>
                <w:vertAlign w:val="superscript"/>
              </w:rPr>
              <w:t>-4</w:t>
            </w:r>
            <w:r>
              <w:rPr>
                <w:color w:val="auto"/>
              </w:rPr>
              <w:t>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DX02150220A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DX02150320A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DX02150121A</w:t>
            </w:r>
          </w:p>
        </w:tc>
        <w:tc>
          <w:tcPr>
            <w:tcW w:w="465" w:type="pct"/>
            <w:vMerge w:val="restart"/>
            <w:vAlign w:val="center"/>
          </w:tcPr>
          <w:p>
            <w:pPr>
              <w:pStyle w:val="30"/>
              <w:rPr>
                <w:color w:val="auto"/>
              </w:rPr>
            </w:pPr>
            <w:r>
              <w:rPr>
                <w:rFonts w:hint="eastAsia"/>
                <w:color w:val="auto"/>
              </w:rPr>
              <w:t>铁</w:t>
            </w:r>
          </w:p>
        </w:tc>
        <w:tc>
          <w:tcPr>
            <w:tcW w:w="472" w:type="pct"/>
            <w:vMerge w:val="restart"/>
            <w:vAlign w:val="center"/>
          </w:tcPr>
          <w:p>
            <w:pPr>
              <w:pStyle w:val="30"/>
              <w:rPr>
                <w:color w:val="auto"/>
              </w:rPr>
            </w:pPr>
            <w:r>
              <w:rPr>
                <w:color w:val="auto"/>
              </w:rPr>
              <w:t>0.28</w:t>
            </w:r>
          </w:p>
        </w:tc>
        <w:tc>
          <w:tcPr>
            <w:tcW w:w="576" w:type="pct"/>
            <w:vMerge w:val="restart"/>
            <w:vAlign w:val="center"/>
          </w:tcPr>
          <w:p>
            <w:pPr>
              <w:pStyle w:val="30"/>
              <w:rPr>
                <w:color w:val="auto"/>
              </w:rPr>
            </w:pPr>
            <w:r>
              <w:rPr>
                <w:color w:val="auto"/>
              </w:rPr>
              <w:t xml:space="preserve">0.93 </w:t>
            </w:r>
          </w:p>
        </w:tc>
        <w:tc>
          <w:tcPr>
            <w:tcW w:w="472" w:type="pct"/>
            <w:vMerge w:val="restart"/>
            <w:vAlign w:val="center"/>
          </w:tcPr>
          <w:p>
            <w:pPr>
              <w:pStyle w:val="30"/>
              <w:rPr>
                <w:color w:val="auto"/>
              </w:rPr>
            </w:pPr>
            <w:r>
              <w:rPr>
                <w:color w:val="auto"/>
              </w:rPr>
              <w:t>0.16</w:t>
            </w:r>
          </w:p>
        </w:tc>
        <w:tc>
          <w:tcPr>
            <w:tcW w:w="465" w:type="pct"/>
            <w:vMerge w:val="restart"/>
            <w:vAlign w:val="center"/>
          </w:tcPr>
          <w:p>
            <w:pPr>
              <w:pStyle w:val="30"/>
              <w:rPr>
                <w:color w:val="auto"/>
              </w:rPr>
            </w:pPr>
            <w:r>
              <w:rPr>
                <w:color w:val="auto"/>
              </w:rPr>
              <w:t xml:space="preserve">0.53 </w:t>
            </w:r>
          </w:p>
        </w:tc>
        <w:tc>
          <w:tcPr>
            <w:tcW w:w="472" w:type="pct"/>
            <w:vMerge w:val="restart"/>
            <w:vAlign w:val="center"/>
          </w:tcPr>
          <w:p>
            <w:pPr>
              <w:pStyle w:val="30"/>
              <w:rPr>
                <w:color w:val="auto"/>
              </w:rPr>
            </w:pPr>
            <w:r>
              <w:rPr>
                <w:color w:val="auto"/>
              </w:rPr>
              <w:t>0.11</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DX02150321A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DX02150122A</w:t>
            </w:r>
          </w:p>
        </w:tc>
        <w:tc>
          <w:tcPr>
            <w:tcW w:w="465" w:type="pct"/>
            <w:vMerge w:val="restart"/>
            <w:vAlign w:val="center"/>
          </w:tcPr>
          <w:p>
            <w:pPr>
              <w:pStyle w:val="30"/>
              <w:rPr>
                <w:color w:val="auto"/>
              </w:rPr>
            </w:pPr>
            <w:r>
              <w:rPr>
                <w:rFonts w:hint="eastAsia"/>
                <w:color w:val="auto"/>
              </w:rPr>
              <w:t>锰</w:t>
            </w:r>
          </w:p>
        </w:tc>
        <w:tc>
          <w:tcPr>
            <w:tcW w:w="472" w:type="pct"/>
            <w:vMerge w:val="restart"/>
            <w:vAlign w:val="center"/>
          </w:tcPr>
          <w:p>
            <w:pPr>
              <w:pStyle w:val="30"/>
              <w:rPr>
                <w:color w:val="auto"/>
              </w:rPr>
            </w:pPr>
            <w:r>
              <w:rPr>
                <w:color w:val="auto"/>
              </w:rPr>
              <w:t>0.01ND</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0.01ND</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0.01ND</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DX02150322A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DX02150123A</w:t>
            </w:r>
          </w:p>
        </w:tc>
        <w:tc>
          <w:tcPr>
            <w:tcW w:w="465" w:type="pct"/>
            <w:vMerge w:val="restart"/>
            <w:vAlign w:val="center"/>
          </w:tcPr>
          <w:p>
            <w:pPr>
              <w:pStyle w:val="30"/>
              <w:rPr>
                <w:color w:val="auto"/>
              </w:rPr>
            </w:pPr>
            <w:r>
              <w:rPr>
                <w:rFonts w:hint="eastAsia"/>
                <w:color w:val="auto"/>
              </w:rPr>
              <w:t>溶解性总固体</w:t>
            </w:r>
          </w:p>
        </w:tc>
        <w:tc>
          <w:tcPr>
            <w:tcW w:w="472" w:type="pct"/>
            <w:vMerge w:val="restart"/>
            <w:vAlign w:val="center"/>
          </w:tcPr>
          <w:p>
            <w:pPr>
              <w:pStyle w:val="30"/>
              <w:rPr>
                <w:color w:val="auto"/>
              </w:rPr>
            </w:pPr>
            <w:r>
              <w:rPr>
                <w:color w:val="auto"/>
              </w:rPr>
              <w:t>72</w:t>
            </w:r>
          </w:p>
        </w:tc>
        <w:tc>
          <w:tcPr>
            <w:tcW w:w="576" w:type="pct"/>
            <w:vMerge w:val="restart"/>
            <w:vAlign w:val="center"/>
          </w:tcPr>
          <w:p>
            <w:pPr>
              <w:pStyle w:val="30"/>
              <w:rPr>
                <w:color w:val="auto"/>
              </w:rPr>
            </w:pPr>
            <w:r>
              <w:rPr>
                <w:color w:val="auto"/>
              </w:rPr>
              <w:t xml:space="preserve">0.07 </w:t>
            </w:r>
          </w:p>
        </w:tc>
        <w:tc>
          <w:tcPr>
            <w:tcW w:w="472" w:type="pct"/>
            <w:vMerge w:val="restart"/>
            <w:vAlign w:val="center"/>
          </w:tcPr>
          <w:p>
            <w:pPr>
              <w:pStyle w:val="30"/>
              <w:rPr>
                <w:color w:val="auto"/>
              </w:rPr>
            </w:pPr>
            <w:r>
              <w:rPr>
                <w:color w:val="auto"/>
              </w:rPr>
              <w:t>125</w:t>
            </w:r>
          </w:p>
        </w:tc>
        <w:tc>
          <w:tcPr>
            <w:tcW w:w="465" w:type="pct"/>
            <w:vMerge w:val="restart"/>
            <w:vAlign w:val="center"/>
          </w:tcPr>
          <w:p>
            <w:pPr>
              <w:pStyle w:val="30"/>
              <w:rPr>
                <w:color w:val="auto"/>
              </w:rPr>
            </w:pPr>
            <w:r>
              <w:rPr>
                <w:color w:val="auto"/>
              </w:rPr>
              <w:t xml:space="preserve">0.13 </w:t>
            </w:r>
          </w:p>
        </w:tc>
        <w:tc>
          <w:tcPr>
            <w:tcW w:w="472" w:type="pct"/>
            <w:vMerge w:val="restart"/>
            <w:vAlign w:val="center"/>
          </w:tcPr>
          <w:p>
            <w:pPr>
              <w:pStyle w:val="30"/>
              <w:rPr>
                <w:color w:val="auto"/>
              </w:rPr>
            </w:pPr>
            <w:r>
              <w:rPr>
                <w:color w:val="auto"/>
              </w:rPr>
              <w:t>113</w:t>
            </w:r>
          </w:p>
        </w:tc>
        <w:tc>
          <w:tcPr>
            <w:tcW w:w="465" w:type="pct"/>
            <w:vMerge w:val="restart"/>
            <w:vAlign w:val="center"/>
          </w:tcPr>
          <w:p>
            <w:pPr>
              <w:pStyle w:val="30"/>
              <w:rPr>
                <w:color w:val="auto"/>
              </w:rPr>
            </w:pPr>
            <w:r>
              <w:rPr>
                <w:color w:val="auto"/>
              </w:rPr>
              <w:t xml:space="preserve">0.11 </w:t>
            </w:r>
          </w:p>
        </w:tc>
        <w:tc>
          <w:tcPr>
            <w:tcW w:w="467" w:type="pct"/>
            <w:vMerge w:val="restart"/>
            <w:vAlign w:val="center"/>
          </w:tcPr>
          <w:p>
            <w:pPr>
              <w:pStyle w:val="30"/>
              <w:rPr>
                <w:color w:val="auto"/>
              </w:rPr>
            </w:pPr>
            <w:r>
              <w:rPr>
                <w:color w:val="auto"/>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DX02150323A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DX02150124A</w:t>
            </w:r>
          </w:p>
        </w:tc>
        <w:tc>
          <w:tcPr>
            <w:tcW w:w="465" w:type="pct"/>
            <w:vMerge w:val="restart"/>
            <w:vAlign w:val="center"/>
          </w:tcPr>
          <w:p>
            <w:pPr>
              <w:pStyle w:val="30"/>
              <w:rPr>
                <w:color w:val="auto"/>
              </w:rPr>
            </w:pPr>
            <w:r>
              <w:rPr>
                <w:rFonts w:hint="eastAsia"/>
                <w:color w:val="auto"/>
              </w:rPr>
              <w:t>高锰酸盐指数</w:t>
            </w:r>
          </w:p>
        </w:tc>
        <w:tc>
          <w:tcPr>
            <w:tcW w:w="472" w:type="pct"/>
            <w:vMerge w:val="restart"/>
            <w:vAlign w:val="center"/>
          </w:tcPr>
          <w:p>
            <w:pPr>
              <w:pStyle w:val="30"/>
              <w:rPr>
                <w:color w:val="auto"/>
              </w:rPr>
            </w:pPr>
            <w:r>
              <w:rPr>
                <w:color w:val="auto"/>
              </w:rPr>
              <w:t>2.26</w:t>
            </w:r>
          </w:p>
        </w:tc>
        <w:tc>
          <w:tcPr>
            <w:tcW w:w="576" w:type="pct"/>
            <w:vMerge w:val="restart"/>
            <w:vAlign w:val="center"/>
          </w:tcPr>
          <w:p>
            <w:pPr>
              <w:pStyle w:val="30"/>
              <w:rPr>
                <w:color w:val="auto"/>
              </w:rPr>
            </w:pPr>
            <w:r>
              <w:rPr>
                <w:color w:val="auto"/>
              </w:rPr>
              <w:t xml:space="preserve">0.75 </w:t>
            </w:r>
          </w:p>
        </w:tc>
        <w:tc>
          <w:tcPr>
            <w:tcW w:w="472" w:type="pct"/>
            <w:vMerge w:val="restart"/>
            <w:vAlign w:val="center"/>
          </w:tcPr>
          <w:p>
            <w:pPr>
              <w:pStyle w:val="30"/>
              <w:rPr>
                <w:color w:val="auto"/>
              </w:rPr>
            </w:pPr>
            <w:r>
              <w:rPr>
                <w:color w:val="auto"/>
              </w:rPr>
              <w:t>2.73</w:t>
            </w:r>
          </w:p>
        </w:tc>
        <w:tc>
          <w:tcPr>
            <w:tcW w:w="465" w:type="pct"/>
            <w:vMerge w:val="restart"/>
            <w:vAlign w:val="center"/>
          </w:tcPr>
          <w:p>
            <w:pPr>
              <w:pStyle w:val="30"/>
              <w:rPr>
                <w:color w:val="auto"/>
              </w:rPr>
            </w:pPr>
            <w:r>
              <w:rPr>
                <w:color w:val="auto"/>
              </w:rPr>
              <w:t xml:space="preserve">0.91 </w:t>
            </w:r>
          </w:p>
        </w:tc>
        <w:tc>
          <w:tcPr>
            <w:tcW w:w="472" w:type="pct"/>
            <w:vMerge w:val="restart"/>
            <w:vAlign w:val="center"/>
          </w:tcPr>
          <w:p>
            <w:pPr>
              <w:pStyle w:val="30"/>
              <w:rPr>
                <w:color w:val="auto"/>
              </w:rPr>
            </w:pPr>
            <w:r>
              <w:rPr>
                <w:color w:val="auto"/>
              </w:rPr>
              <w:t>2.64</w:t>
            </w:r>
          </w:p>
        </w:tc>
        <w:tc>
          <w:tcPr>
            <w:tcW w:w="465" w:type="pct"/>
            <w:vMerge w:val="restart"/>
            <w:vAlign w:val="center"/>
          </w:tcPr>
          <w:p>
            <w:pPr>
              <w:pStyle w:val="30"/>
              <w:rPr>
                <w:color w:val="auto"/>
              </w:rPr>
            </w:pPr>
            <w:r>
              <w:rPr>
                <w:color w:val="auto"/>
              </w:rPr>
              <w:t xml:space="preserve">0.88 </w:t>
            </w:r>
          </w:p>
        </w:tc>
        <w:tc>
          <w:tcPr>
            <w:tcW w:w="467" w:type="pct"/>
            <w:vMerge w:val="restart"/>
            <w:vAlign w:val="center"/>
          </w:tcPr>
          <w:p>
            <w:pPr>
              <w:pStyle w:val="30"/>
              <w:rPr>
                <w:color w:val="auto"/>
              </w:rPr>
            </w:pPr>
            <w:r>
              <w:rPr>
                <w:color w:val="auto"/>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DX02150324A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DX02150108A</w:t>
            </w:r>
          </w:p>
        </w:tc>
        <w:tc>
          <w:tcPr>
            <w:tcW w:w="465" w:type="pct"/>
            <w:vMerge w:val="restart"/>
            <w:vAlign w:val="center"/>
          </w:tcPr>
          <w:p>
            <w:pPr>
              <w:pStyle w:val="30"/>
              <w:rPr>
                <w:color w:val="auto"/>
              </w:rPr>
            </w:pPr>
            <w:r>
              <w:rPr>
                <w:rFonts w:hint="eastAsia"/>
                <w:color w:val="auto"/>
              </w:rPr>
              <w:t>硫酸盐</w:t>
            </w:r>
          </w:p>
        </w:tc>
        <w:tc>
          <w:tcPr>
            <w:tcW w:w="472" w:type="pct"/>
            <w:vMerge w:val="restart"/>
            <w:vAlign w:val="center"/>
          </w:tcPr>
          <w:p>
            <w:pPr>
              <w:pStyle w:val="30"/>
              <w:rPr>
                <w:color w:val="auto"/>
              </w:rPr>
            </w:pPr>
            <w:r>
              <w:rPr>
                <w:color w:val="auto"/>
              </w:rPr>
              <w:t>12.4</w:t>
            </w:r>
          </w:p>
        </w:tc>
        <w:tc>
          <w:tcPr>
            <w:tcW w:w="576" w:type="pct"/>
            <w:vMerge w:val="restart"/>
            <w:vAlign w:val="center"/>
          </w:tcPr>
          <w:p>
            <w:pPr>
              <w:pStyle w:val="30"/>
              <w:rPr>
                <w:color w:val="auto"/>
              </w:rPr>
            </w:pPr>
            <w:r>
              <w:rPr>
                <w:color w:val="auto"/>
              </w:rPr>
              <w:t xml:space="preserve">0.05 </w:t>
            </w:r>
          </w:p>
        </w:tc>
        <w:tc>
          <w:tcPr>
            <w:tcW w:w="472" w:type="pct"/>
            <w:vMerge w:val="restart"/>
            <w:vAlign w:val="center"/>
          </w:tcPr>
          <w:p>
            <w:pPr>
              <w:pStyle w:val="30"/>
              <w:rPr>
                <w:color w:val="auto"/>
              </w:rPr>
            </w:pPr>
            <w:r>
              <w:rPr>
                <w:color w:val="auto"/>
              </w:rPr>
              <w:t>50.5</w:t>
            </w:r>
          </w:p>
        </w:tc>
        <w:tc>
          <w:tcPr>
            <w:tcW w:w="465" w:type="pct"/>
            <w:vMerge w:val="restart"/>
            <w:vAlign w:val="center"/>
          </w:tcPr>
          <w:p>
            <w:pPr>
              <w:pStyle w:val="30"/>
              <w:rPr>
                <w:color w:val="auto"/>
              </w:rPr>
            </w:pPr>
            <w:r>
              <w:rPr>
                <w:color w:val="auto"/>
              </w:rPr>
              <w:t xml:space="preserve">0.20 </w:t>
            </w:r>
          </w:p>
        </w:tc>
        <w:tc>
          <w:tcPr>
            <w:tcW w:w="472" w:type="pct"/>
            <w:vMerge w:val="restart"/>
            <w:vAlign w:val="center"/>
          </w:tcPr>
          <w:p>
            <w:pPr>
              <w:pStyle w:val="30"/>
              <w:rPr>
                <w:color w:val="auto"/>
              </w:rPr>
            </w:pPr>
            <w:r>
              <w:rPr>
                <w:color w:val="auto"/>
              </w:rPr>
              <w:t>56.1</w:t>
            </w:r>
          </w:p>
        </w:tc>
        <w:tc>
          <w:tcPr>
            <w:tcW w:w="465" w:type="pct"/>
            <w:vMerge w:val="restart"/>
            <w:vAlign w:val="center"/>
          </w:tcPr>
          <w:p>
            <w:pPr>
              <w:pStyle w:val="30"/>
              <w:rPr>
                <w:color w:val="auto"/>
              </w:rPr>
            </w:pPr>
            <w:r>
              <w:rPr>
                <w:color w:val="auto"/>
              </w:rPr>
              <w:t xml:space="preserve">0.22 </w:t>
            </w:r>
          </w:p>
        </w:tc>
        <w:tc>
          <w:tcPr>
            <w:tcW w:w="467" w:type="pct"/>
            <w:vMerge w:val="restart"/>
            <w:vAlign w:val="center"/>
          </w:tcPr>
          <w:p>
            <w:pPr>
              <w:pStyle w:val="30"/>
              <w:rPr>
                <w:color w:val="auto"/>
              </w:rPr>
            </w:pPr>
            <w:r>
              <w:rPr>
                <w:color w:val="auto"/>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DX02150107A</w:t>
            </w:r>
          </w:p>
        </w:tc>
        <w:tc>
          <w:tcPr>
            <w:tcW w:w="465" w:type="pct"/>
            <w:vMerge w:val="restart"/>
            <w:vAlign w:val="center"/>
          </w:tcPr>
          <w:p>
            <w:pPr>
              <w:pStyle w:val="30"/>
              <w:rPr>
                <w:color w:val="auto"/>
              </w:rPr>
            </w:pPr>
            <w:r>
              <w:rPr>
                <w:rFonts w:hint="eastAsia"/>
                <w:color w:val="auto"/>
              </w:rPr>
              <w:t>氯化物</w:t>
            </w:r>
          </w:p>
        </w:tc>
        <w:tc>
          <w:tcPr>
            <w:tcW w:w="472" w:type="pct"/>
            <w:vMerge w:val="restart"/>
            <w:vAlign w:val="center"/>
          </w:tcPr>
          <w:p>
            <w:pPr>
              <w:pStyle w:val="30"/>
              <w:rPr>
                <w:color w:val="auto"/>
              </w:rPr>
            </w:pPr>
            <w:r>
              <w:rPr>
                <w:color w:val="auto"/>
              </w:rPr>
              <w:t>18.8</w:t>
            </w:r>
          </w:p>
        </w:tc>
        <w:tc>
          <w:tcPr>
            <w:tcW w:w="576" w:type="pct"/>
            <w:vMerge w:val="restart"/>
            <w:vAlign w:val="center"/>
          </w:tcPr>
          <w:p>
            <w:pPr>
              <w:pStyle w:val="30"/>
              <w:rPr>
                <w:color w:val="auto"/>
              </w:rPr>
            </w:pPr>
            <w:r>
              <w:rPr>
                <w:color w:val="auto"/>
              </w:rPr>
              <w:t xml:space="preserve">0.08 </w:t>
            </w:r>
          </w:p>
        </w:tc>
        <w:tc>
          <w:tcPr>
            <w:tcW w:w="472" w:type="pct"/>
            <w:vMerge w:val="restart"/>
            <w:vAlign w:val="center"/>
          </w:tcPr>
          <w:p>
            <w:pPr>
              <w:pStyle w:val="30"/>
              <w:rPr>
                <w:color w:val="auto"/>
              </w:rPr>
            </w:pPr>
            <w:r>
              <w:rPr>
                <w:color w:val="auto"/>
              </w:rPr>
              <w:t>10.6</w:t>
            </w:r>
          </w:p>
        </w:tc>
        <w:tc>
          <w:tcPr>
            <w:tcW w:w="465" w:type="pct"/>
            <w:vMerge w:val="restart"/>
            <w:vAlign w:val="center"/>
          </w:tcPr>
          <w:p>
            <w:pPr>
              <w:pStyle w:val="30"/>
              <w:rPr>
                <w:color w:val="auto"/>
              </w:rPr>
            </w:pPr>
            <w:r>
              <w:rPr>
                <w:color w:val="auto"/>
              </w:rPr>
              <w:t xml:space="preserve">0.04 </w:t>
            </w:r>
          </w:p>
        </w:tc>
        <w:tc>
          <w:tcPr>
            <w:tcW w:w="472" w:type="pct"/>
            <w:vMerge w:val="restart"/>
            <w:vAlign w:val="center"/>
          </w:tcPr>
          <w:p>
            <w:pPr>
              <w:pStyle w:val="30"/>
              <w:rPr>
                <w:color w:val="auto"/>
              </w:rPr>
            </w:pPr>
            <w:r>
              <w:rPr>
                <w:color w:val="auto"/>
              </w:rPr>
              <w:t>10</w:t>
            </w:r>
          </w:p>
        </w:tc>
        <w:tc>
          <w:tcPr>
            <w:tcW w:w="465" w:type="pct"/>
            <w:vMerge w:val="restart"/>
            <w:vAlign w:val="center"/>
          </w:tcPr>
          <w:p>
            <w:pPr>
              <w:pStyle w:val="30"/>
              <w:rPr>
                <w:color w:val="auto"/>
              </w:rPr>
            </w:pPr>
            <w:r>
              <w:rPr>
                <w:color w:val="auto"/>
              </w:rPr>
              <w:t xml:space="preserve">0.04 </w:t>
            </w:r>
          </w:p>
        </w:tc>
        <w:tc>
          <w:tcPr>
            <w:tcW w:w="467" w:type="pct"/>
            <w:vMerge w:val="restart"/>
            <w:vAlign w:val="center"/>
          </w:tcPr>
          <w:p>
            <w:pPr>
              <w:pStyle w:val="30"/>
              <w:rPr>
                <w:color w:val="auto"/>
              </w:rPr>
            </w:pPr>
            <w:r>
              <w:rPr>
                <w:color w:val="auto"/>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DX02150207A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DX02150307A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DX02150127A</w:t>
            </w:r>
          </w:p>
        </w:tc>
        <w:tc>
          <w:tcPr>
            <w:tcW w:w="465" w:type="pct"/>
            <w:vMerge w:val="restart"/>
            <w:vAlign w:val="center"/>
          </w:tcPr>
          <w:p>
            <w:pPr>
              <w:pStyle w:val="30"/>
              <w:rPr>
                <w:color w:val="auto"/>
              </w:rPr>
            </w:pPr>
            <w:r>
              <w:rPr>
                <w:rFonts w:hint="eastAsia"/>
                <w:color w:val="auto"/>
              </w:rPr>
              <w:t>总大肠菌群</w:t>
            </w:r>
          </w:p>
        </w:tc>
        <w:tc>
          <w:tcPr>
            <w:tcW w:w="472" w:type="pct"/>
            <w:vMerge w:val="restart"/>
            <w:vAlign w:val="center"/>
          </w:tcPr>
          <w:p>
            <w:pPr>
              <w:pStyle w:val="30"/>
              <w:rPr>
                <w:color w:val="auto"/>
              </w:rPr>
            </w:pPr>
            <w:r>
              <w:rPr>
                <w:rFonts w:hint="eastAsia"/>
                <w:color w:val="auto"/>
              </w:rPr>
              <w:t>﹤</w:t>
            </w:r>
            <w:r>
              <w:rPr>
                <w:color w:val="auto"/>
              </w:rPr>
              <w:t>3</w:t>
            </w:r>
          </w:p>
        </w:tc>
        <w:tc>
          <w:tcPr>
            <w:tcW w:w="576"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rFonts w:hint="eastAsia"/>
                <w:color w:val="auto"/>
              </w:rPr>
              <w:t>﹤</w:t>
            </w:r>
            <w:r>
              <w:rPr>
                <w:color w:val="auto"/>
              </w:rPr>
              <w:t>3</w:t>
            </w:r>
          </w:p>
        </w:tc>
        <w:tc>
          <w:tcPr>
            <w:tcW w:w="465" w:type="pct"/>
            <w:vMerge w:val="restart"/>
            <w:vAlign w:val="center"/>
          </w:tcPr>
          <w:p>
            <w:pPr>
              <w:pStyle w:val="30"/>
              <w:rPr>
                <w:color w:val="auto"/>
              </w:rPr>
            </w:pPr>
            <w:r>
              <w:rPr>
                <w:color w:val="auto"/>
              </w:rPr>
              <w:t>/</w:t>
            </w:r>
          </w:p>
        </w:tc>
        <w:tc>
          <w:tcPr>
            <w:tcW w:w="472" w:type="pct"/>
            <w:vMerge w:val="restart"/>
            <w:vAlign w:val="center"/>
          </w:tcPr>
          <w:p>
            <w:pPr>
              <w:pStyle w:val="30"/>
              <w:rPr>
                <w:color w:val="auto"/>
              </w:rPr>
            </w:pPr>
            <w:r>
              <w:rPr>
                <w:color w:val="auto"/>
              </w:rPr>
              <w:t>﹤3</w:t>
            </w:r>
          </w:p>
        </w:tc>
        <w:tc>
          <w:tcPr>
            <w:tcW w:w="465" w:type="pct"/>
            <w:vMerge w:val="restart"/>
            <w:vAlign w:val="center"/>
          </w:tcPr>
          <w:p>
            <w:pPr>
              <w:pStyle w:val="30"/>
              <w:rPr>
                <w:color w:val="auto"/>
              </w:rPr>
            </w:pPr>
            <w:r>
              <w:rPr>
                <w:color w:val="auto"/>
              </w:rPr>
              <w:t>/</w:t>
            </w:r>
          </w:p>
        </w:tc>
        <w:tc>
          <w:tcPr>
            <w:tcW w:w="467" w:type="pct"/>
            <w:vMerge w:val="restart"/>
            <w:vAlign w:val="center"/>
          </w:tcPr>
          <w:p>
            <w:pPr>
              <w:pStyle w:val="30"/>
              <w:rPr>
                <w:color w:val="auto"/>
              </w:rPr>
            </w:pPr>
            <w:r>
              <w:rPr>
                <w:color w:val="auto"/>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DX02150327A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DX02150128A</w:t>
            </w:r>
          </w:p>
        </w:tc>
        <w:tc>
          <w:tcPr>
            <w:tcW w:w="465" w:type="pct"/>
            <w:vMerge w:val="restart"/>
            <w:vAlign w:val="center"/>
          </w:tcPr>
          <w:p>
            <w:pPr>
              <w:pStyle w:val="30"/>
              <w:rPr>
                <w:color w:val="auto"/>
              </w:rPr>
            </w:pPr>
            <w:r>
              <w:rPr>
                <w:rFonts w:hint="eastAsia"/>
                <w:color w:val="auto"/>
              </w:rPr>
              <w:t>菌落总数</w:t>
            </w:r>
          </w:p>
        </w:tc>
        <w:tc>
          <w:tcPr>
            <w:tcW w:w="472" w:type="pct"/>
            <w:vMerge w:val="restart"/>
            <w:vAlign w:val="center"/>
          </w:tcPr>
          <w:p>
            <w:pPr>
              <w:pStyle w:val="30"/>
              <w:rPr>
                <w:color w:val="auto"/>
              </w:rPr>
            </w:pPr>
            <w:r>
              <w:rPr>
                <w:color w:val="auto"/>
              </w:rPr>
              <w:t>55</w:t>
            </w:r>
          </w:p>
        </w:tc>
        <w:tc>
          <w:tcPr>
            <w:tcW w:w="576" w:type="pct"/>
            <w:vMerge w:val="restart"/>
            <w:vAlign w:val="center"/>
          </w:tcPr>
          <w:p>
            <w:pPr>
              <w:pStyle w:val="30"/>
              <w:rPr>
                <w:color w:val="auto"/>
              </w:rPr>
            </w:pPr>
            <w:r>
              <w:rPr>
                <w:color w:val="auto"/>
              </w:rPr>
              <w:t>0.55</w:t>
            </w:r>
          </w:p>
        </w:tc>
        <w:tc>
          <w:tcPr>
            <w:tcW w:w="472" w:type="pct"/>
            <w:vMerge w:val="restart"/>
            <w:vAlign w:val="center"/>
          </w:tcPr>
          <w:p>
            <w:pPr>
              <w:pStyle w:val="30"/>
              <w:rPr>
                <w:color w:val="auto"/>
              </w:rPr>
            </w:pPr>
            <w:r>
              <w:rPr>
                <w:color w:val="auto"/>
              </w:rPr>
              <w:t>60</w:t>
            </w:r>
          </w:p>
        </w:tc>
        <w:tc>
          <w:tcPr>
            <w:tcW w:w="465" w:type="pct"/>
            <w:vMerge w:val="restart"/>
            <w:vAlign w:val="center"/>
          </w:tcPr>
          <w:p>
            <w:pPr>
              <w:pStyle w:val="30"/>
              <w:rPr>
                <w:color w:val="auto"/>
              </w:rPr>
            </w:pPr>
            <w:r>
              <w:rPr>
                <w:color w:val="auto"/>
              </w:rPr>
              <w:t>0.6</w:t>
            </w:r>
          </w:p>
        </w:tc>
        <w:tc>
          <w:tcPr>
            <w:tcW w:w="472" w:type="pct"/>
            <w:vMerge w:val="restart"/>
            <w:vAlign w:val="center"/>
          </w:tcPr>
          <w:p>
            <w:pPr>
              <w:pStyle w:val="30"/>
              <w:rPr>
                <w:color w:val="auto"/>
              </w:rPr>
            </w:pPr>
            <w:r>
              <w:rPr>
                <w:color w:val="auto"/>
              </w:rPr>
              <w:t>58</w:t>
            </w:r>
          </w:p>
        </w:tc>
        <w:tc>
          <w:tcPr>
            <w:tcW w:w="465" w:type="pct"/>
            <w:vMerge w:val="restart"/>
            <w:vAlign w:val="center"/>
          </w:tcPr>
          <w:p>
            <w:pPr>
              <w:pStyle w:val="30"/>
              <w:rPr>
                <w:color w:val="auto"/>
              </w:rPr>
            </w:pPr>
            <w:r>
              <w:rPr>
                <w:color w:val="auto"/>
              </w:rPr>
              <w:t>0.58</w:t>
            </w:r>
          </w:p>
        </w:tc>
        <w:tc>
          <w:tcPr>
            <w:tcW w:w="467" w:type="pct"/>
            <w:vMerge w:val="restart"/>
            <w:vAlign w:val="center"/>
          </w:tcPr>
          <w:p>
            <w:pPr>
              <w:pStyle w:val="30"/>
              <w:rPr>
                <w:color w:val="auto"/>
              </w:rPr>
            </w:pPr>
            <w:r>
              <w:rPr>
                <w:color w:val="auto"/>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DX02150228A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50" w:hRule="atLeast"/>
          <w:jc w:val="center"/>
        </w:trPr>
        <w:tc>
          <w:tcPr>
            <w:tcW w:w="452" w:type="pct"/>
            <w:vMerge w:val="continue"/>
            <w:vAlign w:val="center"/>
          </w:tcPr>
          <w:p>
            <w:pPr>
              <w:pStyle w:val="30"/>
              <w:rPr>
                <w:color w:val="auto"/>
              </w:rPr>
            </w:pPr>
          </w:p>
        </w:tc>
        <w:tc>
          <w:tcPr>
            <w:tcW w:w="697" w:type="pct"/>
            <w:vAlign w:val="center"/>
          </w:tcPr>
          <w:p>
            <w:pPr>
              <w:pStyle w:val="30"/>
              <w:rPr>
                <w:color w:val="auto"/>
              </w:rPr>
            </w:pPr>
            <w:r>
              <w:rPr>
                <w:color w:val="auto"/>
              </w:rPr>
              <w:t>DX02150328A</w:t>
            </w: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576"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72" w:type="pct"/>
            <w:vMerge w:val="continue"/>
            <w:vAlign w:val="center"/>
          </w:tcPr>
          <w:p>
            <w:pPr>
              <w:pStyle w:val="30"/>
              <w:rPr>
                <w:color w:val="auto"/>
              </w:rPr>
            </w:pPr>
          </w:p>
        </w:tc>
        <w:tc>
          <w:tcPr>
            <w:tcW w:w="465" w:type="pct"/>
            <w:vMerge w:val="continue"/>
            <w:vAlign w:val="center"/>
          </w:tcPr>
          <w:p>
            <w:pPr>
              <w:pStyle w:val="30"/>
              <w:rPr>
                <w:color w:val="auto"/>
              </w:rPr>
            </w:pPr>
          </w:p>
        </w:tc>
        <w:tc>
          <w:tcPr>
            <w:tcW w:w="467" w:type="pct"/>
            <w:vMerge w:val="continue"/>
            <w:vAlign w:val="center"/>
          </w:tcPr>
          <w:p>
            <w:pPr>
              <w:pStyle w:val="30"/>
              <w:rPr>
                <w:color w:val="auto"/>
              </w:rPr>
            </w:pPr>
          </w:p>
        </w:tc>
      </w:tr>
    </w:tbl>
    <w:p>
      <w:pPr>
        <w:pStyle w:val="30"/>
        <w:rPr>
          <w:color w:val="auto"/>
        </w:rPr>
      </w:pPr>
    </w:p>
    <w:p>
      <w:pPr>
        <w:ind w:firstLine="480"/>
        <w:rPr>
          <w:color w:val="auto"/>
        </w:rPr>
      </w:pPr>
      <w:r>
        <w:rPr>
          <w:rFonts w:hint="eastAsia"/>
          <w:color w:val="auto"/>
        </w:rPr>
        <w:t>根据上表可知，项目区域地下水环境质量现状监测因子满足</w:t>
      </w:r>
      <w:r>
        <w:rPr>
          <w:color w:val="auto"/>
        </w:rPr>
        <w:t>《地下水质量标准》（GB/T 14848-2017）Ⅲ类水质标准</w:t>
      </w:r>
      <w:r>
        <w:rPr>
          <w:rFonts w:hint="eastAsia"/>
          <w:color w:val="auto"/>
        </w:rPr>
        <w:t>，地下水环境质量较好。</w:t>
      </w:r>
    </w:p>
    <w:p>
      <w:pPr>
        <w:ind w:firstLine="480"/>
        <w:rPr>
          <w:color w:val="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26" w:charSpace="0"/>
        </w:sectPr>
      </w:pPr>
    </w:p>
    <w:p>
      <w:pPr>
        <w:pStyle w:val="7"/>
        <w:rPr>
          <w:color w:val="auto"/>
        </w:rPr>
      </w:pPr>
      <w:bookmarkStart w:id="134" w:name="_Toc14492"/>
      <w:r>
        <w:rPr>
          <w:color w:val="auto"/>
        </w:rPr>
        <w:t>4.</w:t>
      </w:r>
      <w:r>
        <w:rPr>
          <w:rFonts w:hint="eastAsia"/>
          <w:color w:val="auto"/>
        </w:rPr>
        <w:t>3.4</w:t>
      </w:r>
      <w:bookmarkEnd w:id="134"/>
      <w:r>
        <w:rPr>
          <w:rFonts w:hint="eastAsia"/>
          <w:color w:val="auto"/>
        </w:rPr>
        <w:t>环境噪声现状监测评价</w:t>
      </w:r>
    </w:p>
    <w:p>
      <w:pPr>
        <w:ind w:firstLine="480"/>
        <w:rPr>
          <w:color w:val="auto"/>
        </w:rPr>
      </w:pPr>
      <w:r>
        <w:rPr>
          <w:color w:val="auto"/>
        </w:rPr>
        <w:t>为了了解本项目所在区域内的</w:t>
      </w:r>
      <w:r>
        <w:rPr>
          <w:rFonts w:hint="eastAsia"/>
          <w:color w:val="auto"/>
        </w:rPr>
        <w:t>声</w:t>
      </w:r>
      <w:r>
        <w:rPr>
          <w:color w:val="auto"/>
        </w:rPr>
        <w:t>境质量现状，</w:t>
      </w:r>
      <w:r>
        <w:rPr>
          <w:rFonts w:hint="eastAsia"/>
          <w:color w:val="auto"/>
        </w:rPr>
        <w:t>本次委托湖南九鼎环保科技有限公司进行了噪声监测。</w:t>
      </w:r>
    </w:p>
    <w:p>
      <w:pPr>
        <w:ind w:firstLine="480"/>
        <w:rPr>
          <w:color w:val="auto"/>
        </w:rPr>
      </w:pPr>
      <w:r>
        <w:rPr>
          <w:rFonts w:hint="eastAsia"/>
          <w:color w:val="auto"/>
        </w:rPr>
        <w:t>监测点位：东、南、西、北厂界外1m各1个点以及107国道沿线居民处布设一个点。</w:t>
      </w:r>
    </w:p>
    <w:p>
      <w:pPr>
        <w:ind w:firstLine="480"/>
        <w:rPr>
          <w:color w:val="auto"/>
        </w:rPr>
      </w:pPr>
      <w:r>
        <w:rPr>
          <w:rFonts w:hint="eastAsia"/>
          <w:color w:val="auto"/>
        </w:rPr>
        <w:t>监测因子：连续等效</w:t>
      </w:r>
      <w:r>
        <w:rPr>
          <w:color w:val="auto"/>
        </w:rPr>
        <w:t xml:space="preserve"> A </w:t>
      </w:r>
      <w:r>
        <w:rPr>
          <w:rFonts w:hint="eastAsia"/>
          <w:color w:val="auto"/>
        </w:rPr>
        <w:t>声级。</w:t>
      </w:r>
    </w:p>
    <w:p>
      <w:pPr>
        <w:ind w:firstLine="480"/>
        <w:rPr>
          <w:color w:val="auto"/>
        </w:rPr>
      </w:pPr>
      <w:r>
        <w:rPr>
          <w:rFonts w:hint="eastAsia"/>
          <w:color w:val="auto"/>
        </w:rPr>
        <w:t>监测频次：监测2天；每天昼夜各一次。</w:t>
      </w:r>
    </w:p>
    <w:p>
      <w:pPr>
        <w:ind w:firstLine="480"/>
        <w:rPr>
          <w:color w:val="auto"/>
        </w:rPr>
      </w:pPr>
      <w:r>
        <w:rPr>
          <w:color w:val="auto"/>
        </w:rPr>
        <w:t>项目厂界及敏感点环境噪声监测结果见表4.3-11。</w:t>
      </w:r>
    </w:p>
    <w:p>
      <w:pPr>
        <w:pStyle w:val="31"/>
        <w:rPr>
          <w:color w:val="auto"/>
        </w:rPr>
      </w:pPr>
      <w:r>
        <w:rPr>
          <w:color w:val="auto"/>
        </w:rPr>
        <w:t>表4.3-11</w:t>
      </w:r>
      <w:r>
        <w:rPr>
          <w:color w:val="auto"/>
        </w:rPr>
        <w:tab/>
      </w:r>
      <w:r>
        <w:rPr>
          <w:color w:val="auto"/>
        </w:rPr>
        <w:t xml:space="preserve">  项目厂界及敏感点环境噪声监测数据（单位：dB(A)）</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32"/>
        <w:gridCol w:w="2223"/>
        <w:gridCol w:w="2622"/>
        <w:gridCol w:w="27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72" w:type="pct"/>
            <w:vMerge w:val="restart"/>
            <w:vAlign w:val="center"/>
          </w:tcPr>
          <w:p>
            <w:pPr>
              <w:pStyle w:val="30"/>
              <w:rPr>
                <w:b/>
                <w:bCs/>
                <w:color w:val="auto"/>
              </w:rPr>
            </w:pPr>
            <w:r>
              <w:rPr>
                <w:rFonts w:hint="eastAsia"/>
                <w:b/>
                <w:bCs/>
                <w:color w:val="auto"/>
              </w:rPr>
              <w:t>测定日期</w:t>
            </w:r>
          </w:p>
        </w:tc>
        <w:tc>
          <w:tcPr>
            <w:tcW w:w="1179" w:type="pct"/>
            <w:vMerge w:val="restart"/>
            <w:vAlign w:val="center"/>
          </w:tcPr>
          <w:p>
            <w:pPr>
              <w:pStyle w:val="30"/>
              <w:rPr>
                <w:b/>
                <w:bCs/>
                <w:color w:val="auto"/>
              </w:rPr>
            </w:pPr>
            <w:r>
              <w:rPr>
                <w:rFonts w:hint="eastAsia"/>
                <w:b/>
                <w:bCs/>
                <w:color w:val="auto"/>
              </w:rPr>
              <w:t>点位名称</w:t>
            </w:r>
          </w:p>
        </w:tc>
        <w:tc>
          <w:tcPr>
            <w:tcW w:w="2849" w:type="pct"/>
            <w:gridSpan w:val="2"/>
            <w:vAlign w:val="center"/>
          </w:tcPr>
          <w:p>
            <w:pPr>
              <w:pStyle w:val="30"/>
              <w:rPr>
                <w:b/>
                <w:bCs/>
                <w:color w:val="auto"/>
              </w:rPr>
            </w:pPr>
            <w:r>
              <w:rPr>
                <w:rFonts w:hint="eastAsia"/>
                <w:b/>
                <w:bCs/>
                <w:color w:val="auto"/>
              </w:rPr>
              <w:t>检测结果dB(A)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tblHeader/>
          <w:jc w:val="center"/>
        </w:trPr>
        <w:tc>
          <w:tcPr>
            <w:tcW w:w="972" w:type="pct"/>
            <w:vMerge w:val="continue"/>
            <w:vAlign w:val="center"/>
          </w:tcPr>
          <w:p>
            <w:pPr>
              <w:pStyle w:val="30"/>
              <w:rPr>
                <w:b/>
                <w:bCs/>
                <w:color w:val="auto"/>
              </w:rPr>
            </w:pPr>
          </w:p>
        </w:tc>
        <w:tc>
          <w:tcPr>
            <w:tcW w:w="1179" w:type="pct"/>
            <w:vMerge w:val="continue"/>
            <w:vAlign w:val="center"/>
          </w:tcPr>
          <w:p>
            <w:pPr>
              <w:pStyle w:val="30"/>
              <w:rPr>
                <w:b/>
                <w:bCs/>
                <w:color w:val="auto"/>
              </w:rPr>
            </w:pPr>
          </w:p>
        </w:tc>
        <w:tc>
          <w:tcPr>
            <w:tcW w:w="1391" w:type="pct"/>
            <w:vAlign w:val="center"/>
          </w:tcPr>
          <w:p>
            <w:pPr>
              <w:pStyle w:val="30"/>
              <w:rPr>
                <w:b/>
                <w:bCs/>
                <w:color w:val="auto"/>
              </w:rPr>
            </w:pPr>
            <w:r>
              <w:rPr>
                <w:rFonts w:hint="eastAsia"/>
                <w:b/>
                <w:bCs/>
                <w:color w:val="auto"/>
              </w:rPr>
              <w:t>昼间</w:t>
            </w:r>
          </w:p>
        </w:tc>
        <w:tc>
          <w:tcPr>
            <w:tcW w:w="1458" w:type="pct"/>
            <w:vAlign w:val="center"/>
          </w:tcPr>
          <w:p>
            <w:pPr>
              <w:pStyle w:val="30"/>
              <w:rPr>
                <w:b/>
                <w:bCs/>
                <w:color w:val="auto"/>
              </w:rPr>
            </w:pPr>
            <w:r>
              <w:rPr>
                <w:rFonts w:hint="eastAsia"/>
                <w:b/>
                <w:bCs/>
                <w:color w:val="auto"/>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72" w:type="pct"/>
            <w:vMerge w:val="restart"/>
            <w:vAlign w:val="center"/>
          </w:tcPr>
          <w:p>
            <w:pPr>
              <w:pStyle w:val="30"/>
              <w:rPr>
                <w:color w:val="auto"/>
              </w:rPr>
            </w:pPr>
            <w:r>
              <w:rPr>
                <w:rFonts w:hint="eastAsia"/>
                <w:color w:val="auto"/>
              </w:rPr>
              <w:t>02月15日</w:t>
            </w:r>
          </w:p>
        </w:tc>
        <w:tc>
          <w:tcPr>
            <w:tcW w:w="1179" w:type="pct"/>
            <w:vAlign w:val="center"/>
          </w:tcPr>
          <w:p>
            <w:pPr>
              <w:pStyle w:val="30"/>
              <w:rPr>
                <w:color w:val="auto"/>
              </w:rPr>
            </w:pPr>
            <w:r>
              <w:rPr>
                <w:rFonts w:hint="eastAsia"/>
                <w:color w:val="auto"/>
              </w:rPr>
              <w:t>厂界东侧</w:t>
            </w:r>
          </w:p>
        </w:tc>
        <w:tc>
          <w:tcPr>
            <w:tcW w:w="1391" w:type="pct"/>
            <w:vAlign w:val="center"/>
          </w:tcPr>
          <w:p>
            <w:pPr>
              <w:pStyle w:val="30"/>
              <w:rPr>
                <w:color w:val="auto"/>
              </w:rPr>
            </w:pPr>
            <w:r>
              <w:rPr>
                <w:rFonts w:hint="eastAsia"/>
                <w:color w:val="auto"/>
              </w:rPr>
              <w:t>59</w:t>
            </w:r>
          </w:p>
        </w:tc>
        <w:tc>
          <w:tcPr>
            <w:tcW w:w="1458" w:type="pct"/>
            <w:vAlign w:val="center"/>
          </w:tcPr>
          <w:p>
            <w:pPr>
              <w:pStyle w:val="30"/>
              <w:rPr>
                <w:color w:val="auto"/>
              </w:rPr>
            </w:pPr>
            <w:r>
              <w:rPr>
                <w:rFonts w:hint="eastAsia"/>
                <w:color w:val="auto"/>
              </w:rPr>
              <w:t>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厂界南侧</w:t>
            </w:r>
          </w:p>
        </w:tc>
        <w:tc>
          <w:tcPr>
            <w:tcW w:w="1391" w:type="pct"/>
            <w:vAlign w:val="center"/>
          </w:tcPr>
          <w:p>
            <w:pPr>
              <w:pStyle w:val="30"/>
              <w:rPr>
                <w:color w:val="auto"/>
              </w:rPr>
            </w:pPr>
            <w:r>
              <w:rPr>
                <w:rFonts w:hint="eastAsia"/>
                <w:color w:val="auto"/>
              </w:rPr>
              <w:t>61</w:t>
            </w:r>
          </w:p>
        </w:tc>
        <w:tc>
          <w:tcPr>
            <w:tcW w:w="1458" w:type="pct"/>
            <w:vAlign w:val="center"/>
          </w:tcPr>
          <w:p>
            <w:pPr>
              <w:pStyle w:val="30"/>
              <w:rPr>
                <w:color w:val="auto"/>
              </w:rPr>
            </w:pPr>
            <w:r>
              <w:rPr>
                <w:rFonts w:hint="eastAsia"/>
                <w:color w:val="auto"/>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厂界西侧</w:t>
            </w:r>
          </w:p>
        </w:tc>
        <w:tc>
          <w:tcPr>
            <w:tcW w:w="1391" w:type="pct"/>
            <w:vAlign w:val="center"/>
          </w:tcPr>
          <w:p>
            <w:pPr>
              <w:pStyle w:val="30"/>
              <w:rPr>
                <w:color w:val="auto"/>
              </w:rPr>
            </w:pPr>
            <w:r>
              <w:rPr>
                <w:rFonts w:hint="eastAsia"/>
                <w:color w:val="auto"/>
              </w:rPr>
              <w:t>56</w:t>
            </w:r>
          </w:p>
        </w:tc>
        <w:tc>
          <w:tcPr>
            <w:tcW w:w="1458" w:type="pct"/>
            <w:vAlign w:val="center"/>
          </w:tcPr>
          <w:p>
            <w:pPr>
              <w:pStyle w:val="30"/>
              <w:rPr>
                <w:color w:val="auto"/>
              </w:rPr>
            </w:pPr>
            <w:r>
              <w:rPr>
                <w:rFonts w:hint="eastAsia"/>
                <w:color w:val="auto"/>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厂界北侧</w:t>
            </w:r>
          </w:p>
        </w:tc>
        <w:tc>
          <w:tcPr>
            <w:tcW w:w="1391" w:type="pct"/>
            <w:vAlign w:val="center"/>
          </w:tcPr>
          <w:p>
            <w:pPr>
              <w:pStyle w:val="30"/>
              <w:rPr>
                <w:color w:val="auto"/>
              </w:rPr>
            </w:pPr>
            <w:r>
              <w:rPr>
                <w:rFonts w:hint="eastAsia"/>
                <w:color w:val="auto"/>
              </w:rPr>
              <w:t>58</w:t>
            </w:r>
          </w:p>
        </w:tc>
        <w:tc>
          <w:tcPr>
            <w:tcW w:w="1458" w:type="pct"/>
            <w:vAlign w:val="center"/>
          </w:tcPr>
          <w:p>
            <w:pPr>
              <w:pStyle w:val="30"/>
              <w:rPr>
                <w:color w:val="auto"/>
              </w:rPr>
            </w:pPr>
            <w:r>
              <w:rPr>
                <w:rFonts w:hint="eastAsia"/>
                <w:color w:val="auto"/>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0"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107国道沿线居民点</w:t>
            </w:r>
          </w:p>
        </w:tc>
        <w:tc>
          <w:tcPr>
            <w:tcW w:w="1391" w:type="pct"/>
            <w:vAlign w:val="center"/>
          </w:tcPr>
          <w:p>
            <w:pPr>
              <w:pStyle w:val="30"/>
              <w:rPr>
                <w:color w:val="auto"/>
              </w:rPr>
            </w:pPr>
            <w:r>
              <w:rPr>
                <w:rFonts w:hint="eastAsia"/>
                <w:color w:val="auto"/>
              </w:rPr>
              <w:t>59</w:t>
            </w:r>
          </w:p>
        </w:tc>
        <w:tc>
          <w:tcPr>
            <w:tcW w:w="1458" w:type="pct"/>
            <w:vAlign w:val="center"/>
          </w:tcPr>
          <w:p>
            <w:pPr>
              <w:pStyle w:val="30"/>
              <w:rPr>
                <w:color w:val="auto"/>
              </w:rPr>
            </w:pPr>
            <w:r>
              <w:rPr>
                <w:rFonts w:hint="eastAsia"/>
                <w:color w:val="auto"/>
              </w:rPr>
              <w:t>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72" w:type="pct"/>
            <w:vMerge w:val="restart"/>
            <w:vAlign w:val="center"/>
          </w:tcPr>
          <w:p>
            <w:pPr>
              <w:pStyle w:val="30"/>
              <w:rPr>
                <w:color w:val="auto"/>
              </w:rPr>
            </w:pPr>
            <w:r>
              <w:rPr>
                <w:rFonts w:hint="eastAsia"/>
                <w:color w:val="auto"/>
              </w:rPr>
              <w:t>02月16日</w:t>
            </w:r>
          </w:p>
        </w:tc>
        <w:tc>
          <w:tcPr>
            <w:tcW w:w="1179" w:type="pct"/>
            <w:vAlign w:val="center"/>
          </w:tcPr>
          <w:p>
            <w:pPr>
              <w:pStyle w:val="30"/>
              <w:rPr>
                <w:color w:val="auto"/>
              </w:rPr>
            </w:pPr>
            <w:r>
              <w:rPr>
                <w:rFonts w:hint="eastAsia"/>
                <w:color w:val="auto"/>
              </w:rPr>
              <w:t>厂界东侧</w:t>
            </w:r>
          </w:p>
        </w:tc>
        <w:tc>
          <w:tcPr>
            <w:tcW w:w="1391" w:type="pct"/>
            <w:vAlign w:val="center"/>
          </w:tcPr>
          <w:p>
            <w:pPr>
              <w:pStyle w:val="30"/>
              <w:rPr>
                <w:color w:val="auto"/>
              </w:rPr>
            </w:pPr>
            <w:r>
              <w:rPr>
                <w:rFonts w:hint="eastAsia"/>
                <w:color w:val="auto"/>
              </w:rPr>
              <w:t>58</w:t>
            </w:r>
          </w:p>
        </w:tc>
        <w:tc>
          <w:tcPr>
            <w:tcW w:w="1458" w:type="pct"/>
            <w:vAlign w:val="center"/>
          </w:tcPr>
          <w:p>
            <w:pPr>
              <w:pStyle w:val="30"/>
              <w:rPr>
                <w:color w:val="auto"/>
              </w:rPr>
            </w:pPr>
            <w:r>
              <w:rPr>
                <w:rFonts w:hint="eastAsia"/>
                <w:color w:val="auto"/>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厂界南侧</w:t>
            </w:r>
          </w:p>
        </w:tc>
        <w:tc>
          <w:tcPr>
            <w:tcW w:w="1391" w:type="pct"/>
            <w:vAlign w:val="center"/>
          </w:tcPr>
          <w:p>
            <w:pPr>
              <w:pStyle w:val="30"/>
              <w:rPr>
                <w:color w:val="auto"/>
              </w:rPr>
            </w:pPr>
            <w:r>
              <w:rPr>
                <w:rFonts w:hint="eastAsia"/>
                <w:color w:val="auto"/>
              </w:rPr>
              <w:t>61</w:t>
            </w:r>
          </w:p>
        </w:tc>
        <w:tc>
          <w:tcPr>
            <w:tcW w:w="1458" w:type="pct"/>
            <w:vAlign w:val="center"/>
          </w:tcPr>
          <w:p>
            <w:pPr>
              <w:pStyle w:val="30"/>
              <w:rPr>
                <w:color w:val="auto"/>
              </w:rPr>
            </w:pPr>
            <w:r>
              <w:rPr>
                <w:rFonts w:hint="eastAsia"/>
                <w:color w:val="auto"/>
              </w:rPr>
              <w:t>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厂界西侧</w:t>
            </w:r>
          </w:p>
        </w:tc>
        <w:tc>
          <w:tcPr>
            <w:tcW w:w="1391" w:type="pct"/>
            <w:vAlign w:val="center"/>
          </w:tcPr>
          <w:p>
            <w:pPr>
              <w:pStyle w:val="30"/>
              <w:rPr>
                <w:color w:val="auto"/>
              </w:rPr>
            </w:pPr>
            <w:r>
              <w:rPr>
                <w:rFonts w:hint="eastAsia"/>
                <w:color w:val="auto"/>
              </w:rPr>
              <w:t>57</w:t>
            </w:r>
          </w:p>
        </w:tc>
        <w:tc>
          <w:tcPr>
            <w:tcW w:w="1458" w:type="pct"/>
            <w:vAlign w:val="center"/>
          </w:tcPr>
          <w:p>
            <w:pPr>
              <w:pStyle w:val="30"/>
              <w:rPr>
                <w:color w:val="auto"/>
              </w:rPr>
            </w:pPr>
            <w:r>
              <w:rPr>
                <w:rFonts w:hint="eastAsia"/>
                <w:color w:val="auto"/>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厂界北侧</w:t>
            </w:r>
          </w:p>
        </w:tc>
        <w:tc>
          <w:tcPr>
            <w:tcW w:w="1391" w:type="pct"/>
            <w:vAlign w:val="center"/>
          </w:tcPr>
          <w:p>
            <w:pPr>
              <w:pStyle w:val="30"/>
              <w:rPr>
                <w:color w:val="auto"/>
              </w:rPr>
            </w:pPr>
            <w:r>
              <w:rPr>
                <w:rFonts w:hint="eastAsia"/>
                <w:color w:val="auto"/>
              </w:rPr>
              <w:t>57</w:t>
            </w:r>
          </w:p>
        </w:tc>
        <w:tc>
          <w:tcPr>
            <w:tcW w:w="1458" w:type="pct"/>
            <w:vAlign w:val="center"/>
          </w:tcPr>
          <w:p>
            <w:pPr>
              <w:pStyle w:val="30"/>
              <w:rPr>
                <w:color w:val="auto"/>
              </w:rPr>
            </w:pPr>
            <w:r>
              <w:rPr>
                <w:rFonts w:hint="eastAsia"/>
                <w:color w:val="auto"/>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972" w:type="pct"/>
            <w:vMerge w:val="continue"/>
            <w:vAlign w:val="center"/>
          </w:tcPr>
          <w:p>
            <w:pPr>
              <w:pStyle w:val="30"/>
              <w:rPr>
                <w:color w:val="auto"/>
              </w:rPr>
            </w:pPr>
          </w:p>
        </w:tc>
        <w:tc>
          <w:tcPr>
            <w:tcW w:w="1179" w:type="pct"/>
            <w:vAlign w:val="center"/>
          </w:tcPr>
          <w:p>
            <w:pPr>
              <w:pStyle w:val="30"/>
              <w:rPr>
                <w:color w:val="auto"/>
              </w:rPr>
            </w:pPr>
            <w:r>
              <w:rPr>
                <w:rFonts w:hint="eastAsia"/>
                <w:color w:val="auto"/>
              </w:rPr>
              <w:t>107国道沿线居民点</w:t>
            </w:r>
          </w:p>
        </w:tc>
        <w:tc>
          <w:tcPr>
            <w:tcW w:w="1391" w:type="pct"/>
            <w:vAlign w:val="center"/>
          </w:tcPr>
          <w:p>
            <w:pPr>
              <w:pStyle w:val="30"/>
              <w:rPr>
                <w:color w:val="auto"/>
              </w:rPr>
            </w:pPr>
            <w:r>
              <w:rPr>
                <w:rFonts w:hint="eastAsia"/>
                <w:color w:val="auto"/>
              </w:rPr>
              <w:t>60</w:t>
            </w:r>
          </w:p>
        </w:tc>
        <w:tc>
          <w:tcPr>
            <w:tcW w:w="1458" w:type="pct"/>
            <w:vAlign w:val="center"/>
          </w:tcPr>
          <w:p>
            <w:pPr>
              <w:pStyle w:val="30"/>
              <w:rPr>
                <w:color w:val="auto"/>
              </w:rPr>
            </w:pPr>
            <w:r>
              <w:rPr>
                <w:rFonts w:hint="eastAsia"/>
                <w:color w:val="auto"/>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5000" w:type="pct"/>
            <w:gridSpan w:val="4"/>
            <w:vAlign w:val="center"/>
          </w:tcPr>
          <w:p>
            <w:pPr>
              <w:pStyle w:val="30"/>
              <w:rPr>
                <w:color w:val="auto"/>
              </w:rPr>
            </w:pPr>
            <w:r>
              <w:rPr>
                <w:rFonts w:hint="eastAsia"/>
                <w:color w:val="auto"/>
              </w:rPr>
              <w:t>项目所在区域东、</w:t>
            </w:r>
            <w:r>
              <w:rPr>
                <w:rFonts w:hint="eastAsia"/>
                <w:color w:val="auto"/>
                <w:lang w:val="en-US" w:eastAsia="zh-CN"/>
              </w:rPr>
              <w:t>南、</w:t>
            </w:r>
            <w:r>
              <w:rPr>
                <w:rFonts w:hint="eastAsia"/>
                <w:color w:val="auto"/>
              </w:rPr>
              <w:t>西、北厂界声环境功能区为</w:t>
            </w:r>
            <w:r>
              <w:rPr>
                <w:rFonts w:hint="eastAsia"/>
                <w:color w:val="auto"/>
                <w:szCs w:val="24"/>
              </w:rPr>
              <w:t>《声环境质量标准》（GB3096-2008）</w:t>
            </w:r>
            <w:r>
              <w:rPr>
                <w:rFonts w:hint="eastAsia"/>
                <w:color w:val="auto"/>
              </w:rPr>
              <w:t>中的3类区，即：昼间65dB(A)，夜间55dB(A)]；</w:t>
            </w:r>
            <w:r>
              <w:rPr>
                <w:color w:val="auto"/>
              </w:rPr>
              <w:t>项目周边居民</w:t>
            </w:r>
            <w:r>
              <w:rPr>
                <w:rFonts w:hint="eastAsia"/>
                <w:color w:val="auto"/>
              </w:rPr>
              <w:t>为</w:t>
            </w:r>
            <w:r>
              <w:rPr>
                <w:rFonts w:hint="eastAsia"/>
                <w:color w:val="auto"/>
                <w:lang w:val="en-US" w:eastAsia="zh-CN"/>
              </w:rPr>
              <w:t>4</w:t>
            </w:r>
            <w:r>
              <w:rPr>
                <w:rFonts w:hint="eastAsia"/>
                <w:color w:val="auto"/>
              </w:rPr>
              <w:t>类区</w:t>
            </w:r>
            <w:r>
              <w:rPr>
                <w:color w:val="auto"/>
              </w:rPr>
              <w:t>《声环境质量标准》(GB 3096-2008)中</w:t>
            </w:r>
            <w:r>
              <w:rPr>
                <w:rFonts w:hint="eastAsia"/>
                <w:color w:val="auto"/>
                <w:lang w:val="en-US" w:eastAsia="zh-CN"/>
              </w:rPr>
              <w:t>4a</w:t>
            </w:r>
            <w:r>
              <w:rPr>
                <w:color w:val="auto"/>
              </w:rPr>
              <w:t>类标准</w:t>
            </w:r>
            <w:r>
              <w:rPr>
                <w:rFonts w:hint="eastAsia"/>
                <w:color w:val="auto"/>
              </w:rPr>
              <w:t>，即：昼间</w:t>
            </w:r>
            <w:r>
              <w:rPr>
                <w:rFonts w:hint="eastAsia"/>
                <w:color w:val="auto"/>
                <w:lang w:val="en-US" w:eastAsia="zh-CN"/>
              </w:rPr>
              <w:t>70</w:t>
            </w:r>
            <w:r>
              <w:rPr>
                <w:rFonts w:hint="eastAsia"/>
                <w:color w:val="auto"/>
              </w:rPr>
              <w:t>dB(A)，夜间5</w:t>
            </w:r>
            <w:r>
              <w:rPr>
                <w:rFonts w:hint="eastAsia"/>
                <w:color w:val="auto"/>
                <w:lang w:val="en-US" w:eastAsia="zh-CN"/>
              </w:rPr>
              <w:t>5</w:t>
            </w:r>
            <w:r>
              <w:rPr>
                <w:rFonts w:hint="eastAsia"/>
                <w:color w:val="auto"/>
              </w:rPr>
              <w:t>dB(A)]</w:t>
            </w:r>
          </w:p>
        </w:tc>
      </w:tr>
    </w:tbl>
    <w:p>
      <w:pPr>
        <w:ind w:firstLine="480"/>
        <w:rPr>
          <w:color w:val="auto"/>
        </w:rPr>
      </w:pPr>
      <w:r>
        <w:rPr>
          <w:color w:val="auto"/>
        </w:rPr>
        <w:t>从</w:t>
      </w:r>
      <w:r>
        <w:rPr>
          <w:rFonts w:hint="eastAsia"/>
          <w:color w:val="auto"/>
        </w:rPr>
        <w:t>上表可知项目区域东、</w:t>
      </w:r>
      <w:r>
        <w:rPr>
          <w:rFonts w:hint="eastAsia"/>
          <w:color w:val="auto"/>
          <w:lang w:val="en-US" w:eastAsia="zh-CN"/>
        </w:rPr>
        <w:t>南、</w:t>
      </w:r>
      <w:r>
        <w:rPr>
          <w:rFonts w:hint="eastAsia"/>
          <w:color w:val="auto"/>
        </w:rPr>
        <w:t>西、北满足《声环境质量标准》（GB3096-2008）表1中的3类标准，</w:t>
      </w:r>
      <w:r>
        <w:rPr>
          <w:color w:val="auto"/>
        </w:rPr>
        <w:t>项目周边居民点</w:t>
      </w:r>
      <w:r>
        <w:rPr>
          <w:rFonts w:hint="eastAsia"/>
          <w:color w:val="auto"/>
        </w:rPr>
        <w:t>满足</w:t>
      </w:r>
      <w:r>
        <w:rPr>
          <w:color w:val="auto"/>
        </w:rPr>
        <w:t>《声环境质量标准》(GB 3096-2008)中</w:t>
      </w:r>
      <w:r>
        <w:rPr>
          <w:rFonts w:hint="eastAsia"/>
          <w:color w:val="auto"/>
          <w:lang w:val="en-US" w:eastAsia="zh-CN"/>
        </w:rPr>
        <w:t>4a</w:t>
      </w:r>
      <w:r>
        <w:rPr>
          <w:color w:val="auto"/>
        </w:rPr>
        <w:t>类标准。</w:t>
      </w:r>
    </w:p>
    <w:p>
      <w:pPr>
        <w:pStyle w:val="6"/>
        <w:rPr>
          <w:color w:val="auto"/>
        </w:rPr>
      </w:pPr>
      <w:bookmarkStart w:id="135" w:name="_Toc4338"/>
      <w:bookmarkStart w:id="136" w:name="_Toc26452"/>
      <w:r>
        <w:rPr>
          <w:rFonts w:hint="eastAsia"/>
          <w:color w:val="auto"/>
        </w:rPr>
        <w:t>4</w:t>
      </w:r>
      <w:r>
        <w:rPr>
          <w:color w:val="auto"/>
        </w:rPr>
        <w:t>.4</w:t>
      </w:r>
      <w:r>
        <w:rPr>
          <w:rFonts w:hint="eastAsia"/>
          <w:color w:val="auto"/>
        </w:rPr>
        <w:t>区域污染源调查</w:t>
      </w:r>
      <w:bookmarkEnd w:id="135"/>
      <w:bookmarkEnd w:id="136"/>
    </w:p>
    <w:p>
      <w:pPr>
        <w:ind w:firstLine="480"/>
        <w:rPr>
          <w:color w:val="auto"/>
        </w:rPr>
      </w:pPr>
      <w:r>
        <w:rPr>
          <w:color w:val="auto"/>
        </w:rPr>
        <w:t>本项目选址位于汨罗高新技术产业开发区新市片区东片区，项目周边主要为工业用地，根据现场调查，汨罗高新技术产业开发区新市片区现有主要污染源调查情况见表</w:t>
      </w:r>
      <w:r>
        <w:rPr>
          <w:rFonts w:hint="eastAsia"/>
          <w:color w:val="auto"/>
        </w:rPr>
        <w:t>4</w:t>
      </w:r>
      <w:r>
        <w:rPr>
          <w:color w:val="auto"/>
        </w:rPr>
        <w:t>.4-1~表4.4-3。</w:t>
      </w:r>
    </w:p>
    <w:p>
      <w:pPr>
        <w:ind w:firstLine="480"/>
        <w:rPr>
          <w:color w:val="auto"/>
        </w:rPr>
      </w:pPr>
    </w:p>
    <w:p>
      <w:pPr>
        <w:ind w:firstLine="480"/>
        <w:rPr>
          <w:color w:val="auto"/>
        </w:rPr>
        <w:sectPr>
          <w:pgSz w:w="11910" w:h="16840"/>
          <w:pgMar w:top="1420" w:right="1180" w:bottom="1080" w:left="1520" w:header="0" w:footer="899" w:gutter="0"/>
          <w:pgBorders>
            <w:top w:val="none" w:sz="0" w:space="0"/>
            <w:left w:val="none" w:sz="0" w:space="0"/>
            <w:bottom w:val="none" w:sz="0" w:space="0"/>
            <w:right w:val="none" w:sz="0" w:space="0"/>
          </w:pgBorders>
          <w:cols w:space="720" w:num="1"/>
        </w:sectPr>
      </w:pPr>
    </w:p>
    <w:p>
      <w:pPr>
        <w:pStyle w:val="31"/>
        <w:rPr>
          <w:color w:val="auto"/>
        </w:rPr>
      </w:pPr>
      <w:r>
        <w:rPr>
          <w:color w:val="auto"/>
        </w:rPr>
        <w:t>表4.4-1  汨罗高新技术产业开发区新市片区现有企业分布情况</w:t>
      </w:r>
    </w:p>
    <w:tbl>
      <w:tblPr>
        <w:tblStyle w:val="21"/>
        <w:tblW w:w="14234" w:type="dxa"/>
        <w:tblInd w:w="18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5"/>
        <w:gridCol w:w="649"/>
        <w:gridCol w:w="3333"/>
        <w:gridCol w:w="15"/>
        <w:gridCol w:w="4410"/>
        <w:gridCol w:w="15"/>
        <w:gridCol w:w="2716"/>
        <w:gridCol w:w="2268"/>
        <w:gridCol w:w="798"/>
        <w:gridCol w:w="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62" w:hRule="atLeast"/>
        </w:trPr>
        <w:tc>
          <w:tcPr>
            <w:tcW w:w="664" w:type="dxa"/>
            <w:gridSpan w:val="2"/>
            <w:vAlign w:val="center"/>
          </w:tcPr>
          <w:p>
            <w:pPr>
              <w:pStyle w:val="30"/>
              <w:rPr>
                <w:b/>
                <w:bCs/>
                <w:color w:val="auto"/>
              </w:rPr>
            </w:pPr>
            <w:r>
              <w:rPr>
                <w:b/>
                <w:bCs/>
                <w:color w:val="auto"/>
              </w:rPr>
              <w:t>序号</w:t>
            </w:r>
          </w:p>
        </w:tc>
        <w:tc>
          <w:tcPr>
            <w:tcW w:w="3333" w:type="dxa"/>
            <w:vAlign w:val="center"/>
          </w:tcPr>
          <w:p>
            <w:pPr>
              <w:pStyle w:val="30"/>
              <w:rPr>
                <w:b/>
                <w:bCs/>
                <w:color w:val="auto"/>
              </w:rPr>
            </w:pPr>
            <w:r>
              <w:rPr>
                <w:b/>
                <w:bCs/>
                <w:color w:val="auto"/>
              </w:rPr>
              <w:t>企业名称</w:t>
            </w:r>
          </w:p>
        </w:tc>
        <w:tc>
          <w:tcPr>
            <w:tcW w:w="4425" w:type="dxa"/>
            <w:gridSpan w:val="2"/>
            <w:vAlign w:val="center"/>
          </w:tcPr>
          <w:p>
            <w:pPr>
              <w:pStyle w:val="30"/>
              <w:rPr>
                <w:b/>
                <w:bCs/>
                <w:color w:val="auto"/>
              </w:rPr>
            </w:pPr>
            <w:r>
              <w:rPr>
                <w:b/>
                <w:bCs/>
                <w:color w:val="auto"/>
              </w:rPr>
              <w:t>产品及规模</w:t>
            </w:r>
          </w:p>
        </w:tc>
        <w:tc>
          <w:tcPr>
            <w:tcW w:w="2731" w:type="dxa"/>
            <w:gridSpan w:val="2"/>
            <w:vAlign w:val="center"/>
          </w:tcPr>
          <w:p>
            <w:pPr>
              <w:pStyle w:val="30"/>
              <w:rPr>
                <w:b/>
                <w:bCs/>
                <w:color w:val="auto"/>
              </w:rPr>
            </w:pPr>
            <w:r>
              <w:rPr>
                <w:b/>
                <w:bCs/>
                <w:color w:val="auto"/>
              </w:rPr>
              <w:t>环评情况</w:t>
            </w:r>
          </w:p>
        </w:tc>
        <w:tc>
          <w:tcPr>
            <w:tcW w:w="2268" w:type="dxa"/>
            <w:vAlign w:val="center"/>
          </w:tcPr>
          <w:p>
            <w:pPr>
              <w:pStyle w:val="30"/>
              <w:rPr>
                <w:b/>
                <w:bCs/>
                <w:color w:val="auto"/>
              </w:rPr>
            </w:pPr>
            <w:r>
              <w:rPr>
                <w:b/>
                <w:bCs/>
                <w:color w:val="auto"/>
              </w:rPr>
              <w:t>验收情况</w:t>
            </w:r>
          </w:p>
        </w:tc>
        <w:tc>
          <w:tcPr>
            <w:tcW w:w="798" w:type="dxa"/>
            <w:vAlign w:val="center"/>
          </w:tcPr>
          <w:p>
            <w:pPr>
              <w:pStyle w:val="30"/>
              <w:rPr>
                <w:b/>
                <w:bCs/>
                <w:color w:val="auto"/>
              </w:rPr>
            </w:pPr>
            <w:r>
              <w:rPr>
                <w:b/>
                <w:bCs/>
                <w:color w:val="auto"/>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45" w:hRule="atLeast"/>
        </w:trPr>
        <w:tc>
          <w:tcPr>
            <w:tcW w:w="664" w:type="dxa"/>
            <w:gridSpan w:val="2"/>
            <w:vAlign w:val="center"/>
          </w:tcPr>
          <w:p>
            <w:pPr>
              <w:pStyle w:val="30"/>
              <w:rPr>
                <w:color w:val="auto"/>
              </w:rPr>
            </w:pPr>
            <w:r>
              <w:rPr>
                <w:color w:val="auto"/>
              </w:rPr>
              <w:t>1</w:t>
            </w:r>
          </w:p>
        </w:tc>
        <w:tc>
          <w:tcPr>
            <w:tcW w:w="3333" w:type="dxa"/>
            <w:vAlign w:val="center"/>
          </w:tcPr>
          <w:p>
            <w:pPr>
              <w:pStyle w:val="30"/>
              <w:rPr>
                <w:color w:val="auto"/>
              </w:rPr>
            </w:pPr>
            <w:r>
              <w:rPr>
                <w:color w:val="auto"/>
              </w:rPr>
              <w:t>湖南音品电子有限公司</w:t>
            </w:r>
          </w:p>
        </w:tc>
        <w:tc>
          <w:tcPr>
            <w:tcW w:w="4425" w:type="dxa"/>
            <w:gridSpan w:val="2"/>
            <w:vAlign w:val="center"/>
          </w:tcPr>
          <w:p>
            <w:pPr>
              <w:pStyle w:val="30"/>
              <w:rPr>
                <w:color w:val="auto"/>
              </w:rPr>
            </w:pPr>
            <w:r>
              <w:rPr>
                <w:color w:val="auto"/>
              </w:rPr>
              <w:t>蓝牙耳机、新型二合一和弦扬声器及蓝牙耳机</w:t>
            </w:r>
          </w:p>
          <w:p>
            <w:pPr>
              <w:pStyle w:val="30"/>
              <w:rPr>
                <w:color w:val="auto"/>
              </w:rPr>
            </w:pPr>
            <w:r>
              <w:rPr>
                <w:color w:val="auto"/>
              </w:rPr>
              <w:t>生产设备配件建设项目</w:t>
            </w:r>
          </w:p>
        </w:tc>
        <w:tc>
          <w:tcPr>
            <w:tcW w:w="2731" w:type="dxa"/>
            <w:gridSpan w:val="2"/>
            <w:vAlign w:val="center"/>
          </w:tcPr>
          <w:p>
            <w:pPr>
              <w:pStyle w:val="30"/>
              <w:rPr>
                <w:color w:val="auto"/>
              </w:rPr>
            </w:pPr>
            <w:r>
              <w:rPr>
                <w:color w:val="auto"/>
              </w:rPr>
              <w:t>2006年12月1日岳阳市环</w:t>
            </w:r>
          </w:p>
          <w:p>
            <w:pPr>
              <w:pStyle w:val="30"/>
              <w:rPr>
                <w:color w:val="auto"/>
              </w:rPr>
            </w:pPr>
            <w:r>
              <w:rPr>
                <w:color w:val="auto"/>
              </w:rPr>
              <w:t>保局审批</w:t>
            </w:r>
          </w:p>
        </w:tc>
        <w:tc>
          <w:tcPr>
            <w:tcW w:w="2268" w:type="dxa"/>
            <w:vAlign w:val="center"/>
          </w:tcPr>
          <w:p>
            <w:pPr>
              <w:pStyle w:val="30"/>
              <w:rPr>
                <w:color w:val="auto"/>
              </w:rPr>
            </w:pPr>
            <w:r>
              <w:rPr>
                <w:color w:val="auto"/>
              </w:rPr>
              <w:t>岳环评验〔2013〕11号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56" w:hRule="atLeast"/>
        </w:trPr>
        <w:tc>
          <w:tcPr>
            <w:tcW w:w="664" w:type="dxa"/>
            <w:gridSpan w:val="2"/>
            <w:vAlign w:val="center"/>
          </w:tcPr>
          <w:p>
            <w:pPr>
              <w:pStyle w:val="30"/>
              <w:rPr>
                <w:color w:val="auto"/>
              </w:rPr>
            </w:pPr>
            <w:r>
              <w:rPr>
                <w:color w:val="auto"/>
              </w:rPr>
              <w:t>2</w:t>
            </w:r>
          </w:p>
        </w:tc>
        <w:tc>
          <w:tcPr>
            <w:tcW w:w="3333" w:type="dxa"/>
            <w:vAlign w:val="center"/>
          </w:tcPr>
          <w:p>
            <w:pPr>
              <w:pStyle w:val="30"/>
              <w:rPr>
                <w:color w:val="auto"/>
              </w:rPr>
            </w:pPr>
            <w:r>
              <w:rPr>
                <w:color w:val="auto"/>
              </w:rPr>
              <w:t>湖南金正科技有限公司</w:t>
            </w:r>
          </w:p>
        </w:tc>
        <w:tc>
          <w:tcPr>
            <w:tcW w:w="4425" w:type="dxa"/>
            <w:gridSpan w:val="2"/>
            <w:vAlign w:val="center"/>
          </w:tcPr>
          <w:p>
            <w:pPr>
              <w:pStyle w:val="30"/>
              <w:rPr>
                <w:color w:val="auto"/>
              </w:rPr>
            </w:pPr>
            <w:r>
              <w:rPr>
                <w:color w:val="auto"/>
              </w:rPr>
              <w:t>年产6.4万套（台）安保设备建设项目</w:t>
            </w:r>
          </w:p>
        </w:tc>
        <w:tc>
          <w:tcPr>
            <w:tcW w:w="2731" w:type="dxa"/>
            <w:gridSpan w:val="2"/>
            <w:vAlign w:val="center"/>
          </w:tcPr>
          <w:p>
            <w:pPr>
              <w:pStyle w:val="30"/>
              <w:rPr>
                <w:color w:val="auto"/>
              </w:rPr>
            </w:pPr>
            <w:r>
              <w:rPr>
                <w:color w:val="auto"/>
              </w:rPr>
              <w:t>岳环评〔2014〕15号</w:t>
            </w:r>
          </w:p>
        </w:tc>
        <w:tc>
          <w:tcPr>
            <w:tcW w:w="2268" w:type="dxa"/>
            <w:vAlign w:val="center"/>
          </w:tcPr>
          <w:p>
            <w:pPr>
              <w:pStyle w:val="30"/>
              <w:rPr>
                <w:color w:val="auto"/>
              </w:rPr>
            </w:pPr>
            <w:r>
              <w:rPr>
                <w:color w:val="auto"/>
              </w:rPr>
              <w:t>岳环评验〔2015〕52号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45" w:hRule="atLeast"/>
        </w:trPr>
        <w:tc>
          <w:tcPr>
            <w:tcW w:w="664" w:type="dxa"/>
            <w:gridSpan w:val="2"/>
            <w:vAlign w:val="center"/>
          </w:tcPr>
          <w:p>
            <w:pPr>
              <w:pStyle w:val="30"/>
              <w:rPr>
                <w:color w:val="auto"/>
              </w:rPr>
            </w:pPr>
            <w:r>
              <w:rPr>
                <w:color w:val="auto"/>
              </w:rPr>
              <w:t>3</w:t>
            </w:r>
          </w:p>
        </w:tc>
        <w:tc>
          <w:tcPr>
            <w:tcW w:w="3333" w:type="dxa"/>
            <w:vAlign w:val="center"/>
          </w:tcPr>
          <w:p>
            <w:pPr>
              <w:pStyle w:val="30"/>
              <w:rPr>
                <w:color w:val="auto"/>
              </w:rPr>
            </w:pPr>
            <w:r>
              <w:rPr>
                <w:color w:val="auto"/>
              </w:rPr>
              <w:t>汨罗市艾德佳铝型材有限公司</w:t>
            </w:r>
          </w:p>
        </w:tc>
        <w:tc>
          <w:tcPr>
            <w:tcW w:w="4425" w:type="dxa"/>
            <w:gridSpan w:val="2"/>
            <w:vAlign w:val="center"/>
          </w:tcPr>
          <w:p>
            <w:pPr>
              <w:pStyle w:val="30"/>
              <w:rPr>
                <w:color w:val="auto"/>
              </w:rPr>
            </w:pPr>
            <w:r>
              <w:rPr>
                <w:color w:val="auto"/>
              </w:rPr>
              <w:t>年产铝素材2万吨、氧化电泳型材2万吨及静电喷涂型材1万吨</w:t>
            </w:r>
          </w:p>
        </w:tc>
        <w:tc>
          <w:tcPr>
            <w:tcW w:w="2731" w:type="dxa"/>
            <w:gridSpan w:val="2"/>
            <w:vAlign w:val="center"/>
          </w:tcPr>
          <w:p>
            <w:pPr>
              <w:pStyle w:val="30"/>
              <w:rPr>
                <w:color w:val="auto"/>
              </w:rPr>
            </w:pPr>
            <w:r>
              <w:rPr>
                <w:color w:val="auto"/>
              </w:rPr>
              <w:t>岳环评批〔2012〕122号</w:t>
            </w:r>
          </w:p>
        </w:tc>
        <w:tc>
          <w:tcPr>
            <w:tcW w:w="2268" w:type="dxa"/>
            <w:vAlign w:val="center"/>
          </w:tcPr>
          <w:p>
            <w:pPr>
              <w:pStyle w:val="30"/>
              <w:rPr>
                <w:color w:val="auto"/>
              </w:rPr>
            </w:pPr>
            <w:r>
              <w:rPr>
                <w:color w:val="auto"/>
              </w:rPr>
              <w:t>岳环管验〔2013〕11号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56" w:hRule="atLeast"/>
        </w:trPr>
        <w:tc>
          <w:tcPr>
            <w:tcW w:w="664" w:type="dxa"/>
            <w:gridSpan w:val="2"/>
            <w:vAlign w:val="center"/>
          </w:tcPr>
          <w:p>
            <w:pPr>
              <w:pStyle w:val="30"/>
              <w:rPr>
                <w:color w:val="auto"/>
              </w:rPr>
            </w:pPr>
            <w:r>
              <w:rPr>
                <w:color w:val="auto"/>
              </w:rPr>
              <w:t>4</w:t>
            </w:r>
          </w:p>
        </w:tc>
        <w:tc>
          <w:tcPr>
            <w:tcW w:w="3333" w:type="dxa"/>
            <w:vAlign w:val="center"/>
          </w:tcPr>
          <w:p>
            <w:pPr>
              <w:pStyle w:val="30"/>
              <w:rPr>
                <w:color w:val="auto"/>
              </w:rPr>
            </w:pPr>
            <w:r>
              <w:rPr>
                <w:color w:val="auto"/>
              </w:rPr>
              <w:t>湖南龙舟龙机股份有限公司</w:t>
            </w:r>
          </w:p>
        </w:tc>
        <w:tc>
          <w:tcPr>
            <w:tcW w:w="4425" w:type="dxa"/>
            <w:gridSpan w:val="2"/>
            <w:vAlign w:val="center"/>
          </w:tcPr>
          <w:p>
            <w:pPr>
              <w:pStyle w:val="30"/>
              <w:rPr>
                <w:color w:val="auto"/>
              </w:rPr>
            </w:pPr>
            <w:r>
              <w:rPr>
                <w:color w:val="auto"/>
              </w:rPr>
              <w:t>年产2万台谷物联合收割机</w:t>
            </w:r>
          </w:p>
        </w:tc>
        <w:tc>
          <w:tcPr>
            <w:tcW w:w="2731" w:type="dxa"/>
            <w:gridSpan w:val="2"/>
            <w:vAlign w:val="center"/>
          </w:tcPr>
          <w:p>
            <w:pPr>
              <w:pStyle w:val="30"/>
              <w:rPr>
                <w:color w:val="auto"/>
              </w:rPr>
            </w:pPr>
            <w:r>
              <w:rPr>
                <w:color w:val="auto"/>
              </w:rPr>
              <w:t>岳环评批〔2012〕138号、岳变更环评批复（2014.12.25）</w:t>
            </w:r>
          </w:p>
        </w:tc>
        <w:tc>
          <w:tcPr>
            <w:tcW w:w="2268" w:type="dxa"/>
            <w:vAlign w:val="center"/>
          </w:tcPr>
          <w:p>
            <w:pPr>
              <w:pStyle w:val="30"/>
              <w:rPr>
                <w:color w:val="auto"/>
              </w:rPr>
            </w:pPr>
            <w:r>
              <w:rPr>
                <w:color w:val="auto"/>
              </w:rPr>
              <w:t>岳环验〔2015〕57号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297" w:hRule="atLeast"/>
        </w:trPr>
        <w:tc>
          <w:tcPr>
            <w:tcW w:w="664" w:type="dxa"/>
            <w:gridSpan w:val="2"/>
            <w:vAlign w:val="center"/>
          </w:tcPr>
          <w:p>
            <w:pPr>
              <w:pStyle w:val="30"/>
              <w:rPr>
                <w:color w:val="auto"/>
              </w:rPr>
            </w:pPr>
            <w:r>
              <w:rPr>
                <w:color w:val="auto"/>
              </w:rPr>
              <w:t>5</w:t>
            </w:r>
          </w:p>
        </w:tc>
        <w:tc>
          <w:tcPr>
            <w:tcW w:w="3333" w:type="dxa"/>
            <w:vAlign w:val="center"/>
          </w:tcPr>
          <w:p>
            <w:pPr>
              <w:pStyle w:val="30"/>
              <w:rPr>
                <w:color w:val="auto"/>
              </w:rPr>
            </w:pPr>
            <w:r>
              <w:rPr>
                <w:color w:val="auto"/>
              </w:rPr>
              <w:t>湖南拓曼节能科技有限公司</w:t>
            </w:r>
          </w:p>
        </w:tc>
        <w:tc>
          <w:tcPr>
            <w:tcW w:w="4425" w:type="dxa"/>
            <w:gridSpan w:val="2"/>
            <w:vAlign w:val="center"/>
          </w:tcPr>
          <w:p>
            <w:pPr>
              <w:pStyle w:val="30"/>
              <w:rPr>
                <w:color w:val="auto"/>
              </w:rPr>
            </w:pPr>
            <w:r>
              <w:rPr>
                <w:color w:val="auto"/>
              </w:rPr>
              <w:t>年产10万m</w:t>
            </w:r>
            <w:r>
              <w:rPr>
                <w:color w:val="auto"/>
                <w:vertAlign w:val="superscript"/>
              </w:rPr>
              <w:t>2</w:t>
            </w:r>
            <w:r>
              <w:rPr>
                <w:color w:val="auto"/>
              </w:rPr>
              <w:t>高级铝合金门窗型材</w:t>
            </w:r>
          </w:p>
        </w:tc>
        <w:tc>
          <w:tcPr>
            <w:tcW w:w="2731" w:type="dxa"/>
            <w:gridSpan w:val="2"/>
            <w:vAlign w:val="center"/>
          </w:tcPr>
          <w:p>
            <w:pPr>
              <w:pStyle w:val="30"/>
              <w:rPr>
                <w:color w:val="auto"/>
              </w:rPr>
            </w:pPr>
            <w:r>
              <w:rPr>
                <w:color w:val="auto"/>
              </w:rPr>
              <w:t>岳环评〔2015〕50号</w:t>
            </w:r>
          </w:p>
        </w:tc>
        <w:tc>
          <w:tcPr>
            <w:tcW w:w="2268" w:type="dxa"/>
            <w:vAlign w:val="center"/>
          </w:tcPr>
          <w:p>
            <w:pPr>
              <w:pStyle w:val="30"/>
              <w:rPr>
                <w:color w:val="auto"/>
              </w:rPr>
            </w:pPr>
            <w:r>
              <w:rPr>
                <w:color w:val="auto"/>
              </w:rPr>
              <w:t>汨环验〔2016〕10号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45" w:hRule="atLeast"/>
        </w:trPr>
        <w:tc>
          <w:tcPr>
            <w:tcW w:w="664" w:type="dxa"/>
            <w:gridSpan w:val="2"/>
            <w:vAlign w:val="center"/>
          </w:tcPr>
          <w:p>
            <w:pPr>
              <w:pStyle w:val="30"/>
              <w:rPr>
                <w:color w:val="auto"/>
              </w:rPr>
            </w:pPr>
            <w:r>
              <w:rPr>
                <w:color w:val="auto"/>
              </w:rPr>
              <w:t>6</w:t>
            </w:r>
          </w:p>
        </w:tc>
        <w:tc>
          <w:tcPr>
            <w:tcW w:w="3333" w:type="dxa"/>
            <w:vAlign w:val="center"/>
          </w:tcPr>
          <w:p>
            <w:pPr>
              <w:pStyle w:val="30"/>
              <w:rPr>
                <w:color w:val="auto"/>
              </w:rPr>
            </w:pPr>
            <w:r>
              <w:rPr>
                <w:color w:val="auto"/>
              </w:rPr>
              <w:t>汨罗市天惠有色金属有限公司</w:t>
            </w:r>
          </w:p>
        </w:tc>
        <w:tc>
          <w:tcPr>
            <w:tcW w:w="4425" w:type="dxa"/>
            <w:gridSpan w:val="2"/>
            <w:vAlign w:val="center"/>
          </w:tcPr>
          <w:p>
            <w:pPr>
              <w:pStyle w:val="30"/>
              <w:rPr>
                <w:color w:val="auto"/>
              </w:rPr>
            </w:pPr>
            <w:r>
              <w:rPr>
                <w:color w:val="auto"/>
              </w:rPr>
              <w:t>年产铜锭、紫铜板、铜棒、铜杆、铜排、铜管合计6万t/a</w:t>
            </w:r>
          </w:p>
        </w:tc>
        <w:tc>
          <w:tcPr>
            <w:tcW w:w="2731" w:type="dxa"/>
            <w:gridSpan w:val="2"/>
            <w:vAlign w:val="center"/>
          </w:tcPr>
          <w:p>
            <w:pPr>
              <w:pStyle w:val="30"/>
              <w:rPr>
                <w:color w:val="auto"/>
              </w:rPr>
            </w:pPr>
            <w:r>
              <w:rPr>
                <w:color w:val="auto"/>
              </w:rPr>
              <w:t>岳环评〔2018〕22号</w:t>
            </w:r>
          </w:p>
        </w:tc>
        <w:tc>
          <w:tcPr>
            <w:tcW w:w="2268" w:type="dxa"/>
            <w:vAlign w:val="center"/>
          </w:tcPr>
          <w:p>
            <w:pPr>
              <w:pStyle w:val="30"/>
              <w:rPr>
                <w:color w:val="auto"/>
              </w:rPr>
            </w:pPr>
            <w:r>
              <w:rPr>
                <w:color w:val="auto"/>
              </w:rPr>
              <w:t>已通过验收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2" w:hRule="atLeast"/>
        </w:trPr>
        <w:tc>
          <w:tcPr>
            <w:tcW w:w="664" w:type="dxa"/>
            <w:gridSpan w:val="2"/>
            <w:vAlign w:val="center"/>
          </w:tcPr>
          <w:p>
            <w:pPr>
              <w:pStyle w:val="30"/>
              <w:rPr>
                <w:color w:val="auto"/>
              </w:rPr>
            </w:pPr>
            <w:r>
              <w:rPr>
                <w:color w:val="auto"/>
              </w:rPr>
              <w:t>7</w:t>
            </w:r>
          </w:p>
        </w:tc>
        <w:tc>
          <w:tcPr>
            <w:tcW w:w="3333" w:type="dxa"/>
            <w:vAlign w:val="center"/>
          </w:tcPr>
          <w:p>
            <w:pPr>
              <w:pStyle w:val="30"/>
              <w:rPr>
                <w:color w:val="auto"/>
              </w:rPr>
            </w:pPr>
            <w:r>
              <w:rPr>
                <w:color w:val="auto"/>
              </w:rPr>
              <w:t>汨罗市正利有色金属有限公司</w:t>
            </w:r>
          </w:p>
        </w:tc>
        <w:tc>
          <w:tcPr>
            <w:tcW w:w="4425" w:type="dxa"/>
            <w:gridSpan w:val="2"/>
            <w:vAlign w:val="center"/>
          </w:tcPr>
          <w:p>
            <w:pPr>
              <w:pStyle w:val="30"/>
              <w:rPr>
                <w:color w:val="auto"/>
              </w:rPr>
            </w:pPr>
            <w:r>
              <w:rPr>
                <w:color w:val="auto"/>
              </w:rPr>
              <w:t>年产 50000吨铝合金脱氧剂项目</w:t>
            </w:r>
          </w:p>
        </w:tc>
        <w:tc>
          <w:tcPr>
            <w:tcW w:w="2731" w:type="dxa"/>
            <w:gridSpan w:val="2"/>
            <w:vAlign w:val="center"/>
          </w:tcPr>
          <w:p>
            <w:pPr>
              <w:pStyle w:val="30"/>
              <w:rPr>
                <w:color w:val="auto"/>
              </w:rPr>
            </w:pPr>
            <w:r>
              <w:rPr>
                <w:color w:val="auto"/>
              </w:rPr>
              <w:t>岳环评批〔2009〕66号</w:t>
            </w:r>
          </w:p>
        </w:tc>
        <w:tc>
          <w:tcPr>
            <w:tcW w:w="2268" w:type="dxa"/>
            <w:vAlign w:val="center"/>
          </w:tcPr>
          <w:p>
            <w:pPr>
              <w:pStyle w:val="30"/>
              <w:rPr>
                <w:color w:val="auto"/>
              </w:rPr>
            </w:pPr>
            <w:r>
              <w:rPr>
                <w:color w:val="auto"/>
              </w:rPr>
              <w:t>岳环评验〔2015〕48号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3" w:hRule="atLeast"/>
        </w:trPr>
        <w:tc>
          <w:tcPr>
            <w:tcW w:w="664" w:type="dxa"/>
            <w:gridSpan w:val="2"/>
            <w:vAlign w:val="center"/>
          </w:tcPr>
          <w:p>
            <w:pPr>
              <w:pStyle w:val="30"/>
              <w:rPr>
                <w:color w:val="auto"/>
              </w:rPr>
            </w:pPr>
            <w:r>
              <w:rPr>
                <w:color w:val="auto"/>
              </w:rPr>
              <w:t>8</w:t>
            </w:r>
          </w:p>
        </w:tc>
        <w:tc>
          <w:tcPr>
            <w:tcW w:w="3333" w:type="dxa"/>
            <w:vAlign w:val="center"/>
          </w:tcPr>
          <w:p>
            <w:pPr>
              <w:pStyle w:val="30"/>
              <w:rPr>
                <w:color w:val="auto"/>
              </w:rPr>
            </w:pPr>
            <w:r>
              <w:rPr>
                <w:color w:val="auto"/>
              </w:rPr>
              <w:t>湖南绿谷铝业有限公司</w:t>
            </w:r>
          </w:p>
        </w:tc>
        <w:tc>
          <w:tcPr>
            <w:tcW w:w="4425" w:type="dxa"/>
            <w:gridSpan w:val="2"/>
            <w:vAlign w:val="center"/>
          </w:tcPr>
          <w:p>
            <w:pPr>
              <w:pStyle w:val="30"/>
              <w:rPr>
                <w:color w:val="auto"/>
              </w:rPr>
            </w:pPr>
            <w:r>
              <w:rPr>
                <w:color w:val="auto"/>
              </w:rPr>
              <w:t>年产木质线条300吨</w:t>
            </w:r>
          </w:p>
        </w:tc>
        <w:tc>
          <w:tcPr>
            <w:tcW w:w="2731" w:type="dxa"/>
            <w:gridSpan w:val="2"/>
            <w:vAlign w:val="center"/>
          </w:tcPr>
          <w:p>
            <w:pPr>
              <w:pStyle w:val="30"/>
              <w:rPr>
                <w:color w:val="auto"/>
              </w:rPr>
            </w:pPr>
            <w:r>
              <w:rPr>
                <w:color w:val="auto"/>
              </w:rPr>
              <w:t>2018 年 3月已审批</w:t>
            </w:r>
          </w:p>
        </w:tc>
        <w:tc>
          <w:tcPr>
            <w:tcW w:w="2268" w:type="dxa"/>
            <w:vAlign w:val="center"/>
          </w:tcPr>
          <w:p>
            <w:pPr>
              <w:pStyle w:val="30"/>
              <w:rPr>
                <w:color w:val="auto"/>
              </w:rPr>
            </w:pPr>
            <w:r>
              <w:rPr>
                <w:color w:val="auto"/>
              </w:rPr>
              <w:t>已通过验收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2" w:hRule="atLeast"/>
        </w:trPr>
        <w:tc>
          <w:tcPr>
            <w:tcW w:w="664" w:type="dxa"/>
            <w:gridSpan w:val="2"/>
            <w:vAlign w:val="center"/>
          </w:tcPr>
          <w:p>
            <w:pPr>
              <w:pStyle w:val="30"/>
              <w:rPr>
                <w:color w:val="auto"/>
              </w:rPr>
            </w:pPr>
            <w:r>
              <w:rPr>
                <w:color w:val="auto"/>
              </w:rPr>
              <w:t>9</w:t>
            </w:r>
          </w:p>
        </w:tc>
        <w:tc>
          <w:tcPr>
            <w:tcW w:w="3333" w:type="dxa"/>
            <w:vAlign w:val="center"/>
          </w:tcPr>
          <w:p>
            <w:pPr>
              <w:pStyle w:val="30"/>
              <w:rPr>
                <w:color w:val="auto"/>
              </w:rPr>
            </w:pPr>
            <w:r>
              <w:rPr>
                <w:color w:val="auto"/>
              </w:rPr>
              <w:t>湖南讯刻节能科技有限公司</w:t>
            </w:r>
          </w:p>
        </w:tc>
        <w:tc>
          <w:tcPr>
            <w:tcW w:w="4425" w:type="dxa"/>
            <w:gridSpan w:val="2"/>
            <w:vAlign w:val="center"/>
          </w:tcPr>
          <w:p>
            <w:pPr>
              <w:pStyle w:val="30"/>
              <w:rPr>
                <w:color w:val="auto"/>
              </w:rPr>
            </w:pPr>
            <w:r>
              <w:rPr>
                <w:color w:val="auto"/>
              </w:rPr>
              <w:t>年产2400台商用节能炉具</w:t>
            </w:r>
          </w:p>
        </w:tc>
        <w:tc>
          <w:tcPr>
            <w:tcW w:w="2731" w:type="dxa"/>
            <w:gridSpan w:val="2"/>
            <w:vAlign w:val="center"/>
          </w:tcPr>
          <w:p>
            <w:pPr>
              <w:pStyle w:val="30"/>
              <w:rPr>
                <w:color w:val="auto"/>
              </w:rPr>
            </w:pPr>
            <w:r>
              <w:rPr>
                <w:color w:val="auto"/>
              </w:rPr>
              <w:t>汨环评批〔2013〕003号</w:t>
            </w:r>
          </w:p>
        </w:tc>
        <w:tc>
          <w:tcPr>
            <w:tcW w:w="2268" w:type="dxa"/>
            <w:vAlign w:val="center"/>
          </w:tcPr>
          <w:p>
            <w:pPr>
              <w:pStyle w:val="30"/>
              <w:rPr>
                <w:color w:val="auto"/>
              </w:rPr>
            </w:pPr>
            <w:r>
              <w:rPr>
                <w:color w:val="auto"/>
              </w:rPr>
              <w:t>汨环验〔2017〕35号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3" w:hRule="atLeast"/>
        </w:trPr>
        <w:tc>
          <w:tcPr>
            <w:tcW w:w="664" w:type="dxa"/>
            <w:gridSpan w:val="2"/>
            <w:vAlign w:val="center"/>
          </w:tcPr>
          <w:p>
            <w:pPr>
              <w:pStyle w:val="30"/>
              <w:rPr>
                <w:color w:val="auto"/>
              </w:rPr>
            </w:pPr>
            <w:r>
              <w:rPr>
                <w:color w:val="auto"/>
              </w:rPr>
              <w:t>10</w:t>
            </w:r>
          </w:p>
        </w:tc>
        <w:tc>
          <w:tcPr>
            <w:tcW w:w="3333" w:type="dxa"/>
            <w:vAlign w:val="center"/>
          </w:tcPr>
          <w:p>
            <w:pPr>
              <w:pStyle w:val="30"/>
              <w:rPr>
                <w:color w:val="auto"/>
              </w:rPr>
            </w:pPr>
            <w:r>
              <w:rPr>
                <w:color w:val="auto"/>
              </w:rPr>
              <w:t>湖南新佳懿环保新材料有限公司</w:t>
            </w:r>
          </w:p>
        </w:tc>
        <w:tc>
          <w:tcPr>
            <w:tcW w:w="4425" w:type="dxa"/>
            <w:gridSpan w:val="2"/>
            <w:vAlign w:val="center"/>
          </w:tcPr>
          <w:p>
            <w:pPr>
              <w:pStyle w:val="30"/>
              <w:rPr>
                <w:color w:val="auto"/>
              </w:rPr>
            </w:pPr>
            <w:r>
              <w:rPr>
                <w:color w:val="auto"/>
              </w:rPr>
              <w:t>年产50000m</w:t>
            </w:r>
            <w:r>
              <w:rPr>
                <w:color w:val="auto"/>
                <w:vertAlign w:val="superscript"/>
              </w:rPr>
              <w:t>2</w:t>
            </w:r>
            <w:r>
              <w:rPr>
                <w:color w:val="auto"/>
              </w:rPr>
              <w:t>集成墙板</w:t>
            </w:r>
          </w:p>
        </w:tc>
        <w:tc>
          <w:tcPr>
            <w:tcW w:w="2731" w:type="dxa"/>
            <w:gridSpan w:val="2"/>
            <w:vAlign w:val="center"/>
          </w:tcPr>
          <w:p>
            <w:pPr>
              <w:pStyle w:val="30"/>
              <w:rPr>
                <w:color w:val="auto"/>
              </w:rPr>
            </w:pPr>
            <w:r>
              <w:rPr>
                <w:color w:val="auto"/>
              </w:rPr>
              <w:t>汨环评批〔2017〕021号</w:t>
            </w:r>
          </w:p>
        </w:tc>
        <w:tc>
          <w:tcPr>
            <w:tcW w:w="2268" w:type="dxa"/>
            <w:vAlign w:val="center"/>
          </w:tcPr>
          <w:p>
            <w:pPr>
              <w:pStyle w:val="30"/>
              <w:rPr>
                <w:color w:val="auto"/>
              </w:rPr>
            </w:pPr>
            <w:r>
              <w:rPr>
                <w:color w:val="auto"/>
              </w:rPr>
              <w:t>已通过验收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816" w:hRule="atLeast"/>
        </w:trPr>
        <w:tc>
          <w:tcPr>
            <w:tcW w:w="664" w:type="dxa"/>
            <w:gridSpan w:val="2"/>
            <w:vAlign w:val="center"/>
          </w:tcPr>
          <w:p>
            <w:pPr>
              <w:pStyle w:val="30"/>
              <w:rPr>
                <w:color w:val="auto"/>
              </w:rPr>
            </w:pPr>
            <w:r>
              <w:rPr>
                <w:color w:val="auto"/>
              </w:rPr>
              <w:t>11</w:t>
            </w:r>
          </w:p>
        </w:tc>
        <w:tc>
          <w:tcPr>
            <w:tcW w:w="3333" w:type="dxa"/>
            <w:vAlign w:val="center"/>
          </w:tcPr>
          <w:p>
            <w:pPr>
              <w:pStyle w:val="30"/>
              <w:rPr>
                <w:color w:val="auto"/>
              </w:rPr>
            </w:pPr>
            <w:r>
              <w:rPr>
                <w:color w:val="auto"/>
              </w:rPr>
              <w:t>汨罗市鑫祥碳素制品有限公司</w:t>
            </w:r>
          </w:p>
        </w:tc>
        <w:tc>
          <w:tcPr>
            <w:tcW w:w="4425" w:type="dxa"/>
            <w:gridSpan w:val="2"/>
            <w:vAlign w:val="center"/>
          </w:tcPr>
          <w:p>
            <w:pPr>
              <w:pStyle w:val="30"/>
              <w:rPr>
                <w:color w:val="auto"/>
              </w:rPr>
            </w:pPr>
            <w:r>
              <w:rPr>
                <w:color w:val="auto"/>
              </w:rPr>
              <w:t>高品质石墨增碳剂5万t/a、锂离子电池负极材料3000t/a、石墨异型制品1000t/a、中低档增碳剂2万t/a</w:t>
            </w:r>
          </w:p>
        </w:tc>
        <w:tc>
          <w:tcPr>
            <w:tcW w:w="2731" w:type="dxa"/>
            <w:gridSpan w:val="2"/>
            <w:vAlign w:val="center"/>
          </w:tcPr>
          <w:p>
            <w:pPr>
              <w:pStyle w:val="30"/>
              <w:rPr>
                <w:color w:val="auto"/>
              </w:rPr>
            </w:pPr>
            <w:r>
              <w:rPr>
                <w:color w:val="auto"/>
              </w:rPr>
              <w:t>岳环评批〔2011〕13号</w:t>
            </w:r>
          </w:p>
        </w:tc>
        <w:tc>
          <w:tcPr>
            <w:tcW w:w="2268" w:type="dxa"/>
            <w:vAlign w:val="center"/>
          </w:tcPr>
          <w:p>
            <w:pPr>
              <w:pStyle w:val="30"/>
              <w:rPr>
                <w:color w:val="auto"/>
              </w:rPr>
            </w:pPr>
            <w:r>
              <w:rPr>
                <w:color w:val="auto"/>
              </w:rPr>
              <w:t>岳环评验〔2012〕18号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12" w:hRule="atLeast"/>
        </w:trPr>
        <w:tc>
          <w:tcPr>
            <w:tcW w:w="664" w:type="dxa"/>
            <w:gridSpan w:val="2"/>
            <w:vAlign w:val="center"/>
          </w:tcPr>
          <w:p>
            <w:pPr>
              <w:pStyle w:val="30"/>
              <w:rPr>
                <w:color w:val="auto"/>
              </w:rPr>
            </w:pPr>
            <w:r>
              <w:rPr>
                <w:color w:val="auto"/>
              </w:rPr>
              <w:t>12</w:t>
            </w:r>
          </w:p>
        </w:tc>
        <w:tc>
          <w:tcPr>
            <w:tcW w:w="3333" w:type="dxa"/>
            <w:vAlign w:val="center"/>
          </w:tcPr>
          <w:p>
            <w:pPr>
              <w:pStyle w:val="30"/>
              <w:rPr>
                <w:color w:val="auto"/>
              </w:rPr>
            </w:pPr>
            <w:r>
              <w:rPr>
                <w:color w:val="auto"/>
              </w:rPr>
              <w:t>汨罗市旭光建材有限公司</w:t>
            </w:r>
          </w:p>
        </w:tc>
        <w:tc>
          <w:tcPr>
            <w:tcW w:w="4425" w:type="dxa"/>
            <w:gridSpan w:val="2"/>
            <w:vAlign w:val="center"/>
          </w:tcPr>
          <w:p>
            <w:pPr>
              <w:pStyle w:val="30"/>
              <w:rPr>
                <w:color w:val="auto"/>
              </w:rPr>
            </w:pPr>
            <w:r>
              <w:rPr>
                <w:color w:val="auto"/>
              </w:rPr>
              <w:t>年产8000万块页岩墙体材料</w:t>
            </w:r>
          </w:p>
        </w:tc>
        <w:tc>
          <w:tcPr>
            <w:tcW w:w="2731" w:type="dxa"/>
            <w:gridSpan w:val="2"/>
            <w:vAlign w:val="center"/>
          </w:tcPr>
          <w:p>
            <w:pPr>
              <w:pStyle w:val="30"/>
              <w:rPr>
                <w:color w:val="auto"/>
              </w:rPr>
            </w:pPr>
            <w:r>
              <w:rPr>
                <w:color w:val="auto"/>
              </w:rPr>
              <w:t>汨环评批〔2018〕29号</w:t>
            </w:r>
          </w:p>
        </w:tc>
        <w:tc>
          <w:tcPr>
            <w:tcW w:w="2268" w:type="dxa"/>
            <w:vAlign w:val="center"/>
          </w:tcPr>
          <w:p>
            <w:pPr>
              <w:pStyle w:val="30"/>
              <w:rPr>
                <w:color w:val="auto"/>
              </w:rPr>
            </w:pPr>
            <w:r>
              <w:rPr>
                <w:color w:val="auto"/>
              </w:rPr>
              <w:t>2020.1 月验收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45" w:hRule="atLeast"/>
        </w:trPr>
        <w:tc>
          <w:tcPr>
            <w:tcW w:w="664" w:type="dxa"/>
            <w:gridSpan w:val="2"/>
            <w:vAlign w:val="center"/>
          </w:tcPr>
          <w:p>
            <w:pPr>
              <w:pStyle w:val="30"/>
              <w:rPr>
                <w:color w:val="auto"/>
              </w:rPr>
            </w:pPr>
            <w:r>
              <w:rPr>
                <w:color w:val="auto"/>
              </w:rPr>
              <w:t>13</w:t>
            </w:r>
          </w:p>
        </w:tc>
        <w:tc>
          <w:tcPr>
            <w:tcW w:w="3333" w:type="dxa"/>
            <w:vAlign w:val="center"/>
          </w:tcPr>
          <w:p>
            <w:pPr>
              <w:pStyle w:val="30"/>
              <w:rPr>
                <w:color w:val="auto"/>
              </w:rPr>
            </w:pPr>
            <w:r>
              <w:rPr>
                <w:color w:val="auto"/>
              </w:rPr>
              <w:t>汨罗市福缘新材料有限公司</w:t>
            </w:r>
          </w:p>
        </w:tc>
        <w:tc>
          <w:tcPr>
            <w:tcW w:w="4425" w:type="dxa"/>
            <w:gridSpan w:val="2"/>
            <w:vAlign w:val="center"/>
          </w:tcPr>
          <w:p>
            <w:pPr>
              <w:pStyle w:val="30"/>
              <w:rPr>
                <w:color w:val="auto"/>
              </w:rPr>
            </w:pPr>
            <w:r>
              <w:rPr>
                <w:color w:val="auto"/>
              </w:rPr>
              <w:t>石墨异性体2400t/a、增碳剂2400t/a、石墨体800t/a、石墨粉2400t/a</w:t>
            </w:r>
          </w:p>
        </w:tc>
        <w:tc>
          <w:tcPr>
            <w:tcW w:w="2731" w:type="dxa"/>
            <w:gridSpan w:val="2"/>
            <w:vAlign w:val="center"/>
          </w:tcPr>
          <w:p>
            <w:pPr>
              <w:pStyle w:val="30"/>
              <w:rPr>
                <w:color w:val="auto"/>
              </w:rPr>
            </w:pPr>
            <w:r>
              <w:rPr>
                <w:color w:val="auto"/>
              </w:rPr>
              <w:t>汨环评批〔2013〕070 号</w:t>
            </w:r>
          </w:p>
        </w:tc>
        <w:tc>
          <w:tcPr>
            <w:tcW w:w="2268" w:type="dxa"/>
            <w:vAlign w:val="center"/>
          </w:tcPr>
          <w:p>
            <w:pPr>
              <w:pStyle w:val="30"/>
              <w:rPr>
                <w:color w:val="auto"/>
              </w:rPr>
            </w:pPr>
            <w:r>
              <w:rPr>
                <w:color w:val="auto"/>
              </w:rPr>
              <w:t>汨环评验〔2013〕011</w:t>
            </w:r>
          </w:p>
          <w:p>
            <w:pPr>
              <w:pStyle w:val="30"/>
              <w:rPr>
                <w:color w:val="auto"/>
              </w:rPr>
            </w:pPr>
            <w:r>
              <w:rPr>
                <w:color w:val="auto"/>
              </w:rPr>
              <w:t>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2" w:hRule="atLeast"/>
        </w:trPr>
        <w:tc>
          <w:tcPr>
            <w:tcW w:w="664" w:type="dxa"/>
            <w:gridSpan w:val="2"/>
            <w:vAlign w:val="center"/>
          </w:tcPr>
          <w:p>
            <w:pPr>
              <w:pStyle w:val="30"/>
              <w:rPr>
                <w:color w:val="auto"/>
              </w:rPr>
            </w:pPr>
            <w:r>
              <w:rPr>
                <w:color w:val="auto"/>
              </w:rPr>
              <w:t>14</w:t>
            </w:r>
          </w:p>
        </w:tc>
        <w:tc>
          <w:tcPr>
            <w:tcW w:w="3333" w:type="dxa"/>
            <w:vAlign w:val="center"/>
          </w:tcPr>
          <w:p>
            <w:pPr>
              <w:pStyle w:val="30"/>
              <w:rPr>
                <w:color w:val="auto"/>
              </w:rPr>
            </w:pPr>
            <w:r>
              <w:rPr>
                <w:color w:val="auto"/>
              </w:rPr>
              <w:t>湖南湘达环保工程有限公司</w:t>
            </w:r>
          </w:p>
        </w:tc>
        <w:tc>
          <w:tcPr>
            <w:tcW w:w="4425" w:type="dxa"/>
            <w:gridSpan w:val="2"/>
            <w:vAlign w:val="center"/>
          </w:tcPr>
          <w:p>
            <w:pPr>
              <w:pStyle w:val="30"/>
              <w:rPr>
                <w:color w:val="auto"/>
              </w:rPr>
            </w:pPr>
            <w:r>
              <w:rPr>
                <w:color w:val="auto"/>
              </w:rPr>
              <w:t>年产45套除尘设备和脱硫设备</w:t>
            </w:r>
          </w:p>
        </w:tc>
        <w:tc>
          <w:tcPr>
            <w:tcW w:w="2731" w:type="dxa"/>
            <w:gridSpan w:val="2"/>
            <w:vAlign w:val="center"/>
          </w:tcPr>
          <w:p>
            <w:pPr>
              <w:pStyle w:val="30"/>
              <w:rPr>
                <w:color w:val="auto"/>
              </w:rPr>
            </w:pPr>
            <w:r>
              <w:rPr>
                <w:color w:val="auto"/>
              </w:rPr>
              <w:t>已审批</w:t>
            </w:r>
          </w:p>
        </w:tc>
        <w:tc>
          <w:tcPr>
            <w:tcW w:w="2268" w:type="dxa"/>
            <w:vAlign w:val="center"/>
          </w:tcPr>
          <w:p>
            <w:pPr>
              <w:pStyle w:val="30"/>
              <w:rPr>
                <w:color w:val="auto"/>
              </w:rPr>
            </w:pPr>
            <w:r>
              <w:rPr>
                <w:color w:val="auto"/>
              </w:rPr>
              <w:t>2010 年验收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3" w:hRule="atLeast"/>
        </w:trPr>
        <w:tc>
          <w:tcPr>
            <w:tcW w:w="664" w:type="dxa"/>
            <w:gridSpan w:val="2"/>
            <w:vAlign w:val="center"/>
          </w:tcPr>
          <w:p>
            <w:pPr>
              <w:pStyle w:val="30"/>
              <w:rPr>
                <w:color w:val="auto"/>
              </w:rPr>
            </w:pPr>
            <w:r>
              <w:rPr>
                <w:color w:val="auto"/>
              </w:rPr>
              <w:t>15</w:t>
            </w:r>
          </w:p>
        </w:tc>
        <w:tc>
          <w:tcPr>
            <w:tcW w:w="3333" w:type="dxa"/>
            <w:vAlign w:val="center"/>
          </w:tcPr>
          <w:p>
            <w:pPr>
              <w:pStyle w:val="30"/>
              <w:rPr>
                <w:color w:val="auto"/>
              </w:rPr>
            </w:pPr>
            <w:r>
              <w:rPr>
                <w:color w:val="auto"/>
              </w:rPr>
              <w:t>湖南省九喜日化有限公司</w:t>
            </w:r>
          </w:p>
        </w:tc>
        <w:tc>
          <w:tcPr>
            <w:tcW w:w="4425" w:type="dxa"/>
            <w:gridSpan w:val="2"/>
            <w:vAlign w:val="center"/>
          </w:tcPr>
          <w:p>
            <w:pPr>
              <w:pStyle w:val="30"/>
              <w:rPr>
                <w:color w:val="auto"/>
              </w:rPr>
            </w:pPr>
            <w:r>
              <w:rPr>
                <w:color w:val="auto"/>
              </w:rPr>
              <w:t>年产100万箱蚊香</w:t>
            </w:r>
          </w:p>
        </w:tc>
        <w:tc>
          <w:tcPr>
            <w:tcW w:w="2731" w:type="dxa"/>
            <w:gridSpan w:val="2"/>
            <w:vAlign w:val="center"/>
          </w:tcPr>
          <w:p>
            <w:pPr>
              <w:pStyle w:val="30"/>
              <w:rPr>
                <w:color w:val="auto"/>
              </w:rPr>
            </w:pPr>
            <w:r>
              <w:rPr>
                <w:color w:val="auto"/>
              </w:rPr>
              <w:t>已审批</w:t>
            </w:r>
          </w:p>
        </w:tc>
        <w:tc>
          <w:tcPr>
            <w:tcW w:w="2268" w:type="dxa"/>
            <w:vAlign w:val="center"/>
          </w:tcPr>
          <w:p>
            <w:pPr>
              <w:pStyle w:val="30"/>
              <w:rPr>
                <w:color w:val="auto"/>
              </w:rPr>
            </w:pPr>
            <w:r>
              <w:rPr>
                <w:color w:val="auto"/>
              </w:rPr>
              <w:t>2007.4.28 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2" w:hRule="atLeast"/>
        </w:trPr>
        <w:tc>
          <w:tcPr>
            <w:tcW w:w="664" w:type="dxa"/>
            <w:gridSpan w:val="2"/>
            <w:vAlign w:val="center"/>
          </w:tcPr>
          <w:p>
            <w:pPr>
              <w:pStyle w:val="30"/>
              <w:rPr>
                <w:color w:val="auto"/>
              </w:rPr>
            </w:pPr>
            <w:r>
              <w:rPr>
                <w:color w:val="auto"/>
              </w:rPr>
              <w:t>16</w:t>
            </w:r>
          </w:p>
        </w:tc>
        <w:tc>
          <w:tcPr>
            <w:tcW w:w="3333" w:type="dxa"/>
            <w:vAlign w:val="center"/>
          </w:tcPr>
          <w:p>
            <w:pPr>
              <w:pStyle w:val="30"/>
              <w:rPr>
                <w:color w:val="auto"/>
              </w:rPr>
            </w:pPr>
            <w:r>
              <w:rPr>
                <w:color w:val="auto"/>
              </w:rPr>
              <w:t>汨罗市通变电气有限公司</w:t>
            </w:r>
          </w:p>
        </w:tc>
        <w:tc>
          <w:tcPr>
            <w:tcW w:w="4425" w:type="dxa"/>
            <w:gridSpan w:val="2"/>
            <w:vAlign w:val="center"/>
          </w:tcPr>
          <w:p>
            <w:pPr>
              <w:pStyle w:val="30"/>
              <w:rPr>
                <w:color w:val="auto"/>
              </w:rPr>
            </w:pPr>
            <w:r>
              <w:rPr>
                <w:color w:val="auto"/>
              </w:rPr>
              <w:t>年产8000台电力变压器</w:t>
            </w:r>
          </w:p>
        </w:tc>
        <w:tc>
          <w:tcPr>
            <w:tcW w:w="2731" w:type="dxa"/>
            <w:gridSpan w:val="2"/>
            <w:vAlign w:val="center"/>
          </w:tcPr>
          <w:p>
            <w:pPr>
              <w:pStyle w:val="30"/>
              <w:rPr>
                <w:color w:val="auto"/>
              </w:rPr>
            </w:pPr>
            <w:r>
              <w:rPr>
                <w:color w:val="auto"/>
              </w:rPr>
              <w:t>汨环评批〔2014〕043 号</w:t>
            </w:r>
          </w:p>
        </w:tc>
        <w:tc>
          <w:tcPr>
            <w:tcW w:w="2268" w:type="dxa"/>
            <w:vAlign w:val="center"/>
          </w:tcPr>
          <w:p>
            <w:pPr>
              <w:pStyle w:val="30"/>
              <w:rPr>
                <w:color w:val="auto"/>
              </w:rPr>
            </w:pPr>
            <w:r>
              <w:rPr>
                <w:color w:val="auto"/>
              </w:rPr>
              <w:t>汨环验〔2017〕25 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342" w:hRule="atLeast"/>
        </w:trPr>
        <w:tc>
          <w:tcPr>
            <w:tcW w:w="664" w:type="dxa"/>
            <w:gridSpan w:val="2"/>
            <w:vAlign w:val="center"/>
          </w:tcPr>
          <w:p>
            <w:pPr>
              <w:pStyle w:val="30"/>
              <w:rPr>
                <w:color w:val="auto"/>
              </w:rPr>
            </w:pPr>
            <w:r>
              <w:rPr>
                <w:color w:val="auto"/>
              </w:rPr>
              <w:t>17</w:t>
            </w:r>
          </w:p>
        </w:tc>
        <w:tc>
          <w:tcPr>
            <w:tcW w:w="3333" w:type="dxa"/>
            <w:vAlign w:val="center"/>
          </w:tcPr>
          <w:p>
            <w:pPr>
              <w:pStyle w:val="30"/>
              <w:rPr>
                <w:color w:val="auto"/>
              </w:rPr>
            </w:pPr>
            <w:r>
              <w:rPr>
                <w:color w:val="auto"/>
              </w:rPr>
              <w:t>湖南鸿昱新材科技实业有限公司</w:t>
            </w:r>
          </w:p>
        </w:tc>
        <w:tc>
          <w:tcPr>
            <w:tcW w:w="4425" w:type="dxa"/>
            <w:gridSpan w:val="2"/>
            <w:vAlign w:val="center"/>
          </w:tcPr>
          <w:p>
            <w:pPr>
              <w:pStyle w:val="30"/>
              <w:rPr>
                <w:color w:val="auto"/>
              </w:rPr>
            </w:pPr>
            <w:r>
              <w:rPr>
                <w:color w:val="auto"/>
              </w:rPr>
              <w:t>年加工铁粉300吨、锰粉20000吨</w:t>
            </w:r>
          </w:p>
        </w:tc>
        <w:tc>
          <w:tcPr>
            <w:tcW w:w="2731" w:type="dxa"/>
            <w:gridSpan w:val="2"/>
            <w:vAlign w:val="center"/>
          </w:tcPr>
          <w:p>
            <w:pPr>
              <w:pStyle w:val="30"/>
              <w:rPr>
                <w:color w:val="auto"/>
              </w:rPr>
            </w:pPr>
            <w:r>
              <w:rPr>
                <w:color w:val="auto"/>
              </w:rPr>
              <w:t>已审批</w:t>
            </w:r>
          </w:p>
        </w:tc>
        <w:tc>
          <w:tcPr>
            <w:tcW w:w="2268" w:type="dxa"/>
            <w:vAlign w:val="center"/>
          </w:tcPr>
          <w:p>
            <w:pPr>
              <w:pStyle w:val="30"/>
              <w:rPr>
                <w:color w:val="auto"/>
              </w:rPr>
            </w:pPr>
            <w:r>
              <w:rPr>
                <w:color w:val="auto"/>
              </w:rPr>
              <w:t>未验收</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After w:val="1"/>
          <w:wAfter w:w="15" w:type="dxa"/>
          <w:trHeight w:val="542" w:hRule="atLeast"/>
        </w:trPr>
        <w:tc>
          <w:tcPr>
            <w:tcW w:w="664" w:type="dxa"/>
            <w:gridSpan w:val="2"/>
            <w:vAlign w:val="center"/>
          </w:tcPr>
          <w:p>
            <w:pPr>
              <w:pStyle w:val="30"/>
              <w:rPr>
                <w:color w:val="auto"/>
              </w:rPr>
            </w:pPr>
            <w:r>
              <w:rPr>
                <w:color w:val="auto"/>
              </w:rPr>
              <w:t>18</w:t>
            </w:r>
          </w:p>
        </w:tc>
        <w:tc>
          <w:tcPr>
            <w:tcW w:w="3333" w:type="dxa"/>
            <w:vAlign w:val="center"/>
          </w:tcPr>
          <w:p>
            <w:pPr>
              <w:pStyle w:val="30"/>
              <w:rPr>
                <w:color w:val="auto"/>
              </w:rPr>
            </w:pPr>
            <w:r>
              <w:rPr>
                <w:color w:val="auto"/>
              </w:rPr>
              <w:t>汨罗市铭鸿电子有限公司</w:t>
            </w:r>
          </w:p>
        </w:tc>
        <w:tc>
          <w:tcPr>
            <w:tcW w:w="4425" w:type="dxa"/>
            <w:gridSpan w:val="2"/>
            <w:vAlign w:val="center"/>
          </w:tcPr>
          <w:p>
            <w:pPr>
              <w:pStyle w:val="30"/>
              <w:rPr>
                <w:color w:val="auto"/>
              </w:rPr>
            </w:pPr>
            <w:r>
              <w:rPr>
                <w:color w:val="auto"/>
              </w:rPr>
              <w:t>年产4000吨电脑连接线及通讯线材</w:t>
            </w:r>
          </w:p>
        </w:tc>
        <w:tc>
          <w:tcPr>
            <w:tcW w:w="2731" w:type="dxa"/>
            <w:gridSpan w:val="2"/>
            <w:vAlign w:val="center"/>
          </w:tcPr>
          <w:p>
            <w:pPr>
              <w:pStyle w:val="30"/>
              <w:rPr>
                <w:color w:val="auto"/>
              </w:rPr>
            </w:pPr>
            <w:r>
              <w:rPr>
                <w:color w:val="auto"/>
              </w:rPr>
              <w:t>2008.1.20 岳环评批、汨环评批〔2015〕026号</w:t>
            </w:r>
          </w:p>
        </w:tc>
        <w:tc>
          <w:tcPr>
            <w:tcW w:w="2268" w:type="dxa"/>
            <w:vAlign w:val="center"/>
          </w:tcPr>
          <w:p>
            <w:pPr>
              <w:pStyle w:val="30"/>
              <w:rPr>
                <w:color w:val="auto"/>
              </w:rPr>
            </w:pPr>
            <w:r>
              <w:rPr>
                <w:color w:val="auto"/>
              </w:rPr>
              <w:t>岳环评验〔2014〕11号、汨环验〔2016〕15号</w:t>
            </w:r>
          </w:p>
        </w:tc>
        <w:tc>
          <w:tcPr>
            <w:tcW w:w="798" w:type="dxa"/>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33" w:hRule="atLeast"/>
        </w:trPr>
        <w:tc>
          <w:tcPr>
            <w:tcW w:w="649" w:type="dxa"/>
            <w:vAlign w:val="center"/>
          </w:tcPr>
          <w:p>
            <w:pPr>
              <w:pStyle w:val="30"/>
              <w:rPr>
                <w:color w:val="auto"/>
              </w:rPr>
            </w:pPr>
            <w:r>
              <w:rPr>
                <w:color w:val="auto"/>
              </w:rPr>
              <w:t>19</w:t>
            </w:r>
          </w:p>
        </w:tc>
        <w:tc>
          <w:tcPr>
            <w:tcW w:w="3348" w:type="dxa"/>
            <w:gridSpan w:val="2"/>
            <w:vAlign w:val="center"/>
          </w:tcPr>
          <w:p>
            <w:pPr>
              <w:pStyle w:val="30"/>
              <w:rPr>
                <w:color w:val="auto"/>
              </w:rPr>
            </w:pPr>
            <w:r>
              <w:rPr>
                <w:color w:val="auto"/>
              </w:rPr>
              <w:t>湖南现代家俱装饰有限公司</w:t>
            </w:r>
          </w:p>
        </w:tc>
        <w:tc>
          <w:tcPr>
            <w:tcW w:w="4425" w:type="dxa"/>
            <w:gridSpan w:val="2"/>
            <w:vAlign w:val="center"/>
          </w:tcPr>
          <w:p>
            <w:pPr>
              <w:pStyle w:val="30"/>
              <w:rPr>
                <w:color w:val="auto"/>
              </w:rPr>
            </w:pPr>
            <w:r>
              <w:rPr>
                <w:color w:val="auto"/>
              </w:rPr>
              <w:t>年产13万套竹木家具</w:t>
            </w:r>
          </w:p>
        </w:tc>
        <w:tc>
          <w:tcPr>
            <w:tcW w:w="2716" w:type="dxa"/>
            <w:vAlign w:val="center"/>
          </w:tcPr>
          <w:p>
            <w:pPr>
              <w:pStyle w:val="30"/>
              <w:rPr>
                <w:color w:val="auto"/>
              </w:rPr>
            </w:pPr>
            <w:r>
              <w:rPr>
                <w:color w:val="auto"/>
              </w:rPr>
              <w:t>无文号，2013.5.20</w:t>
            </w:r>
          </w:p>
        </w:tc>
        <w:tc>
          <w:tcPr>
            <w:tcW w:w="2268" w:type="dxa"/>
            <w:vAlign w:val="center"/>
          </w:tcPr>
          <w:p>
            <w:pPr>
              <w:pStyle w:val="30"/>
              <w:rPr>
                <w:color w:val="auto"/>
              </w:rPr>
            </w:pPr>
            <w:r>
              <w:rPr>
                <w:color w:val="auto"/>
              </w:rPr>
              <w:t>汨环验〔2017〕34号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3" w:hRule="atLeast"/>
        </w:trPr>
        <w:tc>
          <w:tcPr>
            <w:tcW w:w="649" w:type="dxa"/>
            <w:vAlign w:val="center"/>
          </w:tcPr>
          <w:p>
            <w:pPr>
              <w:pStyle w:val="30"/>
              <w:rPr>
                <w:color w:val="auto"/>
              </w:rPr>
            </w:pPr>
            <w:r>
              <w:rPr>
                <w:color w:val="auto"/>
              </w:rPr>
              <w:t>20</w:t>
            </w:r>
          </w:p>
        </w:tc>
        <w:tc>
          <w:tcPr>
            <w:tcW w:w="3348" w:type="dxa"/>
            <w:gridSpan w:val="2"/>
            <w:vAlign w:val="center"/>
          </w:tcPr>
          <w:p>
            <w:pPr>
              <w:pStyle w:val="30"/>
              <w:rPr>
                <w:color w:val="auto"/>
              </w:rPr>
            </w:pPr>
            <w:r>
              <w:rPr>
                <w:color w:val="auto"/>
              </w:rPr>
              <w:t>汨罗市双兴高温耐火材料有限公司</w:t>
            </w:r>
          </w:p>
        </w:tc>
        <w:tc>
          <w:tcPr>
            <w:tcW w:w="4425" w:type="dxa"/>
            <w:gridSpan w:val="2"/>
            <w:vAlign w:val="center"/>
          </w:tcPr>
          <w:p>
            <w:pPr>
              <w:pStyle w:val="30"/>
              <w:rPr>
                <w:color w:val="auto"/>
              </w:rPr>
            </w:pPr>
            <w:r>
              <w:rPr>
                <w:color w:val="auto"/>
              </w:rPr>
              <w:t>年产10000吨耐热不锈钢纤维产品</w:t>
            </w:r>
          </w:p>
        </w:tc>
        <w:tc>
          <w:tcPr>
            <w:tcW w:w="2716" w:type="dxa"/>
            <w:vAlign w:val="center"/>
          </w:tcPr>
          <w:p>
            <w:pPr>
              <w:pStyle w:val="30"/>
              <w:rPr>
                <w:color w:val="auto"/>
              </w:rPr>
            </w:pPr>
            <w:r>
              <w:rPr>
                <w:color w:val="auto"/>
              </w:rPr>
              <w:t>岳环评批〔2009〕42号</w:t>
            </w:r>
          </w:p>
        </w:tc>
        <w:tc>
          <w:tcPr>
            <w:tcW w:w="2268" w:type="dxa"/>
            <w:vAlign w:val="center"/>
          </w:tcPr>
          <w:p>
            <w:pPr>
              <w:pStyle w:val="30"/>
              <w:rPr>
                <w:color w:val="auto"/>
              </w:rPr>
            </w:pPr>
            <w:r>
              <w:rPr>
                <w:color w:val="auto"/>
              </w:rPr>
              <w:t>岳环评验〔2012〕5号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21</w:t>
            </w:r>
          </w:p>
        </w:tc>
        <w:tc>
          <w:tcPr>
            <w:tcW w:w="3348" w:type="dxa"/>
            <w:gridSpan w:val="2"/>
            <w:vAlign w:val="center"/>
          </w:tcPr>
          <w:p>
            <w:pPr>
              <w:pStyle w:val="30"/>
              <w:rPr>
                <w:color w:val="auto"/>
              </w:rPr>
            </w:pPr>
            <w:r>
              <w:rPr>
                <w:color w:val="auto"/>
              </w:rPr>
              <w:t>湖南双兴铝业有限公司</w:t>
            </w:r>
          </w:p>
        </w:tc>
        <w:tc>
          <w:tcPr>
            <w:tcW w:w="4425" w:type="dxa"/>
            <w:gridSpan w:val="2"/>
            <w:vAlign w:val="center"/>
          </w:tcPr>
          <w:p>
            <w:pPr>
              <w:pStyle w:val="30"/>
              <w:rPr>
                <w:color w:val="auto"/>
              </w:rPr>
            </w:pPr>
            <w:r>
              <w:rPr>
                <w:color w:val="auto"/>
              </w:rPr>
              <w:t>年产5万吨再生合金铝锭</w:t>
            </w:r>
          </w:p>
        </w:tc>
        <w:tc>
          <w:tcPr>
            <w:tcW w:w="2716" w:type="dxa"/>
            <w:vAlign w:val="center"/>
          </w:tcPr>
          <w:p>
            <w:pPr>
              <w:pStyle w:val="30"/>
              <w:rPr>
                <w:color w:val="auto"/>
              </w:rPr>
            </w:pPr>
            <w:r>
              <w:rPr>
                <w:color w:val="auto"/>
              </w:rPr>
              <w:t>岳环评批〔2010〕35号</w:t>
            </w:r>
          </w:p>
        </w:tc>
        <w:tc>
          <w:tcPr>
            <w:tcW w:w="2268" w:type="dxa"/>
            <w:vAlign w:val="center"/>
          </w:tcPr>
          <w:p>
            <w:pPr>
              <w:pStyle w:val="30"/>
              <w:rPr>
                <w:color w:val="auto"/>
              </w:rPr>
            </w:pPr>
            <w:r>
              <w:rPr>
                <w:color w:val="auto"/>
              </w:rPr>
              <w:t>岳环评验〔2015〕19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22</w:t>
            </w:r>
          </w:p>
        </w:tc>
        <w:tc>
          <w:tcPr>
            <w:tcW w:w="3348" w:type="dxa"/>
            <w:gridSpan w:val="2"/>
            <w:vAlign w:val="center"/>
          </w:tcPr>
          <w:p>
            <w:pPr>
              <w:pStyle w:val="30"/>
              <w:rPr>
                <w:color w:val="auto"/>
              </w:rPr>
            </w:pPr>
            <w:r>
              <w:rPr>
                <w:color w:val="auto"/>
              </w:rPr>
              <w:t>湖南金丰铜材有限公司</w:t>
            </w:r>
          </w:p>
        </w:tc>
        <w:tc>
          <w:tcPr>
            <w:tcW w:w="4425" w:type="dxa"/>
            <w:gridSpan w:val="2"/>
            <w:vAlign w:val="center"/>
          </w:tcPr>
          <w:p>
            <w:pPr>
              <w:pStyle w:val="30"/>
              <w:rPr>
                <w:color w:val="auto"/>
              </w:rPr>
            </w:pPr>
            <w:r>
              <w:rPr>
                <w:color w:val="auto"/>
              </w:rPr>
              <w:t>年产3.2万吨再生铜、2万吨铜线</w:t>
            </w:r>
          </w:p>
        </w:tc>
        <w:tc>
          <w:tcPr>
            <w:tcW w:w="2716" w:type="dxa"/>
            <w:vAlign w:val="center"/>
          </w:tcPr>
          <w:p>
            <w:pPr>
              <w:pStyle w:val="30"/>
              <w:rPr>
                <w:color w:val="auto"/>
              </w:rPr>
            </w:pPr>
            <w:r>
              <w:rPr>
                <w:color w:val="auto"/>
              </w:rPr>
              <w:t>岳环评批〔2012〕133号、</w:t>
            </w:r>
          </w:p>
          <w:p>
            <w:pPr>
              <w:pStyle w:val="30"/>
              <w:rPr>
                <w:color w:val="auto"/>
              </w:rPr>
            </w:pPr>
            <w:r>
              <w:rPr>
                <w:color w:val="auto"/>
              </w:rPr>
              <w:t>岳环评〔2015〕60号</w:t>
            </w:r>
          </w:p>
        </w:tc>
        <w:tc>
          <w:tcPr>
            <w:tcW w:w="2268" w:type="dxa"/>
            <w:vAlign w:val="center"/>
          </w:tcPr>
          <w:p>
            <w:pPr>
              <w:pStyle w:val="30"/>
              <w:rPr>
                <w:color w:val="auto"/>
              </w:rPr>
            </w:pPr>
            <w:r>
              <w:rPr>
                <w:color w:val="auto"/>
              </w:rPr>
              <w:t>岳环评验〔2013〕19号岳环评验〔2015〕61号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23</w:t>
            </w:r>
          </w:p>
        </w:tc>
        <w:tc>
          <w:tcPr>
            <w:tcW w:w="3348" w:type="dxa"/>
            <w:gridSpan w:val="2"/>
            <w:vAlign w:val="center"/>
          </w:tcPr>
          <w:p>
            <w:pPr>
              <w:pStyle w:val="30"/>
              <w:rPr>
                <w:color w:val="auto"/>
              </w:rPr>
            </w:pPr>
            <w:r>
              <w:rPr>
                <w:color w:val="auto"/>
              </w:rPr>
              <w:t>湖南新威凌新材料有限公司</w:t>
            </w:r>
          </w:p>
        </w:tc>
        <w:tc>
          <w:tcPr>
            <w:tcW w:w="4425" w:type="dxa"/>
            <w:gridSpan w:val="2"/>
            <w:vAlign w:val="center"/>
          </w:tcPr>
          <w:p>
            <w:pPr>
              <w:pStyle w:val="30"/>
              <w:rPr>
                <w:color w:val="auto"/>
              </w:rPr>
            </w:pPr>
            <w:r>
              <w:rPr>
                <w:color w:val="auto"/>
              </w:rPr>
              <w:t>年产1.5万吨超细锌粉</w:t>
            </w:r>
          </w:p>
        </w:tc>
        <w:tc>
          <w:tcPr>
            <w:tcW w:w="2716" w:type="dxa"/>
            <w:vAlign w:val="center"/>
          </w:tcPr>
          <w:p>
            <w:pPr>
              <w:pStyle w:val="30"/>
              <w:rPr>
                <w:color w:val="auto"/>
              </w:rPr>
            </w:pPr>
            <w:r>
              <w:rPr>
                <w:color w:val="auto"/>
              </w:rPr>
              <w:t>已环评</w:t>
            </w:r>
          </w:p>
        </w:tc>
        <w:tc>
          <w:tcPr>
            <w:tcW w:w="2268" w:type="dxa"/>
            <w:vAlign w:val="center"/>
          </w:tcPr>
          <w:p>
            <w:pPr>
              <w:pStyle w:val="30"/>
              <w:rPr>
                <w:color w:val="auto"/>
              </w:rPr>
            </w:pPr>
            <w:r>
              <w:rPr>
                <w:color w:val="auto"/>
              </w:rPr>
              <w:t>2012 年验收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24</w:t>
            </w:r>
          </w:p>
        </w:tc>
        <w:tc>
          <w:tcPr>
            <w:tcW w:w="3348" w:type="dxa"/>
            <w:gridSpan w:val="2"/>
            <w:vAlign w:val="center"/>
          </w:tcPr>
          <w:p>
            <w:pPr>
              <w:pStyle w:val="30"/>
              <w:rPr>
                <w:color w:val="auto"/>
              </w:rPr>
            </w:pPr>
            <w:r>
              <w:rPr>
                <w:color w:val="auto"/>
              </w:rPr>
              <w:t>汨罗市广发废旧金属回收有限公司</w:t>
            </w:r>
          </w:p>
        </w:tc>
        <w:tc>
          <w:tcPr>
            <w:tcW w:w="4425" w:type="dxa"/>
            <w:gridSpan w:val="2"/>
            <w:vAlign w:val="center"/>
          </w:tcPr>
          <w:p>
            <w:pPr>
              <w:pStyle w:val="30"/>
              <w:rPr>
                <w:color w:val="auto"/>
              </w:rPr>
            </w:pPr>
            <w:r>
              <w:rPr>
                <w:color w:val="auto"/>
              </w:rPr>
              <w:t>年打包废旧不锈钢3万吨</w:t>
            </w:r>
          </w:p>
        </w:tc>
        <w:tc>
          <w:tcPr>
            <w:tcW w:w="2716" w:type="dxa"/>
            <w:vAlign w:val="center"/>
          </w:tcPr>
          <w:p>
            <w:pPr>
              <w:pStyle w:val="30"/>
              <w:rPr>
                <w:color w:val="auto"/>
              </w:rPr>
            </w:pPr>
            <w:r>
              <w:rPr>
                <w:color w:val="auto"/>
              </w:rPr>
              <w:t>汨环评审〔2012〕029 号</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4" w:hRule="atLeast"/>
        </w:trPr>
        <w:tc>
          <w:tcPr>
            <w:tcW w:w="649" w:type="dxa"/>
            <w:vAlign w:val="center"/>
          </w:tcPr>
          <w:p>
            <w:pPr>
              <w:pStyle w:val="30"/>
              <w:rPr>
                <w:color w:val="auto"/>
              </w:rPr>
            </w:pPr>
            <w:r>
              <w:rPr>
                <w:color w:val="auto"/>
              </w:rPr>
              <w:t>25</w:t>
            </w:r>
          </w:p>
        </w:tc>
        <w:tc>
          <w:tcPr>
            <w:tcW w:w="3348" w:type="dxa"/>
            <w:gridSpan w:val="2"/>
            <w:vAlign w:val="center"/>
          </w:tcPr>
          <w:p>
            <w:pPr>
              <w:pStyle w:val="30"/>
              <w:rPr>
                <w:color w:val="auto"/>
              </w:rPr>
            </w:pPr>
            <w:r>
              <w:rPr>
                <w:color w:val="auto"/>
              </w:rPr>
              <w:t>汨罗市天盛铜材有限公司</w:t>
            </w:r>
          </w:p>
        </w:tc>
        <w:tc>
          <w:tcPr>
            <w:tcW w:w="4425" w:type="dxa"/>
            <w:gridSpan w:val="2"/>
            <w:vAlign w:val="center"/>
          </w:tcPr>
          <w:p>
            <w:pPr>
              <w:pStyle w:val="30"/>
              <w:rPr>
                <w:color w:val="auto"/>
              </w:rPr>
            </w:pPr>
            <w:r>
              <w:rPr>
                <w:color w:val="auto"/>
              </w:rPr>
              <w:t>年产紫铜排1500吨、紫铜锭4100吨</w:t>
            </w:r>
          </w:p>
        </w:tc>
        <w:tc>
          <w:tcPr>
            <w:tcW w:w="2716" w:type="dxa"/>
            <w:vAlign w:val="center"/>
          </w:tcPr>
          <w:p>
            <w:pPr>
              <w:pStyle w:val="30"/>
              <w:rPr>
                <w:color w:val="auto"/>
              </w:rPr>
            </w:pPr>
            <w:r>
              <w:rPr>
                <w:color w:val="auto"/>
              </w:rPr>
              <w:t>2007年4月10日岳阳市环保局审批</w:t>
            </w:r>
          </w:p>
        </w:tc>
        <w:tc>
          <w:tcPr>
            <w:tcW w:w="2268" w:type="dxa"/>
            <w:vAlign w:val="center"/>
          </w:tcPr>
          <w:p>
            <w:pPr>
              <w:pStyle w:val="30"/>
              <w:rPr>
                <w:color w:val="auto"/>
              </w:rPr>
            </w:pPr>
            <w:r>
              <w:rPr>
                <w:color w:val="auto"/>
              </w:rPr>
              <w:t>2013年岳阳市环保局验收</w:t>
            </w:r>
          </w:p>
        </w:tc>
        <w:tc>
          <w:tcPr>
            <w:tcW w:w="813" w:type="dxa"/>
            <w:gridSpan w:val="2"/>
            <w:vAlign w:val="center"/>
          </w:tcPr>
          <w:p>
            <w:pPr>
              <w:pStyle w:val="30"/>
              <w:rPr>
                <w:color w:val="auto"/>
              </w:rPr>
            </w:pPr>
            <w:r>
              <w:rPr>
                <w:color w:val="auto"/>
              </w:rPr>
              <w:t>已停</w:t>
            </w:r>
          </w:p>
          <w:p>
            <w:pPr>
              <w:pStyle w:val="30"/>
              <w:rPr>
                <w:color w:val="auto"/>
              </w:rPr>
            </w:pPr>
            <w:r>
              <w:rPr>
                <w:color w:val="auto"/>
              </w:rPr>
              <w:t>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26</w:t>
            </w:r>
          </w:p>
        </w:tc>
        <w:tc>
          <w:tcPr>
            <w:tcW w:w="3348" w:type="dxa"/>
            <w:gridSpan w:val="2"/>
            <w:vAlign w:val="center"/>
          </w:tcPr>
          <w:p>
            <w:pPr>
              <w:pStyle w:val="30"/>
              <w:rPr>
                <w:color w:val="auto"/>
              </w:rPr>
            </w:pPr>
            <w:r>
              <w:rPr>
                <w:color w:val="auto"/>
              </w:rPr>
              <w:t>长沙鑫太阳建筑门窗装饰有限公司汨罗分公司</w:t>
            </w:r>
          </w:p>
        </w:tc>
        <w:tc>
          <w:tcPr>
            <w:tcW w:w="4425" w:type="dxa"/>
            <w:gridSpan w:val="2"/>
            <w:vAlign w:val="center"/>
          </w:tcPr>
          <w:p>
            <w:pPr>
              <w:pStyle w:val="30"/>
              <w:rPr>
                <w:color w:val="auto"/>
              </w:rPr>
            </w:pPr>
            <w:r>
              <w:rPr>
                <w:color w:val="auto"/>
              </w:rPr>
              <w:t>年组装铝合金门窗5万平方米</w:t>
            </w:r>
          </w:p>
        </w:tc>
        <w:tc>
          <w:tcPr>
            <w:tcW w:w="2716" w:type="dxa"/>
            <w:vAlign w:val="center"/>
          </w:tcPr>
          <w:p>
            <w:pPr>
              <w:pStyle w:val="30"/>
              <w:rPr>
                <w:color w:val="auto"/>
              </w:rPr>
            </w:pPr>
            <w:r>
              <w:rPr>
                <w:color w:val="auto"/>
              </w:rPr>
              <w:t>汨环评批〔2014〕084号</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27</w:t>
            </w:r>
          </w:p>
        </w:tc>
        <w:tc>
          <w:tcPr>
            <w:tcW w:w="3348" w:type="dxa"/>
            <w:gridSpan w:val="2"/>
            <w:vAlign w:val="center"/>
          </w:tcPr>
          <w:p>
            <w:pPr>
              <w:pStyle w:val="30"/>
              <w:rPr>
                <w:color w:val="auto"/>
              </w:rPr>
            </w:pPr>
            <w:r>
              <w:rPr>
                <w:color w:val="auto"/>
              </w:rPr>
              <w:t>汨罗市联创铝业科技有限公司</w:t>
            </w:r>
          </w:p>
        </w:tc>
        <w:tc>
          <w:tcPr>
            <w:tcW w:w="4425" w:type="dxa"/>
            <w:gridSpan w:val="2"/>
            <w:vAlign w:val="center"/>
          </w:tcPr>
          <w:p>
            <w:pPr>
              <w:pStyle w:val="30"/>
              <w:rPr>
                <w:color w:val="auto"/>
              </w:rPr>
            </w:pPr>
            <w:r>
              <w:rPr>
                <w:color w:val="auto"/>
              </w:rPr>
              <w:t>年产5万吨铝合金锭</w:t>
            </w:r>
          </w:p>
        </w:tc>
        <w:tc>
          <w:tcPr>
            <w:tcW w:w="2716" w:type="dxa"/>
            <w:vAlign w:val="center"/>
          </w:tcPr>
          <w:p>
            <w:pPr>
              <w:pStyle w:val="30"/>
              <w:rPr>
                <w:color w:val="auto"/>
              </w:rPr>
            </w:pPr>
            <w:r>
              <w:rPr>
                <w:color w:val="auto"/>
              </w:rPr>
              <w:t>岳环评批〔2012〕42号</w:t>
            </w:r>
          </w:p>
        </w:tc>
        <w:tc>
          <w:tcPr>
            <w:tcW w:w="2268" w:type="dxa"/>
            <w:vAlign w:val="center"/>
          </w:tcPr>
          <w:p>
            <w:pPr>
              <w:pStyle w:val="30"/>
              <w:rPr>
                <w:color w:val="auto"/>
              </w:rPr>
            </w:pPr>
            <w:r>
              <w:rPr>
                <w:color w:val="auto"/>
              </w:rPr>
              <w:t>岳环评验〔2013〕18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28</w:t>
            </w:r>
          </w:p>
        </w:tc>
        <w:tc>
          <w:tcPr>
            <w:tcW w:w="3348" w:type="dxa"/>
            <w:gridSpan w:val="2"/>
            <w:vAlign w:val="center"/>
          </w:tcPr>
          <w:p>
            <w:pPr>
              <w:pStyle w:val="30"/>
              <w:rPr>
                <w:color w:val="auto"/>
              </w:rPr>
            </w:pPr>
            <w:r>
              <w:rPr>
                <w:color w:val="auto"/>
              </w:rPr>
              <w:t>湖南金一科技有限公司</w:t>
            </w:r>
          </w:p>
        </w:tc>
        <w:tc>
          <w:tcPr>
            <w:tcW w:w="4425" w:type="dxa"/>
            <w:gridSpan w:val="2"/>
            <w:vAlign w:val="center"/>
          </w:tcPr>
          <w:p>
            <w:pPr>
              <w:pStyle w:val="30"/>
              <w:rPr>
                <w:color w:val="auto"/>
              </w:rPr>
            </w:pPr>
            <w:r>
              <w:rPr>
                <w:color w:val="auto"/>
              </w:rPr>
              <w:t>年产各种铜锭、铜杆、铜丝2.5万t/a</w:t>
            </w:r>
          </w:p>
        </w:tc>
        <w:tc>
          <w:tcPr>
            <w:tcW w:w="2716" w:type="dxa"/>
            <w:vAlign w:val="center"/>
          </w:tcPr>
          <w:p>
            <w:pPr>
              <w:pStyle w:val="30"/>
              <w:rPr>
                <w:color w:val="auto"/>
              </w:rPr>
            </w:pPr>
            <w:r>
              <w:rPr>
                <w:color w:val="auto"/>
              </w:rPr>
              <w:t>岳环评批〔2009〕13号，变更批复，2012年5月18日</w:t>
            </w:r>
          </w:p>
        </w:tc>
        <w:tc>
          <w:tcPr>
            <w:tcW w:w="2268" w:type="dxa"/>
            <w:vAlign w:val="center"/>
          </w:tcPr>
          <w:p>
            <w:pPr>
              <w:pStyle w:val="30"/>
              <w:rPr>
                <w:color w:val="auto"/>
              </w:rPr>
            </w:pPr>
            <w:r>
              <w:rPr>
                <w:color w:val="auto"/>
              </w:rPr>
              <w:t>岳环评验〔2012〕15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3" w:hRule="atLeast"/>
        </w:trPr>
        <w:tc>
          <w:tcPr>
            <w:tcW w:w="649" w:type="dxa"/>
            <w:vAlign w:val="center"/>
          </w:tcPr>
          <w:p>
            <w:pPr>
              <w:pStyle w:val="30"/>
              <w:rPr>
                <w:color w:val="auto"/>
              </w:rPr>
            </w:pPr>
            <w:r>
              <w:rPr>
                <w:color w:val="auto"/>
              </w:rPr>
              <w:t>29</w:t>
            </w:r>
          </w:p>
        </w:tc>
        <w:tc>
          <w:tcPr>
            <w:tcW w:w="3348" w:type="dxa"/>
            <w:gridSpan w:val="2"/>
            <w:vAlign w:val="center"/>
          </w:tcPr>
          <w:p>
            <w:pPr>
              <w:pStyle w:val="30"/>
              <w:rPr>
                <w:color w:val="auto"/>
              </w:rPr>
            </w:pPr>
            <w:r>
              <w:rPr>
                <w:color w:val="auto"/>
              </w:rPr>
              <w:t>汨罗市金龙铜业有限公司</w:t>
            </w:r>
          </w:p>
        </w:tc>
        <w:tc>
          <w:tcPr>
            <w:tcW w:w="4425" w:type="dxa"/>
            <w:gridSpan w:val="2"/>
            <w:vAlign w:val="center"/>
          </w:tcPr>
          <w:p>
            <w:pPr>
              <w:pStyle w:val="30"/>
              <w:rPr>
                <w:color w:val="auto"/>
              </w:rPr>
            </w:pPr>
            <w:r>
              <w:rPr>
                <w:color w:val="auto"/>
              </w:rPr>
              <w:t>年产 2.5 万吨再生铜板</w:t>
            </w:r>
          </w:p>
        </w:tc>
        <w:tc>
          <w:tcPr>
            <w:tcW w:w="2716" w:type="dxa"/>
            <w:vAlign w:val="center"/>
          </w:tcPr>
          <w:p>
            <w:pPr>
              <w:pStyle w:val="30"/>
              <w:rPr>
                <w:color w:val="auto"/>
              </w:rPr>
            </w:pPr>
            <w:r>
              <w:rPr>
                <w:color w:val="auto"/>
              </w:rPr>
              <w:t>岳阳市环保局审批，2007年5月25日</w:t>
            </w:r>
          </w:p>
        </w:tc>
        <w:tc>
          <w:tcPr>
            <w:tcW w:w="2268" w:type="dxa"/>
            <w:vAlign w:val="center"/>
          </w:tcPr>
          <w:p>
            <w:pPr>
              <w:pStyle w:val="30"/>
              <w:rPr>
                <w:color w:val="auto"/>
              </w:rPr>
            </w:pPr>
            <w:r>
              <w:rPr>
                <w:color w:val="auto"/>
              </w:rPr>
              <w:t>未验收</w:t>
            </w:r>
          </w:p>
        </w:tc>
        <w:tc>
          <w:tcPr>
            <w:tcW w:w="813" w:type="dxa"/>
            <w:gridSpan w:val="2"/>
            <w:vAlign w:val="center"/>
          </w:tcPr>
          <w:p>
            <w:pPr>
              <w:pStyle w:val="30"/>
              <w:rPr>
                <w:color w:val="auto"/>
              </w:rPr>
            </w:pPr>
            <w:r>
              <w:rPr>
                <w:color w:val="auto"/>
              </w:rPr>
              <w:t>已停</w:t>
            </w:r>
          </w:p>
          <w:p>
            <w:pPr>
              <w:pStyle w:val="30"/>
              <w:rPr>
                <w:color w:val="auto"/>
              </w:rPr>
            </w:pPr>
            <w:r>
              <w:rPr>
                <w:color w:val="auto"/>
              </w:rPr>
              <w:t>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30</w:t>
            </w:r>
          </w:p>
        </w:tc>
        <w:tc>
          <w:tcPr>
            <w:tcW w:w="3348" w:type="dxa"/>
            <w:gridSpan w:val="2"/>
            <w:vAlign w:val="center"/>
          </w:tcPr>
          <w:p>
            <w:pPr>
              <w:pStyle w:val="30"/>
              <w:rPr>
                <w:color w:val="auto"/>
              </w:rPr>
            </w:pPr>
            <w:r>
              <w:rPr>
                <w:color w:val="auto"/>
              </w:rPr>
              <w:t>湖南国鑫有色金属有限公司</w:t>
            </w:r>
          </w:p>
        </w:tc>
        <w:tc>
          <w:tcPr>
            <w:tcW w:w="4425" w:type="dxa"/>
            <w:gridSpan w:val="2"/>
            <w:vAlign w:val="center"/>
          </w:tcPr>
          <w:p>
            <w:pPr>
              <w:pStyle w:val="30"/>
              <w:rPr>
                <w:color w:val="auto"/>
              </w:rPr>
            </w:pPr>
            <w:r>
              <w:rPr>
                <w:color w:val="auto"/>
              </w:rPr>
              <w:t>年产3万吨铝合金、铝锭产品</w:t>
            </w:r>
          </w:p>
        </w:tc>
        <w:tc>
          <w:tcPr>
            <w:tcW w:w="2716" w:type="dxa"/>
            <w:vAlign w:val="center"/>
          </w:tcPr>
          <w:p>
            <w:pPr>
              <w:pStyle w:val="30"/>
              <w:rPr>
                <w:color w:val="auto"/>
              </w:rPr>
            </w:pPr>
            <w:r>
              <w:rPr>
                <w:color w:val="auto"/>
              </w:rPr>
              <w:t>岳阳市环保局审批，2011 年6月20日</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31</w:t>
            </w:r>
          </w:p>
        </w:tc>
        <w:tc>
          <w:tcPr>
            <w:tcW w:w="3348" w:type="dxa"/>
            <w:gridSpan w:val="2"/>
            <w:vAlign w:val="center"/>
          </w:tcPr>
          <w:p>
            <w:pPr>
              <w:pStyle w:val="30"/>
              <w:rPr>
                <w:color w:val="auto"/>
              </w:rPr>
            </w:pPr>
            <w:r>
              <w:rPr>
                <w:color w:val="auto"/>
              </w:rPr>
              <w:t>汨罗市钱进铜业有限公司</w:t>
            </w:r>
          </w:p>
        </w:tc>
        <w:tc>
          <w:tcPr>
            <w:tcW w:w="4425" w:type="dxa"/>
            <w:gridSpan w:val="2"/>
            <w:vAlign w:val="center"/>
          </w:tcPr>
          <w:p>
            <w:pPr>
              <w:pStyle w:val="30"/>
              <w:rPr>
                <w:color w:val="auto"/>
              </w:rPr>
            </w:pPr>
            <w:r>
              <w:rPr>
                <w:color w:val="auto"/>
              </w:rPr>
              <w:t>年产2.7万吨再生铜</w:t>
            </w:r>
          </w:p>
        </w:tc>
        <w:tc>
          <w:tcPr>
            <w:tcW w:w="2716" w:type="dxa"/>
            <w:vAlign w:val="center"/>
          </w:tcPr>
          <w:p>
            <w:pPr>
              <w:pStyle w:val="30"/>
              <w:rPr>
                <w:color w:val="auto"/>
              </w:rPr>
            </w:pPr>
            <w:r>
              <w:rPr>
                <w:color w:val="auto"/>
              </w:rPr>
              <w:t>岳阳市环保局审批，2012 年4月9日</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r>
              <w:rPr>
                <w:color w:val="auto"/>
              </w:rPr>
              <w:t>已停产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26" w:hRule="atLeast"/>
        </w:trPr>
        <w:tc>
          <w:tcPr>
            <w:tcW w:w="649" w:type="dxa"/>
            <w:vAlign w:val="center"/>
          </w:tcPr>
          <w:p>
            <w:pPr>
              <w:pStyle w:val="30"/>
              <w:rPr>
                <w:color w:val="auto"/>
              </w:rPr>
            </w:pPr>
            <w:r>
              <w:rPr>
                <w:color w:val="auto"/>
              </w:rPr>
              <w:t>32</w:t>
            </w:r>
          </w:p>
        </w:tc>
        <w:tc>
          <w:tcPr>
            <w:tcW w:w="3348" w:type="dxa"/>
            <w:gridSpan w:val="2"/>
            <w:vAlign w:val="center"/>
          </w:tcPr>
          <w:p>
            <w:pPr>
              <w:pStyle w:val="30"/>
              <w:rPr>
                <w:color w:val="auto"/>
              </w:rPr>
            </w:pPr>
            <w:r>
              <w:rPr>
                <w:color w:val="auto"/>
              </w:rPr>
              <w:t>湖南博发铜业有限公司</w:t>
            </w:r>
          </w:p>
        </w:tc>
        <w:tc>
          <w:tcPr>
            <w:tcW w:w="4425" w:type="dxa"/>
            <w:gridSpan w:val="2"/>
            <w:vAlign w:val="center"/>
          </w:tcPr>
          <w:p>
            <w:pPr>
              <w:pStyle w:val="30"/>
              <w:rPr>
                <w:color w:val="auto"/>
              </w:rPr>
            </w:pPr>
            <w:r>
              <w:rPr>
                <w:color w:val="auto"/>
              </w:rPr>
              <w:t>年产6万吨铜阳极建设项目</w:t>
            </w:r>
          </w:p>
        </w:tc>
        <w:tc>
          <w:tcPr>
            <w:tcW w:w="2716" w:type="dxa"/>
            <w:vAlign w:val="center"/>
          </w:tcPr>
          <w:p>
            <w:pPr>
              <w:pStyle w:val="30"/>
              <w:rPr>
                <w:color w:val="auto"/>
              </w:rPr>
            </w:pPr>
            <w:r>
              <w:rPr>
                <w:color w:val="auto"/>
              </w:rPr>
              <w:t>岳环评批〔2014〕11号</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27" w:hRule="atLeast"/>
        </w:trPr>
        <w:tc>
          <w:tcPr>
            <w:tcW w:w="649" w:type="dxa"/>
            <w:vAlign w:val="center"/>
          </w:tcPr>
          <w:p>
            <w:pPr>
              <w:pStyle w:val="30"/>
              <w:rPr>
                <w:color w:val="auto"/>
              </w:rPr>
            </w:pPr>
            <w:r>
              <w:rPr>
                <w:color w:val="auto"/>
              </w:rPr>
              <w:t>33</w:t>
            </w:r>
          </w:p>
        </w:tc>
        <w:tc>
          <w:tcPr>
            <w:tcW w:w="3348" w:type="dxa"/>
            <w:gridSpan w:val="2"/>
            <w:vAlign w:val="center"/>
          </w:tcPr>
          <w:p>
            <w:pPr>
              <w:pStyle w:val="30"/>
              <w:rPr>
                <w:color w:val="auto"/>
              </w:rPr>
            </w:pPr>
            <w:r>
              <w:rPr>
                <w:color w:val="auto"/>
              </w:rPr>
              <w:t>湖南成宇铜业有限公司</w:t>
            </w:r>
          </w:p>
        </w:tc>
        <w:tc>
          <w:tcPr>
            <w:tcW w:w="4425" w:type="dxa"/>
            <w:gridSpan w:val="2"/>
            <w:vAlign w:val="center"/>
          </w:tcPr>
          <w:p>
            <w:pPr>
              <w:pStyle w:val="30"/>
              <w:rPr>
                <w:color w:val="auto"/>
              </w:rPr>
            </w:pPr>
            <w:r>
              <w:rPr>
                <w:color w:val="auto"/>
              </w:rPr>
              <w:t>年产3万吨电解铜</w:t>
            </w:r>
          </w:p>
        </w:tc>
        <w:tc>
          <w:tcPr>
            <w:tcW w:w="2716" w:type="dxa"/>
            <w:vAlign w:val="center"/>
          </w:tcPr>
          <w:p>
            <w:pPr>
              <w:pStyle w:val="30"/>
              <w:rPr>
                <w:color w:val="auto"/>
              </w:rPr>
            </w:pPr>
            <w:r>
              <w:rPr>
                <w:color w:val="auto"/>
              </w:rPr>
              <w:t>2012年环评审批</w:t>
            </w:r>
          </w:p>
        </w:tc>
        <w:tc>
          <w:tcPr>
            <w:tcW w:w="2268" w:type="dxa"/>
            <w:vAlign w:val="center"/>
          </w:tcPr>
          <w:p>
            <w:pPr>
              <w:pStyle w:val="30"/>
              <w:rPr>
                <w:color w:val="auto"/>
              </w:rPr>
            </w:pPr>
            <w:r>
              <w:rPr>
                <w:color w:val="auto"/>
              </w:rPr>
              <w:t>未验收</w:t>
            </w:r>
          </w:p>
        </w:tc>
        <w:tc>
          <w:tcPr>
            <w:tcW w:w="813" w:type="dxa"/>
            <w:gridSpan w:val="2"/>
            <w:vAlign w:val="center"/>
          </w:tcPr>
          <w:p>
            <w:pPr>
              <w:pStyle w:val="30"/>
              <w:rPr>
                <w:color w:val="auto"/>
              </w:rPr>
            </w:pPr>
            <w:r>
              <w:rPr>
                <w:color w:val="auto"/>
              </w:rPr>
              <w:t>已停</w:t>
            </w:r>
          </w:p>
          <w:p>
            <w:pPr>
              <w:pStyle w:val="30"/>
              <w:rPr>
                <w:color w:val="auto"/>
              </w:rPr>
            </w:pPr>
            <w:r>
              <w:rPr>
                <w:color w:val="auto"/>
              </w:rPr>
              <w:t>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4" w:hRule="atLeast"/>
        </w:trPr>
        <w:tc>
          <w:tcPr>
            <w:tcW w:w="649" w:type="dxa"/>
            <w:vAlign w:val="center"/>
          </w:tcPr>
          <w:p>
            <w:pPr>
              <w:pStyle w:val="30"/>
              <w:rPr>
                <w:color w:val="auto"/>
              </w:rPr>
            </w:pPr>
            <w:r>
              <w:rPr>
                <w:color w:val="auto"/>
              </w:rPr>
              <w:t>34</w:t>
            </w:r>
          </w:p>
        </w:tc>
        <w:tc>
          <w:tcPr>
            <w:tcW w:w="3348" w:type="dxa"/>
            <w:gridSpan w:val="2"/>
            <w:vAlign w:val="center"/>
          </w:tcPr>
          <w:p>
            <w:pPr>
              <w:pStyle w:val="30"/>
              <w:rPr>
                <w:color w:val="auto"/>
              </w:rPr>
            </w:pPr>
            <w:r>
              <w:rPr>
                <w:color w:val="auto"/>
              </w:rPr>
              <w:t>湖南汨特科技新材料有限公</w:t>
            </w:r>
          </w:p>
          <w:p>
            <w:pPr>
              <w:pStyle w:val="30"/>
              <w:rPr>
                <w:color w:val="auto"/>
              </w:rPr>
            </w:pPr>
            <w:r>
              <w:rPr>
                <w:color w:val="auto"/>
              </w:rPr>
              <w:t>司</w:t>
            </w:r>
          </w:p>
        </w:tc>
        <w:tc>
          <w:tcPr>
            <w:tcW w:w="4425" w:type="dxa"/>
            <w:gridSpan w:val="2"/>
            <w:vAlign w:val="center"/>
          </w:tcPr>
          <w:p>
            <w:pPr>
              <w:pStyle w:val="30"/>
              <w:rPr>
                <w:color w:val="auto"/>
              </w:rPr>
            </w:pPr>
            <w:r>
              <w:rPr>
                <w:color w:val="auto"/>
              </w:rPr>
              <w:t>年产7000件套高规模高性能石墨热场及其他</w:t>
            </w:r>
          </w:p>
          <w:p>
            <w:pPr>
              <w:pStyle w:val="30"/>
              <w:rPr>
                <w:color w:val="auto"/>
              </w:rPr>
            </w:pPr>
            <w:r>
              <w:rPr>
                <w:color w:val="auto"/>
              </w:rPr>
              <w:t>石墨制品</w:t>
            </w:r>
          </w:p>
        </w:tc>
        <w:tc>
          <w:tcPr>
            <w:tcW w:w="2716" w:type="dxa"/>
            <w:vAlign w:val="center"/>
          </w:tcPr>
          <w:p>
            <w:pPr>
              <w:pStyle w:val="30"/>
              <w:rPr>
                <w:color w:val="auto"/>
              </w:rPr>
            </w:pPr>
            <w:r>
              <w:rPr>
                <w:color w:val="auto"/>
              </w:rPr>
              <w:t>已环评</w:t>
            </w:r>
          </w:p>
        </w:tc>
        <w:tc>
          <w:tcPr>
            <w:tcW w:w="2268" w:type="dxa"/>
            <w:vAlign w:val="center"/>
          </w:tcPr>
          <w:p>
            <w:pPr>
              <w:pStyle w:val="30"/>
              <w:rPr>
                <w:color w:val="auto"/>
              </w:rPr>
            </w:pPr>
            <w:r>
              <w:rPr>
                <w:color w:val="auto"/>
              </w:rPr>
              <w:t>2012 年已验收</w:t>
            </w:r>
          </w:p>
        </w:tc>
        <w:tc>
          <w:tcPr>
            <w:tcW w:w="813" w:type="dxa"/>
            <w:gridSpan w:val="2"/>
            <w:vAlign w:val="center"/>
          </w:tcPr>
          <w:p>
            <w:pPr>
              <w:pStyle w:val="30"/>
              <w:rPr>
                <w:color w:val="auto"/>
              </w:rPr>
            </w:pPr>
            <w:r>
              <w:rPr>
                <w:color w:val="auto"/>
              </w:rPr>
              <w:t>已停</w:t>
            </w:r>
          </w:p>
          <w:p>
            <w:pPr>
              <w:pStyle w:val="30"/>
              <w:rPr>
                <w:color w:val="auto"/>
              </w:rPr>
            </w:pPr>
            <w:r>
              <w:rPr>
                <w:color w:val="auto"/>
              </w:rPr>
              <w:t>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1" w:hRule="atLeast"/>
        </w:trPr>
        <w:tc>
          <w:tcPr>
            <w:tcW w:w="649" w:type="dxa"/>
            <w:vAlign w:val="center"/>
          </w:tcPr>
          <w:p>
            <w:pPr>
              <w:pStyle w:val="30"/>
              <w:rPr>
                <w:color w:val="auto"/>
              </w:rPr>
            </w:pPr>
            <w:r>
              <w:rPr>
                <w:color w:val="auto"/>
              </w:rPr>
              <w:t>35</w:t>
            </w:r>
          </w:p>
        </w:tc>
        <w:tc>
          <w:tcPr>
            <w:tcW w:w="3348" w:type="dxa"/>
            <w:gridSpan w:val="2"/>
            <w:vAlign w:val="center"/>
          </w:tcPr>
          <w:p>
            <w:pPr>
              <w:pStyle w:val="30"/>
              <w:rPr>
                <w:color w:val="auto"/>
              </w:rPr>
            </w:pPr>
            <w:r>
              <w:rPr>
                <w:color w:val="auto"/>
              </w:rPr>
              <w:t>湖南忠悦塑业有限公司</w:t>
            </w:r>
          </w:p>
        </w:tc>
        <w:tc>
          <w:tcPr>
            <w:tcW w:w="4425" w:type="dxa"/>
            <w:gridSpan w:val="2"/>
            <w:vAlign w:val="center"/>
          </w:tcPr>
          <w:p>
            <w:pPr>
              <w:pStyle w:val="30"/>
              <w:rPr>
                <w:color w:val="auto"/>
              </w:rPr>
            </w:pPr>
            <w:r>
              <w:rPr>
                <w:color w:val="auto"/>
              </w:rPr>
              <w:t>PVC塑料门窗制造</w:t>
            </w:r>
          </w:p>
        </w:tc>
        <w:tc>
          <w:tcPr>
            <w:tcW w:w="2716" w:type="dxa"/>
            <w:vAlign w:val="center"/>
          </w:tcPr>
          <w:p>
            <w:pPr>
              <w:pStyle w:val="30"/>
              <w:rPr>
                <w:color w:val="auto"/>
              </w:rPr>
            </w:pPr>
            <w:r>
              <w:rPr>
                <w:color w:val="auto"/>
              </w:rPr>
              <w:t>2010 年环评审批</w:t>
            </w:r>
          </w:p>
        </w:tc>
        <w:tc>
          <w:tcPr>
            <w:tcW w:w="2268" w:type="dxa"/>
            <w:vAlign w:val="center"/>
          </w:tcPr>
          <w:p>
            <w:pPr>
              <w:pStyle w:val="30"/>
              <w:rPr>
                <w:color w:val="auto"/>
              </w:rPr>
            </w:pPr>
            <w:r>
              <w:rPr>
                <w:color w:val="auto"/>
              </w:rPr>
              <w:t>已验收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36</w:t>
            </w:r>
          </w:p>
        </w:tc>
        <w:tc>
          <w:tcPr>
            <w:tcW w:w="3348" w:type="dxa"/>
            <w:gridSpan w:val="2"/>
            <w:vAlign w:val="center"/>
          </w:tcPr>
          <w:p>
            <w:pPr>
              <w:pStyle w:val="30"/>
              <w:rPr>
                <w:color w:val="auto"/>
              </w:rPr>
            </w:pPr>
            <w:r>
              <w:rPr>
                <w:color w:val="auto"/>
              </w:rPr>
              <w:t>汨罗市华先碳素有限公司</w:t>
            </w:r>
          </w:p>
        </w:tc>
        <w:tc>
          <w:tcPr>
            <w:tcW w:w="4425" w:type="dxa"/>
            <w:gridSpan w:val="2"/>
            <w:vAlign w:val="center"/>
          </w:tcPr>
          <w:p>
            <w:pPr>
              <w:pStyle w:val="30"/>
              <w:rPr>
                <w:color w:val="auto"/>
              </w:rPr>
            </w:pPr>
            <w:r>
              <w:rPr>
                <w:color w:val="auto"/>
              </w:rPr>
              <w:t>石墨坩埚：5000t/a，燃料电极双极板：1.5 万吨/a</w:t>
            </w:r>
          </w:p>
        </w:tc>
        <w:tc>
          <w:tcPr>
            <w:tcW w:w="2716" w:type="dxa"/>
            <w:vAlign w:val="center"/>
          </w:tcPr>
          <w:p>
            <w:pPr>
              <w:pStyle w:val="30"/>
              <w:rPr>
                <w:color w:val="auto"/>
              </w:rPr>
            </w:pPr>
            <w:r>
              <w:rPr>
                <w:color w:val="auto"/>
              </w:rPr>
              <w:t>岳环评批〔2012〕115 号</w:t>
            </w:r>
          </w:p>
        </w:tc>
        <w:tc>
          <w:tcPr>
            <w:tcW w:w="2268" w:type="dxa"/>
            <w:vAlign w:val="center"/>
          </w:tcPr>
          <w:p>
            <w:pPr>
              <w:pStyle w:val="30"/>
              <w:rPr>
                <w:color w:val="auto"/>
              </w:rPr>
            </w:pPr>
            <w:r>
              <w:rPr>
                <w:color w:val="auto"/>
              </w:rPr>
              <w:t>汨环评验〔2014〕012</w:t>
            </w:r>
          </w:p>
          <w:p>
            <w:pPr>
              <w:pStyle w:val="30"/>
              <w:rPr>
                <w:color w:val="auto"/>
              </w:rPr>
            </w:pPr>
            <w:r>
              <w:rPr>
                <w:color w:val="auto"/>
              </w:rPr>
              <w:t>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269" w:hRule="atLeast"/>
        </w:trPr>
        <w:tc>
          <w:tcPr>
            <w:tcW w:w="649" w:type="dxa"/>
            <w:vMerge w:val="restart"/>
            <w:vAlign w:val="center"/>
          </w:tcPr>
          <w:p>
            <w:pPr>
              <w:pStyle w:val="30"/>
              <w:rPr>
                <w:color w:val="auto"/>
              </w:rPr>
            </w:pPr>
            <w:r>
              <w:rPr>
                <w:color w:val="auto"/>
              </w:rPr>
              <w:t>37</w:t>
            </w:r>
          </w:p>
        </w:tc>
        <w:tc>
          <w:tcPr>
            <w:tcW w:w="3348" w:type="dxa"/>
            <w:gridSpan w:val="2"/>
            <w:vMerge w:val="restart"/>
            <w:vAlign w:val="center"/>
          </w:tcPr>
          <w:p>
            <w:pPr>
              <w:pStyle w:val="30"/>
              <w:rPr>
                <w:color w:val="auto"/>
              </w:rPr>
            </w:pPr>
            <w:r>
              <w:rPr>
                <w:color w:val="auto"/>
              </w:rPr>
              <w:t>湖南天立橡胶有限公司</w:t>
            </w:r>
          </w:p>
        </w:tc>
        <w:tc>
          <w:tcPr>
            <w:tcW w:w="4425" w:type="dxa"/>
            <w:gridSpan w:val="2"/>
            <w:vAlign w:val="center"/>
          </w:tcPr>
          <w:p>
            <w:pPr>
              <w:pStyle w:val="30"/>
              <w:rPr>
                <w:color w:val="auto"/>
              </w:rPr>
            </w:pPr>
            <w:r>
              <w:rPr>
                <w:color w:val="auto"/>
              </w:rPr>
              <w:t>轮胎再生橡胶：30000t/a，胶鞋、杂</w:t>
            </w:r>
          </w:p>
        </w:tc>
        <w:tc>
          <w:tcPr>
            <w:tcW w:w="2716" w:type="dxa"/>
            <w:vMerge w:val="restart"/>
            <w:vAlign w:val="center"/>
          </w:tcPr>
          <w:p>
            <w:pPr>
              <w:pStyle w:val="30"/>
              <w:rPr>
                <w:color w:val="auto"/>
              </w:rPr>
            </w:pPr>
            <w:r>
              <w:rPr>
                <w:color w:val="auto"/>
              </w:rPr>
              <w:t>岳环评批〔2009〕17 号</w:t>
            </w:r>
          </w:p>
        </w:tc>
        <w:tc>
          <w:tcPr>
            <w:tcW w:w="2268" w:type="dxa"/>
            <w:vMerge w:val="restart"/>
            <w:vAlign w:val="center"/>
          </w:tcPr>
          <w:p>
            <w:pPr>
              <w:pStyle w:val="30"/>
              <w:rPr>
                <w:color w:val="auto"/>
              </w:rPr>
            </w:pPr>
            <w:r>
              <w:rPr>
                <w:color w:val="auto"/>
              </w:rPr>
              <w:t>岳环验〔2010〕03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270" w:hRule="atLeast"/>
        </w:trPr>
        <w:tc>
          <w:tcPr>
            <w:tcW w:w="649" w:type="dxa"/>
            <w:vMerge w:val="continue"/>
            <w:vAlign w:val="center"/>
          </w:tcPr>
          <w:p>
            <w:pPr>
              <w:pStyle w:val="30"/>
              <w:rPr>
                <w:color w:val="auto"/>
              </w:rPr>
            </w:pPr>
          </w:p>
        </w:tc>
        <w:tc>
          <w:tcPr>
            <w:tcW w:w="3348" w:type="dxa"/>
            <w:gridSpan w:val="2"/>
            <w:vMerge w:val="continue"/>
            <w:vAlign w:val="center"/>
          </w:tcPr>
          <w:p>
            <w:pPr>
              <w:pStyle w:val="30"/>
              <w:rPr>
                <w:color w:val="auto"/>
              </w:rPr>
            </w:pPr>
          </w:p>
        </w:tc>
        <w:tc>
          <w:tcPr>
            <w:tcW w:w="4425" w:type="dxa"/>
            <w:gridSpan w:val="2"/>
            <w:vAlign w:val="center"/>
          </w:tcPr>
          <w:p>
            <w:pPr>
              <w:pStyle w:val="30"/>
              <w:rPr>
                <w:color w:val="auto"/>
              </w:rPr>
            </w:pPr>
            <w:r>
              <w:rPr>
                <w:color w:val="auto"/>
              </w:rPr>
              <w:t>胶再生橡胶：8000t/a，胶粉、胶粒：2000t/a</w:t>
            </w:r>
          </w:p>
        </w:tc>
        <w:tc>
          <w:tcPr>
            <w:tcW w:w="2716" w:type="dxa"/>
            <w:vMerge w:val="continue"/>
            <w:vAlign w:val="center"/>
          </w:tcPr>
          <w:p>
            <w:pPr>
              <w:pStyle w:val="30"/>
              <w:rPr>
                <w:color w:val="auto"/>
              </w:rPr>
            </w:pPr>
          </w:p>
        </w:tc>
        <w:tc>
          <w:tcPr>
            <w:tcW w:w="2268" w:type="dxa"/>
            <w:vMerge w:val="continue"/>
            <w:vAlign w:val="center"/>
          </w:tcPr>
          <w:p>
            <w:pPr>
              <w:pStyle w:val="30"/>
              <w:rPr>
                <w:color w:val="auto"/>
              </w:rPr>
            </w:pP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13" w:hRule="atLeast"/>
        </w:trPr>
        <w:tc>
          <w:tcPr>
            <w:tcW w:w="649" w:type="dxa"/>
            <w:vAlign w:val="center"/>
          </w:tcPr>
          <w:p>
            <w:pPr>
              <w:pStyle w:val="30"/>
              <w:rPr>
                <w:color w:val="auto"/>
              </w:rPr>
            </w:pPr>
            <w:r>
              <w:rPr>
                <w:color w:val="auto"/>
              </w:rPr>
              <w:t>38</w:t>
            </w:r>
          </w:p>
        </w:tc>
        <w:tc>
          <w:tcPr>
            <w:tcW w:w="3348" w:type="dxa"/>
            <w:gridSpan w:val="2"/>
            <w:vAlign w:val="center"/>
          </w:tcPr>
          <w:p>
            <w:pPr>
              <w:pStyle w:val="30"/>
              <w:rPr>
                <w:color w:val="auto"/>
              </w:rPr>
            </w:pPr>
            <w:r>
              <w:rPr>
                <w:color w:val="auto"/>
              </w:rPr>
              <w:t>湖南海鑫新材料股份有限公司</w:t>
            </w:r>
          </w:p>
        </w:tc>
        <w:tc>
          <w:tcPr>
            <w:tcW w:w="4425" w:type="dxa"/>
            <w:gridSpan w:val="2"/>
            <w:vAlign w:val="center"/>
          </w:tcPr>
          <w:p>
            <w:pPr>
              <w:pStyle w:val="30"/>
              <w:rPr>
                <w:color w:val="auto"/>
              </w:rPr>
            </w:pPr>
            <w:r>
              <w:rPr>
                <w:color w:val="auto"/>
              </w:rPr>
              <w:t>年产 PVC 层压板 40000t/a、农作物育秧盘30000t/a</w:t>
            </w:r>
          </w:p>
        </w:tc>
        <w:tc>
          <w:tcPr>
            <w:tcW w:w="2716" w:type="dxa"/>
            <w:vAlign w:val="center"/>
          </w:tcPr>
          <w:p>
            <w:pPr>
              <w:pStyle w:val="30"/>
              <w:rPr>
                <w:color w:val="auto"/>
              </w:rPr>
            </w:pPr>
            <w:r>
              <w:rPr>
                <w:color w:val="auto"/>
              </w:rPr>
              <w:t>岳环评批〔2011〕122 号</w:t>
            </w:r>
          </w:p>
        </w:tc>
        <w:tc>
          <w:tcPr>
            <w:tcW w:w="2268" w:type="dxa"/>
            <w:vAlign w:val="center"/>
          </w:tcPr>
          <w:p>
            <w:pPr>
              <w:pStyle w:val="30"/>
              <w:rPr>
                <w:color w:val="auto"/>
              </w:rPr>
            </w:pPr>
            <w:r>
              <w:rPr>
                <w:color w:val="auto"/>
              </w:rPr>
              <w:t>岳环评验〔2012〕09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12" w:hRule="atLeast"/>
        </w:trPr>
        <w:tc>
          <w:tcPr>
            <w:tcW w:w="649" w:type="dxa"/>
            <w:vAlign w:val="center"/>
          </w:tcPr>
          <w:p>
            <w:pPr>
              <w:pStyle w:val="30"/>
              <w:rPr>
                <w:color w:val="auto"/>
              </w:rPr>
            </w:pPr>
            <w:r>
              <w:rPr>
                <w:color w:val="auto"/>
              </w:rPr>
              <w:t>39</w:t>
            </w:r>
          </w:p>
        </w:tc>
        <w:tc>
          <w:tcPr>
            <w:tcW w:w="3348" w:type="dxa"/>
            <w:gridSpan w:val="2"/>
            <w:vAlign w:val="center"/>
          </w:tcPr>
          <w:p>
            <w:pPr>
              <w:pStyle w:val="30"/>
              <w:rPr>
                <w:color w:val="auto"/>
              </w:rPr>
            </w:pPr>
            <w:r>
              <w:rPr>
                <w:color w:val="auto"/>
              </w:rPr>
              <w:t>湖南三兴精密工业股份有限公司</w:t>
            </w:r>
          </w:p>
        </w:tc>
        <w:tc>
          <w:tcPr>
            <w:tcW w:w="4425" w:type="dxa"/>
            <w:gridSpan w:val="2"/>
            <w:vAlign w:val="center"/>
          </w:tcPr>
          <w:p>
            <w:pPr>
              <w:pStyle w:val="30"/>
              <w:rPr>
                <w:color w:val="auto"/>
              </w:rPr>
            </w:pPr>
            <w:r>
              <w:rPr>
                <w:color w:val="auto"/>
              </w:rPr>
              <w:t>年产 2500 台丝网印刷设备</w:t>
            </w:r>
          </w:p>
        </w:tc>
        <w:tc>
          <w:tcPr>
            <w:tcW w:w="2716" w:type="dxa"/>
            <w:vAlign w:val="center"/>
          </w:tcPr>
          <w:p>
            <w:pPr>
              <w:pStyle w:val="30"/>
              <w:rPr>
                <w:color w:val="auto"/>
              </w:rPr>
            </w:pPr>
            <w:r>
              <w:rPr>
                <w:color w:val="auto"/>
              </w:rPr>
              <w:t>岳环评批〔2013〕72 号</w:t>
            </w:r>
          </w:p>
        </w:tc>
        <w:tc>
          <w:tcPr>
            <w:tcW w:w="2268" w:type="dxa"/>
            <w:vAlign w:val="center"/>
          </w:tcPr>
          <w:p>
            <w:pPr>
              <w:pStyle w:val="30"/>
              <w:rPr>
                <w:color w:val="auto"/>
              </w:rPr>
            </w:pPr>
            <w:r>
              <w:rPr>
                <w:color w:val="auto"/>
              </w:rPr>
              <w:t>岳环评验〔2015〕4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40</w:t>
            </w:r>
          </w:p>
        </w:tc>
        <w:tc>
          <w:tcPr>
            <w:tcW w:w="3348" w:type="dxa"/>
            <w:gridSpan w:val="2"/>
            <w:vAlign w:val="center"/>
          </w:tcPr>
          <w:p>
            <w:pPr>
              <w:pStyle w:val="30"/>
              <w:rPr>
                <w:color w:val="auto"/>
              </w:rPr>
            </w:pPr>
            <w:r>
              <w:rPr>
                <w:color w:val="auto"/>
              </w:rPr>
              <w:t>德尔乐施电热水器有限公司</w:t>
            </w:r>
          </w:p>
        </w:tc>
        <w:tc>
          <w:tcPr>
            <w:tcW w:w="4425" w:type="dxa"/>
            <w:gridSpan w:val="2"/>
            <w:vAlign w:val="center"/>
          </w:tcPr>
          <w:p>
            <w:pPr>
              <w:pStyle w:val="30"/>
              <w:rPr>
                <w:color w:val="auto"/>
              </w:rPr>
            </w:pPr>
            <w:r>
              <w:rPr>
                <w:color w:val="auto"/>
              </w:rPr>
              <w:t>年产快速电热水器及水净化器、空气净化器 50万套（件）</w:t>
            </w:r>
          </w:p>
        </w:tc>
        <w:tc>
          <w:tcPr>
            <w:tcW w:w="2716" w:type="dxa"/>
            <w:vAlign w:val="center"/>
          </w:tcPr>
          <w:p>
            <w:pPr>
              <w:pStyle w:val="30"/>
              <w:rPr>
                <w:color w:val="auto"/>
              </w:rPr>
            </w:pPr>
            <w:r>
              <w:rPr>
                <w:color w:val="auto"/>
              </w:rPr>
              <w:t>2008 年 4 月审批</w:t>
            </w:r>
          </w:p>
        </w:tc>
        <w:tc>
          <w:tcPr>
            <w:tcW w:w="2268" w:type="dxa"/>
            <w:vAlign w:val="center"/>
          </w:tcPr>
          <w:p>
            <w:pPr>
              <w:pStyle w:val="30"/>
              <w:rPr>
                <w:color w:val="auto"/>
              </w:rPr>
            </w:pPr>
            <w:r>
              <w:rPr>
                <w:color w:val="auto"/>
              </w:rPr>
              <w:t>未验收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3" w:hRule="atLeast"/>
        </w:trPr>
        <w:tc>
          <w:tcPr>
            <w:tcW w:w="649" w:type="dxa"/>
            <w:vAlign w:val="center"/>
          </w:tcPr>
          <w:p>
            <w:pPr>
              <w:pStyle w:val="30"/>
              <w:rPr>
                <w:color w:val="auto"/>
              </w:rPr>
            </w:pPr>
            <w:r>
              <w:rPr>
                <w:color w:val="auto"/>
              </w:rPr>
              <w:t>41</w:t>
            </w:r>
          </w:p>
        </w:tc>
        <w:tc>
          <w:tcPr>
            <w:tcW w:w="3348" w:type="dxa"/>
            <w:gridSpan w:val="2"/>
            <w:vAlign w:val="center"/>
          </w:tcPr>
          <w:p>
            <w:pPr>
              <w:pStyle w:val="30"/>
              <w:rPr>
                <w:color w:val="auto"/>
              </w:rPr>
            </w:pPr>
            <w:r>
              <w:rPr>
                <w:color w:val="auto"/>
              </w:rPr>
              <w:t>湖南五祥新材料有限公司</w:t>
            </w:r>
          </w:p>
        </w:tc>
        <w:tc>
          <w:tcPr>
            <w:tcW w:w="4425" w:type="dxa"/>
            <w:gridSpan w:val="2"/>
            <w:vAlign w:val="center"/>
          </w:tcPr>
          <w:p>
            <w:pPr>
              <w:pStyle w:val="30"/>
              <w:rPr>
                <w:color w:val="auto"/>
              </w:rPr>
            </w:pPr>
            <w:r>
              <w:rPr>
                <w:color w:val="auto"/>
              </w:rPr>
              <w:t>年产 13 万吨再生塑料制品</w:t>
            </w:r>
          </w:p>
        </w:tc>
        <w:tc>
          <w:tcPr>
            <w:tcW w:w="2716" w:type="dxa"/>
            <w:vAlign w:val="center"/>
          </w:tcPr>
          <w:p>
            <w:pPr>
              <w:pStyle w:val="30"/>
              <w:rPr>
                <w:color w:val="auto"/>
              </w:rPr>
            </w:pPr>
            <w:r>
              <w:rPr>
                <w:color w:val="auto"/>
              </w:rPr>
              <w:t>岳环评批〔2010〕15 号</w:t>
            </w:r>
          </w:p>
        </w:tc>
        <w:tc>
          <w:tcPr>
            <w:tcW w:w="2268" w:type="dxa"/>
            <w:vAlign w:val="center"/>
          </w:tcPr>
          <w:p>
            <w:pPr>
              <w:pStyle w:val="30"/>
              <w:rPr>
                <w:color w:val="auto"/>
              </w:rPr>
            </w:pPr>
            <w:r>
              <w:rPr>
                <w:color w:val="auto"/>
              </w:rPr>
              <w:t>岳环验〔2012〕11号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42</w:t>
            </w:r>
          </w:p>
        </w:tc>
        <w:tc>
          <w:tcPr>
            <w:tcW w:w="3348" w:type="dxa"/>
            <w:gridSpan w:val="2"/>
            <w:vAlign w:val="center"/>
          </w:tcPr>
          <w:p>
            <w:pPr>
              <w:pStyle w:val="30"/>
              <w:rPr>
                <w:color w:val="auto"/>
              </w:rPr>
            </w:pPr>
            <w:r>
              <w:rPr>
                <w:color w:val="auto"/>
              </w:rPr>
              <w:t>湖南宏拓铝业有限公司</w:t>
            </w:r>
          </w:p>
        </w:tc>
        <w:tc>
          <w:tcPr>
            <w:tcW w:w="4425" w:type="dxa"/>
            <w:gridSpan w:val="2"/>
            <w:vAlign w:val="center"/>
          </w:tcPr>
          <w:p>
            <w:pPr>
              <w:pStyle w:val="30"/>
              <w:rPr>
                <w:color w:val="auto"/>
              </w:rPr>
            </w:pPr>
            <w:r>
              <w:rPr>
                <w:color w:val="auto"/>
              </w:rPr>
              <w:t>年产 10 万吨再生合金铝锭</w:t>
            </w:r>
          </w:p>
        </w:tc>
        <w:tc>
          <w:tcPr>
            <w:tcW w:w="2716" w:type="dxa"/>
            <w:vAlign w:val="center"/>
          </w:tcPr>
          <w:p>
            <w:pPr>
              <w:pStyle w:val="30"/>
              <w:rPr>
                <w:color w:val="auto"/>
              </w:rPr>
            </w:pPr>
            <w:r>
              <w:rPr>
                <w:color w:val="auto"/>
              </w:rPr>
              <w:t>岳环评批〔2016〕88 号</w:t>
            </w:r>
          </w:p>
        </w:tc>
        <w:tc>
          <w:tcPr>
            <w:tcW w:w="2268" w:type="dxa"/>
            <w:vAlign w:val="center"/>
          </w:tcPr>
          <w:p>
            <w:pPr>
              <w:pStyle w:val="30"/>
              <w:rPr>
                <w:color w:val="auto"/>
              </w:rPr>
            </w:pPr>
            <w:r>
              <w:rPr>
                <w:color w:val="auto"/>
              </w:rPr>
              <w:t>岳环评验〔2017〕85号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43</w:t>
            </w:r>
          </w:p>
        </w:tc>
        <w:tc>
          <w:tcPr>
            <w:tcW w:w="3348" w:type="dxa"/>
            <w:gridSpan w:val="2"/>
            <w:vAlign w:val="center"/>
          </w:tcPr>
          <w:p>
            <w:pPr>
              <w:pStyle w:val="30"/>
              <w:rPr>
                <w:color w:val="auto"/>
              </w:rPr>
            </w:pPr>
            <w:r>
              <w:rPr>
                <w:color w:val="auto"/>
              </w:rPr>
              <w:t>汨罗市联达铜铝材有限公司</w:t>
            </w:r>
          </w:p>
        </w:tc>
        <w:tc>
          <w:tcPr>
            <w:tcW w:w="4425" w:type="dxa"/>
            <w:gridSpan w:val="2"/>
            <w:vAlign w:val="center"/>
          </w:tcPr>
          <w:p>
            <w:pPr>
              <w:pStyle w:val="30"/>
              <w:rPr>
                <w:color w:val="auto"/>
              </w:rPr>
            </w:pPr>
            <w:r>
              <w:rPr>
                <w:color w:val="auto"/>
              </w:rPr>
              <w:t>年产 5 万吨再生铜</w:t>
            </w:r>
          </w:p>
        </w:tc>
        <w:tc>
          <w:tcPr>
            <w:tcW w:w="2716" w:type="dxa"/>
            <w:vAlign w:val="center"/>
          </w:tcPr>
          <w:p>
            <w:pPr>
              <w:pStyle w:val="30"/>
              <w:rPr>
                <w:color w:val="auto"/>
              </w:rPr>
            </w:pPr>
            <w:r>
              <w:rPr>
                <w:color w:val="auto"/>
              </w:rPr>
              <w:t>岳环评批〔2011〕30 号</w:t>
            </w:r>
          </w:p>
        </w:tc>
        <w:tc>
          <w:tcPr>
            <w:tcW w:w="2268" w:type="dxa"/>
            <w:vAlign w:val="center"/>
          </w:tcPr>
          <w:p>
            <w:pPr>
              <w:pStyle w:val="30"/>
              <w:rPr>
                <w:color w:val="auto"/>
              </w:rPr>
            </w:pPr>
            <w:r>
              <w:rPr>
                <w:color w:val="auto"/>
              </w:rPr>
              <w:t>岳环评验〔2012〕24号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4" w:hRule="atLeast"/>
        </w:trPr>
        <w:tc>
          <w:tcPr>
            <w:tcW w:w="649" w:type="dxa"/>
            <w:vAlign w:val="center"/>
          </w:tcPr>
          <w:p>
            <w:pPr>
              <w:pStyle w:val="30"/>
              <w:rPr>
                <w:color w:val="auto"/>
              </w:rPr>
            </w:pPr>
            <w:r>
              <w:rPr>
                <w:color w:val="auto"/>
              </w:rPr>
              <w:t>44</w:t>
            </w:r>
          </w:p>
        </w:tc>
        <w:tc>
          <w:tcPr>
            <w:tcW w:w="3348" w:type="dxa"/>
            <w:gridSpan w:val="2"/>
            <w:vAlign w:val="center"/>
          </w:tcPr>
          <w:p>
            <w:pPr>
              <w:pStyle w:val="30"/>
              <w:rPr>
                <w:color w:val="auto"/>
              </w:rPr>
            </w:pPr>
            <w:r>
              <w:rPr>
                <w:color w:val="auto"/>
              </w:rPr>
              <w:t>湖南给力达电子有限公司</w:t>
            </w:r>
          </w:p>
        </w:tc>
        <w:tc>
          <w:tcPr>
            <w:tcW w:w="4425" w:type="dxa"/>
            <w:gridSpan w:val="2"/>
            <w:vAlign w:val="center"/>
          </w:tcPr>
          <w:p>
            <w:pPr>
              <w:pStyle w:val="30"/>
              <w:rPr>
                <w:color w:val="auto"/>
              </w:rPr>
            </w:pPr>
            <w:r>
              <w:rPr>
                <w:color w:val="auto"/>
              </w:rPr>
              <w:t>年组装液晶显示模组500万片、摄像头模组</w:t>
            </w:r>
          </w:p>
          <w:p>
            <w:pPr>
              <w:pStyle w:val="30"/>
              <w:rPr>
                <w:color w:val="auto"/>
              </w:rPr>
            </w:pPr>
            <w:r>
              <w:rPr>
                <w:color w:val="auto"/>
              </w:rPr>
              <w:t>500万只</w:t>
            </w:r>
          </w:p>
        </w:tc>
        <w:tc>
          <w:tcPr>
            <w:tcW w:w="2716" w:type="dxa"/>
            <w:vAlign w:val="center"/>
          </w:tcPr>
          <w:p>
            <w:pPr>
              <w:pStyle w:val="30"/>
              <w:rPr>
                <w:color w:val="auto"/>
              </w:rPr>
            </w:pPr>
            <w:r>
              <w:rPr>
                <w:color w:val="auto"/>
              </w:rPr>
              <w:t>汨环评批〔2017〕011 号</w:t>
            </w:r>
          </w:p>
        </w:tc>
        <w:tc>
          <w:tcPr>
            <w:tcW w:w="2268" w:type="dxa"/>
            <w:vAlign w:val="center"/>
          </w:tcPr>
          <w:p>
            <w:pPr>
              <w:pStyle w:val="30"/>
              <w:rPr>
                <w:color w:val="auto"/>
              </w:rPr>
            </w:pPr>
            <w:r>
              <w:rPr>
                <w:color w:val="auto"/>
              </w:rPr>
              <w:t>未验收</w:t>
            </w:r>
          </w:p>
        </w:tc>
        <w:tc>
          <w:tcPr>
            <w:tcW w:w="813" w:type="dxa"/>
            <w:gridSpan w:val="2"/>
            <w:vAlign w:val="center"/>
          </w:tcPr>
          <w:p>
            <w:pPr>
              <w:pStyle w:val="30"/>
              <w:rPr>
                <w:color w:val="auto"/>
              </w:rPr>
            </w:pPr>
            <w:r>
              <w:rPr>
                <w:color w:val="auto"/>
              </w:rPr>
              <w:t>在建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816" w:hRule="atLeast"/>
        </w:trPr>
        <w:tc>
          <w:tcPr>
            <w:tcW w:w="649" w:type="dxa"/>
            <w:vAlign w:val="center"/>
          </w:tcPr>
          <w:p>
            <w:pPr>
              <w:pStyle w:val="30"/>
              <w:rPr>
                <w:color w:val="auto"/>
              </w:rPr>
            </w:pPr>
            <w:r>
              <w:rPr>
                <w:color w:val="auto"/>
              </w:rPr>
              <w:t>45</w:t>
            </w:r>
          </w:p>
        </w:tc>
        <w:tc>
          <w:tcPr>
            <w:tcW w:w="3348" w:type="dxa"/>
            <w:gridSpan w:val="2"/>
            <w:vAlign w:val="center"/>
          </w:tcPr>
          <w:p>
            <w:pPr>
              <w:pStyle w:val="30"/>
              <w:rPr>
                <w:color w:val="auto"/>
              </w:rPr>
            </w:pPr>
            <w:r>
              <w:rPr>
                <w:color w:val="auto"/>
              </w:rPr>
              <w:t>湖南晨威高科有限公司</w:t>
            </w:r>
          </w:p>
        </w:tc>
        <w:tc>
          <w:tcPr>
            <w:tcW w:w="4425" w:type="dxa"/>
            <w:gridSpan w:val="2"/>
            <w:vAlign w:val="center"/>
          </w:tcPr>
          <w:p>
            <w:pPr>
              <w:pStyle w:val="30"/>
              <w:rPr>
                <w:color w:val="auto"/>
              </w:rPr>
            </w:pPr>
            <w:r>
              <w:rPr>
                <w:color w:val="auto"/>
              </w:rPr>
              <w:t>年产4500台电池检测设备，年产10000台电动汽车充电机</w:t>
            </w:r>
          </w:p>
        </w:tc>
        <w:tc>
          <w:tcPr>
            <w:tcW w:w="2716" w:type="dxa"/>
            <w:vAlign w:val="center"/>
          </w:tcPr>
          <w:p>
            <w:pPr>
              <w:pStyle w:val="30"/>
              <w:rPr>
                <w:color w:val="auto"/>
              </w:rPr>
            </w:pPr>
            <w:r>
              <w:rPr>
                <w:color w:val="auto"/>
              </w:rPr>
              <w:t>岳环评〔2015〕25 号，2016年7月19日对变更进行了批复</w:t>
            </w:r>
          </w:p>
        </w:tc>
        <w:tc>
          <w:tcPr>
            <w:tcW w:w="2268" w:type="dxa"/>
            <w:vAlign w:val="center"/>
          </w:tcPr>
          <w:p>
            <w:pPr>
              <w:pStyle w:val="30"/>
              <w:rPr>
                <w:color w:val="auto"/>
              </w:rPr>
            </w:pPr>
            <w:r>
              <w:rPr>
                <w:color w:val="auto"/>
              </w:rPr>
              <w:t>已通过验收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26" w:hRule="atLeast"/>
        </w:trPr>
        <w:tc>
          <w:tcPr>
            <w:tcW w:w="649" w:type="dxa"/>
            <w:vAlign w:val="center"/>
          </w:tcPr>
          <w:p>
            <w:pPr>
              <w:pStyle w:val="30"/>
              <w:rPr>
                <w:color w:val="auto"/>
              </w:rPr>
            </w:pPr>
            <w:r>
              <w:rPr>
                <w:color w:val="auto"/>
              </w:rPr>
              <w:t>46</w:t>
            </w:r>
          </w:p>
        </w:tc>
        <w:tc>
          <w:tcPr>
            <w:tcW w:w="3348" w:type="dxa"/>
            <w:gridSpan w:val="2"/>
            <w:vAlign w:val="center"/>
          </w:tcPr>
          <w:p>
            <w:pPr>
              <w:pStyle w:val="30"/>
              <w:rPr>
                <w:color w:val="auto"/>
              </w:rPr>
            </w:pPr>
            <w:r>
              <w:rPr>
                <w:color w:val="auto"/>
              </w:rPr>
              <w:t>湖南省同力循环经济发展有限公司</w:t>
            </w:r>
          </w:p>
        </w:tc>
        <w:tc>
          <w:tcPr>
            <w:tcW w:w="4425" w:type="dxa"/>
            <w:gridSpan w:val="2"/>
            <w:vAlign w:val="center"/>
          </w:tcPr>
          <w:p>
            <w:pPr>
              <w:pStyle w:val="30"/>
              <w:rPr>
                <w:color w:val="auto"/>
              </w:rPr>
            </w:pPr>
            <w:r>
              <w:rPr>
                <w:color w:val="auto"/>
              </w:rPr>
              <w:t>再生资料集散交易区、标准化厂区</w:t>
            </w:r>
          </w:p>
        </w:tc>
        <w:tc>
          <w:tcPr>
            <w:tcW w:w="2716" w:type="dxa"/>
            <w:vAlign w:val="center"/>
          </w:tcPr>
          <w:p>
            <w:pPr>
              <w:pStyle w:val="30"/>
              <w:rPr>
                <w:color w:val="auto"/>
              </w:rPr>
            </w:pPr>
            <w:r>
              <w:rPr>
                <w:color w:val="auto"/>
              </w:rPr>
              <w:t>湘环评批〔2010〕329 号</w:t>
            </w:r>
          </w:p>
        </w:tc>
        <w:tc>
          <w:tcPr>
            <w:tcW w:w="2268" w:type="dxa"/>
            <w:vAlign w:val="center"/>
          </w:tcPr>
          <w:p>
            <w:pPr>
              <w:pStyle w:val="30"/>
              <w:rPr>
                <w:color w:val="auto"/>
              </w:rPr>
            </w:pPr>
            <w:r>
              <w:rPr>
                <w:color w:val="auto"/>
              </w:rPr>
              <w:t>湘环评验〔2013〕64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1362" w:hRule="atLeast"/>
        </w:trPr>
        <w:tc>
          <w:tcPr>
            <w:tcW w:w="649" w:type="dxa"/>
            <w:vAlign w:val="center"/>
          </w:tcPr>
          <w:p>
            <w:pPr>
              <w:pStyle w:val="30"/>
              <w:rPr>
                <w:color w:val="auto"/>
              </w:rPr>
            </w:pPr>
            <w:r>
              <w:rPr>
                <w:color w:val="auto"/>
              </w:rPr>
              <w:t>47</w:t>
            </w:r>
          </w:p>
        </w:tc>
        <w:tc>
          <w:tcPr>
            <w:tcW w:w="3348" w:type="dxa"/>
            <w:gridSpan w:val="2"/>
            <w:vAlign w:val="center"/>
          </w:tcPr>
          <w:p>
            <w:pPr>
              <w:pStyle w:val="30"/>
              <w:rPr>
                <w:color w:val="auto"/>
              </w:rPr>
            </w:pPr>
            <w:r>
              <w:rPr>
                <w:color w:val="auto"/>
              </w:rPr>
              <w:t>湖南省同力电力废弃物回收与拆解利用有限公司</w:t>
            </w:r>
          </w:p>
        </w:tc>
        <w:tc>
          <w:tcPr>
            <w:tcW w:w="4425" w:type="dxa"/>
            <w:gridSpan w:val="2"/>
            <w:vAlign w:val="center"/>
          </w:tcPr>
          <w:p>
            <w:pPr>
              <w:pStyle w:val="30"/>
              <w:rPr>
                <w:color w:val="auto"/>
              </w:rPr>
            </w:pPr>
            <w:r>
              <w:rPr>
                <w:color w:val="auto"/>
              </w:rPr>
              <w:t>年拆解电视机、冰箱、空调、电脑、通讯器材、洗衣机、冰箱合计3.1万t/a，年处理1470 万台小家电拆解、年处3万吨塑料再生造粒、年处理 2 万吨线路板、年处理1.5万吨锥玻璃</w:t>
            </w:r>
          </w:p>
        </w:tc>
        <w:tc>
          <w:tcPr>
            <w:tcW w:w="2716" w:type="dxa"/>
            <w:vAlign w:val="center"/>
          </w:tcPr>
          <w:p>
            <w:pPr>
              <w:pStyle w:val="30"/>
              <w:rPr>
                <w:color w:val="auto"/>
              </w:rPr>
            </w:pPr>
            <w:r>
              <w:rPr>
                <w:color w:val="auto"/>
              </w:rPr>
              <w:t>湘环评表〔2008〕12号、湘环函〔2010〕329号、湘环评函〔2011〕89号、湘环评函〔2013〕38号、湘环评〔2016〕116号</w:t>
            </w:r>
          </w:p>
        </w:tc>
        <w:tc>
          <w:tcPr>
            <w:tcW w:w="2268" w:type="dxa"/>
            <w:vAlign w:val="center"/>
          </w:tcPr>
          <w:p>
            <w:pPr>
              <w:pStyle w:val="30"/>
              <w:rPr>
                <w:color w:val="auto"/>
              </w:rPr>
            </w:pPr>
            <w:r>
              <w:rPr>
                <w:color w:val="auto"/>
              </w:rPr>
              <w:t>湘环评验〔2012〕31号湘环评验〔2013〕64 号岳环评验〔2017〕62 号</w:t>
            </w:r>
          </w:p>
        </w:tc>
        <w:tc>
          <w:tcPr>
            <w:tcW w:w="813" w:type="dxa"/>
            <w:gridSpan w:val="2"/>
            <w:vAlign w:val="center"/>
          </w:tcPr>
          <w:p>
            <w:pPr>
              <w:pStyle w:val="30"/>
              <w:rPr>
                <w:color w:val="auto"/>
              </w:rPr>
            </w:pPr>
          </w:p>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817" w:hRule="atLeast"/>
        </w:trPr>
        <w:tc>
          <w:tcPr>
            <w:tcW w:w="649" w:type="dxa"/>
            <w:vAlign w:val="center"/>
          </w:tcPr>
          <w:p>
            <w:pPr>
              <w:pStyle w:val="30"/>
              <w:rPr>
                <w:color w:val="auto"/>
              </w:rPr>
            </w:pPr>
            <w:r>
              <w:rPr>
                <w:color w:val="auto"/>
              </w:rPr>
              <w:t>48</w:t>
            </w:r>
          </w:p>
        </w:tc>
        <w:tc>
          <w:tcPr>
            <w:tcW w:w="3348" w:type="dxa"/>
            <w:gridSpan w:val="2"/>
            <w:vAlign w:val="center"/>
          </w:tcPr>
          <w:p>
            <w:pPr>
              <w:pStyle w:val="30"/>
              <w:rPr>
                <w:color w:val="auto"/>
              </w:rPr>
            </w:pPr>
            <w:r>
              <w:rPr>
                <w:color w:val="auto"/>
              </w:rPr>
              <w:t>湖南振纲铝材有限公司</w:t>
            </w:r>
          </w:p>
        </w:tc>
        <w:tc>
          <w:tcPr>
            <w:tcW w:w="4425" w:type="dxa"/>
            <w:gridSpan w:val="2"/>
            <w:vAlign w:val="center"/>
          </w:tcPr>
          <w:p>
            <w:pPr>
              <w:pStyle w:val="30"/>
              <w:rPr>
                <w:color w:val="auto"/>
              </w:rPr>
            </w:pPr>
            <w:r>
              <w:rPr>
                <w:color w:val="auto"/>
              </w:rPr>
              <w:t>年产 4 万吨铝型材</w:t>
            </w:r>
          </w:p>
        </w:tc>
        <w:tc>
          <w:tcPr>
            <w:tcW w:w="2716" w:type="dxa"/>
            <w:vAlign w:val="center"/>
          </w:tcPr>
          <w:p>
            <w:pPr>
              <w:pStyle w:val="30"/>
              <w:rPr>
                <w:color w:val="auto"/>
              </w:rPr>
            </w:pPr>
            <w:r>
              <w:rPr>
                <w:color w:val="auto"/>
              </w:rPr>
              <w:t>湘环评〔2011〕354 号、湘环评函〔2014〕129 号、岳环批〔2016〕70 号</w:t>
            </w:r>
          </w:p>
        </w:tc>
        <w:tc>
          <w:tcPr>
            <w:tcW w:w="2268" w:type="dxa"/>
            <w:vAlign w:val="center"/>
          </w:tcPr>
          <w:p>
            <w:pPr>
              <w:pStyle w:val="30"/>
              <w:rPr>
                <w:color w:val="auto"/>
              </w:rPr>
            </w:pPr>
            <w:r>
              <w:rPr>
                <w:color w:val="auto"/>
              </w:rPr>
              <w:t>湘环评验〔2015〕35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49</w:t>
            </w:r>
          </w:p>
        </w:tc>
        <w:tc>
          <w:tcPr>
            <w:tcW w:w="3348" w:type="dxa"/>
            <w:gridSpan w:val="2"/>
            <w:vAlign w:val="center"/>
          </w:tcPr>
          <w:p>
            <w:pPr>
              <w:pStyle w:val="30"/>
              <w:rPr>
                <w:color w:val="auto"/>
              </w:rPr>
            </w:pPr>
            <w:r>
              <w:rPr>
                <w:color w:val="auto"/>
              </w:rPr>
              <w:t>湖南志航金属有限公司</w:t>
            </w:r>
          </w:p>
        </w:tc>
        <w:tc>
          <w:tcPr>
            <w:tcW w:w="4425" w:type="dxa"/>
            <w:gridSpan w:val="2"/>
            <w:vAlign w:val="center"/>
          </w:tcPr>
          <w:p>
            <w:pPr>
              <w:pStyle w:val="30"/>
              <w:rPr>
                <w:color w:val="auto"/>
              </w:rPr>
            </w:pPr>
            <w:r>
              <w:rPr>
                <w:color w:val="auto"/>
              </w:rPr>
              <w:t>年产 60000 吨铝合金锭和设备、模具</w:t>
            </w:r>
          </w:p>
        </w:tc>
        <w:tc>
          <w:tcPr>
            <w:tcW w:w="2716" w:type="dxa"/>
            <w:vAlign w:val="center"/>
          </w:tcPr>
          <w:p>
            <w:pPr>
              <w:pStyle w:val="30"/>
              <w:rPr>
                <w:color w:val="auto"/>
              </w:rPr>
            </w:pPr>
            <w:r>
              <w:rPr>
                <w:color w:val="auto"/>
              </w:rPr>
              <w:t>岳环评批〔2012〕29 号</w:t>
            </w:r>
          </w:p>
        </w:tc>
        <w:tc>
          <w:tcPr>
            <w:tcW w:w="2268" w:type="dxa"/>
            <w:vAlign w:val="center"/>
          </w:tcPr>
          <w:p>
            <w:pPr>
              <w:pStyle w:val="30"/>
              <w:rPr>
                <w:color w:val="auto"/>
              </w:rPr>
            </w:pPr>
            <w:r>
              <w:rPr>
                <w:color w:val="auto"/>
              </w:rPr>
              <w:t>岳环评验〔2015〕59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50</w:t>
            </w:r>
          </w:p>
        </w:tc>
        <w:tc>
          <w:tcPr>
            <w:tcW w:w="3348" w:type="dxa"/>
            <w:gridSpan w:val="2"/>
            <w:vAlign w:val="center"/>
          </w:tcPr>
          <w:p>
            <w:pPr>
              <w:pStyle w:val="30"/>
              <w:rPr>
                <w:color w:val="auto"/>
              </w:rPr>
            </w:pPr>
            <w:r>
              <w:rPr>
                <w:color w:val="auto"/>
              </w:rPr>
              <w:t>湖南中联志远车轮有限公司</w:t>
            </w:r>
          </w:p>
        </w:tc>
        <w:tc>
          <w:tcPr>
            <w:tcW w:w="4425" w:type="dxa"/>
            <w:gridSpan w:val="2"/>
            <w:vAlign w:val="center"/>
          </w:tcPr>
          <w:p>
            <w:pPr>
              <w:pStyle w:val="30"/>
              <w:rPr>
                <w:color w:val="auto"/>
              </w:rPr>
            </w:pPr>
            <w:r>
              <w:rPr>
                <w:color w:val="auto"/>
              </w:rPr>
              <w:t>年产 300 万件摩轮、300 万件汽轮</w:t>
            </w:r>
          </w:p>
        </w:tc>
        <w:tc>
          <w:tcPr>
            <w:tcW w:w="2716" w:type="dxa"/>
            <w:vAlign w:val="center"/>
          </w:tcPr>
          <w:p>
            <w:pPr>
              <w:pStyle w:val="30"/>
              <w:rPr>
                <w:color w:val="auto"/>
              </w:rPr>
            </w:pPr>
            <w:r>
              <w:rPr>
                <w:color w:val="auto"/>
              </w:rPr>
              <w:t>岳环评批〔2012〕30 号</w:t>
            </w:r>
          </w:p>
        </w:tc>
        <w:tc>
          <w:tcPr>
            <w:tcW w:w="2268" w:type="dxa"/>
            <w:vAlign w:val="center"/>
          </w:tcPr>
          <w:p>
            <w:pPr>
              <w:pStyle w:val="30"/>
              <w:rPr>
                <w:color w:val="auto"/>
              </w:rPr>
            </w:pPr>
            <w:r>
              <w:rPr>
                <w:color w:val="auto"/>
              </w:rPr>
              <w:t>岳环评验〔2013〕60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1359" w:hRule="atLeast"/>
        </w:trPr>
        <w:tc>
          <w:tcPr>
            <w:tcW w:w="649" w:type="dxa"/>
            <w:vAlign w:val="center"/>
          </w:tcPr>
          <w:p>
            <w:pPr>
              <w:pStyle w:val="30"/>
              <w:rPr>
                <w:color w:val="auto"/>
              </w:rPr>
            </w:pPr>
            <w:r>
              <w:rPr>
                <w:color w:val="auto"/>
              </w:rPr>
              <w:t>51</w:t>
            </w:r>
          </w:p>
        </w:tc>
        <w:tc>
          <w:tcPr>
            <w:tcW w:w="3348" w:type="dxa"/>
            <w:gridSpan w:val="2"/>
            <w:vAlign w:val="center"/>
          </w:tcPr>
          <w:p>
            <w:pPr>
              <w:pStyle w:val="30"/>
              <w:rPr>
                <w:color w:val="auto"/>
              </w:rPr>
            </w:pPr>
            <w:r>
              <w:rPr>
                <w:color w:val="auto"/>
              </w:rPr>
              <w:t>汨罗市万容电子废弃物处理有限公司</w:t>
            </w:r>
          </w:p>
        </w:tc>
        <w:tc>
          <w:tcPr>
            <w:tcW w:w="4425" w:type="dxa"/>
            <w:gridSpan w:val="2"/>
            <w:vAlign w:val="center"/>
          </w:tcPr>
          <w:p>
            <w:pPr>
              <w:pStyle w:val="30"/>
              <w:rPr>
                <w:color w:val="auto"/>
              </w:rPr>
            </w:pPr>
            <w:r>
              <w:rPr>
                <w:color w:val="auto"/>
              </w:rPr>
              <w:t>年处理废弃电器电子200万台、处理报废汽车2万台/a、报废机电设备1万台/a、处理废钢10万t/a、破碎线路板1万t/a、处理CRT3万t/a年处理2万吨废弃包装容器、年收集储转运0.5万吨废油漆渣、年处理0.5万吨塑料</w:t>
            </w:r>
          </w:p>
        </w:tc>
        <w:tc>
          <w:tcPr>
            <w:tcW w:w="2716" w:type="dxa"/>
            <w:vAlign w:val="center"/>
          </w:tcPr>
          <w:p>
            <w:pPr>
              <w:pStyle w:val="30"/>
              <w:rPr>
                <w:color w:val="auto"/>
              </w:rPr>
            </w:pPr>
            <w:r>
              <w:rPr>
                <w:color w:val="auto"/>
              </w:rPr>
              <w:t>湘环评〔2012〕112号、湘环、评〔2015〕99号、湘环评函〔2016〕8号</w:t>
            </w:r>
          </w:p>
        </w:tc>
        <w:tc>
          <w:tcPr>
            <w:tcW w:w="2268" w:type="dxa"/>
            <w:vAlign w:val="center"/>
          </w:tcPr>
          <w:p>
            <w:pPr>
              <w:pStyle w:val="30"/>
              <w:rPr>
                <w:color w:val="auto"/>
              </w:rPr>
            </w:pPr>
            <w:r>
              <w:rPr>
                <w:color w:val="auto"/>
              </w:rPr>
              <w:t>湘环评验〔2012〕60 号岳环评验〔2016〕7 号</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545" w:hRule="atLeast"/>
        </w:trPr>
        <w:tc>
          <w:tcPr>
            <w:tcW w:w="649" w:type="dxa"/>
            <w:vAlign w:val="center"/>
          </w:tcPr>
          <w:p>
            <w:pPr>
              <w:pStyle w:val="30"/>
              <w:rPr>
                <w:color w:val="auto"/>
              </w:rPr>
            </w:pPr>
            <w:r>
              <w:rPr>
                <w:color w:val="auto"/>
              </w:rPr>
              <w:t>52</w:t>
            </w:r>
          </w:p>
        </w:tc>
        <w:tc>
          <w:tcPr>
            <w:tcW w:w="3348" w:type="dxa"/>
            <w:gridSpan w:val="2"/>
            <w:vAlign w:val="center"/>
          </w:tcPr>
          <w:p>
            <w:pPr>
              <w:pStyle w:val="30"/>
              <w:rPr>
                <w:color w:val="auto"/>
              </w:rPr>
            </w:pPr>
            <w:r>
              <w:rPr>
                <w:color w:val="auto"/>
              </w:rPr>
              <w:t>汨罗万容固体废物处理有限公司</w:t>
            </w:r>
          </w:p>
        </w:tc>
        <w:tc>
          <w:tcPr>
            <w:tcW w:w="4425" w:type="dxa"/>
            <w:gridSpan w:val="2"/>
            <w:vAlign w:val="center"/>
          </w:tcPr>
          <w:p>
            <w:pPr>
              <w:pStyle w:val="30"/>
              <w:rPr>
                <w:color w:val="auto"/>
              </w:rPr>
            </w:pPr>
            <w:r>
              <w:rPr>
                <w:color w:val="auto"/>
              </w:rPr>
              <w:t>年资源化利用固体废物 8.9 万吨，回收金属（主要是钢、铜、铁等），再生碳渣和热解液</w:t>
            </w:r>
          </w:p>
        </w:tc>
        <w:tc>
          <w:tcPr>
            <w:tcW w:w="2716" w:type="dxa"/>
            <w:vAlign w:val="center"/>
          </w:tcPr>
          <w:p>
            <w:pPr>
              <w:pStyle w:val="30"/>
              <w:rPr>
                <w:color w:val="auto"/>
              </w:rPr>
            </w:pPr>
            <w:r>
              <w:rPr>
                <w:color w:val="auto"/>
              </w:rPr>
              <w:t>岳环评〔2016〕82号、岳环评〔2018〕56号</w:t>
            </w:r>
          </w:p>
        </w:tc>
        <w:tc>
          <w:tcPr>
            <w:tcW w:w="2268" w:type="dxa"/>
            <w:vAlign w:val="center"/>
          </w:tcPr>
          <w:p>
            <w:pPr>
              <w:pStyle w:val="30"/>
              <w:rPr>
                <w:color w:val="auto"/>
              </w:rPr>
            </w:pPr>
            <w:r>
              <w:rPr>
                <w:color w:val="auto"/>
              </w:rPr>
              <w:t>正在申请验收</w:t>
            </w:r>
          </w:p>
        </w:tc>
        <w:tc>
          <w:tcPr>
            <w:tcW w:w="813" w:type="dxa"/>
            <w:gridSpan w:val="2"/>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gridBefore w:val="1"/>
          <w:wBefore w:w="15" w:type="dxa"/>
          <w:trHeight w:val="342" w:hRule="atLeast"/>
        </w:trPr>
        <w:tc>
          <w:tcPr>
            <w:tcW w:w="649" w:type="dxa"/>
            <w:vAlign w:val="center"/>
          </w:tcPr>
          <w:p>
            <w:pPr>
              <w:pStyle w:val="30"/>
              <w:rPr>
                <w:color w:val="auto"/>
              </w:rPr>
            </w:pPr>
            <w:r>
              <w:rPr>
                <w:color w:val="auto"/>
              </w:rPr>
              <w:t>53</w:t>
            </w:r>
          </w:p>
        </w:tc>
        <w:tc>
          <w:tcPr>
            <w:tcW w:w="3348" w:type="dxa"/>
            <w:gridSpan w:val="2"/>
            <w:vAlign w:val="center"/>
          </w:tcPr>
          <w:p>
            <w:pPr>
              <w:pStyle w:val="30"/>
              <w:rPr>
                <w:color w:val="auto"/>
              </w:rPr>
            </w:pPr>
            <w:r>
              <w:rPr>
                <w:color w:val="auto"/>
              </w:rPr>
              <w:t>光大现代环保能源（汨罗）有限公司</w:t>
            </w:r>
          </w:p>
        </w:tc>
        <w:tc>
          <w:tcPr>
            <w:tcW w:w="4425" w:type="dxa"/>
            <w:gridSpan w:val="2"/>
            <w:vAlign w:val="center"/>
          </w:tcPr>
          <w:p>
            <w:pPr>
              <w:pStyle w:val="30"/>
              <w:rPr>
                <w:color w:val="auto"/>
              </w:rPr>
            </w:pPr>
            <w:r>
              <w:rPr>
                <w:color w:val="auto"/>
              </w:rPr>
              <w:t>汨罗市生活垃圾焚烧发电工程</w:t>
            </w:r>
          </w:p>
        </w:tc>
        <w:tc>
          <w:tcPr>
            <w:tcW w:w="2716" w:type="dxa"/>
            <w:vAlign w:val="center"/>
          </w:tcPr>
          <w:p>
            <w:pPr>
              <w:pStyle w:val="30"/>
              <w:rPr>
                <w:color w:val="auto"/>
              </w:rPr>
            </w:pPr>
            <w:r>
              <w:rPr>
                <w:color w:val="auto"/>
              </w:rPr>
              <w:t>岳环评〔2018〕23号</w:t>
            </w:r>
          </w:p>
        </w:tc>
        <w:tc>
          <w:tcPr>
            <w:tcW w:w="2268" w:type="dxa"/>
            <w:vAlign w:val="center"/>
          </w:tcPr>
          <w:p>
            <w:pPr>
              <w:pStyle w:val="30"/>
              <w:rPr>
                <w:color w:val="auto"/>
              </w:rPr>
            </w:pPr>
            <w:r>
              <w:rPr>
                <w:color w:val="auto"/>
              </w:rPr>
              <w:t>已通过验收</w:t>
            </w:r>
          </w:p>
        </w:tc>
        <w:tc>
          <w:tcPr>
            <w:tcW w:w="813" w:type="dxa"/>
            <w:gridSpan w:val="2"/>
            <w:vAlign w:val="center"/>
          </w:tcPr>
          <w:p>
            <w:pPr>
              <w:pStyle w:val="30"/>
              <w:rPr>
                <w:color w:val="auto"/>
              </w:rPr>
            </w:pPr>
          </w:p>
        </w:tc>
      </w:tr>
    </w:tbl>
    <w:p>
      <w:pPr>
        <w:pStyle w:val="31"/>
        <w:rPr>
          <w:color w:val="auto"/>
        </w:rPr>
      </w:pPr>
      <w:r>
        <w:rPr>
          <w:color w:val="auto"/>
        </w:rPr>
        <w:t>表4.4-2  汨罗高新技术产业开发区新市片区水污染物排放情况及采取的环保措施一览表单位：t/a</w:t>
      </w:r>
    </w:p>
    <w:tbl>
      <w:tblPr>
        <w:tblStyle w:val="21"/>
        <w:tblW w:w="14227" w:type="dxa"/>
        <w:tblInd w:w="183"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55"/>
        <w:gridCol w:w="2806"/>
        <w:gridCol w:w="926"/>
        <w:gridCol w:w="917"/>
        <w:gridCol w:w="850"/>
        <w:gridCol w:w="4020"/>
        <w:gridCol w:w="415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3" w:hRule="atLeast"/>
        </w:trPr>
        <w:tc>
          <w:tcPr>
            <w:tcW w:w="555" w:type="dxa"/>
            <w:vMerge w:val="restart"/>
            <w:vAlign w:val="center"/>
          </w:tcPr>
          <w:p>
            <w:pPr>
              <w:pStyle w:val="30"/>
              <w:rPr>
                <w:b/>
                <w:bCs/>
                <w:color w:val="auto"/>
              </w:rPr>
            </w:pPr>
            <w:r>
              <w:rPr>
                <w:b/>
                <w:bCs/>
                <w:color w:val="auto"/>
              </w:rPr>
              <w:t>序号</w:t>
            </w:r>
          </w:p>
        </w:tc>
        <w:tc>
          <w:tcPr>
            <w:tcW w:w="2806" w:type="dxa"/>
            <w:vMerge w:val="restart"/>
            <w:vAlign w:val="center"/>
          </w:tcPr>
          <w:p>
            <w:pPr>
              <w:pStyle w:val="30"/>
              <w:rPr>
                <w:b/>
                <w:bCs/>
                <w:color w:val="auto"/>
              </w:rPr>
            </w:pPr>
            <w:r>
              <w:rPr>
                <w:b/>
                <w:bCs/>
                <w:color w:val="auto"/>
              </w:rPr>
              <w:t>企业名称</w:t>
            </w:r>
          </w:p>
        </w:tc>
        <w:tc>
          <w:tcPr>
            <w:tcW w:w="2693" w:type="dxa"/>
            <w:gridSpan w:val="3"/>
            <w:vAlign w:val="center"/>
          </w:tcPr>
          <w:p>
            <w:pPr>
              <w:pStyle w:val="30"/>
              <w:rPr>
                <w:b/>
                <w:bCs/>
                <w:color w:val="auto"/>
              </w:rPr>
            </w:pPr>
            <w:r>
              <w:rPr>
                <w:b/>
                <w:bCs/>
                <w:color w:val="auto"/>
              </w:rPr>
              <w:t>污染因子</w:t>
            </w:r>
          </w:p>
        </w:tc>
        <w:tc>
          <w:tcPr>
            <w:tcW w:w="4020" w:type="dxa"/>
            <w:vMerge w:val="restart"/>
            <w:vAlign w:val="center"/>
          </w:tcPr>
          <w:p>
            <w:pPr>
              <w:pStyle w:val="30"/>
              <w:rPr>
                <w:b/>
                <w:bCs/>
                <w:color w:val="auto"/>
              </w:rPr>
            </w:pPr>
            <w:r>
              <w:rPr>
                <w:b/>
                <w:bCs/>
                <w:color w:val="auto"/>
              </w:rPr>
              <w:t>采取的环保措施</w:t>
            </w:r>
          </w:p>
        </w:tc>
        <w:tc>
          <w:tcPr>
            <w:tcW w:w="4153" w:type="dxa"/>
            <w:vMerge w:val="restart"/>
            <w:vAlign w:val="center"/>
          </w:tcPr>
          <w:p>
            <w:pPr>
              <w:pStyle w:val="30"/>
              <w:rPr>
                <w:b/>
                <w:bCs/>
                <w:color w:val="auto"/>
              </w:rPr>
            </w:pPr>
            <w:r>
              <w:rPr>
                <w:b/>
                <w:bCs/>
                <w:color w:val="auto"/>
              </w:rPr>
              <w:t>废水去向</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3" w:hRule="atLeast"/>
        </w:trPr>
        <w:tc>
          <w:tcPr>
            <w:tcW w:w="555" w:type="dxa"/>
            <w:vMerge w:val="continue"/>
            <w:vAlign w:val="center"/>
          </w:tcPr>
          <w:p>
            <w:pPr>
              <w:pStyle w:val="30"/>
              <w:rPr>
                <w:b/>
                <w:bCs/>
                <w:color w:val="auto"/>
              </w:rPr>
            </w:pPr>
          </w:p>
        </w:tc>
        <w:tc>
          <w:tcPr>
            <w:tcW w:w="2806" w:type="dxa"/>
            <w:vMerge w:val="continue"/>
            <w:vAlign w:val="center"/>
          </w:tcPr>
          <w:p>
            <w:pPr>
              <w:pStyle w:val="30"/>
              <w:rPr>
                <w:b/>
                <w:bCs/>
                <w:color w:val="auto"/>
              </w:rPr>
            </w:pPr>
          </w:p>
        </w:tc>
        <w:tc>
          <w:tcPr>
            <w:tcW w:w="926" w:type="dxa"/>
            <w:vAlign w:val="center"/>
          </w:tcPr>
          <w:p>
            <w:pPr>
              <w:pStyle w:val="30"/>
              <w:rPr>
                <w:b/>
                <w:bCs/>
                <w:color w:val="auto"/>
              </w:rPr>
            </w:pPr>
            <w:r>
              <w:rPr>
                <w:b/>
                <w:bCs/>
                <w:color w:val="auto"/>
              </w:rPr>
              <w:t>CODcr</w:t>
            </w:r>
          </w:p>
        </w:tc>
        <w:tc>
          <w:tcPr>
            <w:tcW w:w="917" w:type="dxa"/>
            <w:vAlign w:val="center"/>
          </w:tcPr>
          <w:p>
            <w:pPr>
              <w:pStyle w:val="30"/>
              <w:rPr>
                <w:b/>
                <w:bCs/>
                <w:color w:val="auto"/>
              </w:rPr>
            </w:pPr>
            <w:r>
              <w:rPr>
                <w:b/>
                <w:bCs/>
                <w:color w:val="auto"/>
              </w:rPr>
              <w:t>NH</w:t>
            </w:r>
            <w:r>
              <w:rPr>
                <w:b/>
                <w:bCs/>
                <w:color w:val="auto"/>
                <w:vertAlign w:val="subscript"/>
              </w:rPr>
              <w:t>3</w:t>
            </w:r>
            <w:r>
              <w:rPr>
                <w:b/>
                <w:bCs/>
                <w:color w:val="auto"/>
              </w:rPr>
              <w:t>-N</w:t>
            </w:r>
          </w:p>
        </w:tc>
        <w:tc>
          <w:tcPr>
            <w:tcW w:w="850" w:type="dxa"/>
            <w:vAlign w:val="center"/>
          </w:tcPr>
          <w:p>
            <w:pPr>
              <w:pStyle w:val="30"/>
              <w:rPr>
                <w:b/>
                <w:bCs/>
                <w:color w:val="auto"/>
              </w:rPr>
            </w:pPr>
            <w:r>
              <w:rPr>
                <w:b/>
                <w:bCs/>
                <w:color w:val="auto"/>
              </w:rPr>
              <w:t>石油类</w:t>
            </w:r>
          </w:p>
        </w:tc>
        <w:tc>
          <w:tcPr>
            <w:tcW w:w="4020" w:type="dxa"/>
            <w:vMerge w:val="continue"/>
            <w:vAlign w:val="center"/>
          </w:tcPr>
          <w:p>
            <w:pPr>
              <w:pStyle w:val="30"/>
              <w:rPr>
                <w:b/>
                <w:bCs/>
                <w:color w:val="auto"/>
              </w:rPr>
            </w:pPr>
          </w:p>
        </w:tc>
        <w:tc>
          <w:tcPr>
            <w:tcW w:w="4153" w:type="dxa"/>
            <w:vMerge w:val="continue"/>
            <w:vAlign w:val="center"/>
          </w:tcPr>
          <w:p>
            <w:pPr>
              <w:pStyle w:val="30"/>
              <w:rPr>
                <w:b/>
                <w:bCs/>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3" w:hRule="atLeast"/>
        </w:trPr>
        <w:tc>
          <w:tcPr>
            <w:tcW w:w="555" w:type="dxa"/>
            <w:vAlign w:val="center"/>
          </w:tcPr>
          <w:p>
            <w:pPr>
              <w:pStyle w:val="30"/>
              <w:rPr>
                <w:color w:val="auto"/>
              </w:rPr>
            </w:pPr>
            <w:r>
              <w:rPr>
                <w:color w:val="auto"/>
              </w:rPr>
              <w:t>1</w:t>
            </w:r>
          </w:p>
        </w:tc>
        <w:tc>
          <w:tcPr>
            <w:tcW w:w="2806" w:type="dxa"/>
            <w:vAlign w:val="center"/>
          </w:tcPr>
          <w:p>
            <w:pPr>
              <w:pStyle w:val="30"/>
              <w:rPr>
                <w:color w:val="auto"/>
              </w:rPr>
            </w:pPr>
            <w:r>
              <w:rPr>
                <w:color w:val="auto"/>
              </w:rPr>
              <w:t>湖南音品电子有限公司</w:t>
            </w:r>
          </w:p>
        </w:tc>
        <w:tc>
          <w:tcPr>
            <w:tcW w:w="926" w:type="dxa"/>
            <w:vAlign w:val="center"/>
          </w:tcPr>
          <w:p>
            <w:pPr>
              <w:pStyle w:val="30"/>
              <w:rPr>
                <w:color w:val="auto"/>
              </w:rPr>
            </w:pPr>
            <w:r>
              <w:rPr>
                <w:color w:val="auto"/>
              </w:rPr>
              <w:t>5.1</w:t>
            </w:r>
          </w:p>
        </w:tc>
        <w:tc>
          <w:tcPr>
            <w:tcW w:w="917" w:type="dxa"/>
            <w:vAlign w:val="center"/>
          </w:tcPr>
          <w:p>
            <w:pPr>
              <w:pStyle w:val="30"/>
              <w:rPr>
                <w:color w:val="auto"/>
              </w:rPr>
            </w:pPr>
            <w:r>
              <w:rPr>
                <w:color w:val="auto"/>
              </w:rPr>
              <w:t>0.4</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816" w:hRule="atLeast"/>
        </w:trPr>
        <w:tc>
          <w:tcPr>
            <w:tcW w:w="555" w:type="dxa"/>
            <w:vAlign w:val="center"/>
          </w:tcPr>
          <w:p>
            <w:pPr>
              <w:pStyle w:val="30"/>
              <w:rPr>
                <w:color w:val="auto"/>
              </w:rPr>
            </w:pPr>
            <w:r>
              <w:rPr>
                <w:color w:val="auto"/>
              </w:rPr>
              <w:t>2</w:t>
            </w:r>
          </w:p>
        </w:tc>
        <w:tc>
          <w:tcPr>
            <w:tcW w:w="2806" w:type="dxa"/>
            <w:vAlign w:val="center"/>
          </w:tcPr>
          <w:p>
            <w:pPr>
              <w:pStyle w:val="30"/>
              <w:rPr>
                <w:color w:val="auto"/>
              </w:rPr>
            </w:pPr>
            <w:r>
              <w:rPr>
                <w:color w:val="auto"/>
              </w:rPr>
              <w:t>湖南金正科技有限公司</w:t>
            </w:r>
          </w:p>
        </w:tc>
        <w:tc>
          <w:tcPr>
            <w:tcW w:w="926" w:type="dxa"/>
            <w:vAlign w:val="center"/>
          </w:tcPr>
          <w:p>
            <w:pPr>
              <w:pStyle w:val="30"/>
              <w:rPr>
                <w:color w:val="auto"/>
              </w:rPr>
            </w:pPr>
            <w:r>
              <w:rPr>
                <w:color w:val="auto"/>
              </w:rPr>
              <w:t>1.4</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0.008</w:t>
            </w:r>
          </w:p>
        </w:tc>
        <w:tc>
          <w:tcPr>
            <w:tcW w:w="4020" w:type="dxa"/>
            <w:vAlign w:val="center"/>
          </w:tcPr>
          <w:p>
            <w:pPr>
              <w:pStyle w:val="30"/>
              <w:rPr>
                <w:color w:val="auto"/>
              </w:rPr>
            </w:pPr>
            <w:r>
              <w:rPr>
                <w:color w:val="auto"/>
              </w:rPr>
              <w:t>生产过程产生的除油、陶化、水洗废水经气浮+混凝沉淀+中和调节预处理污水处理设施处理，生活污水经化粪池处理</w:t>
            </w:r>
          </w:p>
        </w:tc>
        <w:tc>
          <w:tcPr>
            <w:tcW w:w="4153" w:type="dxa"/>
            <w:vAlign w:val="center"/>
          </w:tcPr>
          <w:p>
            <w:pPr>
              <w:pStyle w:val="30"/>
              <w:rPr>
                <w:color w:val="auto"/>
              </w:rPr>
            </w:pPr>
            <w:r>
              <w:rPr>
                <w:color w:val="auto"/>
              </w:rPr>
              <w:t>生产废水排入湖南汨罗工业园重金属污水处 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3" w:hRule="atLeast"/>
        </w:trPr>
        <w:tc>
          <w:tcPr>
            <w:tcW w:w="555" w:type="dxa"/>
            <w:vAlign w:val="center"/>
          </w:tcPr>
          <w:p>
            <w:pPr>
              <w:pStyle w:val="30"/>
              <w:rPr>
                <w:color w:val="auto"/>
              </w:rPr>
            </w:pPr>
            <w:r>
              <w:rPr>
                <w:color w:val="auto"/>
              </w:rPr>
              <w:t>3</w:t>
            </w:r>
          </w:p>
        </w:tc>
        <w:tc>
          <w:tcPr>
            <w:tcW w:w="2806" w:type="dxa"/>
            <w:vAlign w:val="center"/>
          </w:tcPr>
          <w:p>
            <w:pPr>
              <w:pStyle w:val="30"/>
              <w:rPr>
                <w:color w:val="auto"/>
              </w:rPr>
            </w:pPr>
            <w:r>
              <w:rPr>
                <w:color w:val="auto"/>
              </w:rPr>
              <w:t>汨罗市艾德佳铝型材有限公司</w:t>
            </w:r>
          </w:p>
        </w:tc>
        <w:tc>
          <w:tcPr>
            <w:tcW w:w="926" w:type="dxa"/>
            <w:vAlign w:val="center"/>
          </w:tcPr>
          <w:p>
            <w:pPr>
              <w:pStyle w:val="30"/>
              <w:rPr>
                <w:color w:val="auto"/>
              </w:rPr>
            </w:pPr>
            <w:r>
              <w:rPr>
                <w:color w:val="auto"/>
              </w:rPr>
              <w:t>0.4</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氧化/电泳工艺含镍、含电泳漆废水分别经封闭回收系统 RO 处理槽处理后全部回收，酸碱水洗废水、氧化着色水洗废水、酸雾碱雾处理 废水经自建污水处理设施处理，生活污水经化</w:t>
            </w:r>
          </w:p>
          <w:p>
            <w:pPr>
              <w:pStyle w:val="30"/>
              <w:rPr>
                <w:color w:val="auto"/>
              </w:rPr>
            </w:pPr>
            <w:r>
              <w:rPr>
                <w:color w:val="auto"/>
              </w:rPr>
              <w:t>粪池处理</w:t>
            </w:r>
          </w:p>
        </w:tc>
        <w:tc>
          <w:tcPr>
            <w:tcW w:w="4153" w:type="dxa"/>
            <w:vAlign w:val="center"/>
          </w:tcPr>
          <w:p>
            <w:pPr>
              <w:pStyle w:val="30"/>
              <w:rPr>
                <w:color w:val="auto"/>
              </w:rPr>
            </w:pPr>
            <w:r>
              <w:rPr>
                <w:color w:val="auto"/>
              </w:rPr>
              <w:t>生产废水排入湖南汨罗工业园重金属污水处 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85" w:hRule="atLeast"/>
        </w:trPr>
        <w:tc>
          <w:tcPr>
            <w:tcW w:w="555" w:type="dxa"/>
            <w:vAlign w:val="center"/>
          </w:tcPr>
          <w:p>
            <w:pPr>
              <w:pStyle w:val="30"/>
              <w:rPr>
                <w:color w:val="auto"/>
              </w:rPr>
            </w:pPr>
            <w:r>
              <w:rPr>
                <w:color w:val="auto"/>
              </w:rPr>
              <w:t>4</w:t>
            </w:r>
          </w:p>
        </w:tc>
        <w:tc>
          <w:tcPr>
            <w:tcW w:w="2806" w:type="dxa"/>
            <w:vAlign w:val="center"/>
          </w:tcPr>
          <w:p>
            <w:pPr>
              <w:pStyle w:val="30"/>
              <w:rPr>
                <w:color w:val="auto"/>
              </w:rPr>
            </w:pPr>
            <w:r>
              <w:rPr>
                <w:color w:val="auto"/>
              </w:rPr>
              <w:t>湖南龙舟龙机股份有限公司</w:t>
            </w:r>
          </w:p>
        </w:tc>
        <w:tc>
          <w:tcPr>
            <w:tcW w:w="926" w:type="dxa"/>
            <w:vAlign w:val="center"/>
          </w:tcPr>
          <w:p>
            <w:pPr>
              <w:pStyle w:val="30"/>
              <w:rPr>
                <w:color w:val="auto"/>
              </w:rPr>
            </w:pPr>
            <w:r>
              <w:rPr>
                <w:color w:val="auto"/>
              </w:rPr>
              <w:t>0.4</w:t>
            </w:r>
          </w:p>
        </w:tc>
        <w:tc>
          <w:tcPr>
            <w:tcW w:w="917" w:type="dxa"/>
            <w:vAlign w:val="center"/>
          </w:tcPr>
          <w:p>
            <w:pPr>
              <w:pStyle w:val="30"/>
              <w:rPr>
                <w:color w:val="auto"/>
              </w:rPr>
            </w:pPr>
            <w:r>
              <w:rPr>
                <w:color w:val="auto"/>
              </w:rPr>
              <w:t>0.4</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油漆车间废水经自建污水处理设施处理，生活 污水经化粪池处理</w:t>
            </w:r>
          </w:p>
        </w:tc>
        <w:tc>
          <w:tcPr>
            <w:tcW w:w="4153" w:type="dxa"/>
            <w:vAlign w:val="center"/>
          </w:tcPr>
          <w:p>
            <w:pPr>
              <w:pStyle w:val="30"/>
              <w:rPr>
                <w:color w:val="auto"/>
              </w:rPr>
            </w:pPr>
            <w:r>
              <w:rPr>
                <w:color w:val="auto"/>
              </w:rPr>
              <w:t>生产废水排入湖南汨罗工业园重金属污水处 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44" w:hRule="atLeast"/>
        </w:trPr>
        <w:tc>
          <w:tcPr>
            <w:tcW w:w="555" w:type="dxa"/>
            <w:vAlign w:val="center"/>
          </w:tcPr>
          <w:p>
            <w:pPr>
              <w:pStyle w:val="30"/>
              <w:rPr>
                <w:color w:val="auto"/>
              </w:rPr>
            </w:pPr>
            <w:r>
              <w:rPr>
                <w:color w:val="auto"/>
              </w:rPr>
              <w:t>5</w:t>
            </w:r>
          </w:p>
        </w:tc>
        <w:tc>
          <w:tcPr>
            <w:tcW w:w="2806" w:type="dxa"/>
            <w:vAlign w:val="center"/>
          </w:tcPr>
          <w:p>
            <w:pPr>
              <w:pStyle w:val="30"/>
              <w:rPr>
                <w:color w:val="auto"/>
              </w:rPr>
            </w:pPr>
            <w:r>
              <w:rPr>
                <w:color w:val="auto"/>
              </w:rPr>
              <w:t>湖南拓曼节能科技有限公司</w:t>
            </w:r>
          </w:p>
        </w:tc>
        <w:tc>
          <w:tcPr>
            <w:tcW w:w="926" w:type="dxa"/>
            <w:vAlign w:val="center"/>
          </w:tcPr>
          <w:p>
            <w:pPr>
              <w:pStyle w:val="30"/>
              <w:rPr>
                <w:color w:val="auto"/>
              </w:rPr>
            </w:pPr>
            <w:r>
              <w:rPr>
                <w:color w:val="auto"/>
              </w:rPr>
              <w:t>0.46</w:t>
            </w:r>
          </w:p>
        </w:tc>
        <w:tc>
          <w:tcPr>
            <w:tcW w:w="917" w:type="dxa"/>
            <w:vAlign w:val="center"/>
          </w:tcPr>
          <w:p>
            <w:pPr>
              <w:pStyle w:val="30"/>
              <w:rPr>
                <w:color w:val="auto"/>
              </w:rPr>
            </w:pPr>
            <w:r>
              <w:rPr>
                <w:color w:val="auto"/>
              </w:rPr>
              <w:t>0.115</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酸洗废水、清洗废水采用调节+中和混凝+过滤工艺处理，生活污水经化粪池处理</w:t>
            </w:r>
          </w:p>
        </w:tc>
        <w:tc>
          <w:tcPr>
            <w:tcW w:w="4153" w:type="dxa"/>
            <w:vAlign w:val="center"/>
          </w:tcPr>
          <w:p>
            <w:pPr>
              <w:pStyle w:val="30"/>
              <w:rPr>
                <w:color w:val="auto"/>
              </w:rPr>
            </w:pPr>
            <w:r>
              <w:rPr>
                <w:color w:val="auto"/>
              </w:rPr>
              <w:t>生产废水排入湖南汨罗工业园重金属污水处理厂，生活废水排入汨罗市城市污水处理厂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6</w:t>
            </w:r>
          </w:p>
        </w:tc>
        <w:tc>
          <w:tcPr>
            <w:tcW w:w="2806" w:type="dxa"/>
            <w:vAlign w:val="center"/>
          </w:tcPr>
          <w:p>
            <w:pPr>
              <w:pStyle w:val="30"/>
              <w:rPr>
                <w:color w:val="auto"/>
              </w:rPr>
            </w:pPr>
            <w:r>
              <w:rPr>
                <w:color w:val="auto"/>
              </w:rPr>
              <w:t>汨罗市天惠有色金属有限公司</w:t>
            </w:r>
          </w:p>
        </w:tc>
        <w:tc>
          <w:tcPr>
            <w:tcW w:w="926" w:type="dxa"/>
            <w:vAlign w:val="center"/>
          </w:tcPr>
          <w:p>
            <w:pPr>
              <w:pStyle w:val="30"/>
              <w:rPr>
                <w:color w:val="auto"/>
              </w:rPr>
            </w:pPr>
            <w:r>
              <w:rPr>
                <w:color w:val="auto"/>
              </w:rPr>
              <w:t>0.55</w:t>
            </w:r>
          </w:p>
        </w:tc>
        <w:tc>
          <w:tcPr>
            <w:tcW w:w="917" w:type="dxa"/>
            <w:vAlign w:val="center"/>
          </w:tcPr>
          <w:p>
            <w:pPr>
              <w:pStyle w:val="30"/>
              <w:rPr>
                <w:color w:val="auto"/>
              </w:rPr>
            </w:pPr>
            <w:r>
              <w:rPr>
                <w:color w:val="auto"/>
              </w:rPr>
              <w:t>0.013</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7</w:t>
            </w:r>
          </w:p>
        </w:tc>
        <w:tc>
          <w:tcPr>
            <w:tcW w:w="2806" w:type="dxa"/>
            <w:vAlign w:val="center"/>
          </w:tcPr>
          <w:p>
            <w:pPr>
              <w:pStyle w:val="30"/>
              <w:rPr>
                <w:color w:val="auto"/>
              </w:rPr>
            </w:pPr>
            <w:r>
              <w:rPr>
                <w:color w:val="auto"/>
              </w:rPr>
              <w:t>汨罗市正利有色金属有限公司</w:t>
            </w:r>
          </w:p>
        </w:tc>
        <w:tc>
          <w:tcPr>
            <w:tcW w:w="926" w:type="dxa"/>
            <w:vAlign w:val="center"/>
          </w:tcPr>
          <w:p>
            <w:pPr>
              <w:pStyle w:val="30"/>
              <w:rPr>
                <w:color w:val="auto"/>
              </w:rPr>
            </w:pPr>
            <w:r>
              <w:rPr>
                <w:color w:val="auto"/>
              </w:rPr>
              <w:t>0.3</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8</w:t>
            </w:r>
          </w:p>
        </w:tc>
        <w:tc>
          <w:tcPr>
            <w:tcW w:w="2806" w:type="dxa"/>
            <w:vAlign w:val="center"/>
          </w:tcPr>
          <w:p>
            <w:pPr>
              <w:pStyle w:val="30"/>
              <w:rPr>
                <w:color w:val="auto"/>
              </w:rPr>
            </w:pPr>
            <w:r>
              <w:rPr>
                <w:color w:val="auto"/>
              </w:rPr>
              <w:t>湖南绿谷铝业有限公司</w:t>
            </w:r>
          </w:p>
        </w:tc>
        <w:tc>
          <w:tcPr>
            <w:tcW w:w="926" w:type="dxa"/>
            <w:vAlign w:val="center"/>
          </w:tcPr>
          <w:p>
            <w:pPr>
              <w:pStyle w:val="30"/>
              <w:rPr>
                <w:color w:val="auto"/>
              </w:rPr>
            </w:pPr>
            <w:r>
              <w:rPr>
                <w:color w:val="auto"/>
              </w:rPr>
              <w:t>0.016</w:t>
            </w:r>
          </w:p>
        </w:tc>
        <w:tc>
          <w:tcPr>
            <w:tcW w:w="917" w:type="dxa"/>
            <w:vAlign w:val="center"/>
          </w:tcPr>
          <w:p>
            <w:pPr>
              <w:pStyle w:val="30"/>
              <w:rPr>
                <w:color w:val="auto"/>
              </w:rPr>
            </w:pPr>
            <w:r>
              <w:rPr>
                <w:color w:val="auto"/>
              </w:rPr>
              <w:t>0.002</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2" w:hRule="atLeast"/>
        </w:trPr>
        <w:tc>
          <w:tcPr>
            <w:tcW w:w="555" w:type="dxa"/>
            <w:vAlign w:val="center"/>
          </w:tcPr>
          <w:p>
            <w:pPr>
              <w:pStyle w:val="30"/>
              <w:rPr>
                <w:color w:val="auto"/>
              </w:rPr>
            </w:pPr>
            <w:r>
              <w:rPr>
                <w:color w:val="auto"/>
              </w:rPr>
              <w:t>9</w:t>
            </w:r>
          </w:p>
        </w:tc>
        <w:tc>
          <w:tcPr>
            <w:tcW w:w="2806" w:type="dxa"/>
            <w:vAlign w:val="center"/>
          </w:tcPr>
          <w:p>
            <w:pPr>
              <w:pStyle w:val="30"/>
              <w:rPr>
                <w:color w:val="auto"/>
              </w:rPr>
            </w:pPr>
            <w:r>
              <w:rPr>
                <w:color w:val="auto"/>
              </w:rPr>
              <w:t>湖南讯刻节能科技有限公司</w:t>
            </w:r>
          </w:p>
        </w:tc>
        <w:tc>
          <w:tcPr>
            <w:tcW w:w="926" w:type="dxa"/>
            <w:vAlign w:val="center"/>
          </w:tcPr>
          <w:p>
            <w:pPr>
              <w:pStyle w:val="30"/>
              <w:rPr>
                <w:color w:val="auto"/>
              </w:rPr>
            </w:pPr>
            <w:r>
              <w:rPr>
                <w:color w:val="auto"/>
              </w:rPr>
              <w:t>0.4</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555" w:type="dxa"/>
            <w:vAlign w:val="center"/>
          </w:tcPr>
          <w:p>
            <w:pPr>
              <w:pStyle w:val="30"/>
              <w:rPr>
                <w:color w:val="auto"/>
              </w:rPr>
            </w:pPr>
            <w:r>
              <w:rPr>
                <w:color w:val="auto"/>
              </w:rPr>
              <w:t>10</w:t>
            </w:r>
          </w:p>
        </w:tc>
        <w:tc>
          <w:tcPr>
            <w:tcW w:w="2806" w:type="dxa"/>
            <w:vAlign w:val="center"/>
          </w:tcPr>
          <w:p>
            <w:pPr>
              <w:pStyle w:val="30"/>
              <w:rPr>
                <w:color w:val="auto"/>
              </w:rPr>
            </w:pPr>
            <w:r>
              <w:rPr>
                <w:color w:val="auto"/>
              </w:rPr>
              <w:t>汨罗市鑫祥碳素制品有限公司</w:t>
            </w:r>
          </w:p>
        </w:tc>
        <w:tc>
          <w:tcPr>
            <w:tcW w:w="926" w:type="dxa"/>
            <w:vAlign w:val="center"/>
          </w:tcPr>
          <w:p>
            <w:pPr>
              <w:pStyle w:val="30"/>
              <w:rPr>
                <w:color w:val="auto"/>
              </w:rPr>
            </w:pPr>
            <w:r>
              <w:rPr>
                <w:color w:val="auto"/>
              </w:rPr>
              <w:t>5.9</w:t>
            </w:r>
          </w:p>
        </w:tc>
        <w:tc>
          <w:tcPr>
            <w:tcW w:w="917" w:type="dxa"/>
            <w:vAlign w:val="center"/>
          </w:tcPr>
          <w:p>
            <w:pPr>
              <w:pStyle w:val="30"/>
              <w:rPr>
                <w:color w:val="auto"/>
              </w:rPr>
            </w:pPr>
            <w:r>
              <w:rPr>
                <w:color w:val="auto"/>
              </w:rPr>
              <w:t>0.4</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冷却水及初期雨水进入厂区人工 湖循环使用，生活污水经化粪池处理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11</w:t>
            </w:r>
          </w:p>
        </w:tc>
        <w:tc>
          <w:tcPr>
            <w:tcW w:w="2806" w:type="dxa"/>
            <w:vAlign w:val="center"/>
          </w:tcPr>
          <w:p>
            <w:pPr>
              <w:pStyle w:val="30"/>
              <w:rPr>
                <w:color w:val="auto"/>
              </w:rPr>
            </w:pPr>
            <w:r>
              <w:rPr>
                <w:color w:val="auto"/>
              </w:rPr>
              <w:t>汨罗市福缘新材料有限公司</w:t>
            </w:r>
          </w:p>
        </w:tc>
        <w:tc>
          <w:tcPr>
            <w:tcW w:w="926" w:type="dxa"/>
            <w:vAlign w:val="center"/>
          </w:tcPr>
          <w:p>
            <w:pPr>
              <w:pStyle w:val="30"/>
              <w:rPr>
                <w:color w:val="auto"/>
              </w:rPr>
            </w:pPr>
            <w:r>
              <w:rPr>
                <w:color w:val="auto"/>
              </w:rPr>
              <w:t>0.64</w:t>
            </w:r>
          </w:p>
        </w:tc>
        <w:tc>
          <w:tcPr>
            <w:tcW w:w="917" w:type="dxa"/>
            <w:vAlign w:val="center"/>
          </w:tcPr>
          <w:p>
            <w:pPr>
              <w:pStyle w:val="30"/>
              <w:rPr>
                <w:color w:val="auto"/>
              </w:rPr>
            </w:pPr>
            <w:r>
              <w:rPr>
                <w:color w:val="auto"/>
              </w:rPr>
              <w:t>0.015</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12</w:t>
            </w:r>
          </w:p>
        </w:tc>
        <w:tc>
          <w:tcPr>
            <w:tcW w:w="2806" w:type="dxa"/>
            <w:vAlign w:val="center"/>
          </w:tcPr>
          <w:p>
            <w:pPr>
              <w:pStyle w:val="30"/>
              <w:rPr>
                <w:color w:val="auto"/>
              </w:rPr>
            </w:pPr>
            <w:r>
              <w:rPr>
                <w:color w:val="auto"/>
              </w:rPr>
              <w:t>湖南湘达环保工程有限公司</w:t>
            </w:r>
          </w:p>
        </w:tc>
        <w:tc>
          <w:tcPr>
            <w:tcW w:w="926" w:type="dxa"/>
            <w:vAlign w:val="center"/>
          </w:tcPr>
          <w:p>
            <w:pPr>
              <w:pStyle w:val="30"/>
              <w:rPr>
                <w:color w:val="auto"/>
              </w:rPr>
            </w:pPr>
            <w:r>
              <w:rPr>
                <w:color w:val="auto"/>
              </w:rPr>
              <w:t>0.2</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5" w:type="dxa"/>
            <w:vAlign w:val="center"/>
          </w:tcPr>
          <w:p>
            <w:pPr>
              <w:pStyle w:val="30"/>
              <w:rPr>
                <w:color w:val="auto"/>
              </w:rPr>
            </w:pPr>
            <w:r>
              <w:rPr>
                <w:color w:val="auto"/>
              </w:rPr>
              <w:t>13</w:t>
            </w:r>
          </w:p>
        </w:tc>
        <w:tc>
          <w:tcPr>
            <w:tcW w:w="2806" w:type="dxa"/>
            <w:vAlign w:val="center"/>
          </w:tcPr>
          <w:p>
            <w:pPr>
              <w:pStyle w:val="30"/>
              <w:rPr>
                <w:color w:val="auto"/>
              </w:rPr>
            </w:pPr>
            <w:r>
              <w:rPr>
                <w:color w:val="auto"/>
              </w:rPr>
              <w:t>湖南省九喜日化有限公司</w:t>
            </w:r>
          </w:p>
        </w:tc>
        <w:tc>
          <w:tcPr>
            <w:tcW w:w="926" w:type="dxa"/>
            <w:vAlign w:val="center"/>
          </w:tcPr>
          <w:p>
            <w:pPr>
              <w:pStyle w:val="30"/>
              <w:rPr>
                <w:color w:val="auto"/>
              </w:rPr>
            </w:pPr>
            <w:r>
              <w:rPr>
                <w:color w:val="auto"/>
              </w:rPr>
              <w:t>2.5</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33" w:hRule="atLeast"/>
        </w:trPr>
        <w:tc>
          <w:tcPr>
            <w:tcW w:w="555" w:type="dxa"/>
            <w:vAlign w:val="center"/>
          </w:tcPr>
          <w:p>
            <w:pPr>
              <w:pStyle w:val="30"/>
              <w:rPr>
                <w:color w:val="auto"/>
              </w:rPr>
            </w:pPr>
            <w:r>
              <w:rPr>
                <w:color w:val="auto"/>
              </w:rPr>
              <w:t>14</w:t>
            </w:r>
          </w:p>
        </w:tc>
        <w:tc>
          <w:tcPr>
            <w:tcW w:w="2806" w:type="dxa"/>
            <w:vAlign w:val="center"/>
          </w:tcPr>
          <w:p>
            <w:pPr>
              <w:pStyle w:val="30"/>
              <w:rPr>
                <w:color w:val="auto"/>
              </w:rPr>
            </w:pPr>
            <w:r>
              <w:rPr>
                <w:color w:val="auto"/>
              </w:rPr>
              <w:t>汨罗市通变电气有限公司</w:t>
            </w:r>
          </w:p>
        </w:tc>
        <w:tc>
          <w:tcPr>
            <w:tcW w:w="926" w:type="dxa"/>
            <w:vAlign w:val="center"/>
          </w:tcPr>
          <w:p>
            <w:pPr>
              <w:pStyle w:val="30"/>
              <w:rPr>
                <w:color w:val="auto"/>
              </w:rPr>
            </w:pPr>
            <w:r>
              <w:rPr>
                <w:color w:val="auto"/>
              </w:rPr>
              <w:t>1.0</w:t>
            </w:r>
          </w:p>
        </w:tc>
        <w:tc>
          <w:tcPr>
            <w:tcW w:w="917" w:type="dxa"/>
            <w:vAlign w:val="center"/>
          </w:tcPr>
          <w:p>
            <w:pPr>
              <w:pStyle w:val="30"/>
              <w:rPr>
                <w:color w:val="auto"/>
              </w:rPr>
            </w:pPr>
            <w:r>
              <w:rPr>
                <w:color w:val="auto"/>
              </w:rPr>
              <w:t>0.07</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15</w:t>
            </w:r>
          </w:p>
        </w:tc>
        <w:tc>
          <w:tcPr>
            <w:tcW w:w="2806" w:type="dxa"/>
            <w:vAlign w:val="center"/>
          </w:tcPr>
          <w:p>
            <w:pPr>
              <w:pStyle w:val="30"/>
              <w:rPr>
                <w:color w:val="auto"/>
              </w:rPr>
            </w:pPr>
            <w:r>
              <w:rPr>
                <w:color w:val="auto"/>
              </w:rPr>
              <w:t>汨罗市铭鸿电子有限公司</w:t>
            </w:r>
          </w:p>
        </w:tc>
        <w:tc>
          <w:tcPr>
            <w:tcW w:w="926" w:type="dxa"/>
            <w:vAlign w:val="center"/>
          </w:tcPr>
          <w:p>
            <w:pPr>
              <w:pStyle w:val="30"/>
              <w:rPr>
                <w:color w:val="auto"/>
              </w:rPr>
            </w:pPr>
            <w:r>
              <w:rPr>
                <w:color w:val="auto"/>
              </w:rPr>
              <w:t>0.8</w:t>
            </w:r>
          </w:p>
        </w:tc>
        <w:tc>
          <w:tcPr>
            <w:tcW w:w="917" w:type="dxa"/>
            <w:vAlign w:val="center"/>
          </w:tcPr>
          <w:p>
            <w:pPr>
              <w:pStyle w:val="30"/>
              <w:rPr>
                <w:color w:val="auto"/>
              </w:rPr>
            </w:pPr>
            <w:r>
              <w:rPr>
                <w:color w:val="auto"/>
              </w:rPr>
              <w:t>0.3</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16</w:t>
            </w:r>
          </w:p>
        </w:tc>
        <w:tc>
          <w:tcPr>
            <w:tcW w:w="2806" w:type="dxa"/>
            <w:vAlign w:val="center"/>
          </w:tcPr>
          <w:p>
            <w:pPr>
              <w:pStyle w:val="30"/>
              <w:rPr>
                <w:color w:val="auto"/>
              </w:rPr>
            </w:pPr>
            <w:r>
              <w:rPr>
                <w:color w:val="auto"/>
              </w:rPr>
              <w:t>湖南现代家俱装饰有限公司</w:t>
            </w:r>
          </w:p>
        </w:tc>
        <w:tc>
          <w:tcPr>
            <w:tcW w:w="926" w:type="dxa"/>
            <w:vAlign w:val="center"/>
          </w:tcPr>
          <w:p>
            <w:pPr>
              <w:pStyle w:val="30"/>
              <w:rPr>
                <w:color w:val="auto"/>
              </w:rPr>
            </w:pPr>
            <w:r>
              <w:rPr>
                <w:color w:val="auto"/>
              </w:rPr>
              <w:t>0.826</w:t>
            </w:r>
          </w:p>
        </w:tc>
        <w:tc>
          <w:tcPr>
            <w:tcW w:w="917" w:type="dxa"/>
            <w:vAlign w:val="center"/>
          </w:tcPr>
          <w:p>
            <w:pPr>
              <w:pStyle w:val="30"/>
              <w:rPr>
                <w:color w:val="auto"/>
              </w:rPr>
            </w:pPr>
            <w:r>
              <w:rPr>
                <w:color w:val="auto"/>
              </w:rPr>
              <w:t>0.048</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17</w:t>
            </w:r>
          </w:p>
        </w:tc>
        <w:tc>
          <w:tcPr>
            <w:tcW w:w="2806" w:type="dxa"/>
            <w:vAlign w:val="center"/>
          </w:tcPr>
          <w:p>
            <w:pPr>
              <w:pStyle w:val="30"/>
              <w:rPr>
                <w:color w:val="auto"/>
              </w:rPr>
            </w:pPr>
            <w:r>
              <w:rPr>
                <w:color w:val="auto"/>
              </w:rPr>
              <w:t>湖南双兴铝业有限公司</w:t>
            </w:r>
          </w:p>
        </w:tc>
        <w:tc>
          <w:tcPr>
            <w:tcW w:w="926" w:type="dxa"/>
            <w:vAlign w:val="center"/>
          </w:tcPr>
          <w:p>
            <w:pPr>
              <w:pStyle w:val="30"/>
              <w:rPr>
                <w:color w:val="auto"/>
              </w:rPr>
            </w:pPr>
            <w:r>
              <w:rPr>
                <w:color w:val="auto"/>
              </w:rPr>
              <w:t>0.1</w:t>
            </w:r>
          </w:p>
        </w:tc>
        <w:tc>
          <w:tcPr>
            <w:tcW w:w="917" w:type="dxa"/>
            <w:vAlign w:val="center"/>
          </w:tcPr>
          <w:p>
            <w:pPr>
              <w:pStyle w:val="30"/>
              <w:rPr>
                <w:color w:val="auto"/>
              </w:rPr>
            </w:pPr>
            <w:r>
              <w:rPr>
                <w:color w:val="auto"/>
              </w:rPr>
              <w:t>0.003</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18</w:t>
            </w:r>
          </w:p>
        </w:tc>
        <w:tc>
          <w:tcPr>
            <w:tcW w:w="2806" w:type="dxa"/>
            <w:vAlign w:val="center"/>
          </w:tcPr>
          <w:p>
            <w:pPr>
              <w:pStyle w:val="30"/>
              <w:rPr>
                <w:color w:val="auto"/>
              </w:rPr>
            </w:pPr>
            <w:r>
              <w:rPr>
                <w:color w:val="auto"/>
              </w:rPr>
              <w:t>湖南金丰铜材有限公司</w:t>
            </w:r>
          </w:p>
        </w:tc>
        <w:tc>
          <w:tcPr>
            <w:tcW w:w="926" w:type="dxa"/>
            <w:vAlign w:val="center"/>
          </w:tcPr>
          <w:p>
            <w:pPr>
              <w:pStyle w:val="30"/>
              <w:rPr>
                <w:color w:val="auto"/>
              </w:rPr>
            </w:pPr>
            <w:r>
              <w:rPr>
                <w:color w:val="auto"/>
              </w:rPr>
              <w:t>0.1</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19</w:t>
            </w:r>
          </w:p>
        </w:tc>
        <w:tc>
          <w:tcPr>
            <w:tcW w:w="2806" w:type="dxa"/>
            <w:vAlign w:val="center"/>
          </w:tcPr>
          <w:p>
            <w:pPr>
              <w:pStyle w:val="30"/>
              <w:rPr>
                <w:color w:val="auto"/>
              </w:rPr>
            </w:pPr>
            <w:r>
              <w:rPr>
                <w:color w:val="auto"/>
              </w:rPr>
              <w:t>湖南新威凌新材料有限公司</w:t>
            </w:r>
          </w:p>
        </w:tc>
        <w:tc>
          <w:tcPr>
            <w:tcW w:w="926" w:type="dxa"/>
            <w:vAlign w:val="center"/>
          </w:tcPr>
          <w:p>
            <w:pPr>
              <w:pStyle w:val="30"/>
              <w:rPr>
                <w:color w:val="auto"/>
              </w:rPr>
            </w:pPr>
            <w:r>
              <w:rPr>
                <w:color w:val="auto"/>
              </w:rPr>
              <w:t>2.2</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20</w:t>
            </w:r>
          </w:p>
        </w:tc>
        <w:tc>
          <w:tcPr>
            <w:tcW w:w="2806" w:type="dxa"/>
            <w:vAlign w:val="center"/>
          </w:tcPr>
          <w:p>
            <w:pPr>
              <w:pStyle w:val="30"/>
              <w:rPr>
                <w:color w:val="auto"/>
              </w:rPr>
            </w:pPr>
            <w:r>
              <w:rPr>
                <w:color w:val="auto"/>
              </w:rPr>
              <w:t>汨罗市天盛铜材有限公司</w:t>
            </w:r>
          </w:p>
        </w:tc>
        <w:tc>
          <w:tcPr>
            <w:tcW w:w="926" w:type="dxa"/>
            <w:vAlign w:val="center"/>
          </w:tcPr>
          <w:p>
            <w:pPr>
              <w:pStyle w:val="30"/>
              <w:rPr>
                <w:color w:val="auto"/>
              </w:rPr>
            </w:pPr>
            <w:r>
              <w:rPr>
                <w:color w:val="auto"/>
              </w:rPr>
              <w:t>0.5</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21</w:t>
            </w:r>
          </w:p>
        </w:tc>
        <w:tc>
          <w:tcPr>
            <w:tcW w:w="2806" w:type="dxa"/>
            <w:vAlign w:val="center"/>
          </w:tcPr>
          <w:p>
            <w:pPr>
              <w:pStyle w:val="30"/>
              <w:rPr>
                <w:color w:val="auto"/>
              </w:rPr>
            </w:pPr>
            <w:r>
              <w:rPr>
                <w:color w:val="auto"/>
              </w:rPr>
              <w:t>汨罗市联创铝业科技有限公司</w:t>
            </w:r>
          </w:p>
        </w:tc>
        <w:tc>
          <w:tcPr>
            <w:tcW w:w="926" w:type="dxa"/>
            <w:vAlign w:val="center"/>
          </w:tcPr>
          <w:p>
            <w:pPr>
              <w:pStyle w:val="30"/>
              <w:rPr>
                <w:color w:val="auto"/>
              </w:rPr>
            </w:pPr>
            <w:r>
              <w:rPr>
                <w:color w:val="auto"/>
              </w:rPr>
              <w:t>0.54</w:t>
            </w:r>
          </w:p>
        </w:tc>
        <w:tc>
          <w:tcPr>
            <w:tcW w:w="917" w:type="dxa"/>
            <w:vAlign w:val="center"/>
          </w:tcPr>
          <w:p>
            <w:pPr>
              <w:pStyle w:val="30"/>
              <w:rPr>
                <w:color w:val="auto"/>
              </w:rPr>
            </w:pPr>
            <w:r>
              <w:rPr>
                <w:color w:val="auto"/>
              </w:rPr>
              <w:t>0.09</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22</w:t>
            </w:r>
          </w:p>
        </w:tc>
        <w:tc>
          <w:tcPr>
            <w:tcW w:w="2806" w:type="dxa"/>
            <w:vAlign w:val="center"/>
          </w:tcPr>
          <w:p>
            <w:pPr>
              <w:pStyle w:val="30"/>
              <w:rPr>
                <w:color w:val="auto"/>
              </w:rPr>
            </w:pPr>
            <w:r>
              <w:rPr>
                <w:color w:val="auto"/>
              </w:rPr>
              <w:t>湖南金一科技有限公司</w:t>
            </w:r>
          </w:p>
        </w:tc>
        <w:tc>
          <w:tcPr>
            <w:tcW w:w="926" w:type="dxa"/>
            <w:vAlign w:val="center"/>
          </w:tcPr>
          <w:p>
            <w:pPr>
              <w:pStyle w:val="30"/>
              <w:rPr>
                <w:color w:val="auto"/>
              </w:rPr>
            </w:pPr>
            <w:r>
              <w:rPr>
                <w:color w:val="auto"/>
              </w:rPr>
              <w:t>1.3</w:t>
            </w:r>
          </w:p>
        </w:tc>
        <w:tc>
          <w:tcPr>
            <w:tcW w:w="917" w:type="dxa"/>
            <w:vAlign w:val="center"/>
          </w:tcPr>
          <w:p>
            <w:pPr>
              <w:pStyle w:val="30"/>
              <w:rPr>
                <w:color w:val="auto"/>
              </w:rPr>
            </w:pPr>
            <w:r>
              <w:rPr>
                <w:color w:val="auto"/>
              </w:rPr>
              <w:t>0.2</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23</w:t>
            </w:r>
          </w:p>
        </w:tc>
        <w:tc>
          <w:tcPr>
            <w:tcW w:w="2806" w:type="dxa"/>
            <w:vAlign w:val="center"/>
          </w:tcPr>
          <w:p>
            <w:pPr>
              <w:pStyle w:val="30"/>
              <w:rPr>
                <w:color w:val="auto"/>
              </w:rPr>
            </w:pPr>
            <w:r>
              <w:rPr>
                <w:color w:val="auto"/>
              </w:rPr>
              <w:t>汨罗市金龙铜业有限公司</w:t>
            </w:r>
          </w:p>
        </w:tc>
        <w:tc>
          <w:tcPr>
            <w:tcW w:w="926" w:type="dxa"/>
            <w:vAlign w:val="center"/>
          </w:tcPr>
          <w:p>
            <w:pPr>
              <w:pStyle w:val="30"/>
              <w:rPr>
                <w:color w:val="auto"/>
              </w:rPr>
            </w:pPr>
            <w:r>
              <w:rPr>
                <w:color w:val="auto"/>
              </w:rPr>
              <w:t>0.4</w:t>
            </w:r>
          </w:p>
        </w:tc>
        <w:tc>
          <w:tcPr>
            <w:tcW w:w="917" w:type="dxa"/>
            <w:vAlign w:val="center"/>
          </w:tcPr>
          <w:p>
            <w:pPr>
              <w:pStyle w:val="30"/>
              <w:rPr>
                <w:color w:val="auto"/>
              </w:rPr>
            </w:pPr>
            <w:r>
              <w:rPr>
                <w:color w:val="auto"/>
              </w:rPr>
              <w:t>0.2</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24</w:t>
            </w:r>
          </w:p>
        </w:tc>
        <w:tc>
          <w:tcPr>
            <w:tcW w:w="2806" w:type="dxa"/>
            <w:vAlign w:val="center"/>
          </w:tcPr>
          <w:p>
            <w:pPr>
              <w:pStyle w:val="30"/>
              <w:rPr>
                <w:color w:val="auto"/>
              </w:rPr>
            </w:pPr>
            <w:r>
              <w:rPr>
                <w:color w:val="auto"/>
              </w:rPr>
              <w:t>汨罗市钱进铜业有限公司</w:t>
            </w:r>
          </w:p>
        </w:tc>
        <w:tc>
          <w:tcPr>
            <w:tcW w:w="926" w:type="dxa"/>
            <w:vAlign w:val="center"/>
          </w:tcPr>
          <w:p>
            <w:pPr>
              <w:pStyle w:val="30"/>
              <w:rPr>
                <w:color w:val="auto"/>
              </w:rPr>
            </w:pPr>
            <w:r>
              <w:rPr>
                <w:color w:val="auto"/>
              </w:rPr>
              <w:t>1.2</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25</w:t>
            </w:r>
          </w:p>
        </w:tc>
        <w:tc>
          <w:tcPr>
            <w:tcW w:w="2806" w:type="dxa"/>
            <w:vAlign w:val="center"/>
          </w:tcPr>
          <w:p>
            <w:pPr>
              <w:pStyle w:val="30"/>
              <w:rPr>
                <w:color w:val="auto"/>
              </w:rPr>
            </w:pPr>
            <w:r>
              <w:rPr>
                <w:color w:val="auto"/>
              </w:rPr>
              <w:t>湖南博发铜业有限公司</w:t>
            </w:r>
          </w:p>
        </w:tc>
        <w:tc>
          <w:tcPr>
            <w:tcW w:w="926" w:type="dxa"/>
            <w:vAlign w:val="center"/>
          </w:tcPr>
          <w:p>
            <w:pPr>
              <w:pStyle w:val="30"/>
              <w:rPr>
                <w:color w:val="auto"/>
              </w:rPr>
            </w:pPr>
            <w:r>
              <w:rPr>
                <w:color w:val="auto"/>
              </w:rPr>
              <w:t>0.3</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26</w:t>
            </w:r>
          </w:p>
        </w:tc>
        <w:tc>
          <w:tcPr>
            <w:tcW w:w="2806" w:type="dxa"/>
            <w:vAlign w:val="center"/>
          </w:tcPr>
          <w:p>
            <w:pPr>
              <w:pStyle w:val="30"/>
              <w:rPr>
                <w:color w:val="auto"/>
              </w:rPr>
            </w:pPr>
            <w:r>
              <w:rPr>
                <w:color w:val="auto"/>
              </w:rPr>
              <w:t>汨罗市华先碳素有限公司</w:t>
            </w:r>
          </w:p>
        </w:tc>
        <w:tc>
          <w:tcPr>
            <w:tcW w:w="926" w:type="dxa"/>
            <w:vAlign w:val="center"/>
          </w:tcPr>
          <w:p>
            <w:pPr>
              <w:pStyle w:val="30"/>
              <w:rPr>
                <w:color w:val="auto"/>
              </w:rPr>
            </w:pPr>
            <w:r>
              <w:rPr>
                <w:color w:val="auto"/>
              </w:rPr>
              <w:t>0.4</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27</w:t>
            </w:r>
          </w:p>
        </w:tc>
        <w:tc>
          <w:tcPr>
            <w:tcW w:w="2806" w:type="dxa"/>
            <w:vAlign w:val="center"/>
          </w:tcPr>
          <w:p>
            <w:pPr>
              <w:pStyle w:val="30"/>
              <w:rPr>
                <w:color w:val="auto"/>
              </w:rPr>
            </w:pPr>
            <w:r>
              <w:rPr>
                <w:color w:val="auto"/>
              </w:rPr>
              <w:t>湖南天立橡胶有限公司</w:t>
            </w:r>
          </w:p>
        </w:tc>
        <w:tc>
          <w:tcPr>
            <w:tcW w:w="926" w:type="dxa"/>
            <w:vAlign w:val="center"/>
          </w:tcPr>
          <w:p>
            <w:pPr>
              <w:pStyle w:val="30"/>
              <w:rPr>
                <w:color w:val="auto"/>
              </w:rPr>
            </w:pPr>
            <w:r>
              <w:rPr>
                <w:color w:val="auto"/>
              </w:rPr>
              <w:t>3.64</w:t>
            </w:r>
          </w:p>
        </w:tc>
        <w:tc>
          <w:tcPr>
            <w:tcW w:w="917" w:type="dxa"/>
            <w:vAlign w:val="center"/>
          </w:tcPr>
          <w:p>
            <w:pPr>
              <w:pStyle w:val="30"/>
              <w:rPr>
                <w:color w:val="auto"/>
              </w:rPr>
            </w:pPr>
            <w:r>
              <w:rPr>
                <w:color w:val="auto"/>
              </w:rPr>
              <w:t>1.98</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0" w:hRule="atLeast"/>
        </w:trPr>
        <w:tc>
          <w:tcPr>
            <w:tcW w:w="555" w:type="dxa"/>
            <w:vAlign w:val="center"/>
          </w:tcPr>
          <w:p>
            <w:pPr>
              <w:pStyle w:val="30"/>
              <w:rPr>
                <w:color w:val="auto"/>
              </w:rPr>
            </w:pPr>
            <w:r>
              <w:rPr>
                <w:color w:val="auto"/>
              </w:rPr>
              <w:t>28</w:t>
            </w:r>
          </w:p>
        </w:tc>
        <w:tc>
          <w:tcPr>
            <w:tcW w:w="2806" w:type="dxa"/>
            <w:vAlign w:val="center"/>
          </w:tcPr>
          <w:p>
            <w:pPr>
              <w:pStyle w:val="30"/>
              <w:rPr>
                <w:color w:val="auto"/>
              </w:rPr>
            </w:pPr>
            <w:r>
              <w:rPr>
                <w:color w:val="auto"/>
              </w:rPr>
              <w:t>湖南海鑫新材料股份有限公司</w:t>
            </w:r>
          </w:p>
        </w:tc>
        <w:tc>
          <w:tcPr>
            <w:tcW w:w="926" w:type="dxa"/>
            <w:vAlign w:val="center"/>
          </w:tcPr>
          <w:p>
            <w:pPr>
              <w:pStyle w:val="30"/>
              <w:rPr>
                <w:color w:val="auto"/>
              </w:rPr>
            </w:pPr>
            <w:r>
              <w:rPr>
                <w:color w:val="auto"/>
              </w:rPr>
              <w:t>5.15</w:t>
            </w:r>
          </w:p>
        </w:tc>
        <w:tc>
          <w:tcPr>
            <w:tcW w:w="917" w:type="dxa"/>
            <w:vAlign w:val="center"/>
          </w:tcPr>
          <w:p>
            <w:pPr>
              <w:pStyle w:val="30"/>
              <w:rPr>
                <w:color w:val="auto"/>
              </w:rPr>
            </w:pPr>
            <w:r>
              <w:rPr>
                <w:color w:val="auto"/>
              </w:rPr>
              <w:t>0.43</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冷却水循环使用不外排，生活污水经化粪池处 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342" w:hRule="atLeast"/>
        </w:trPr>
        <w:tc>
          <w:tcPr>
            <w:tcW w:w="555" w:type="dxa"/>
            <w:vAlign w:val="center"/>
          </w:tcPr>
          <w:p>
            <w:pPr>
              <w:pStyle w:val="30"/>
              <w:rPr>
                <w:color w:val="auto"/>
              </w:rPr>
            </w:pPr>
            <w:r>
              <w:rPr>
                <w:color w:val="auto"/>
              </w:rPr>
              <w:t>29</w:t>
            </w:r>
          </w:p>
        </w:tc>
        <w:tc>
          <w:tcPr>
            <w:tcW w:w="2806" w:type="dxa"/>
            <w:vAlign w:val="center"/>
          </w:tcPr>
          <w:p>
            <w:pPr>
              <w:pStyle w:val="30"/>
              <w:rPr>
                <w:color w:val="auto"/>
              </w:rPr>
            </w:pPr>
            <w:r>
              <w:rPr>
                <w:color w:val="auto"/>
              </w:rPr>
              <w:t>湖南五祥新材料有限公司</w:t>
            </w:r>
          </w:p>
        </w:tc>
        <w:tc>
          <w:tcPr>
            <w:tcW w:w="926" w:type="dxa"/>
            <w:vAlign w:val="center"/>
          </w:tcPr>
          <w:p>
            <w:pPr>
              <w:pStyle w:val="30"/>
              <w:rPr>
                <w:color w:val="auto"/>
              </w:rPr>
            </w:pPr>
            <w:r>
              <w:rPr>
                <w:color w:val="auto"/>
              </w:rPr>
              <w:t>7.5</w:t>
            </w:r>
          </w:p>
        </w:tc>
        <w:tc>
          <w:tcPr>
            <w:tcW w:w="917" w:type="dxa"/>
            <w:vAlign w:val="center"/>
          </w:tcPr>
          <w:p>
            <w:pPr>
              <w:pStyle w:val="30"/>
              <w:rPr>
                <w:color w:val="auto"/>
              </w:rPr>
            </w:pPr>
            <w:r>
              <w:rPr>
                <w:color w:val="auto"/>
              </w:rPr>
              <w:t>0.9</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30</w:t>
            </w:r>
          </w:p>
        </w:tc>
        <w:tc>
          <w:tcPr>
            <w:tcW w:w="2806" w:type="dxa"/>
            <w:vAlign w:val="center"/>
          </w:tcPr>
          <w:p>
            <w:pPr>
              <w:pStyle w:val="30"/>
              <w:rPr>
                <w:color w:val="auto"/>
              </w:rPr>
            </w:pPr>
            <w:r>
              <w:rPr>
                <w:color w:val="auto"/>
              </w:rPr>
              <w:t>湖南宏拓铝业有限公司</w:t>
            </w:r>
          </w:p>
        </w:tc>
        <w:tc>
          <w:tcPr>
            <w:tcW w:w="926" w:type="dxa"/>
            <w:vAlign w:val="center"/>
          </w:tcPr>
          <w:p>
            <w:pPr>
              <w:pStyle w:val="30"/>
              <w:rPr>
                <w:color w:val="auto"/>
              </w:rPr>
            </w:pPr>
            <w:r>
              <w:rPr>
                <w:color w:val="auto"/>
              </w:rPr>
              <w:t>0.1656</w:t>
            </w:r>
          </w:p>
        </w:tc>
        <w:tc>
          <w:tcPr>
            <w:tcW w:w="917" w:type="dxa"/>
            <w:vAlign w:val="center"/>
          </w:tcPr>
          <w:p>
            <w:pPr>
              <w:pStyle w:val="30"/>
              <w:rPr>
                <w:color w:val="auto"/>
              </w:rPr>
            </w:pPr>
            <w:r>
              <w:rPr>
                <w:color w:val="auto"/>
              </w:rPr>
              <w:t>0.0414</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31</w:t>
            </w:r>
          </w:p>
        </w:tc>
        <w:tc>
          <w:tcPr>
            <w:tcW w:w="2806" w:type="dxa"/>
            <w:vAlign w:val="center"/>
          </w:tcPr>
          <w:p>
            <w:pPr>
              <w:pStyle w:val="30"/>
              <w:rPr>
                <w:color w:val="auto"/>
              </w:rPr>
            </w:pPr>
            <w:r>
              <w:rPr>
                <w:color w:val="auto"/>
              </w:rPr>
              <w:t>湖南给力达电子有限公司</w:t>
            </w:r>
          </w:p>
        </w:tc>
        <w:tc>
          <w:tcPr>
            <w:tcW w:w="926" w:type="dxa"/>
            <w:vAlign w:val="center"/>
          </w:tcPr>
          <w:p>
            <w:pPr>
              <w:pStyle w:val="30"/>
              <w:rPr>
                <w:color w:val="auto"/>
              </w:rPr>
            </w:pPr>
            <w:r>
              <w:rPr>
                <w:color w:val="auto"/>
              </w:rPr>
              <w:t>0.2</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32</w:t>
            </w:r>
          </w:p>
        </w:tc>
        <w:tc>
          <w:tcPr>
            <w:tcW w:w="2806" w:type="dxa"/>
            <w:vAlign w:val="center"/>
          </w:tcPr>
          <w:p>
            <w:pPr>
              <w:pStyle w:val="30"/>
              <w:rPr>
                <w:color w:val="auto"/>
              </w:rPr>
            </w:pPr>
            <w:r>
              <w:rPr>
                <w:color w:val="auto"/>
              </w:rPr>
              <w:t>湖南晨威高科有限公司</w:t>
            </w:r>
          </w:p>
        </w:tc>
        <w:tc>
          <w:tcPr>
            <w:tcW w:w="926" w:type="dxa"/>
            <w:vAlign w:val="center"/>
          </w:tcPr>
          <w:p>
            <w:pPr>
              <w:pStyle w:val="30"/>
              <w:rPr>
                <w:color w:val="auto"/>
              </w:rPr>
            </w:pPr>
            <w:r>
              <w:rPr>
                <w:color w:val="auto"/>
              </w:rPr>
              <w:t>1.45</w:t>
            </w:r>
          </w:p>
        </w:tc>
        <w:tc>
          <w:tcPr>
            <w:tcW w:w="917" w:type="dxa"/>
            <w:vAlign w:val="center"/>
          </w:tcPr>
          <w:p>
            <w:pPr>
              <w:pStyle w:val="30"/>
              <w:rPr>
                <w:color w:val="auto"/>
              </w:rPr>
            </w:pPr>
            <w:r>
              <w:rPr>
                <w:color w:val="auto"/>
              </w:rPr>
              <w:t>0.09</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555" w:type="dxa"/>
            <w:vAlign w:val="center"/>
          </w:tcPr>
          <w:p>
            <w:pPr>
              <w:pStyle w:val="30"/>
              <w:rPr>
                <w:color w:val="auto"/>
              </w:rPr>
            </w:pPr>
            <w:r>
              <w:rPr>
                <w:color w:val="auto"/>
              </w:rPr>
              <w:t>33</w:t>
            </w:r>
          </w:p>
        </w:tc>
        <w:tc>
          <w:tcPr>
            <w:tcW w:w="2806" w:type="dxa"/>
            <w:vAlign w:val="center"/>
          </w:tcPr>
          <w:p>
            <w:pPr>
              <w:pStyle w:val="30"/>
              <w:rPr>
                <w:color w:val="auto"/>
              </w:rPr>
            </w:pPr>
            <w:r>
              <w:rPr>
                <w:color w:val="auto"/>
              </w:rPr>
              <w:t>湖南省同力循环经济发展有限公司</w:t>
            </w:r>
          </w:p>
        </w:tc>
        <w:tc>
          <w:tcPr>
            <w:tcW w:w="926" w:type="dxa"/>
            <w:vAlign w:val="center"/>
          </w:tcPr>
          <w:p>
            <w:pPr>
              <w:pStyle w:val="30"/>
              <w:rPr>
                <w:color w:val="auto"/>
              </w:rPr>
            </w:pPr>
            <w:r>
              <w:rPr>
                <w:color w:val="auto"/>
              </w:rPr>
              <w:t>0.7</w:t>
            </w:r>
          </w:p>
        </w:tc>
        <w:tc>
          <w:tcPr>
            <w:tcW w:w="917" w:type="dxa"/>
            <w:vAlign w:val="center"/>
          </w:tcPr>
          <w:p>
            <w:pPr>
              <w:pStyle w:val="30"/>
              <w:rPr>
                <w:color w:val="auto"/>
              </w:rPr>
            </w:pPr>
            <w:r>
              <w:rPr>
                <w:color w:val="auto"/>
              </w:rPr>
              <w:t>0.1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560" w:hRule="atLeast"/>
        </w:trPr>
        <w:tc>
          <w:tcPr>
            <w:tcW w:w="555" w:type="dxa"/>
            <w:vAlign w:val="center"/>
          </w:tcPr>
          <w:p>
            <w:pPr>
              <w:pStyle w:val="30"/>
              <w:rPr>
                <w:color w:val="auto"/>
              </w:rPr>
            </w:pPr>
            <w:r>
              <w:rPr>
                <w:color w:val="auto"/>
              </w:rPr>
              <w:t>34</w:t>
            </w:r>
          </w:p>
        </w:tc>
        <w:tc>
          <w:tcPr>
            <w:tcW w:w="2806" w:type="dxa"/>
            <w:vAlign w:val="center"/>
          </w:tcPr>
          <w:p>
            <w:pPr>
              <w:pStyle w:val="30"/>
              <w:rPr>
                <w:color w:val="auto"/>
              </w:rPr>
            </w:pPr>
            <w:r>
              <w:rPr>
                <w:color w:val="auto"/>
              </w:rPr>
              <w:t>湖南振纲铝材有限公司</w:t>
            </w:r>
          </w:p>
        </w:tc>
        <w:tc>
          <w:tcPr>
            <w:tcW w:w="926" w:type="dxa"/>
            <w:vAlign w:val="center"/>
          </w:tcPr>
          <w:p>
            <w:pPr>
              <w:pStyle w:val="30"/>
              <w:rPr>
                <w:color w:val="auto"/>
              </w:rPr>
            </w:pPr>
            <w:r>
              <w:rPr>
                <w:color w:val="auto"/>
              </w:rPr>
              <w:t>22.55</w:t>
            </w:r>
          </w:p>
        </w:tc>
        <w:tc>
          <w:tcPr>
            <w:tcW w:w="917" w:type="dxa"/>
            <w:vAlign w:val="center"/>
          </w:tcPr>
          <w:p>
            <w:pPr>
              <w:pStyle w:val="30"/>
              <w:rPr>
                <w:color w:val="auto"/>
              </w:rPr>
            </w:pPr>
            <w:r>
              <w:rPr>
                <w:color w:val="auto"/>
              </w:rPr>
              <w:t>0.2</w:t>
            </w:r>
          </w:p>
        </w:tc>
        <w:tc>
          <w:tcPr>
            <w:tcW w:w="850" w:type="dxa"/>
            <w:vAlign w:val="center"/>
          </w:tcPr>
          <w:p>
            <w:pPr>
              <w:pStyle w:val="30"/>
              <w:rPr>
                <w:color w:val="auto"/>
              </w:rPr>
            </w:pPr>
            <w:r>
              <w:rPr>
                <w:color w:val="auto"/>
              </w:rPr>
              <w:t>总镍：</w:t>
            </w:r>
          </w:p>
          <w:p>
            <w:pPr>
              <w:pStyle w:val="30"/>
              <w:rPr>
                <w:color w:val="auto"/>
              </w:rPr>
            </w:pPr>
            <w:r>
              <w:rPr>
                <w:color w:val="auto"/>
              </w:rPr>
              <w:t>0.08496</w:t>
            </w:r>
          </w:p>
        </w:tc>
        <w:tc>
          <w:tcPr>
            <w:tcW w:w="4020" w:type="dxa"/>
            <w:vAlign w:val="center"/>
          </w:tcPr>
          <w:p>
            <w:pPr>
              <w:pStyle w:val="30"/>
              <w:rPr>
                <w:color w:val="auto"/>
              </w:rPr>
            </w:pPr>
            <w:r>
              <w:rPr>
                <w:color w:val="auto"/>
              </w:rPr>
              <w:t>喷涂废水和氧化电泳废水经自建的污水处理站处理，生活污水经化粪池处理</w:t>
            </w:r>
          </w:p>
        </w:tc>
        <w:tc>
          <w:tcPr>
            <w:tcW w:w="4153" w:type="dxa"/>
            <w:vAlign w:val="center"/>
          </w:tcPr>
          <w:p>
            <w:pPr>
              <w:pStyle w:val="30"/>
              <w:rPr>
                <w:color w:val="auto"/>
              </w:rPr>
            </w:pPr>
            <w:r>
              <w:rPr>
                <w:color w:val="auto"/>
              </w:rPr>
              <w:t>生产废水排入湖南汨罗工业园重金属污水处理厂，生活废水排入汨罗市城市污水处理厂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555" w:type="dxa"/>
            <w:vAlign w:val="center"/>
          </w:tcPr>
          <w:p>
            <w:pPr>
              <w:pStyle w:val="30"/>
              <w:rPr>
                <w:color w:val="auto"/>
              </w:rPr>
            </w:pPr>
            <w:r>
              <w:rPr>
                <w:color w:val="auto"/>
              </w:rPr>
              <w:t>35</w:t>
            </w:r>
          </w:p>
        </w:tc>
        <w:tc>
          <w:tcPr>
            <w:tcW w:w="2806" w:type="dxa"/>
            <w:vAlign w:val="center"/>
          </w:tcPr>
          <w:p>
            <w:pPr>
              <w:pStyle w:val="30"/>
              <w:rPr>
                <w:color w:val="auto"/>
              </w:rPr>
            </w:pPr>
            <w:r>
              <w:rPr>
                <w:color w:val="auto"/>
              </w:rPr>
              <w:t>湖南志航金属有限公司</w:t>
            </w:r>
          </w:p>
        </w:tc>
        <w:tc>
          <w:tcPr>
            <w:tcW w:w="926" w:type="dxa"/>
            <w:vAlign w:val="center"/>
          </w:tcPr>
          <w:p>
            <w:pPr>
              <w:pStyle w:val="30"/>
              <w:rPr>
                <w:color w:val="auto"/>
              </w:rPr>
            </w:pPr>
            <w:r>
              <w:rPr>
                <w:color w:val="auto"/>
              </w:rPr>
              <w:t>0.22</w:t>
            </w:r>
          </w:p>
        </w:tc>
        <w:tc>
          <w:tcPr>
            <w:tcW w:w="917" w:type="dxa"/>
            <w:vAlign w:val="center"/>
          </w:tcPr>
          <w:p>
            <w:pPr>
              <w:pStyle w:val="30"/>
              <w:rPr>
                <w:color w:val="auto"/>
              </w:rPr>
            </w:pPr>
            <w:r>
              <w:rPr>
                <w:color w:val="auto"/>
              </w:rPr>
              <w:t>0.03</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0" w:hRule="atLeast"/>
        </w:trPr>
        <w:tc>
          <w:tcPr>
            <w:tcW w:w="555" w:type="dxa"/>
            <w:vAlign w:val="center"/>
          </w:tcPr>
          <w:p>
            <w:pPr>
              <w:pStyle w:val="30"/>
              <w:rPr>
                <w:color w:val="auto"/>
              </w:rPr>
            </w:pPr>
            <w:r>
              <w:rPr>
                <w:color w:val="auto"/>
              </w:rPr>
              <w:t>36</w:t>
            </w:r>
          </w:p>
        </w:tc>
        <w:tc>
          <w:tcPr>
            <w:tcW w:w="2806" w:type="dxa"/>
            <w:vAlign w:val="center"/>
          </w:tcPr>
          <w:p>
            <w:pPr>
              <w:pStyle w:val="30"/>
              <w:rPr>
                <w:color w:val="auto"/>
              </w:rPr>
            </w:pPr>
            <w:r>
              <w:rPr>
                <w:color w:val="auto"/>
              </w:rPr>
              <w:t>湖南中联志远车轮有限公司</w:t>
            </w:r>
          </w:p>
        </w:tc>
        <w:tc>
          <w:tcPr>
            <w:tcW w:w="926" w:type="dxa"/>
            <w:vAlign w:val="center"/>
          </w:tcPr>
          <w:p>
            <w:pPr>
              <w:pStyle w:val="30"/>
              <w:rPr>
                <w:color w:val="auto"/>
              </w:rPr>
            </w:pPr>
            <w:r>
              <w:rPr>
                <w:color w:val="auto"/>
              </w:rPr>
              <w:t>10.2</w:t>
            </w:r>
          </w:p>
        </w:tc>
        <w:tc>
          <w:tcPr>
            <w:tcW w:w="917" w:type="dxa"/>
            <w:vAlign w:val="center"/>
          </w:tcPr>
          <w:p>
            <w:pPr>
              <w:pStyle w:val="30"/>
              <w:rPr>
                <w:color w:val="auto"/>
              </w:rPr>
            </w:pPr>
            <w:r>
              <w:rPr>
                <w:color w:val="auto"/>
              </w:rPr>
              <w:t>0.8</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生产废水采用预处理+混凝气浮污水处理设施，生活污水经化粪池处理</w:t>
            </w:r>
          </w:p>
        </w:tc>
        <w:tc>
          <w:tcPr>
            <w:tcW w:w="4153" w:type="dxa"/>
            <w:vAlign w:val="center"/>
          </w:tcPr>
          <w:p>
            <w:pPr>
              <w:pStyle w:val="30"/>
              <w:rPr>
                <w:color w:val="auto"/>
              </w:rPr>
            </w:pPr>
            <w:r>
              <w:rPr>
                <w:color w:val="auto"/>
              </w:rPr>
              <w:t>生产废水排入湖南汨罗工业园重金属污水处 理厂，生活废水排入汨罗市城市污水处理厂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555" w:type="dxa"/>
            <w:vAlign w:val="center"/>
          </w:tcPr>
          <w:p>
            <w:pPr>
              <w:pStyle w:val="30"/>
              <w:rPr>
                <w:color w:val="auto"/>
              </w:rPr>
            </w:pPr>
            <w:r>
              <w:rPr>
                <w:color w:val="auto"/>
              </w:rPr>
              <w:t>37</w:t>
            </w:r>
          </w:p>
        </w:tc>
        <w:tc>
          <w:tcPr>
            <w:tcW w:w="2806" w:type="dxa"/>
            <w:vAlign w:val="center"/>
          </w:tcPr>
          <w:p>
            <w:pPr>
              <w:pStyle w:val="30"/>
              <w:rPr>
                <w:color w:val="auto"/>
              </w:rPr>
            </w:pPr>
            <w:r>
              <w:rPr>
                <w:color w:val="auto"/>
              </w:rPr>
              <w:t>汨罗市万容电子废弃物处理有限公司</w:t>
            </w:r>
          </w:p>
        </w:tc>
        <w:tc>
          <w:tcPr>
            <w:tcW w:w="926" w:type="dxa"/>
            <w:vAlign w:val="center"/>
          </w:tcPr>
          <w:p>
            <w:pPr>
              <w:pStyle w:val="30"/>
              <w:rPr>
                <w:color w:val="auto"/>
              </w:rPr>
            </w:pPr>
            <w:r>
              <w:rPr>
                <w:color w:val="auto"/>
              </w:rPr>
              <w:t>0.79</w:t>
            </w:r>
          </w:p>
        </w:tc>
        <w:tc>
          <w:tcPr>
            <w:tcW w:w="917" w:type="dxa"/>
            <w:vAlign w:val="center"/>
          </w:tcPr>
          <w:p>
            <w:pPr>
              <w:pStyle w:val="30"/>
              <w:rPr>
                <w:color w:val="auto"/>
              </w:rPr>
            </w:pPr>
            <w:r>
              <w:rPr>
                <w:color w:val="auto"/>
              </w:rPr>
              <w:t>0.105</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55" w:type="dxa"/>
            <w:vAlign w:val="center"/>
          </w:tcPr>
          <w:p>
            <w:pPr>
              <w:pStyle w:val="30"/>
              <w:rPr>
                <w:color w:val="auto"/>
              </w:rPr>
            </w:pPr>
            <w:r>
              <w:rPr>
                <w:color w:val="auto"/>
              </w:rPr>
              <w:t>38</w:t>
            </w:r>
          </w:p>
        </w:tc>
        <w:tc>
          <w:tcPr>
            <w:tcW w:w="2806" w:type="dxa"/>
            <w:vAlign w:val="center"/>
          </w:tcPr>
          <w:p>
            <w:pPr>
              <w:pStyle w:val="30"/>
              <w:rPr>
                <w:color w:val="auto"/>
              </w:rPr>
            </w:pPr>
            <w:r>
              <w:rPr>
                <w:color w:val="auto"/>
              </w:rPr>
              <w:t>湖南晨威高科有限公司</w:t>
            </w:r>
          </w:p>
        </w:tc>
        <w:tc>
          <w:tcPr>
            <w:tcW w:w="926" w:type="dxa"/>
            <w:vAlign w:val="center"/>
          </w:tcPr>
          <w:p>
            <w:pPr>
              <w:pStyle w:val="30"/>
              <w:rPr>
                <w:color w:val="auto"/>
              </w:rPr>
            </w:pPr>
            <w:r>
              <w:rPr>
                <w:color w:val="auto"/>
              </w:rPr>
              <w:t>1.45</w:t>
            </w:r>
          </w:p>
        </w:tc>
        <w:tc>
          <w:tcPr>
            <w:tcW w:w="917" w:type="dxa"/>
            <w:vAlign w:val="center"/>
          </w:tcPr>
          <w:p>
            <w:pPr>
              <w:pStyle w:val="30"/>
              <w:rPr>
                <w:color w:val="auto"/>
              </w:rPr>
            </w:pPr>
            <w:r>
              <w:rPr>
                <w:color w:val="auto"/>
              </w:rPr>
              <w:t>0.09</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55" w:type="dxa"/>
            <w:vAlign w:val="center"/>
          </w:tcPr>
          <w:p>
            <w:pPr>
              <w:pStyle w:val="30"/>
              <w:rPr>
                <w:color w:val="auto"/>
              </w:rPr>
            </w:pPr>
            <w:r>
              <w:rPr>
                <w:color w:val="auto"/>
              </w:rPr>
              <w:t>39</w:t>
            </w:r>
          </w:p>
        </w:tc>
        <w:tc>
          <w:tcPr>
            <w:tcW w:w="2806" w:type="dxa"/>
            <w:vAlign w:val="center"/>
          </w:tcPr>
          <w:p>
            <w:pPr>
              <w:pStyle w:val="30"/>
              <w:rPr>
                <w:color w:val="auto"/>
              </w:rPr>
            </w:pPr>
            <w:r>
              <w:rPr>
                <w:color w:val="auto"/>
              </w:rPr>
              <w:t>汨罗万容固体废物处理有限公司</w:t>
            </w:r>
          </w:p>
        </w:tc>
        <w:tc>
          <w:tcPr>
            <w:tcW w:w="926" w:type="dxa"/>
            <w:vAlign w:val="center"/>
          </w:tcPr>
          <w:p>
            <w:pPr>
              <w:pStyle w:val="30"/>
              <w:rPr>
                <w:color w:val="auto"/>
              </w:rPr>
            </w:pPr>
            <w:r>
              <w:rPr>
                <w:color w:val="auto"/>
              </w:rPr>
              <w:t>0.085</w:t>
            </w:r>
          </w:p>
        </w:tc>
        <w:tc>
          <w:tcPr>
            <w:tcW w:w="917" w:type="dxa"/>
            <w:vAlign w:val="center"/>
          </w:tcPr>
          <w:p>
            <w:pPr>
              <w:pStyle w:val="30"/>
              <w:rPr>
                <w:color w:val="auto"/>
              </w:rPr>
            </w:pPr>
            <w:r>
              <w:rPr>
                <w:color w:val="auto"/>
              </w:rPr>
              <w:t>0.011</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生活污水经化粪池处理</w:t>
            </w:r>
          </w:p>
        </w:tc>
        <w:tc>
          <w:tcPr>
            <w:tcW w:w="4153" w:type="dxa"/>
            <w:vAlign w:val="center"/>
          </w:tcPr>
          <w:p>
            <w:pPr>
              <w:pStyle w:val="30"/>
              <w:rPr>
                <w:color w:val="auto"/>
              </w:rPr>
            </w:pPr>
            <w:r>
              <w:rPr>
                <w:color w:val="auto"/>
              </w:rPr>
              <w:t>生活废水排入汨罗市城市污水处理厂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44" w:hRule="atLeast"/>
        </w:trPr>
        <w:tc>
          <w:tcPr>
            <w:tcW w:w="555" w:type="dxa"/>
            <w:vAlign w:val="center"/>
          </w:tcPr>
          <w:p>
            <w:pPr>
              <w:pStyle w:val="30"/>
              <w:rPr>
                <w:color w:val="auto"/>
              </w:rPr>
            </w:pPr>
            <w:r>
              <w:rPr>
                <w:color w:val="auto"/>
              </w:rPr>
              <w:t>40</w:t>
            </w:r>
          </w:p>
        </w:tc>
        <w:tc>
          <w:tcPr>
            <w:tcW w:w="2806" w:type="dxa"/>
            <w:vAlign w:val="center"/>
          </w:tcPr>
          <w:p>
            <w:pPr>
              <w:pStyle w:val="30"/>
              <w:rPr>
                <w:color w:val="auto"/>
              </w:rPr>
            </w:pPr>
            <w:r>
              <w:rPr>
                <w:color w:val="auto"/>
              </w:rPr>
              <w:t>汨罗市生活垃圾焚烧发电工程</w:t>
            </w:r>
          </w:p>
        </w:tc>
        <w:tc>
          <w:tcPr>
            <w:tcW w:w="926" w:type="dxa"/>
            <w:vAlign w:val="center"/>
          </w:tcPr>
          <w:p>
            <w:pPr>
              <w:pStyle w:val="30"/>
              <w:rPr>
                <w:color w:val="auto"/>
              </w:rPr>
            </w:pPr>
            <w:r>
              <w:rPr>
                <w:color w:val="auto"/>
              </w:rPr>
              <w:t>1.22</w:t>
            </w:r>
          </w:p>
        </w:tc>
        <w:tc>
          <w:tcPr>
            <w:tcW w:w="917" w:type="dxa"/>
            <w:vAlign w:val="center"/>
          </w:tcPr>
          <w:p>
            <w:pPr>
              <w:pStyle w:val="30"/>
              <w:rPr>
                <w:color w:val="auto"/>
              </w:rPr>
            </w:pPr>
            <w:r>
              <w:rPr>
                <w:color w:val="auto"/>
              </w:rPr>
              <w:t>0.16</w:t>
            </w:r>
          </w:p>
        </w:tc>
        <w:tc>
          <w:tcPr>
            <w:tcW w:w="850" w:type="dxa"/>
            <w:vAlign w:val="center"/>
          </w:tcPr>
          <w:p>
            <w:pPr>
              <w:pStyle w:val="30"/>
              <w:rPr>
                <w:color w:val="auto"/>
              </w:rPr>
            </w:pPr>
            <w:r>
              <w:rPr>
                <w:color w:val="auto"/>
              </w:rPr>
              <w:t>/</w:t>
            </w:r>
          </w:p>
        </w:tc>
        <w:tc>
          <w:tcPr>
            <w:tcW w:w="4020" w:type="dxa"/>
            <w:vAlign w:val="center"/>
          </w:tcPr>
          <w:p>
            <w:pPr>
              <w:pStyle w:val="30"/>
              <w:rPr>
                <w:color w:val="auto"/>
              </w:rPr>
            </w:pPr>
            <w:r>
              <w:rPr>
                <w:color w:val="auto"/>
              </w:rPr>
              <w:t>垃圾渗滤液、卸料平台冲洗废水采用“调节池+混凝沉淀+USBA+MBR+NF/RO（纳滤/反渗透）”处理工艺，生活污水经化粪池处理。</w:t>
            </w:r>
          </w:p>
        </w:tc>
        <w:tc>
          <w:tcPr>
            <w:tcW w:w="4153" w:type="dxa"/>
            <w:vAlign w:val="center"/>
          </w:tcPr>
          <w:p>
            <w:pPr>
              <w:pStyle w:val="30"/>
              <w:rPr>
                <w:color w:val="auto"/>
              </w:rPr>
            </w:pPr>
            <w:r>
              <w:rPr>
                <w:color w:val="auto"/>
              </w:rPr>
              <w:t>排入汨罗市城市污水处理厂</w:t>
            </w:r>
          </w:p>
        </w:tc>
      </w:tr>
    </w:tbl>
    <w:p>
      <w:pPr>
        <w:pStyle w:val="31"/>
        <w:rPr>
          <w:color w:val="auto"/>
        </w:rPr>
      </w:pPr>
      <w:r>
        <w:rPr>
          <w:color w:val="auto"/>
        </w:rPr>
        <w:t>表4.4-3  汨罗高新技术产业开发区新市片区主要企业大气污染物排放情况及采取的环保措施一览表单位：t/a</w:t>
      </w:r>
    </w:p>
    <w:tbl>
      <w:tblPr>
        <w:tblStyle w:val="21"/>
        <w:tblW w:w="0" w:type="auto"/>
        <w:tblInd w:w="14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562"/>
        <w:gridCol w:w="2765"/>
        <w:gridCol w:w="921"/>
        <w:gridCol w:w="2466"/>
        <w:gridCol w:w="718"/>
        <w:gridCol w:w="621"/>
        <w:gridCol w:w="731"/>
        <w:gridCol w:w="1134"/>
        <w:gridCol w:w="438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7" w:hRule="atLeast"/>
        </w:trPr>
        <w:tc>
          <w:tcPr>
            <w:tcW w:w="562" w:type="dxa"/>
            <w:vMerge w:val="restart"/>
            <w:vAlign w:val="center"/>
          </w:tcPr>
          <w:p>
            <w:pPr>
              <w:pStyle w:val="30"/>
              <w:rPr>
                <w:color w:val="auto"/>
              </w:rPr>
            </w:pPr>
            <w:r>
              <w:rPr>
                <w:color w:val="auto"/>
              </w:rPr>
              <w:t>序号</w:t>
            </w:r>
          </w:p>
        </w:tc>
        <w:tc>
          <w:tcPr>
            <w:tcW w:w="2765" w:type="dxa"/>
            <w:vMerge w:val="restart"/>
            <w:vAlign w:val="center"/>
          </w:tcPr>
          <w:p>
            <w:pPr>
              <w:pStyle w:val="30"/>
              <w:rPr>
                <w:color w:val="auto"/>
              </w:rPr>
            </w:pPr>
            <w:r>
              <w:rPr>
                <w:color w:val="auto"/>
              </w:rPr>
              <w:t>企业名称</w:t>
            </w:r>
          </w:p>
        </w:tc>
        <w:tc>
          <w:tcPr>
            <w:tcW w:w="921" w:type="dxa"/>
            <w:vMerge w:val="restart"/>
            <w:vAlign w:val="center"/>
          </w:tcPr>
          <w:p>
            <w:pPr>
              <w:pStyle w:val="30"/>
              <w:rPr>
                <w:color w:val="auto"/>
              </w:rPr>
            </w:pPr>
            <w:r>
              <w:rPr>
                <w:color w:val="auto"/>
              </w:rPr>
              <w:t>占地面积（m</w:t>
            </w:r>
            <w:r>
              <w:rPr>
                <w:color w:val="auto"/>
                <w:vertAlign w:val="superscript"/>
              </w:rPr>
              <w:t>2</w:t>
            </w:r>
            <w:r>
              <w:rPr>
                <w:color w:val="auto"/>
              </w:rPr>
              <w:t>）</w:t>
            </w:r>
          </w:p>
        </w:tc>
        <w:tc>
          <w:tcPr>
            <w:tcW w:w="2466" w:type="dxa"/>
            <w:vMerge w:val="restart"/>
            <w:vAlign w:val="center"/>
          </w:tcPr>
          <w:p>
            <w:pPr>
              <w:pStyle w:val="30"/>
              <w:rPr>
                <w:color w:val="auto"/>
              </w:rPr>
            </w:pPr>
            <w:r>
              <w:rPr>
                <w:color w:val="auto"/>
              </w:rPr>
              <w:t>能源消耗情况（天然气、电力）</w:t>
            </w:r>
          </w:p>
        </w:tc>
        <w:tc>
          <w:tcPr>
            <w:tcW w:w="3204" w:type="dxa"/>
            <w:gridSpan w:val="4"/>
            <w:vAlign w:val="center"/>
          </w:tcPr>
          <w:p>
            <w:pPr>
              <w:pStyle w:val="30"/>
              <w:rPr>
                <w:color w:val="auto"/>
              </w:rPr>
            </w:pPr>
            <w:r>
              <w:rPr>
                <w:color w:val="auto"/>
              </w:rPr>
              <w:t>污染因子</w:t>
            </w:r>
          </w:p>
        </w:tc>
        <w:tc>
          <w:tcPr>
            <w:tcW w:w="4380" w:type="dxa"/>
            <w:vMerge w:val="restart"/>
            <w:vAlign w:val="center"/>
          </w:tcPr>
          <w:p>
            <w:pPr>
              <w:pStyle w:val="30"/>
              <w:rPr>
                <w:color w:val="auto"/>
              </w:rPr>
            </w:pPr>
            <w:r>
              <w:rPr>
                <w:color w:val="auto"/>
              </w:rPr>
              <w:t>采取的环保措施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562" w:type="dxa"/>
            <w:vMerge w:val="continue"/>
            <w:vAlign w:val="center"/>
          </w:tcPr>
          <w:p>
            <w:pPr>
              <w:pStyle w:val="30"/>
              <w:rPr>
                <w:color w:val="auto"/>
              </w:rPr>
            </w:pPr>
          </w:p>
        </w:tc>
        <w:tc>
          <w:tcPr>
            <w:tcW w:w="2765" w:type="dxa"/>
            <w:vMerge w:val="continue"/>
            <w:vAlign w:val="center"/>
          </w:tcPr>
          <w:p>
            <w:pPr>
              <w:pStyle w:val="30"/>
              <w:rPr>
                <w:color w:val="auto"/>
              </w:rPr>
            </w:pPr>
          </w:p>
        </w:tc>
        <w:tc>
          <w:tcPr>
            <w:tcW w:w="921" w:type="dxa"/>
            <w:vMerge w:val="continue"/>
            <w:vAlign w:val="center"/>
          </w:tcPr>
          <w:p>
            <w:pPr>
              <w:pStyle w:val="30"/>
              <w:rPr>
                <w:color w:val="auto"/>
              </w:rPr>
            </w:pPr>
          </w:p>
        </w:tc>
        <w:tc>
          <w:tcPr>
            <w:tcW w:w="2466" w:type="dxa"/>
            <w:vMerge w:val="continue"/>
            <w:vAlign w:val="center"/>
          </w:tcPr>
          <w:p>
            <w:pPr>
              <w:pStyle w:val="30"/>
              <w:rPr>
                <w:color w:val="auto"/>
              </w:rPr>
            </w:pPr>
          </w:p>
        </w:tc>
        <w:tc>
          <w:tcPr>
            <w:tcW w:w="718" w:type="dxa"/>
            <w:vAlign w:val="center"/>
          </w:tcPr>
          <w:p>
            <w:pPr>
              <w:pStyle w:val="30"/>
              <w:rPr>
                <w:color w:val="auto"/>
              </w:rPr>
            </w:pPr>
            <w:r>
              <w:rPr>
                <w:color w:val="auto"/>
              </w:rPr>
              <w:t>SO</w:t>
            </w:r>
            <w:r>
              <w:rPr>
                <w:color w:val="auto"/>
                <w:vertAlign w:val="subscript"/>
              </w:rPr>
              <w:t>2</w:t>
            </w:r>
          </w:p>
        </w:tc>
        <w:tc>
          <w:tcPr>
            <w:tcW w:w="621" w:type="dxa"/>
            <w:vAlign w:val="center"/>
          </w:tcPr>
          <w:p>
            <w:pPr>
              <w:pStyle w:val="30"/>
              <w:rPr>
                <w:color w:val="auto"/>
              </w:rPr>
            </w:pPr>
            <w:r>
              <w:rPr>
                <w:color w:val="auto"/>
              </w:rPr>
              <w:t>NO</w:t>
            </w:r>
            <w:r>
              <w:rPr>
                <w:color w:val="auto"/>
                <w:vertAlign w:val="subscript"/>
              </w:rPr>
              <w:t>x</w:t>
            </w:r>
          </w:p>
        </w:tc>
        <w:tc>
          <w:tcPr>
            <w:tcW w:w="731" w:type="dxa"/>
            <w:vAlign w:val="center"/>
          </w:tcPr>
          <w:p>
            <w:pPr>
              <w:pStyle w:val="30"/>
              <w:rPr>
                <w:color w:val="auto"/>
              </w:rPr>
            </w:pPr>
            <w:r>
              <w:rPr>
                <w:color w:val="auto"/>
              </w:rPr>
              <w:t>粉尘</w:t>
            </w:r>
          </w:p>
        </w:tc>
        <w:tc>
          <w:tcPr>
            <w:tcW w:w="1134" w:type="dxa"/>
            <w:vAlign w:val="center"/>
          </w:tcPr>
          <w:p>
            <w:pPr>
              <w:pStyle w:val="30"/>
              <w:rPr>
                <w:color w:val="auto"/>
              </w:rPr>
            </w:pPr>
            <w:r>
              <w:rPr>
                <w:color w:val="auto"/>
              </w:rPr>
              <w:t>非甲烷总烃</w:t>
            </w:r>
          </w:p>
        </w:tc>
        <w:tc>
          <w:tcPr>
            <w:tcW w:w="4380" w:type="dxa"/>
            <w:vMerge w:val="continue"/>
            <w:vAlign w:val="center"/>
          </w:tcPr>
          <w:p>
            <w:pPr>
              <w:pStyle w:val="30"/>
              <w:rPr>
                <w:color w:val="auto"/>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62" w:type="dxa"/>
            <w:vAlign w:val="center"/>
          </w:tcPr>
          <w:p>
            <w:pPr>
              <w:pStyle w:val="30"/>
              <w:rPr>
                <w:color w:val="auto"/>
              </w:rPr>
            </w:pPr>
            <w:r>
              <w:rPr>
                <w:color w:val="auto"/>
              </w:rPr>
              <w:t>1</w:t>
            </w:r>
          </w:p>
        </w:tc>
        <w:tc>
          <w:tcPr>
            <w:tcW w:w="2765" w:type="dxa"/>
            <w:vAlign w:val="center"/>
          </w:tcPr>
          <w:p>
            <w:pPr>
              <w:pStyle w:val="30"/>
              <w:rPr>
                <w:color w:val="auto"/>
              </w:rPr>
            </w:pPr>
            <w:r>
              <w:rPr>
                <w:color w:val="auto"/>
              </w:rPr>
              <w:t>湖南音品电子有限公司</w:t>
            </w:r>
          </w:p>
        </w:tc>
        <w:tc>
          <w:tcPr>
            <w:tcW w:w="921" w:type="dxa"/>
            <w:vAlign w:val="center"/>
          </w:tcPr>
          <w:p>
            <w:pPr>
              <w:pStyle w:val="30"/>
              <w:rPr>
                <w:color w:val="auto"/>
              </w:rPr>
            </w:pPr>
            <w:r>
              <w:rPr>
                <w:color w:val="auto"/>
              </w:rPr>
              <w:t>67000</w:t>
            </w:r>
          </w:p>
        </w:tc>
        <w:tc>
          <w:tcPr>
            <w:tcW w:w="2466" w:type="dxa"/>
            <w:vAlign w:val="center"/>
          </w:tcPr>
          <w:p>
            <w:pPr>
              <w:pStyle w:val="30"/>
              <w:rPr>
                <w:color w:val="auto"/>
              </w:rPr>
            </w:pPr>
            <w:r>
              <w:rPr>
                <w:color w:val="auto"/>
              </w:rPr>
              <w:t>电：112万度电、天然气</w:t>
            </w:r>
          </w:p>
        </w:tc>
        <w:tc>
          <w:tcPr>
            <w:tcW w:w="718" w:type="dxa"/>
            <w:vAlign w:val="center"/>
          </w:tcPr>
          <w:p>
            <w:pPr>
              <w:pStyle w:val="30"/>
              <w:rPr>
                <w:color w:val="auto"/>
              </w:rPr>
            </w:pPr>
            <w:r>
              <w:rPr>
                <w:color w:val="auto"/>
              </w:rPr>
              <w:t>1.3</w:t>
            </w:r>
          </w:p>
        </w:tc>
        <w:tc>
          <w:tcPr>
            <w:tcW w:w="621" w:type="dxa"/>
            <w:vAlign w:val="center"/>
          </w:tcPr>
          <w:p>
            <w:pPr>
              <w:pStyle w:val="30"/>
              <w:rPr>
                <w:color w:val="auto"/>
              </w:rPr>
            </w:pPr>
            <w:r>
              <w:rPr>
                <w:color w:val="auto"/>
              </w:rPr>
              <w:t>0.5</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93" w:hRule="atLeast"/>
        </w:trPr>
        <w:tc>
          <w:tcPr>
            <w:tcW w:w="562" w:type="dxa"/>
            <w:vAlign w:val="center"/>
          </w:tcPr>
          <w:p>
            <w:pPr>
              <w:pStyle w:val="30"/>
              <w:rPr>
                <w:color w:val="auto"/>
              </w:rPr>
            </w:pPr>
            <w:r>
              <w:rPr>
                <w:color w:val="auto"/>
              </w:rPr>
              <w:t>2</w:t>
            </w:r>
          </w:p>
        </w:tc>
        <w:tc>
          <w:tcPr>
            <w:tcW w:w="2765" w:type="dxa"/>
            <w:vAlign w:val="center"/>
          </w:tcPr>
          <w:p>
            <w:pPr>
              <w:pStyle w:val="30"/>
              <w:rPr>
                <w:color w:val="auto"/>
              </w:rPr>
            </w:pPr>
            <w:r>
              <w:rPr>
                <w:color w:val="auto"/>
              </w:rPr>
              <w:t>汨罗市艾德佳铝型材有限公司</w:t>
            </w:r>
          </w:p>
        </w:tc>
        <w:tc>
          <w:tcPr>
            <w:tcW w:w="921" w:type="dxa"/>
            <w:vAlign w:val="center"/>
          </w:tcPr>
          <w:p>
            <w:pPr>
              <w:pStyle w:val="30"/>
              <w:rPr>
                <w:color w:val="auto"/>
              </w:rPr>
            </w:pPr>
            <w:r>
              <w:rPr>
                <w:color w:val="auto"/>
              </w:rPr>
              <w:t>50000</w:t>
            </w:r>
          </w:p>
        </w:tc>
        <w:tc>
          <w:tcPr>
            <w:tcW w:w="2466" w:type="dxa"/>
            <w:vAlign w:val="center"/>
          </w:tcPr>
          <w:p>
            <w:pPr>
              <w:pStyle w:val="30"/>
              <w:rPr>
                <w:color w:val="auto"/>
              </w:rPr>
            </w:pPr>
            <w:r>
              <w:rPr>
                <w:color w:val="auto"/>
              </w:rPr>
              <w:t>电：120万度电、天然气6万m</w:t>
            </w:r>
            <w:r>
              <w:rPr>
                <w:color w:val="auto"/>
                <w:vertAlign w:val="superscript"/>
              </w:rPr>
              <w:t>3</w:t>
            </w:r>
          </w:p>
        </w:tc>
        <w:tc>
          <w:tcPr>
            <w:tcW w:w="718" w:type="dxa"/>
            <w:vAlign w:val="center"/>
          </w:tcPr>
          <w:p>
            <w:pPr>
              <w:pStyle w:val="30"/>
              <w:rPr>
                <w:color w:val="auto"/>
              </w:rPr>
            </w:pPr>
            <w:r>
              <w:rPr>
                <w:color w:val="auto"/>
              </w:rPr>
              <w:t>： 0.1</w:t>
            </w:r>
          </w:p>
        </w:tc>
        <w:tc>
          <w:tcPr>
            <w:tcW w:w="621" w:type="dxa"/>
            <w:vAlign w:val="center"/>
          </w:tcPr>
          <w:p>
            <w:pPr>
              <w:pStyle w:val="30"/>
              <w:rPr>
                <w:color w:val="auto"/>
              </w:rPr>
            </w:pPr>
            <w:r>
              <w:rPr>
                <w:color w:val="auto"/>
              </w:rPr>
              <w:t>8.2</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铝棒加热炉和电泳固化炉以天然气为燃料，酸雾气体 经喷淋吸收塔处理后共用一根 20m 高排气筒外排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562" w:type="dxa"/>
            <w:vAlign w:val="center"/>
          </w:tcPr>
          <w:p>
            <w:pPr>
              <w:pStyle w:val="30"/>
              <w:rPr>
                <w:color w:val="auto"/>
              </w:rPr>
            </w:pPr>
            <w:r>
              <w:rPr>
                <w:color w:val="auto"/>
              </w:rPr>
              <w:t>3</w:t>
            </w:r>
          </w:p>
        </w:tc>
        <w:tc>
          <w:tcPr>
            <w:tcW w:w="2765" w:type="dxa"/>
            <w:vAlign w:val="center"/>
          </w:tcPr>
          <w:p>
            <w:pPr>
              <w:pStyle w:val="30"/>
              <w:rPr>
                <w:color w:val="auto"/>
              </w:rPr>
            </w:pPr>
            <w:r>
              <w:rPr>
                <w:color w:val="auto"/>
              </w:rPr>
              <w:t>湖南龙舟龙机股份有限公司</w:t>
            </w:r>
          </w:p>
        </w:tc>
        <w:tc>
          <w:tcPr>
            <w:tcW w:w="921" w:type="dxa"/>
            <w:vAlign w:val="center"/>
          </w:tcPr>
          <w:p>
            <w:pPr>
              <w:pStyle w:val="30"/>
              <w:rPr>
                <w:color w:val="auto"/>
              </w:rPr>
            </w:pPr>
            <w:r>
              <w:rPr>
                <w:color w:val="auto"/>
              </w:rPr>
              <w:t>96665.7</w:t>
            </w:r>
          </w:p>
        </w:tc>
        <w:tc>
          <w:tcPr>
            <w:tcW w:w="2466" w:type="dxa"/>
            <w:vAlign w:val="center"/>
          </w:tcPr>
          <w:p>
            <w:pPr>
              <w:pStyle w:val="30"/>
              <w:rPr>
                <w:color w:val="auto"/>
              </w:rPr>
            </w:pPr>
            <w:r>
              <w:rPr>
                <w:color w:val="auto"/>
              </w:rPr>
              <w:t>电：120万度电、天然气7.2万m</w:t>
            </w:r>
            <w:r>
              <w:rPr>
                <w:color w:val="auto"/>
                <w:vertAlign w:val="superscript"/>
              </w:rPr>
              <w:t>3</w:t>
            </w:r>
          </w:p>
        </w:tc>
        <w:tc>
          <w:tcPr>
            <w:tcW w:w="718" w:type="dxa"/>
            <w:vAlign w:val="center"/>
          </w:tcPr>
          <w:p>
            <w:pPr>
              <w:pStyle w:val="30"/>
              <w:rPr>
                <w:color w:val="auto"/>
              </w:rPr>
            </w:pPr>
            <w:r>
              <w:rPr>
                <w:color w:val="auto"/>
              </w:rPr>
              <w:t>： 1.6</w:t>
            </w:r>
          </w:p>
        </w:tc>
        <w:tc>
          <w:tcPr>
            <w:tcW w:w="621" w:type="dxa"/>
            <w:vAlign w:val="center"/>
          </w:tcPr>
          <w:p>
            <w:pPr>
              <w:pStyle w:val="30"/>
              <w:rPr>
                <w:color w:val="auto"/>
              </w:rPr>
            </w:pPr>
            <w:r>
              <w:rPr>
                <w:color w:val="auto"/>
              </w:rPr>
              <w:t>0.5</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切割粉尘采用旋风除尘净化器处理，喷漆废气采用过 滤棉过滤+活性炭吸收处理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562" w:type="dxa"/>
            <w:vAlign w:val="center"/>
          </w:tcPr>
          <w:p>
            <w:pPr>
              <w:pStyle w:val="30"/>
              <w:rPr>
                <w:color w:val="auto"/>
              </w:rPr>
            </w:pPr>
            <w:r>
              <w:rPr>
                <w:color w:val="auto"/>
              </w:rPr>
              <w:t>4</w:t>
            </w:r>
          </w:p>
        </w:tc>
        <w:tc>
          <w:tcPr>
            <w:tcW w:w="2765" w:type="dxa"/>
            <w:vAlign w:val="center"/>
          </w:tcPr>
          <w:p>
            <w:pPr>
              <w:pStyle w:val="30"/>
              <w:rPr>
                <w:color w:val="auto"/>
              </w:rPr>
            </w:pPr>
            <w:r>
              <w:rPr>
                <w:color w:val="auto"/>
              </w:rPr>
              <w:t>汨罗市天惠有色金属有限公司</w:t>
            </w:r>
          </w:p>
        </w:tc>
        <w:tc>
          <w:tcPr>
            <w:tcW w:w="921" w:type="dxa"/>
            <w:vAlign w:val="center"/>
          </w:tcPr>
          <w:p>
            <w:pPr>
              <w:pStyle w:val="30"/>
              <w:rPr>
                <w:color w:val="auto"/>
              </w:rPr>
            </w:pPr>
            <w:r>
              <w:rPr>
                <w:color w:val="auto"/>
              </w:rPr>
              <w:t>53015.11</w:t>
            </w:r>
          </w:p>
        </w:tc>
        <w:tc>
          <w:tcPr>
            <w:tcW w:w="2466" w:type="dxa"/>
            <w:vAlign w:val="center"/>
          </w:tcPr>
          <w:p>
            <w:pPr>
              <w:pStyle w:val="30"/>
              <w:rPr>
                <w:color w:val="auto"/>
              </w:rPr>
            </w:pPr>
            <w:r>
              <w:rPr>
                <w:color w:val="auto"/>
              </w:rPr>
              <w:t>电：200万度电、天然气2.68m</w:t>
            </w:r>
            <w:r>
              <w:rPr>
                <w:color w:val="auto"/>
                <w:vertAlign w:val="superscript"/>
              </w:rPr>
              <w:t>3</w:t>
            </w:r>
          </w:p>
        </w:tc>
        <w:tc>
          <w:tcPr>
            <w:tcW w:w="718" w:type="dxa"/>
            <w:vAlign w:val="center"/>
          </w:tcPr>
          <w:p>
            <w:pPr>
              <w:pStyle w:val="30"/>
              <w:rPr>
                <w:color w:val="auto"/>
              </w:rPr>
            </w:pPr>
            <w:r>
              <w:rPr>
                <w:color w:val="auto"/>
              </w:rPr>
              <w:t>： 1.7</w:t>
            </w:r>
          </w:p>
        </w:tc>
        <w:tc>
          <w:tcPr>
            <w:tcW w:w="621" w:type="dxa"/>
            <w:vAlign w:val="center"/>
          </w:tcPr>
          <w:p>
            <w:pPr>
              <w:pStyle w:val="30"/>
              <w:rPr>
                <w:color w:val="auto"/>
              </w:rPr>
            </w:pPr>
            <w:r>
              <w:rPr>
                <w:color w:val="auto"/>
              </w:rPr>
              <w:t>4.5</w:t>
            </w:r>
          </w:p>
        </w:tc>
        <w:tc>
          <w:tcPr>
            <w:tcW w:w="731" w:type="dxa"/>
            <w:vAlign w:val="center"/>
          </w:tcPr>
          <w:p>
            <w:pPr>
              <w:pStyle w:val="30"/>
              <w:rPr>
                <w:color w:val="auto"/>
              </w:rPr>
            </w:pPr>
            <w:r>
              <w:rPr>
                <w:color w:val="auto"/>
              </w:rPr>
              <w:t>2.88</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工频电炉产生的粉尘采用脉冲式除尘器处理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562" w:type="dxa"/>
            <w:vAlign w:val="center"/>
          </w:tcPr>
          <w:p>
            <w:pPr>
              <w:pStyle w:val="30"/>
              <w:rPr>
                <w:color w:val="auto"/>
              </w:rPr>
            </w:pPr>
            <w:r>
              <w:rPr>
                <w:color w:val="auto"/>
              </w:rPr>
              <w:t>5</w:t>
            </w:r>
          </w:p>
        </w:tc>
        <w:tc>
          <w:tcPr>
            <w:tcW w:w="2765" w:type="dxa"/>
            <w:vAlign w:val="center"/>
          </w:tcPr>
          <w:p>
            <w:pPr>
              <w:pStyle w:val="30"/>
              <w:rPr>
                <w:color w:val="auto"/>
              </w:rPr>
            </w:pPr>
            <w:r>
              <w:rPr>
                <w:color w:val="auto"/>
              </w:rPr>
              <w:t>汨罗市正利有色金属有限公司</w:t>
            </w:r>
          </w:p>
        </w:tc>
        <w:tc>
          <w:tcPr>
            <w:tcW w:w="921" w:type="dxa"/>
            <w:vAlign w:val="center"/>
          </w:tcPr>
          <w:p>
            <w:pPr>
              <w:pStyle w:val="30"/>
              <w:rPr>
                <w:color w:val="auto"/>
              </w:rPr>
            </w:pPr>
            <w:r>
              <w:rPr>
                <w:color w:val="auto"/>
              </w:rPr>
              <w:t>14943</w:t>
            </w:r>
          </w:p>
        </w:tc>
        <w:tc>
          <w:tcPr>
            <w:tcW w:w="2466" w:type="dxa"/>
            <w:vAlign w:val="center"/>
          </w:tcPr>
          <w:p>
            <w:pPr>
              <w:pStyle w:val="30"/>
              <w:rPr>
                <w:color w:val="auto"/>
              </w:rPr>
            </w:pPr>
            <w:r>
              <w:rPr>
                <w:color w:val="auto"/>
              </w:rPr>
              <w:t>/</w:t>
            </w:r>
          </w:p>
        </w:tc>
        <w:tc>
          <w:tcPr>
            <w:tcW w:w="718" w:type="dxa"/>
            <w:vAlign w:val="center"/>
          </w:tcPr>
          <w:p>
            <w:pPr>
              <w:pStyle w:val="30"/>
              <w:rPr>
                <w:color w:val="auto"/>
              </w:rPr>
            </w:pPr>
            <w:r>
              <w:rPr>
                <w:color w:val="auto"/>
              </w:rPr>
              <w:t>/</w:t>
            </w:r>
          </w:p>
        </w:tc>
        <w:tc>
          <w:tcPr>
            <w:tcW w:w="621" w:type="dxa"/>
            <w:vAlign w:val="center"/>
          </w:tcPr>
          <w:p>
            <w:pPr>
              <w:pStyle w:val="30"/>
              <w:rPr>
                <w:color w:val="auto"/>
              </w:rPr>
            </w:pPr>
            <w:r>
              <w:rPr>
                <w:color w:val="auto"/>
              </w:rPr>
              <w:t>/</w:t>
            </w:r>
          </w:p>
        </w:tc>
        <w:tc>
          <w:tcPr>
            <w:tcW w:w="731" w:type="dxa"/>
            <w:vAlign w:val="center"/>
          </w:tcPr>
          <w:p>
            <w:pPr>
              <w:pStyle w:val="30"/>
              <w:rPr>
                <w:color w:val="auto"/>
              </w:rPr>
            </w:pPr>
            <w:r>
              <w:rPr>
                <w:color w:val="auto"/>
              </w:rPr>
              <w:t>0.5</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熔炼、浇筑工序产生的粉尘采用集气罩经布袋除尘器处理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2" w:hRule="atLeast"/>
        </w:trPr>
        <w:tc>
          <w:tcPr>
            <w:tcW w:w="562" w:type="dxa"/>
            <w:vAlign w:val="center"/>
          </w:tcPr>
          <w:p>
            <w:pPr>
              <w:pStyle w:val="30"/>
              <w:rPr>
                <w:color w:val="auto"/>
              </w:rPr>
            </w:pPr>
            <w:r>
              <w:rPr>
                <w:color w:val="auto"/>
              </w:rPr>
              <w:t>6</w:t>
            </w:r>
          </w:p>
        </w:tc>
        <w:tc>
          <w:tcPr>
            <w:tcW w:w="2765" w:type="dxa"/>
            <w:vAlign w:val="center"/>
          </w:tcPr>
          <w:p>
            <w:pPr>
              <w:pStyle w:val="30"/>
              <w:rPr>
                <w:color w:val="auto"/>
              </w:rPr>
            </w:pPr>
            <w:r>
              <w:rPr>
                <w:color w:val="auto"/>
              </w:rPr>
              <w:t>湖南绿谷铝业有限公司</w:t>
            </w:r>
          </w:p>
        </w:tc>
        <w:tc>
          <w:tcPr>
            <w:tcW w:w="921" w:type="dxa"/>
            <w:vAlign w:val="center"/>
          </w:tcPr>
          <w:p>
            <w:pPr>
              <w:pStyle w:val="30"/>
              <w:rPr>
                <w:color w:val="auto"/>
              </w:rPr>
            </w:pPr>
            <w:r>
              <w:rPr>
                <w:color w:val="auto"/>
              </w:rPr>
              <w:t>10000</w:t>
            </w:r>
          </w:p>
        </w:tc>
        <w:tc>
          <w:tcPr>
            <w:tcW w:w="2466" w:type="dxa"/>
            <w:vAlign w:val="center"/>
          </w:tcPr>
          <w:p>
            <w:pPr>
              <w:pStyle w:val="30"/>
              <w:rPr>
                <w:color w:val="auto"/>
              </w:rPr>
            </w:pPr>
            <w:r>
              <w:rPr>
                <w:color w:val="auto"/>
              </w:rPr>
              <w:t>/</w:t>
            </w:r>
          </w:p>
        </w:tc>
        <w:tc>
          <w:tcPr>
            <w:tcW w:w="718" w:type="dxa"/>
            <w:vAlign w:val="center"/>
          </w:tcPr>
          <w:p>
            <w:pPr>
              <w:pStyle w:val="30"/>
              <w:rPr>
                <w:color w:val="auto"/>
              </w:rPr>
            </w:pPr>
            <w:r>
              <w:rPr>
                <w:color w:val="auto"/>
              </w:rPr>
              <w:t>/</w:t>
            </w:r>
          </w:p>
        </w:tc>
        <w:tc>
          <w:tcPr>
            <w:tcW w:w="621" w:type="dxa"/>
            <w:vAlign w:val="center"/>
          </w:tcPr>
          <w:p>
            <w:pPr>
              <w:pStyle w:val="30"/>
              <w:rPr>
                <w:color w:val="auto"/>
              </w:rPr>
            </w:pPr>
            <w:r>
              <w:rPr>
                <w:color w:val="auto"/>
              </w:rPr>
              <w:t>/</w:t>
            </w:r>
          </w:p>
        </w:tc>
        <w:tc>
          <w:tcPr>
            <w:tcW w:w="731" w:type="dxa"/>
            <w:vAlign w:val="center"/>
          </w:tcPr>
          <w:p>
            <w:pPr>
              <w:pStyle w:val="30"/>
              <w:rPr>
                <w:color w:val="auto"/>
              </w:rPr>
            </w:pPr>
            <w:r>
              <w:rPr>
                <w:color w:val="auto"/>
              </w:rPr>
              <w:t>0.061</w:t>
            </w:r>
          </w:p>
        </w:tc>
        <w:tc>
          <w:tcPr>
            <w:tcW w:w="1134" w:type="dxa"/>
            <w:vAlign w:val="center"/>
          </w:tcPr>
          <w:p>
            <w:pPr>
              <w:pStyle w:val="30"/>
              <w:rPr>
                <w:color w:val="auto"/>
              </w:rPr>
            </w:pPr>
            <w:r>
              <w:rPr>
                <w:color w:val="auto"/>
              </w:rPr>
              <w:t>0.080</w:t>
            </w:r>
          </w:p>
        </w:tc>
        <w:tc>
          <w:tcPr>
            <w:tcW w:w="4380" w:type="dxa"/>
            <w:vAlign w:val="center"/>
          </w:tcPr>
          <w:p>
            <w:pPr>
              <w:pStyle w:val="30"/>
              <w:rPr>
                <w:color w:val="auto"/>
              </w:rPr>
            </w:pPr>
            <w:r>
              <w:rPr>
                <w:color w:val="auto"/>
              </w:rPr>
              <w:t>粉尘经布袋除尘器处理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62" w:type="dxa"/>
            <w:vAlign w:val="center"/>
          </w:tcPr>
          <w:p>
            <w:pPr>
              <w:pStyle w:val="30"/>
              <w:rPr>
                <w:color w:val="auto"/>
              </w:rPr>
            </w:pPr>
            <w:r>
              <w:rPr>
                <w:color w:val="auto"/>
              </w:rPr>
              <w:t>7</w:t>
            </w:r>
          </w:p>
        </w:tc>
        <w:tc>
          <w:tcPr>
            <w:tcW w:w="2765" w:type="dxa"/>
            <w:vAlign w:val="center"/>
          </w:tcPr>
          <w:p>
            <w:pPr>
              <w:pStyle w:val="30"/>
              <w:rPr>
                <w:color w:val="auto"/>
              </w:rPr>
            </w:pPr>
            <w:r>
              <w:rPr>
                <w:color w:val="auto"/>
              </w:rPr>
              <w:t>汨罗市鑫祥碳素制品有限公司</w:t>
            </w:r>
          </w:p>
        </w:tc>
        <w:tc>
          <w:tcPr>
            <w:tcW w:w="921" w:type="dxa"/>
            <w:vAlign w:val="center"/>
          </w:tcPr>
          <w:p>
            <w:pPr>
              <w:pStyle w:val="30"/>
              <w:rPr>
                <w:color w:val="auto"/>
              </w:rPr>
            </w:pPr>
            <w:r>
              <w:rPr>
                <w:color w:val="auto"/>
              </w:rPr>
              <w:t>206245.7</w:t>
            </w:r>
          </w:p>
        </w:tc>
        <w:tc>
          <w:tcPr>
            <w:tcW w:w="2466" w:type="dxa"/>
            <w:vAlign w:val="center"/>
          </w:tcPr>
          <w:p>
            <w:pPr>
              <w:pStyle w:val="30"/>
              <w:rPr>
                <w:color w:val="auto"/>
              </w:rPr>
            </w:pPr>
            <w:r>
              <w:rPr>
                <w:color w:val="auto"/>
              </w:rPr>
              <w:t>电：550万度电</w:t>
            </w:r>
          </w:p>
        </w:tc>
        <w:tc>
          <w:tcPr>
            <w:tcW w:w="718" w:type="dxa"/>
            <w:vAlign w:val="center"/>
          </w:tcPr>
          <w:p>
            <w:pPr>
              <w:pStyle w:val="30"/>
              <w:rPr>
                <w:color w:val="auto"/>
              </w:rPr>
            </w:pPr>
            <w:r>
              <w:rPr>
                <w:color w:val="auto"/>
              </w:rPr>
              <w:t>207.9</w:t>
            </w:r>
          </w:p>
        </w:tc>
        <w:tc>
          <w:tcPr>
            <w:tcW w:w="621" w:type="dxa"/>
            <w:vAlign w:val="center"/>
          </w:tcPr>
          <w:p>
            <w:pPr>
              <w:pStyle w:val="30"/>
              <w:rPr>
                <w:color w:val="auto"/>
              </w:rPr>
            </w:pPr>
            <w:r>
              <w:rPr>
                <w:color w:val="auto"/>
              </w:rPr>
              <w:t>/</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连续石墨炉烟气采用布袋除尘+二级脱硫处理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55" w:hRule="atLeast"/>
        </w:trPr>
        <w:tc>
          <w:tcPr>
            <w:tcW w:w="562" w:type="dxa"/>
            <w:vAlign w:val="center"/>
          </w:tcPr>
          <w:p>
            <w:pPr>
              <w:pStyle w:val="30"/>
              <w:rPr>
                <w:color w:val="auto"/>
              </w:rPr>
            </w:pPr>
            <w:r>
              <w:rPr>
                <w:color w:val="auto"/>
              </w:rPr>
              <w:t>8</w:t>
            </w:r>
          </w:p>
        </w:tc>
        <w:tc>
          <w:tcPr>
            <w:tcW w:w="2765" w:type="dxa"/>
            <w:vAlign w:val="center"/>
          </w:tcPr>
          <w:p>
            <w:pPr>
              <w:pStyle w:val="30"/>
              <w:rPr>
                <w:color w:val="auto"/>
              </w:rPr>
            </w:pPr>
            <w:r>
              <w:rPr>
                <w:color w:val="auto"/>
              </w:rPr>
              <w:t>汨罗市通变电气有限公司</w:t>
            </w:r>
          </w:p>
        </w:tc>
        <w:tc>
          <w:tcPr>
            <w:tcW w:w="921" w:type="dxa"/>
            <w:vAlign w:val="center"/>
          </w:tcPr>
          <w:p>
            <w:pPr>
              <w:pStyle w:val="30"/>
              <w:rPr>
                <w:color w:val="auto"/>
              </w:rPr>
            </w:pPr>
            <w:r>
              <w:rPr>
                <w:color w:val="auto"/>
              </w:rPr>
              <w:t>13475.92</w:t>
            </w:r>
          </w:p>
        </w:tc>
        <w:tc>
          <w:tcPr>
            <w:tcW w:w="2466" w:type="dxa"/>
            <w:vAlign w:val="center"/>
          </w:tcPr>
          <w:p>
            <w:pPr>
              <w:pStyle w:val="30"/>
              <w:rPr>
                <w:color w:val="auto"/>
              </w:rPr>
            </w:pPr>
            <w:r>
              <w:rPr>
                <w:color w:val="auto"/>
              </w:rPr>
              <w:t>电：10万度电</w:t>
            </w:r>
          </w:p>
        </w:tc>
        <w:tc>
          <w:tcPr>
            <w:tcW w:w="718" w:type="dxa"/>
            <w:vAlign w:val="center"/>
          </w:tcPr>
          <w:p>
            <w:pPr>
              <w:pStyle w:val="30"/>
              <w:rPr>
                <w:color w:val="auto"/>
              </w:rPr>
            </w:pPr>
            <w:r>
              <w:rPr>
                <w:color w:val="auto"/>
              </w:rPr>
              <w:t>/</w:t>
            </w:r>
          </w:p>
        </w:tc>
        <w:tc>
          <w:tcPr>
            <w:tcW w:w="621" w:type="dxa"/>
            <w:vAlign w:val="center"/>
          </w:tcPr>
          <w:p>
            <w:pPr>
              <w:pStyle w:val="30"/>
              <w:rPr>
                <w:color w:val="auto"/>
              </w:rPr>
            </w:pPr>
            <w:r>
              <w:rPr>
                <w:color w:val="auto"/>
              </w:rPr>
              <w:t>/</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0.09</w:t>
            </w:r>
          </w:p>
        </w:tc>
        <w:tc>
          <w:tcPr>
            <w:tcW w:w="4380" w:type="dxa"/>
            <w:vAlign w:val="center"/>
          </w:tcPr>
          <w:p>
            <w:pPr>
              <w:pStyle w:val="30"/>
              <w:rPr>
                <w:color w:val="auto"/>
              </w:rPr>
            </w:pPr>
            <w:r>
              <w:rPr>
                <w:color w:val="auto"/>
              </w:rPr>
              <w:t>浇筑固化产生的有机废气经活性炭装置净化处理、油 烟经油烟净化器处理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color w:val="auto"/>
              </w:rPr>
              <w:t>9</w:t>
            </w:r>
          </w:p>
        </w:tc>
        <w:tc>
          <w:tcPr>
            <w:tcW w:w="2765" w:type="dxa"/>
            <w:vAlign w:val="center"/>
          </w:tcPr>
          <w:p>
            <w:pPr>
              <w:pStyle w:val="30"/>
              <w:rPr>
                <w:color w:val="auto"/>
              </w:rPr>
            </w:pPr>
            <w:r>
              <w:rPr>
                <w:color w:val="auto"/>
              </w:rPr>
              <w:t>湖南双兴铝业有限公司</w:t>
            </w:r>
          </w:p>
        </w:tc>
        <w:tc>
          <w:tcPr>
            <w:tcW w:w="921" w:type="dxa"/>
            <w:vAlign w:val="center"/>
          </w:tcPr>
          <w:p>
            <w:pPr>
              <w:pStyle w:val="30"/>
              <w:rPr>
                <w:color w:val="auto"/>
              </w:rPr>
            </w:pPr>
            <w:r>
              <w:rPr>
                <w:color w:val="auto"/>
              </w:rPr>
              <w:t>22680</w:t>
            </w:r>
          </w:p>
        </w:tc>
        <w:tc>
          <w:tcPr>
            <w:tcW w:w="2466" w:type="dxa"/>
            <w:vAlign w:val="center"/>
          </w:tcPr>
          <w:p>
            <w:pPr>
              <w:pStyle w:val="30"/>
              <w:rPr>
                <w:color w:val="auto"/>
              </w:rPr>
            </w:pPr>
            <w:r>
              <w:rPr>
                <w:color w:val="auto"/>
              </w:rPr>
              <w:t>电：10万度电、天然气</w:t>
            </w:r>
          </w:p>
        </w:tc>
        <w:tc>
          <w:tcPr>
            <w:tcW w:w="718" w:type="dxa"/>
            <w:vAlign w:val="center"/>
          </w:tcPr>
          <w:p>
            <w:pPr>
              <w:pStyle w:val="30"/>
              <w:rPr>
                <w:color w:val="auto"/>
              </w:rPr>
            </w:pPr>
            <w:r>
              <w:rPr>
                <w:color w:val="auto"/>
              </w:rPr>
              <w:t>0.526</w:t>
            </w:r>
          </w:p>
        </w:tc>
        <w:tc>
          <w:tcPr>
            <w:tcW w:w="621" w:type="dxa"/>
            <w:vAlign w:val="center"/>
          </w:tcPr>
          <w:p>
            <w:pPr>
              <w:pStyle w:val="30"/>
              <w:rPr>
                <w:color w:val="auto"/>
              </w:rPr>
            </w:pPr>
            <w:r>
              <w:rPr>
                <w:color w:val="auto"/>
              </w:rPr>
              <w:t>1.29</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熔炼工序产生的烟气经旋风除尘器+布袋除尘器+水膜除尘器处理，炒灰工序产生的粉尘经布袋除尘器+水膜除尘器处理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3" w:hRule="atLeast"/>
        </w:trPr>
        <w:tc>
          <w:tcPr>
            <w:tcW w:w="562" w:type="dxa"/>
            <w:vAlign w:val="center"/>
          </w:tcPr>
          <w:p>
            <w:pPr>
              <w:pStyle w:val="30"/>
              <w:rPr>
                <w:color w:val="auto"/>
              </w:rPr>
            </w:pPr>
            <w:r>
              <w:rPr>
                <w:color w:val="auto"/>
              </w:rPr>
              <w:t>10</w:t>
            </w:r>
          </w:p>
        </w:tc>
        <w:tc>
          <w:tcPr>
            <w:tcW w:w="2765" w:type="dxa"/>
            <w:vAlign w:val="center"/>
          </w:tcPr>
          <w:p>
            <w:pPr>
              <w:pStyle w:val="30"/>
              <w:rPr>
                <w:color w:val="auto"/>
              </w:rPr>
            </w:pPr>
            <w:r>
              <w:rPr>
                <w:color w:val="auto"/>
              </w:rPr>
              <w:t>湖南金丰铜材有限公司</w:t>
            </w:r>
          </w:p>
        </w:tc>
        <w:tc>
          <w:tcPr>
            <w:tcW w:w="921" w:type="dxa"/>
            <w:vAlign w:val="center"/>
          </w:tcPr>
          <w:p>
            <w:pPr>
              <w:pStyle w:val="30"/>
              <w:rPr>
                <w:color w:val="auto"/>
              </w:rPr>
            </w:pPr>
            <w:r>
              <w:rPr>
                <w:color w:val="auto"/>
              </w:rPr>
              <w:t>17274</w:t>
            </w:r>
          </w:p>
        </w:tc>
        <w:tc>
          <w:tcPr>
            <w:tcW w:w="2466" w:type="dxa"/>
            <w:vAlign w:val="center"/>
          </w:tcPr>
          <w:p>
            <w:pPr>
              <w:pStyle w:val="30"/>
              <w:rPr>
                <w:color w:val="auto"/>
              </w:rPr>
            </w:pPr>
            <w:r>
              <w:rPr>
                <w:color w:val="auto"/>
              </w:rPr>
              <w:t>/</w:t>
            </w:r>
          </w:p>
        </w:tc>
        <w:tc>
          <w:tcPr>
            <w:tcW w:w="718" w:type="dxa"/>
            <w:vAlign w:val="center"/>
          </w:tcPr>
          <w:p>
            <w:pPr>
              <w:pStyle w:val="30"/>
              <w:rPr>
                <w:color w:val="auto"/>
              </w:rPr>
            </w:pPr>
            <w:r>
              <w:rPr>
                <w:color w:val="auto"/>
              </w:rPr>
              <w:t>2.6</w:t>
            </w:r>
          </w:p>
        </w:tc>
        <w:tc>
          <w:tcPr>
            <w:tcW w:w="621" w:type="dxa"/>
            <w:vAlign w:val="center"/>
          </w:tcPr>
          <w:p>
            <w:pPr>
              <w:pStyle w:val="30"/>
              <w:rPr>
                <w:color w:val="auto"/>
              </w:rPr>
            </w:pPr>
            <w:r>
              <w:rPr>
                <w:color w:val="auto"/>
              </w:rPr>
              <w:t>7.2</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废气经布袋除尘器和酸雾净化塔处理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1</w:t>
            </w:r>
          </w:p>
        </w:tc>
        <w:tc>
          <w:tcPr>
            <w:tcW w:w="2765" w:type="dxa"/>
            <w:vAlign w:val="center"/>
          </w:tcPr>
          <w:p>
            <w:pPr>
              <w:pStyle w:val="30"/>
              <w:rPr>
                <w:color w:val="auto"/>
              </w:rPr>
            </w:pPr>
            <w:r>
              <w:rPr>
                <w:rFonts w:hint="eastAsia"/>
                <w:color w:val="auto"/>
              </w:rPr>
              <w:t>湖南新威凌新材料有限公司</w:t>
            </w:r>
          </w:p>
        </w:tc>
        <w:tc>
          <w:tcPr>
            <w:tcW w:w="921" w:type="dxa"/>
            <w:vAlign w:val="center"/>
          </w:tcPr>
          <w:p>
            <w:pPr>
              <w:pStyle w:val="30"/>
              <w:rPr>
                <w:color w:val="auto"/>
              </w:rPr>
            </w:pPr>
            <w:r>
              <w:rPr>
                <w:rFonts w:hint="eastAsia"/>
                <w:color w:val="auto"/>
              </w:rPr>
              <w:t>2</w:t>
            </w:r>
            <w:r>
              <w:rPr>
                <w:color w:val="auto"/>
              </w:rPr>
              <w:t>1505</w:t>
            </w:r>
          </w:p>
        </w:tc>
        <w:tc>
          <w:tcPr>
            <w:tcW w:w="2466" w:type="dxa"/>
            <w:vAlign w:val="center"/>
          </w:tcPr>
          <w:p>
            <w:pPr>
              <w:pStyle w:val="30"/>
              <w:rPr>
                <w:color w:val="auto"/>
              </w:rPr>
            </w:pPr>
            <w:r>
              <w:rPr>
                <w:rFonts w:hint="eastAsia"/>
                <w:color w:val="auto"/>
              </w:rPr>
              <w:t>电：</w:t>
            </w:r>
            <w:r>
              <w:rPr>
                <w:color w:val="auto"/>
              </w:rPr>
              <w:t xml:space="preserve">261 </w:t>
            </w:r>
            <w:r>
              <w:rPr>
                <w:rFonts w:hint="eastAsia"/>
                <w:color w:val="auto"/>
              </w:rPr>
              <w:t>万度电、天然气：</w:t>
            </w:r>
            <w:r>
              <w:rPr>
                <w:color w:val="auto"/>
              </w:rPr>
              <w:t xml:space="preserve">200 </w:t>
            </w:r>
            <w:r>
              <w:rPr>
                <w:rFonts w:hint="eastAsia"/>
                <w:color w:val="auto"/>
              </w:rPr>
              <w:t>万</w:t>
            </w:r>
            <w:r>
              <w:rPr>
                <w:color w:val="auto"/>
              </w:rPr>
              <w:t>m</w:t>
            </w:r>
            <w:r>
              <w:rPr>
                <w:color w:val="auto"/>
                <w:vertAlign w:val="superscript"/>
              </w:rPr>
              <w:t>3</w:t>
            </w:r>
          </w:p>
        </w:tc>
        <w:tc>
          <w:tcPr>
            <w:tcW w:w="718" w:type="dxa"/>
            <w:vAlign w:val="center"/>
          </w:tcPr>
          <w:p>
            <w:pPr>
              <w:pStyle w:val="30"/>
              <w:rPr>
                <w:color w:val="auto"/>
              </w:rPr>
            </w:pPr>
            <w:r>
              <w:rPr>
                <w:rFonts w:hint="eastAsia"/>
                <w:color w:val="auto"/>
              </w:rPr>
              <w:t>1</w:t>
            </w:r>
            <w:r>
              <w:rPr>
                <w:color w:val="auto"/>
              </w:rPr>
              <w:t>.2</w:t>
            </w:r>
          </w:p>
        </w:tc>
        <w:tc>
          <w:tcPr>
            <w:tcW w:w="621" w:type="dxa"/>
            <w:vAlign w:val="center"/>
          </w:tcPr>
          <w:p>
            <w:pPr>
              <w:pStyle w:val="30"/>
              <w:rPr>
                <w:color w:val="auto"/>
              </w:rPr>
            </w:pPr>
            <w:r>
              <w:rPr>
                <w:rFonts w:hint="eastAsia"/>
                <w:color w:val="auto"/>
              </w:rPr>
              <w:t>5</w:t>
            </w:r>
            <w:r>
              <w:rPr>
                <w:color w:val="auto"/>
              </w:rPr>
              <w:t>.3</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2</w:t>
            </w:r>
          </w:p>
        </w:tc>
        <w:tc>
          <w:tcPr>
            <w:tcW w:w="2765" w:type="dxa"/>
            <w:vAlign w:val="center"/>
          </w:tcPr>
          <w:p>
            <w:pPr>
              <w:pStyle w:val="30"/>
              <w:rPr>
                <w:color w:val="auto"/>
              </w:rPr>
            </w:pPr>
            <w:r>
              <w:rPr>
                <w:color w:val="auto"/>
              </w:rPr>
              <w:t>汨罗市天盛铜材有限公司</w:t>
            </w:r>
          </w:p>
        </w:tc>
        <w:tc>
          <w:tcPr>
            <w:tcW w:w="921" w:type="dxa"/>
            <w:vAlign w:val="center"/>
          </w:tcPr>
          <w:p>
            <w:pPr>
              <w:pStyle w:val="30"/>
              <w:rPr>
                <w:color w:val="auto"/>
              </w:rPr>
            </w:pPr>
            <w:r>
              <w:rPr>
                <w:color w:val="auto"/>
              </w:rPr>
              <w:t>13340</w:t>
            </w:r>
          </w:p>
        </w:tc>
        <w:tc>
          <w:tcPr>
            <w:tcW w:w="2466" w:type="dxa"/>
            <w:vAlign w:val="center"/>
          </w:tcPr>
          <w:p>
            <w:pPr>
              <w:pStyle w:val="30"/>
              <w:rPr>
                <w:color w:val="auto"/>
              </w:rPr>
            </w:pPr>
            <w:r>
              <w:rPr>
                <w:rFonts w:hint="eastAsia"/>
                <w:color w:val="auto"/>
              </w:rPr>
              <w:t>/</w:t>
            </w:r>
          </w:p>
        </w:tc>
        <w:tc>
          <w:tcPr>
            <w:tcW w:w="718" w:type="dxa"/>
            <w:vAlign w:val="center"/>
          </w:tcPr>
          <w:p>
            <w:pPr>
              <w:pStyle w:val="30"/>
              <w:rPr>
                <w:color w:val="auto"/>
              </w:rPr>
            </w:pPr>
            <w:r>
              <w:rPr>
                <w:color w:val="auto"/>
              </w:rPr>
              <w:t xml:space="preserve">0.9 </w:t>
            </w:r>
          </w:p>
        </w:tc>
        <w:tc>
          <w:tcPr>
            <w:tcW w:w="621" w:type="dxa"/>
            <w:vAlign w:val="center"/>
          </w:tcPr>
          <w:p>
            <w:pPr>
              <w:pStyle w:val="30"/>
              <w:rPr>
                <w:color w:val="auto"/>
              </w:rPr>
            </w:pPr>
            <w:r>
              <w:rPr>
                <w:color w:val="auto"/>
              </w:rPr>
              <w:t>2.4</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rFonts w:hint="eastAsia"/>
                <w:color w:val="auto"/>
              </w:rPr>
              <w:t>熔炼工序产生的烟尘经布袋除尘器处理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3</w:t>
            </w:r>
          </w:p>
        </w:tc>
        <w:tc>
          <w:tcPr>
            <w:tcW w:w="2765" w:type="dxa"/>
            <w:vAlign w:val="center"/>
          </w:tcPr>
          <w:p>
            <w:pPr>
              <w:pStyle w:val="30"/>
              <w:rPr>
                <w:color w:val="auto"/>
              </w:rPr>
            </w:pPr>
            <w:r>
              <w:rPr>
                <w:rFonts w:hint="eastAsia"/>
                <w:color w:val="auto"/>
              </w:rPr>
              <w:t>汨罗市联创铝业科技有限公司</w:t>
            </w:r>
          </w:p>
        </w:tc>
        <w:tc>
          <w:tcPr>
            <w:tcW w:w="921" w:type="dxa"/>
            <w:vAlign w:val="center"/>
          </w:tcPr>
          <w:p>
            <w:pPr>
              <w:pStyle w:val="30"/>
              <w:rPr>
                <w:color w:val="auto"/>
              </w:rPr>
            </w:pPr>
            <w:r>
              <w:rPr>
                <w:color w:val="auto"/>
              </w:rPr>
              <w:t>11500</w:t>
            </w:r>
          </w:p>
        </w:tc>
        <w:tc>
          <w:tcPr>
            <w:tcW w:w="2466" w:type="dxa"/>
            <w:vAlign w:val="center"/>
          </w:tcPr>
          <w:p>
            <w:pPr>
              <w:pStyle w:val="30"/>
              <w:rPr>
                <w:color w:val="auto"/>
              </w:rPr>
            </w:pPr>
            <w:r>
              <w:rPr>
                <w:rFonts w:hint="eastAsia"/>
                <w:color w:val="auto"/>
              </w:rPr>
              <w:t>电：</w:t>
            </w:r>
            <w:r>
              <w:rPr>
                <w:color w:val="auto"/>
              </w:rPr>
              <w:t xml:space="preserve">100 </w:t>
            </w:r>
            <w:r>
              <w:rPr>
                <w:rFonts w:hint="eastAsia"/>
                <w:color w:val="auto"/>
              </w:rPr>
              <w:t>万度电、天然气：</w:t>
            </w:r>
            <w:r>
              <w:rPr>
                <w:color w:val="auto"/>
              </w:rPr>
              <w:t xml:space="preserve">18 </w:t>
            </w:r>
            <w:r>
              <w:rPr>
                <w:rFonts w:hint="eastAsia"/>
                <w:color w:val="auto"/>
              </w:rPr>
              <w:t>万</w:t>
            </w:r>
            <w:r>
              <w:rPr>
                <w:color w:val="auto"/>
              </w:rPr>
              <w:t>m</w:t>
            </w:r>
            <w:r>
              <w:rPr>
                <w:color w:val="auto"/>
                <w:vertAlign w:val="superscript"/>
              </w:rPr>
              <w:t>3</w:t>
            </w:r>
          </w:p>
        </w:tc>
        <w:tc>
          <w:tcPr>
            <w:tcW w:w="718" w:type="dxa"/>
            <w:vAlign w:val="center"/>
          </w:tcPr>
          <w:p>
            <w:pPr>
              <w:pStyle w:val="30"/>
              <w:rPr>
                <w:color w:val="auto"/>
              </w:rPr>
            </w:pPr>
            <w:r>
              <w:rPr>
                <w:color w:val="auto"/>
              </w:rPr>
              <w:t>2.0</w:t>
            </w:r>
          </w:p>
        </w:tc>
        <w:tc>
          <w:tcPr>
            <w:tcW w:w="621" w:type="dxa"/>
            <w:vAlign w:val="center"/>
          </w:tcPr>
          <w:p>
            <w:pPr>
              <w:pStyle w:val="30"/>
              <w:rPr>
                <w:color w:val="auto"/>
              </w:rPr>
            </w:pPr>
            <w:r>
              <w:rPr>
                <w:rFonts w:hint="eastAsia"/>
                <w:color w:val="auto"/>
              </w:rPr>
              <w:t>5</w:t>
            </w:r>
            <w:r>
              <w:rPr>
                <w:color w:val="auto"/>
              </w:rPr>
              <w:t>.8</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rFonts w:hint="eastAsia"/>
                <w:color w:val="auto"/>
              </w:rPr>
              <w:t>电频炉废气集中收集后通过布袋除尘器处理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4</w:t>
            </w:r>
          </w:p>
        </w:tc>
        <w:tc>
          <w:tcPr>
            <w:tcW w:w="2765" w:type="dxa"/>
            <w:vAlign w:val="center"/>
          </w:tcPr>
          <w:p>
            <w:pPr>
              <w:pStyle w:val="30"/>
              <w:rPr>
                <w:color w:val="auto"/>
              </w:rPr>
            </w:pPr>
            <w:r>
              <w:rPr>
                <w:rFonts w:hint="eastAsia"/>
                <w:color w:val="auto"/>
              </w:rPr>
              <w:t>湖南金一科技有限公司</w:t>
            </w:r>
          </w:p>
        </w:tc>
        <w:tc>
          <w:tcPr>
            <w:tcW w:w="921" w:type="dxa"/>
            <w:vAlign w:val="center"/>
          </w:tcPr>
          <w:p>
            <w:pPr>
              <w:pStyle w:val="30"/>
              <w:rPr>
                <w:color w:val="auto"/>
              </w:rPr>
            </w:pPr>
            <w:r>
              <w:rPr>
                <w:color w:val="auto"/>
              </w:rPr>
              <w:t>21944</w:t>
            </w:r>
          </w:p>
        </w:tc>
        <w:tc>
          <w:tcPr>
            <w:tcW w:w="2466" w:type="dxa"/>
            <w:vAlign w:val="center"/>
          </w:tcPr>
          <w:p>
            <w:pPr>
              <w:pStyle w:val="30"/>
              <w:rPr>
                <w:color w:val="auto"/>
              </w:rPr>
            </w:pPr>
            <w:r>
              <w:rPr>
                <w:rFonts w:hint="eastAsia"/>
                <w:color w:val="auto"/>
              </w:rPr>
              <w:t>5</w:t>
            </w:r>
            <w:r>
              <w:rPr>
                <w:color w:val="auto"/>
              </w:rPr>
              <w:t>万</w:t>
            </w:r>
            <w:r>
              <w:rPr>
                <w:rFonts w:hint="eastAsia"/>
                <w:color w:val="auto"/>
              </w:rPr>
              <w:t>度电</w:t>
            </w:r>
          </w:p>
        </w:tc>
        <w:tc>
          <w:tcPr>
            <w:tcW w:w="718" w:type="dxa"/>
            <w:vAlign w:val="center"/>
          </w:tcPr>
          <w:p>
            <w:pPr>
              <w:pStyle w:val="30"/>
              <w:rPr>
                <w:color w:val="auto"/>
              </w:rPr>
            </w:pPr>
            <w:r>
              <w:rPr>
                <w:color w:val="auto"/>
              </w:rPr>
              <w:t>2.9</w:t>
            </w:r>
          </w:p>
        </w:tc>
        <w:tc>
          <w:tcPr>
            <w:tcW w:w="621" w:type="dxa"/>
            <w:vAlign w:val="center"/>
          </w:tcPr>
          <w:p>
            <w:pPr>
              <w:pStyle w:val="30"/>
              <w:rPr>
                <w:color w:val="auto"/>
              </w:rPr>
            </w:pPr>
            <w:r>
              <w:rPr>
                <w:rFonts w:hint="eastAsia"/>
                <w:color w:val="auto"/>
              </w:rPr>
              <w:t>5.</w:t>
            </w:r>
            <w:r>
              <w:rPr>
                <w:color w:val="auto"/>
              </w:rPr>
              <w:t>8</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rFonts w:hint="eastAsia"/>
                <w:color w:val="auto"/>
              </w:rPr>
              <w:t>电频炉废气集中收集后通过布袋除尘器处理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5</w:t>
            </w:r>
          </w:p>
        </w:tc>
        <w:tc>
          <w:tcPr>
            <w:tcW w:w="2765" w:type="dxa"/>
            <w:vAlign w:val="center"/>
          </w:tcPr>
          <w:p>
            <w:pPr>
              <w:pStyle w:val="30"/>
              <w:rPr>
                <w:color w:val="auto"/>
              </w:rPr>
            </w:pPr>
            <w:r>
              <w:rPr>
                <w:rFonts w:hint="eastAsia"/>
                <w:color w:val="auto"/>
              </w:rPr>
              <w:t>汨罗市金龙铜业有限公司</w:t>
            </w:r>
          </w:p>
        </w:tc>
        <w:tc>
          <w:tcPr>
            <w:tcW w:w="921" w:type="dxa"/>
            <w:vAlign w:val="center"/>
          </w:tcPr>
          <w:p>
            <w:pPr>
              <w:pStyle w:val="30"/>
              <w:rPr>
                <w:color w:val="auto"/>
              </w:rPr>
            </w:pPr>
            <w:r>
              <w:rPr>
                <w:color w:val="auto"/>
              </w:rPr>
              <w:t>24329</w:t>
            </w:r>
          </w:p>
        </w:tc>
        <w:tc>
          <w:tcPr>
            <w:tcW w:w="2466" w:type="dxa"/>
            <w:vAlign w:val="center"/>
          </w:tcPr>
          <w:p>
            <w:pPr>
              <w:pStyle w:val="30"/>
              <w:rPr>
                <w:color w:val="auto"/>
              </w:rPr>
            </w:pPr>
            <w:r>
              <w:rPr>
                <w:rFonts w:hint="eastAsia"/>
                <w:color w:val="auto"/>
              </w:rPr>
              <w:t>/</w:t>
            </w:r>
          </w:p>
        </w:tc>
        <w:tc>
          <w:tcPr>
            <w:tcW w:w="718" w:type="dxa"/>
            <w:vAlign w:val="center"/>
          </w:tcPr>
          <w:p>
            <w:pPr>
              <w:pStyle w:val="30"/>
              <w:rPr>
                <w:color w:val="auto"/>
              </w:rPr>
            </w:pPr>
            <w:r>
              <w:rPr>
                <w:rFonts w:hint="eastAsia"/>
                <w:color w:val="auto"/>
              </w:rPr>
              <w:t>1</w:t>
            </w:r>
            <w:r>
              <w:rPr>
                <w:color w:val="auto"/>
              </w:rPr>
              <w:t>.2</w:t>
            </w:r>
          </w:p>
        </w:tc>
        <w:tc>
          <w:tcPr>
            <w:tcW w:w="621" w:type="dxa"/>
            <w:vAlign w:val="center"/>
          </w:tcPr>
          <w:p>
            <w:pPr>
              <w:pStyle w:val="30"/>
              <w:rPr>
                <w:color w:val="auto"/>
              </w:rPr>
            </w:pPr>
            <w:r>
              <w:rPr>
                <w:rFonts w:hint="eastAsia"/>
                <w:color w:val="auto"/>
              </w:rPr>
              <w:t>5</w:t>
            </w:r>
            <w:r>
              <w:rPr>
                <w:color w:val="auto"/>
              </w:rPr>
              <w:t>.7</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6</w:t>
            </w:r>
          </w:p>
        </w:tc>
        <w:tc>
          <w:tcPr>
            <w:tcW w:w="2765" w:type="dxa"/>
            <w:vAlign w:val="center"/>
          </w:tcPr>
          <w:p>
            <w:pPr>
              <w:pStyle w:val="30"/>
              <w:rPr>
                <w:color w:val="auto"/>
              </w:rPr>
            </w:pPr>
            <w:r>
              <w:rPr>
                <w:rFonts w:hint="eastAsia"/>
                <w:color w:val="auto"/>
              </w:rPr>
              <w:t>汨罗市钱进铜业有限公司</w:t>
            </w:r>
          </w:p>
        </w:tc>
        <w:tc>
          <w:tcPr>
            <w:tcW w:w="921" w:type="dxa"/>
            <w:vAlign w:val="center"/>
          </w:tcPr>
          <w:p>
            <w:pPr>
              <w:pStyle w:val="30"/>
              <w:rPr>
                <w:color w:val="auto"/>
              </w:rPr>
            </w:pPr>
            <w:r>
              <w:rPr>
                <w:color w:val="auto"/>
              </w:rPr>
              <w:t>18439</w:t>
            </w:r>
          </w:p>
        </w:tc>
        <w:tc>
          <w:tcPr>
            <w:tcW w:w="2466" w:type="dxa"/>
            <w:vAlign w:val="center"/>
          </w:tcPr>
          <w:p>
            <w:pPr>
              <w:pStyle w:val="30"/>
              <w:rPr>
                <w:color w:val="auto"/>
              </w:rPr>
            </w:pPr>
            <w:r>
              <w:rPr>
                <w:rFonts w:hint="eastAsia"/>
                <w:color w:val="auto"/>
              </w:rPr>
              <w:t>/</w:t>
            </w:r>
          </w:p>
        </w:tc>
        <w:tc>
          <w:tcPr>
            <w:tcW w:w="718" w:type="dxa"/>
            <w:vAlign w:val="center"/>
          </w:tcPr>
          <w:p>
            <w:pPr>
              <w:pStyle w:val="30"/>
              <w:rPr>
                <w:color w:val="auto"/>
              </w:rPr>
            </w:pPr>
            <w:r>
              <w:rPr>
                <w:rFonts w:hint="eastAsia"/>
                <w:color w:val="auto"/>
              </w:rPr>
              <w:t>2</w:t>
            </w:r>
            <w:r>
              <w:rPr>
                <w:color w:val="auto"/>
              </w:rPr>
              <w:t>.2.</w:t>
            </w:r>
          </w:p>
        </w:tc>
        <w:tc>
          <w:tcPr>
            <w:tcW w:w="621" w:type="dxa"/>
            <w:vAlign w:val="center"/>
          </w:tcPr>
          <w:p>
            <w:pPr>
              <w:pStyle w:val="30"/>
              <w:rPr>
                <w:color w:val="auto"/>
              </w:rPr>
            </w:pPr>
            <w:r>
              <w:rPr>
                <w:rFonts w:hint="eastAsia"/>
                <w:color w:val="auto"/>
              </w:rPr>
              <w:t>6</w:t>
            </w:r>
            <w:r>
              <w:rPr>
                <w:color w:val="auto"/>
              </w:rPr>
              <w:t>.1</w:t>
            </w:r>
          </w:p>
        </w:tc>
        <w:tc>
          <w:tcPr>
            <w:tcW w:w="731" w:type="dxa"/>
            <w:vAlign w:val="center"/>
          </w:tcPr>
          <w:p>
            <w:pPr>
              <w:pStyle w:val="30"/>
              <w:rPr>
                <w:color w:val="auto"/>
              </w:rPr>
            </w:pPr>
            <w:r>
              <w:rPr>
                <w:rFonts w:ascii="TimesNewRomanPSMT" w:eastAsia="TimesNewRomanPSMT" w:cs="TimesNewRomanPSMT" w:hAnsiTheme="minorHAnsi"/>
                <w:color w:val="auto"/>
                <w:kern w:val="0"/>
                <w:szCs w:val="21"/>
              </w:rPr>
              <w:t>/</w:t>
            </w:r>
          </w:p>
        </w:tc>
        <w:tc>
          <w:tcPr>
            <w:tcW w:w="1134" w:type="dxa"/>
            <w:vAlign w:val="center"/>
          </w:tcPr>
          <w:p>
            <w:pPr>
              <w:pStyle w:val="30"/>
              <w:rPr>
                <w:color w:val="auto"/>
              </w:rPr>
            </w:pPr>
            <w:r>
              <w:rPr>
                <w:rFonts w:ascii="TimesNewRomanPSMT" w:eastAsia="TimesNewRomanPSMT" w:cs="TimesNewRomanPSMT" w:hAnsiTheme="minorHAnsi"/>
                <w:color w:val="auto"/>
                <w:kern w:val="0"/>
                <w:szCs w:val="21"/>
              </w:rPr>
              <w:t>/</w:t>
            </w:r>
          </w:p>
        </w:tc>
        <w:tc>
          <w:tcPr>
            <w:tcW w:w="4380" w:type="dxa"/>
            <w:vAlign w:val="center"/>
          </w:tcPr>
          <w:p>
            <w:pPr>
              <w:pStyle w:val="30"/>
              <w:rPr>
                <w:color w:val="auto"/>
              </w:rPr>
            </w:pP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7</w:t>
            </w:r>
          </w:p>
        </w:tc>
        <w:tc>
          <w:tcPr>
            <w:tcW w:w="2765" w:type="dxa"/>
            <w:vAlign w:val="center"/>
          </w:tcPr>
          <w:p>
            <w:pPr>
              <w:pStyle w:val="30"/>
              <w:rPr>
                <w:color w:val="auto"/>
              </w:rPr>
            </w:pPr>
            <w:r>
              <w:rPr>
                <w:rFonts w:hint="eastAsia"/>
                <w:color w:val="auto"/>
              </w:rPr>
              <w:t>湖南博发铜业有限公司</w:t>
            </w:r>
          </w:p>
        </w:tc>
        <w:tc>
          <w:tcPr>
            <w:tcW w:w="921" w:type="dxa"/>
            <w:vAlign w:val="center"/>
          </w:tcPr>
          <w:p>
            <w:pPr>
              <w:pStyle w:val="30"/>
              <w:rPr>
                <w:color w:val="auto"/>
              </w:rPr>
            </w:pPr>
            <w:r>
              <w:rPr>
                <w:rFonts w:hint="eastAsia"/>
                <w:color w:val="auto"/>
              </w:rPr>
              <w:t>3</w:t>
            </w:r>
            <w:r>
              <w:rPr>
                <w:color w:val="auto"/>
              </w:rPr>
              <w:t>6666</w:t>
            </w:r>
          </w:p>
        </w:tc>
        <w:tc>
          <w:tcPr>
            <w:tcW w:w="2466" w:type="dxa"/>
            <w:vAlign w:val="center"/>
          </w:tcPr>
          <w:p>
            <w:pPr>
              <w:pStyle w:val="30"/>
              <w:rPr>
                <w:color w:val="auto"/>
              </w:rPr>
            </w:pPr>
            <w:r>
              <w:rPr>
                <w:rFonts w:hint="eastAsia"/>
                <w:color w:val="auto"/>
              </w:rPr>
              <w:t>/</w:t>
            </w:r>
          </w:p>
        </w:tc>
        <w:tc>
          <w:tcPr>
            <w:tcW w:w="718" w:type="dxa"/>
            <w:vAlign w:val="center"/>
          </w:tcPr>
          <w:p>
            <w:pPr>
              <w:pStyle w:val="30"/>
              <w:rPr>
                <w:color w:val="auto"/>
              </w:rPr>
            </w:pPr>
            <w:r>
              <w:rPr>
                <w:rFonts w:hint="eastAsia"/>
                <w:color w:val="auto"/>
              </w:rPr>
              <w:t>4</w:t>
            </w:r>
            <w:r>
              <w:rPr>
                <w:color w:val="auto"/>
              </w:rPr>
              <w:t>.9</w:t>
            </w:r>
          </w:p>
        </w:tc>
        <w:tc>
          <w:tcPr>
            <w:tcW w:w="621" w:type="dxa"/>
            <w:vAlign w:val="center"/>
          </w:tcPr>
          <w:p>
            <w:pPr>
              <w:pStyle w:val="30"/>
              <w:rPr>
                <w:color w:val="auto"/>
              </w:rPr>
            </w:pPr>
            <w:r>
              <w:rPr>
                <w:rFonts w:hint="eastAsia"/>
                <w:color w:val="auto"/>
              </w:rPr>
              <w:t>1</w:t>
            </w:r>
            <w:r>
              <w:rPr>
                <w:color w:val="auto"/>
              </w:rPr>
              <w:t>3.5</w:t>
            </w:r>
          </w:p>
        </w:tc>
        <w:tc>
          <w:tcPr>
            <w:tcW w:w="731" w:type="dxa"/>
            <w:vAlign w:val="center"/>
          </w:tcPr>
          <w:p>
            <w:pPr>
              <w:pStyle w:val="30"/>
              <w:rPr>
                <w:rFonts w:ascii="TimesNewRomanPSMT" w:eastAsia="TimesNewRomanPSMT" w:cs="TimesNewRomanPSMT" w:hAnsiTheme="minorHAnsi"/>
                <w:color w:val="auto"/>
                <w:kern w:val="0"/>
                <w:szCs w:val="21"/>
              </w:rPr>
            </w:pPr>
            <w:r>
              <w:rPr>
                <w:rFonts w:ascii="TimesNewRomanPSMT" w:eastAsia="TimesNewRomanPSMT" w:cs="TimesNewRomanPSMT" w:hAnsiTheme="minorHAnsi"/>
                <w:color w:val="auto"/>
                <w:kern w:val="0"/>
                <w:szCs w:val="21"/>
              </w:rPr>
              <w:t>/</w:t>
            </w:r>
          </w:p>
        </w:tc>
        <w:tc>
          <w:tcPr>
            <w:tcW w:w="1134" w:type="dxa"/>
            <w:vAlign w:val="center"/>
          </w:tcPr>
          <w:p>
            <w:pPr>
              <w:pStyle w:val="30"/>
              <w:rPr>
                <w:rFonts w:ascii="TimesNewRomanPSMT" w:eastAsia="TimesNewRomanPSMT" w:cs="TimesNewRomanPSMT" w:hAnsiTheme="minorHAnsi"/>
                <w:color w:val="auto"/>
                <w:kern w:val="0"/>
                <w:szCs w:val="21"/>
              </w:rPr>
            </w:pPr>
            <w:r>
              <w:rPr>
                <w:rFonts w:ascii="TimesNewRomanPSMT" w:eastAsia="TimesNewRomanPSMT" w:cs="TimesNewRomanPSMT" w:hAnsiTheme="minorHAnsi"/>
                <w:color w:val="auto"/>
                <w:kern w:val="0"/>
                <w:szCs w:val="21"/>
              </w:rPr>
              <w:t>/</w:t>
            </w:r>
          </w:p>
        </w:tc>
        <w:tc>
          <w:tcPr>
            <w:tcW w:w="4380" w:type="dxa"/>
            <w:vAlign w:val="center"/>
          </w:tcPr>
          <w:p>
            <w:pPr>
              <w:pStyle w:val="30"/>
              <w:rPr>
                <w:color w:val="auto"/>
              </w:rPr>
            </w:pPr>
            <w:r>
              <w:rPr>
                <w:rFonts w:hint="eastAsia"/>
                <w:color w:val="auto"/>
              </w:rPr>
              <w:t>废气采用布袋除尘器收集处理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color w:val="auto"/>
              </w:rPr>
              <w:t>18</w:t>
            </w:r>
          </w:p>
        </w:tc>
        <w:tc>
          <w:tcPr>
            <w:tcW w:w="2765" w:type="dxa"/>
            <w:vAlign w:val="center"/>
          </w:tcPr>
          <w:p>
            <w:pPr>
              <w:pStyle w:val="30"/>
              <w:rPr>
                <w:color w:val="auto"/>
              </w:rPr>
            </w:pPr>
            <w:r>
              <w:rPr>
                <w:rFonts w:hint="eastAsia"/>
                <w:color w:val="auto"/>
              </w:rPr>
              <w:t>汨罗市华先碳素有限公司</w:t>
            </w:r>
            <w:r>
              <w:rPr>
                <w:color w:val="auto"/>
              </w:rPr>
              <w:t>2</w:t>
            </w:r>
          </w:p>
        </w:tc>
        <w:tc>
          <w:tcPr>
            <w:tcW w:w="921" w:type="dxa"/>
            <w:vAlign w:val="center"/>
          </w:tcPr>
          <w:p>
            <w:pPr>
              <w:pStyle w:val="30"/>
              <w:rPr>
                <w:color w:val="auto"/>
              </w:rPr>
            </w:pPr>
            <w:r>
              <w:rPr>
                <w:color w:val="auto"/>
              </w:rPr>
              <w:t>20210.1</w:t>
            </w:r>
          </w:p>
        </w:tc>
        <w:tc>
          <w:tcPr>
            <w:tcW w:w="2466" w:type="dxa"/>
            <w:vAlign w:val="center"/>
          </w:tcPr>
          <w:p>
            <w:pPr>
              <w:pStyle w:val="30"/>
              <w:rPr>
                <w:color w:val="auto"/>
              </w:rPr>
            </w:pPr>
            <w:r>
              <w:rPr>
                <w:rFonts w:hint="eastAsia"/>
                <w:color w:val="auto"/>
              </w:rPr>
              <w:t>电：30 万度电、天然气：34.2 万m</w:t>
            </w:r>
            <w:r>
              <w:rPr>
                <w:rFonts w:hint="eastAsia"/>
                <w:color w:val="auto"/>
                <w:vertAlign w:val="superscript"/>
              </w:rPr>
              <w:t>3</w:t>
            </w:r>
          </w:p>
        </w:tc>
        <w:tc>
          <w:tcPr>
            <w:tcW w:w="718" w:type="dxa"/>
            <w:vAlign w:val="center"/>
          </w:tcPr>
          <w:p>
            <w:pPr>
              <w:pStyle w:val="30"/>
              <w:rPr>
                <w:color w:val="auto"/>
              </w:rPr>
            </w:pPr>
            <w:r>
              <w:rPr>
                <w:rFonts w:hint="eastAsia"/>
                <w:color w:val="auto"/>
              </w:rPr>
              <w:t>3</w:t>
            </w:r>
            <w:r>
              <w:rPr>
                <w:color w:val="auto"/>
              </w:rPr>
              <w:t>.0</w:t>
            </w:r>
          </w:p>
        </w:tc>
        <w:tc>
          <w:tcPr>
            <w:tcW w:w="621" w:type="dxa"/>
            <w:vAlign w:val="center"/>
          </w:tcPr>
          <w:p>
            <w:pPr>
              <w:pStyle w:val="30"/>
              <w:rPr>
                <w:color w:val="auto"/>
              </w:rPr>
            </w:pPr>
            <w:r>
              <w:rPr>
                <w:rFonts w:hint="eastAsia"/>
                <w:color w:val="auto"/>
              </w:rPr>
              <w:t>4</w:t>
            </w:r>
            <w:r>
              <w:rPr>
                <w:color w:val="auto"/>
              </w:rPr>
              <w:t>.9</w:t>
            </w:r>
          </w:p>
        </w:tc>
        <w:tc>
          <w:tcPr>
            <w:tcW w:w="731" w:type="dxa"/>
            <w:vAlign w:val="center"/>
          </w:tcPr>
          <w:p>
            <w:pPr>
              <w:pStyle w:val="30"/>
              <w:rPr>
                <w:color w:val="auto"/>
              </w:rPr>
            </w:pPr>
            <w:r>
              <w:rPr>
                <w:color w:val="auto"/>
              </w:rPr>
              <w:t>/</w:t>
            </w:r>
          </w:p>
        </w:tc>
        <w:tc>
          <w:tcPr>
            <w:tcW w:w="1134" w:type="dxa"/>
            <w:vAlign w:val="center"/>
          </w:tcPr>
          <w:p>
            <w:pPr>
              <w:pStyle w:val="30"/>
              <w:rPr>
                <w:color w:val="auto"/>
              </w:rPr>
            </w:pPr>
            <w:r>
              <w:rPr>
                <w:color w:val="auto"/>
              </w:rPr>
              <w:t>/</w:t>
            </w:r>
          </w:p>
        </w:tc>
        <w:tc>
          <w:tcPr>
            <w:tcW w:w="4380" w:type="dxa"/>
            <w:vAlign w:val="center"/>
          </w:tcPr>
          <w:p>
            <w:pPr>
              <w:pStyle w:val="30"/>
              <w:rPr>
                <w:color w:val="auto"/>
              </w:rPr>
            </w:pPr>
            <w:r>
              <w:rPr>
                <w:rFonts w:hint="eastAsia"/>
                <w:color w:val="auto"/>
              </w:rPr>
              <w:t>工艺废气采用碱液喷淋塔+电捕器处理，粉尘采用集气罩手机后通过脉冲反吹式布袋除尘器处理，油烟经油烟净化器处理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1</w:t>
            </w:r>
            <w:r>
              <w:rPr>
                <w:color w:val="auto"/>
              </w:rPr>
              <w:t>9</w:t>
            </w:r>
          </w:p>
        </w:tc>
        <w:tc>
          <w:tcPr>
            <w:tcW w:w="2765" w:type="dxa"/>
            <w:vAlign w:val="center"/>
          </w:tcPr>
          <w:p>
            <w:pPr>
              <w:pStyle w:val="30"/>
              <w:rPr>
                <w:color w:val="auto"/>
              </w:rPr>
            </w:pPr>
            <w:r>
              <w:rPr>
                <w:rFonts w:hint="eastAsia"/>
                <w:color w:val="auto"/>
              </w:rPr>
              <w:t>湖南天立橡胶有限公司</w:t>
            </w:r>
          </w:p>
        </w:tc>
        <w:tc>
          <w:tcPr>
            <w:tcW w:w="921" w:type="dxa"/>
            <w:vAlign w:val="center"/>
          </w:tcPr>
          <w:p>
            <w:pPr>
              <w:pStyle w:val="30"/>
              <w:rPr>
                <w:color w:val="auto"/>
              </w:rPr>
            </w:pPr>
            <w:r>
              <w:rPr>
                <w:color w:val="auto"/>
              </w:rPr>
              <w:t>41833</w:t>
            </w:r>
          </w:p>
        </w:tc>
        <w:tc>
          <w:tcPr>
            <w:tcW w:w="2466" w:type="dxa"/>
            <w:vAlign w:val="center"/>
          </w:tcPr>
          <w:p>
            <w:pPr>
              <w:pStyle w:val="30"/>
              <w:rPr>
                <w:color w:val="auto"/>
              </w:rPr>
            </w:pPr>
            <w:r>
              <w:rPr>
                <w:rFonts w:hint="eastAsia"/>
                <w:color w:val="auto"/>
              </w:rPr>
              <w:t>电：</w:t>
            </w:r>
            <w:r>
              <w:rPr>
                <w:color w:val="auto"/>
              </w:rPr>
              <w:t xml:space="preserve">300 </w:t>
            </w:r>
            <w:r>
              <w:rPr>
                <w:rFonts w:hint="eastAsia"/>
                <w:color w:val="auto"/>
              </w:rPr>
              <w:t>万度电、天然气：</w:t>
            </w:r>
            <w:r>
              <w:rPr>
                <w:color w:val="auto"/>
              </w:rPr>
              <w:t xml:space="preserve">0.189 </w:t>
            </w:r>
            <w:r>
              <w:rPr>
                <w:rFonts w:hint="eastAsia"/>
                <w:color w:val="auto"/>
              </w:rPr>
              <w:t>万</w:t>
            </w:r>
            <w:r>
              <w:rPr>
                <w:color w:val="auto"/>
              </w:rPr>
              <w:t>m</w:t>
            </w:r>
            <w:r>
              <w:rPr>
                <w:color w:val="auto"/>
                <w:vertAlign w:val="superscript"/>
              </w:rPr>
              <w:t>3</w:t>
            </w:r>
          </w:p>
        </w:tc>
        <w:tc>
          <w:tcPr>
            <w:tcW w:w="718" w:type="dxa"/>
            <w:vAlign w:val="center"/>
          </w:tcPr>
          <w:p>
            <w:pPr>
              <w:pStyle w:val="30"/>
              <w:rPr>
                <w:color w:val="auto"/>
              </w:rPr>
            </w:pPr>
            <w:r>
              <w:rPr>
                <w:rFonts w:hint="eastAsia"/>
                <w:color w:val="auto"/>
              </w:rPr>
              <w:t>0</w:t>
            </w:r>
            <w:r>
              <w:rPr>
                <w:color w:val="auto"/>
              </w:rPr>
              <w:t>.04</w:t>
            </w:r>
          </w:p>
        </w:tc>
        <w:tc>
          <w:tcPr>
            <w:tcW w:w="621" w:type="dxa"/>
            <w:vAlign w:val="center"/>
          </w:tcPr>
          <w:p>
            <w:pPr>
              <w:pStyle w:val="30"/>
              <w:rPr>
                <w:color w:val="auto"/>
              </w:rPr>
            </w:pPr>
            <w:r>
              <w:rPr>
                <w:rFonts w:hint="eastAsia"/>
                <w:color w:val="auto"/>
              </w:rPr>
              <w:t>/</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rFonts w:hint="eastAsia"/>
                <w:color w:val="auto"/>
              </w:rPr>
              <w:t>0</w:t>
            </w:r>
            <w:r>
              <w:rPr>
                <w:color w:val="auto"/>
              </w:rPr>
              <w:t>.02</w:t>
            </w:r>
          </w:p>
        </w:tc>
        <w:tc>
          <w:tcPr>
            <w:tcW w:w="4380" w:type="dxa"/>
            <w:vAlign w:val="center"/>
          </w:tcPr>
          <w:p>
            <w:pPr>
              <w:pStyle w:val="30"/>
              <w:rPr>
                <w:color w:val="auto"/>
              </w:rPr>
            </w:pPr>
            <w:r>
              <w:rPr>
                <w:rFonts w:hint="eastAsia"/>
                <w:color w:val="auto"/>
              </w:rPr>
              <w:t>脱硫车间和炼胶车间产生的尾气采用余热回收+碱性水液吸收+气液分离+尾气焚烧处理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2</w:t>
            </w:r>
            <w:r>
              <w:rPr>
                <w:color w:val="auto"/>
              </w:rPr>
              <w:t>0</w:t>
            </w:r>
          </w:p>
        </w:tc>
        <w:tc>
          <w:tcPr>
            <w:tcW w:w="2765" w:type="dxa"/>
            <w:vAlign w:val="center"/>
          </w:tcPr>
          <w:p>
            <w:pPr>
              <w:pStyle w:val="30"/>
              <w:rPr>
                <w:color w:val="auto"/>
              </w:rPr>
            </w:pPr>
            <w:r>
              <w:rPr>
                <w:rFonts w:hint="eastAsia"/>
                <w:color w:val="auto"/>
              </w:rPr>
              <w:t>湖南海鑫新材料股份有限公司</w:t>
            </w:r>
          </w:p>
        </w:tc>
        <w:tc>
          <w:tcPr>
            <w:tcW w:w="921" w:type="dxa"/>
            <w:vAlign w:val="center"/>
          </w:tcPr>
          <w:p>
            <w:pPr>
              <w:pStyle w:val="30"/>
              <w:rPr>
                <w:color w:val="auto"/>
              </w:rPr>
            </w:pPr>
            <w:r>
              <w:rPr>
                <w:color w:val="auto"/>
              </w:rPr>
              <w:t>66670</w:t>
            </w:r>
          </w:p>
        </w:tc>
        <w:tc>
          <w:tcPr>
            <w:tcW w:w="2466" w:type="dxa"/>
            <w:vAlign w:val="center"/>
          </w:tcPr>
          <w:p>
            <w:pPr>
              <w:pStyle w:val="30"/>
              <w:rPr>
                <w:color w:val="auto"/>
              </w:rPr>
            </w:pPr>
            <w:r>
              <w:rPr>
                <w:rFonts w:hint="eastAsia"/>
                <w:color w:val="auto"/>
              </w:rPr>
              <w:t>电：</w:t>
            </w:r>
            <w:r>
              <w:rPr>
                <w:color w:val="auto"/>
              </w:rPr>
              <w:t xml:space="preserve">250 </w:t>
            </w:r>
            <w:r>
              <w:rPr>
                <w:rFonts w:hint="eastAsia"/>
                <w:color w:val="auto"/>
              </w:rPr>
              <w:t>万度电</w:t>
            </w:r>
          </w:p>
        </w:tc>
        <w:tc>
          <w:tcPr>
            <w:tcW w:w="718" w:type="dxa"/>
            <w:vAlign w:val="center"/>
          </w:tcPr>
          <w:p>
            <w:pPr>
              <w:pStyle w:val="30"/>
              <w:rPr>
                <w:color w:val="auto"/>
              </w:rPr>
            </w:pPr>
            <w:r>
              <w:rPr>
                <w:rFonts w:hint="eastAsia"/>
                <w:color w:val="auto"/>
              </w:rPr>
              <w:t>1</w:t>
            </w:r>
            <w:r>
              <w:rPr>
                <w:color w:val="auto"/>
              </w:rPr>
              <w:t>5.1</w:t>
            </w:r>
          </w:p>
        </w:tc>
        <w:tc>
          <w:tcPr>
            <w:tcW w:w="621" w:type="dxa"/>
            <w:vAlign w:val="center"/>
          </w:tcPr>
          <w:p>
            <w:pPr>
              <w:pStyle w:val="30"/>
              <w:rPr>
                <w:color w:val="auto"/>
              </w:rPr>
            </w:pPr>
            <w:r>
              <w:rPr>
                <w:rFonts w:hint="eastAsia"/>
                <w:color w:val="auto"/>
              </w:rPr>
              <w:t>2</w:t>
            </w:r>
            <w:r>
              <w:rPr>
                <w:color w:val="auto"/>
              </w:rPr>
              <w:t>.2</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rFonts w:hint="eastAsia"/>
                <w:color w:val="auto"/>
              </w:rPr>
              <w:t>/</w:t>
            </w:r>
          </w:p>
        </w:tc>
        <w:tc>
          <w:tcPr>
            <w:tcW w:w="4380" w:type="dxa"/>
            <w:vAlign w:val="center"/>
          </w:tcPr>
          <w:p>
            <w:pPr>
              <w:pStyle w:val="30"/>
              <w:rPr>
                <w:color w:val="auto"/>
              </w:rPr>
            </w:pPr>
            <w:r>
              <w:rPr>
                <w:rFonts w:hint="eastAsia"/>
                <w:color w:val="auto"/>
              </w:rPr>
              <w:t>热熔废气经集气罩收集后外排，锅炉烟气由</w:t>
            </w:r>
            <w:r>
              <w:rPr>
                <w:color w:val="auto"/>
              </w:rPr>
              <w:t xml:space="preserve">35m </w:t>
            </w:r>
            <w:r>
              <w:rPr>
                <w:rFonts w:hint="eastAsia"/>
                <w:color w:val="auto"/>
              </w:rPr>
              <w:t>外排</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color w:val="auto"/>
              </w:rPr>
              <w:t>21</w:t>
            </w:r>
          </w:p>
        </w:tc>
        <w:tc>
          <w:tcPr>
            <w:tcW w:w="2765" w:type="dxa"/>
            <w:vAlign w:val="center"/>
          </w:tcPr>
          <w:p>
            <w:pPr>
              <w:pStyle w:val="30"/>
              <w:rPr>
                <w:color w:val="auto"/>
              </w:rPr>
            </w:pPr>
            <w:r>
              <w:rPr>
                <w:rFonts w:hint="eastAsia"/>
                <w:color w:val="auto"/>
              </w:rPr>
              <w:t>湖南五祥新材料有限公司</w:t>
            </w:r>
          </w:p>
        </w:tc>
        <w:tc>
          <w:tcPr>
            <w:tcW w:w="921" w:type="dxa"/>
            <w:vAlign w:val="center"/>
          </w:tcPr>
          <w:p>
            <w:pPr>
              <w:pStyle w:val="30"/>
              <w:rPr>
                <w:color w:val="auto"/>
              </w:rPr>
            </w:pPr>
            <w:r>
              <w:rPr>
                <w:color w:val="auto"/>
              </w:rPr>
              <w:t>106712</w:t>
            </w:r>
          </w:p>
        </w:tc>
        <w:tc>
          <w:tcPr>
            <w:tcW w:w="2466" w:type="dxa"/>
            <w:vAlign w:val="center"/>
          </w:tcPr>
          <w:p>
            <w:pPr>
              <w:pStyle w:val="30"/>
              <w:rPr>
                <w:color w:val="auto"/>
              </w:rPr>
            </w:pPr>
            <w:r>
              <w:rPr>
                <w:rFonts w:hint="eastAsia"/>
                <w:color w:val="auto"/>
              </w:rPr>
              <w:t>电：</w:t>
            </w:r>
            <w:r>
              <w:rPr>
                <w:color w:val="auto"/>
              </w:rPr>
              <w:t xml:space="preserve">100 </w:t>
            </w:r>
            <w:r>
              <w:rPr>
                <w:rFonts w:hint="eastAsia"/>
                <w:color w:val="auto"/>
              </w:rPr>
              <w:t>万度电</w:t>
            </w:r>
          </w:p>
        </w:tc>
        <w:tc>
          <w:tcPr>
            <w:tcW w:w="718" w:type="dxa"/>
            <w:vAlign w:val="center"/>
          </w:tcPr>
          <w:p>
            <w:pPr>
              <w:pStyle w:val="30"/>
              <w:rPr>
                <w:color w:val="auto"/>
              </w:rPr>
            </w:pPr>
            <w:r>
              <w:rPr>
                <w:rFonts w:hint="eastAsia"/>
                <w:color w:val="auto"/>
              </w:rPr>
              <w:t>/</w:t>
            </w:r>
          </w:p>
        </w:tc>
        <w:tc>
          <w:tcPr>
            <w:tcW w:w="621" w:type="dxa"/>
            <w:vAlign w:val="center"/>
          </w:tcPr>
          <w:p>
            <w:pPr>
              <w:pStyle w:val="30"/>
              <w:rPr>
                <w:color w:val="auto"/>
              </w:rPr>
            </w:pPr>
            <w:r>
              <w:rPr>
                <w:rFonts w:hint="eastAsia"/>
                <w:color w:val="auto"/>
              </w:rPr>
              <w:t>/</w:t>
            </w:r>
          </w:p>
        </w:tc>
        <w:tc>
          <w:tcPr>
            <w:tcW w:w="731" w:type="dxa"/>
            <w:vAlign w:val="center"/>
          </w:tcPr>
          <w:p>
            <w:pPr>
              <w:pStyle w:val="30"/>
              <w:rPr>
                <w:color w:val="auto"/>
              </w:rPr>
            </w:pPr>
          </w:p>
        </w:tc>
        <w:tc>
          <w:tcPr>
            <w:tcW w:w="1134" w:type="dxa"/>
            <w:vAlign w:val="center"/>
          </w:tcPr>
          <w:p>
            <w:pPr>
              <w:pStyle w:val="30"/>
              <w:rPr>
                <w:color w:val="auto"/>
              </w:rPr>
            </w:pPr>
            <w:r>
              <w:rPr>
                <w:rFonts w:hint="eastAsia"/>
                <w:color w:val="auto"/>
              </w:rPr>
              <w:t>3</w:t>
            </w:r>
            <w:r>
              <w:rPr>
                <w:color w:val="auto"/>
              </w:rPr>
              <w:t>.11</w:t>
            </w:r>
          </w:p>
        </w:tc>
        <w:tc>
          <w:tcPr>
            <w:tcW w:w="4380" w:type="dxa"/>
            <w:vAlign w:val="center"/>
          </w:tcPr>
          <w:p>
            <w:pPr>
              <w:pStyle w:val="30"/>
              <w:rPr>
                <w:color w:val="auto"/>
              </w:rPr>
            </w:pPr>
            <w:r>
              <w:rPr>
                <w:rFonts w:hint="eastAsia"/>
                <w:color w:val="auto"/>
              </w:rPr>
              <w:t>粉尘经布袋除尘器处理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2</w:t>
            </w:r>
            <w:r>
              <w:rPr>
                <w:color w:val="auto"/>
              </w:rPr>
              <w:t>2</w:t>
            </w:r>
          </w:p>
        </w:tc>
        <w:tc>
          <w:tcPr>
            <w:tcW w:w="2765" w:type="dxa"/>
            <w:vAlign w:val="center"/>
          </w:tcPr>
          <w:p>
            <w:pPr>
              <w:pStyle w:val="30"/>
              <w:rPr>
                <w:color w:val="auto"/>
              </w:rPr>
            </w:pPr>
            <w:r>
              <w:rPr>
                <w:rFonts w:hint="eastAsia"/>
                <w:color w:val="auto"/>
              </w:rPr>
              <w:t>湖南宏拓铝业有限公司</w:t>
            </w:r>
          </w:p>
        </w:tc>
        <w:tc>
          <w:tcPr>
            <w:tcW w:w="921" w:type="dxa"/>
            <w:vAlign w:val="center"/>
          </w:tcPr>
          <w:p>
            <w:pPr>
              <w:pStyle w:val="30"/>
              <w:rPr>
                <w:color w:val="auto"/>
              </w:rPr>
            </w:pPr>
            <w:r>
              <w:rPr>
                <w:color w:val="auto"/>
              </w:rPr>
              <w:t>35877</w:t>
            </w:r>
          </w:p>
        </w:tc>
        <w:tc>
          <w:tcPr>
            <w:tcW w:w="2466" w:type="dxa"/>
            <w:vAlign w:val="center"/>
          </w:tcPr>
          <w:p>
            <w:pPr>
              <w:pStyle w:val="30"/>
              <w:rPr>
                <w:color w:val="auto"/>
              </w:rPr>
            </w:pPr>
            <w:r>
              <w:rPr>
                <w:rFonts w:hint="eastAsia"/>
                <w:color w:val="auto"/>
              </w:rPr>
              <w:t>电：</w:t>
            </w:r>
            <w:r>
              <w:rPr>
                <w:color w:val="auto"/>
              </w:rPr>
              <w:t xml:space="preserve">100 </w:t>
            </w:r>
            <w:r>
              <w:rPr>
                <w:rFonts w:hint="eastAsia"/>
                <w:color w:val="auto"/>
              </w:rPr>
              <w:t>万度电、天然气：</w:t>
            </w:r>
            <w:r>
              <w:rPr>
                <w:color w:val="auto"/>
              </w:rPr>
              <w:t xml:space="preserve">186.4 </w:t>
            </w:r>
            <w:r>
              <w:rPr>
                <w:rFonts w:hint="eastAsia"/>
                <w:color w:val="auto"/>
              </w:rPr>
              <w:t>万</w:t>
            </w:r>
            <w:r>
              <w:rPr>
                <w:color w:val="auto"/>
              </w:rPr>
              <w:t>m</w:t>
            </w:r>
            <w:r>
              <w:rPr>
                <w:color w:val="auto"/>
                <w:vertAlign w:val="superscript"/>
              </w:rPr>
              <w:t>3</w:t>
            </w:r>
          </w:p>
        </w:tc>
        <w:tc>
          <w:tcPr>
            <w:tcW w:w="718" w:type="dxa"/>
            <w:vAlign w:val="center"/>
          </w:tcPr>
          <w:p>
            <w:pPr>
              <w:pStyle w:val="30"/>
              <w:rPr>
                <w:color w:val="auto"/>
              </w:rPr>
            </w:pPr>
            <w:r>
              <w:rPr>
                <w:color w:val="auto"/>
              </w:rPr>
              <w:t>2.56</w:t>
            </w:r>
          </w:p>
        </w:tc>
        <w:tc>
          <w:tcPr>
            <w:tcW w:w="621" w:type="dxa"/>
            <w:vAlign w:val="center"/>
          </w:tcPr>
          <w:p>
            <w:pPr>
              <w:pStyle w:val="30"/>
              <w:rPr>
                <w:color w:val="auto"/>
              </w:rPr>
            </w:pPr>
            <w:r>
              <w:rPr>
                <w:rFonts w:hint="eastAsia"/>
                <w:color w:val="auto"/>
              </w:rPr>
              <w:t>2</w:t>
            </w:r>
            <w:r>
              <w:rPr>
                <w:color w:val="auto"/>
              </w:rPr>
              <w:t>.14</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rFonts w:hint="eastAsia"/>
                <w:color w:val="auto"/>
              </w:rPr>
              <w:t>/</w:t>
            </w:r>
          </w:p>
        </w:tc>
        <w:tc>
          <w:tcPr>
            <w:tcW w:w="4380" w:type="dxa"/>
            <w:vAlign w:val="center"/>
          </w:tcPr>
          <w:p>
            <w:pPr>
              <w:pStyle w:val="30"/>
              <w:rPr>
                <w:color w:val="auto"/>
              </w:rPr>
            </w:pPr>
            <w:r>
              <w:rPr>
                <w:rFonts w:hint="eastAsia"/>
                <w:color w:val="auto"/>
              </w:rPr>
              <w:t>熔炼、炒灰粉尘采用集气罩</w:t>
            </w:r>
            <w:r>
              <w:rPr>
                <w:color w:val="auto"/>
              </w:rPr>
              <w:t>+</w:t>
            </w:r>
            <w:r>
              <w:rPr>
                <w:rFonts w:hint="eastAsia"/>
                <w:color w:val="auto"/>
              </w:rPr>
              <w:t>旋风除尘器</w:t>
            </w:r>
            <w:r>
              <w:rPr>
                <w:color w:val="auto"/>
              </w:rPr>
              <w:t xml:space="preserve">+ </w:t>
            </w:r>
            <w:r>
              <w:rPr>
                <w:rFonts w:hint="eastAsia"/>
                <w:color w:val="auto"/>
              </w:rPr>
              <w:t>脉冲式布袋除尘器</w:t>
            </w:r>
            <w:r>
              <w:rPr>
                <w:color w:val="auto"/>
              </w:rPr>
              <w:t>+</w:t>
            </w:r>
            <w:r>
              <w:rPr>
                <w:rFonts w:hint="eastAsia"/>
                <w:color w:val="auto"/>
              </w:rPr>
              <w:t>格栅式碱液喷淋塔处理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color w:val="auto"/>
              </w:rPr>
              <w:t>23</w:t>
            </w:r>
          </w:p>
        </w:tc>
        <w:tc>
          <w:tcPr>
            <w:tcW w:w="2765" w:type="dxa"/>
            <w:vAlign w:val="center"/>
          </w:tcPr>
          <w:p>
            <w:pPr>
              <w:pStyle w:val="30"/>
              <w:rPr>
                <w:color w:val="auto"/>
              </w:rPr>
            </w:pPr>
            <w:r>
              <w:rPr>
                <w:rFonts w:hint="eastAsia"/>
                <w:color w:val="auto"/>
              </w:rPr>
              <w:t>湖南给力达电子有限公司</w:t>
            </w:r>
          </w:p>
        </w:tc>
        <w:tc>
          <w:tcPr>
            <w:tcW w:w="921" w:type="dxa"/>
            <w:vAlign w:val="center"/>
          </w:tcPr>
          <w:p>
            <w:pPr>
              <w:pStyle w:val="30"/>
              <w:rPr>
                <w:color w:val="auto"/>
              </w:rPr>
            </w:pPr>
            <w:r>
              <w:rPr>
                <w:color w:val="auto"/>
              </w:rPr>
              <w:t>20000</w:t>
            </w:r>
          </w:p>
        </w:tc>
        <w:tc>
          <w:tcPr>
            <w:tcW w:w="2466" w:type="dxa"/>
            <w:vAlign w:val="center"/>
          </w:tcPr>
          <w:p>
            <w:pPr>
              <w:pStyle w:val="30"/>
              <w:rPr>
                <w:color w:val="auto"/>
              </w:rPr>
            </w:pPr>
            <w:r>
              <w:rPr>
                <w:rFonts w:hint="eastAsia"/>
                <w:color w:val="auto"/>
              </w:rPr>
              <w:t>/</w:t>
            </w:r>
          </w:p>
        </w:tc>
        <w:tc>
          <w:tcPr>
            <w:tcW w:w="718" w:type="dxa"/>
            <w:vAlign w:val="center"/>
          </w:tcPr>
          <w:p>
            <w:pPr>
              <w:pStyle w:val="30"/>
              <w:rPr>
                <w:color w:val="auto"/>
              </w:rPr>
            </w:pPr>
            <w:r>
              <w:rPr>
                <w:rFonts w:hint="eastAsia"/>
                <w:color w:val="auto"/>
              </w:rPr>
              <w:t>/</w:t>
            </w:r>
          </w:p>
        </w:tc>
        <w:tc>
          <w:tcPr>
            <w:tcW w:w="621" w:type="dxa"/>
            <w:vAlign w:val="center"/>
          </w:tcPr>
          <w:p>
            <w:pPr>
              <w:pStyle w:val="30"/>
              <w:rPr>
                <w:color w:val="auto"/>
              </w:rPr>
            </w:pPr>
            <w:r>
              <w:rPr>
                <w:rFonts w:hint="eastAsia"/>
                <w:color w:val="auto"/>
              </w:rPr>
              <w:t>/</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color w:val="auto"/>
              </w:rPr>
              <w:t>1.743028</w:t>
            </w:r>
          </w:p>
        </w:tc>
        <w:tc>
          <w:tcPr>
            <w:tcW w:w="4380" w:type="dxa"/>
            <w:vAlign w:val="center"/>
          </w:tcPr>
          <w:p>
            <w:pPr>
              <w:pStyle w:val="30"/>
              <w:rPr>
                <w:color w:val="auto"/>
              </w:rPr>
            </w:pPr>
            <w:r>
              <w:rPr>
                <w:rFonts w:hint="eastAsia"/>
                <w:color w:val="auto"/>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rFonts w:hint="eastAsia"/>
                <w:color w:val="auto"/>
              </w:rPr>
              <w:t>2</w:t>
            </w:r>
            <w:r>
              <w:rPr>
                <w:color w:val="auto"/>
              </w:rPr>
              <w:t>4</w:t>
            </w:r>
          </w:p>
        </w:tc>
        <w:tc>
          <w:tcPr>
            <w:tcW w:w="2765" w:type="dxa"/>
            <w:vAlign w:val="center"/>
          </w:tcPr>
          <w:p>
            <w:pPr>
              <w:pStyle w:val="30"/>
              <w:rPr>
                <w:color w:val="auto"/>
              </w:rPr>
            </w:pPr>
            <w:r>
              <w:rPr>
                <w:rFonts w:hint="eastAsia"/>
                <w:color w:val="auto"/>
              </w:rPr>
              <w:t>湖南晨威高科有限公司</w:t>
            </w:r>
          </w:p>
        </w:tc>
        <w:tc>
          <w:tcPr>
            <w:tcW w:w="921" w:type="dxa"/>
            <w:vAlign w:val="center"/>
          </w:tcPr>
          <w:p>
            <w:pPr>
              <w:pStyle w:val="30"/>
              <w:rPr>
                <w:color w:val="auto"/>
              </w:rPr>
            </w:pPr>
            <w:r>
              <w:rPr>
                <w:color w:val="auto"/>
              </w:rPr>
              <w:t>53378</w:t>
            </w:r>
          </w:p>
        </w:tc>
        <w:tc>
          <w:tcPr>
            <w:tcW w:w="2466" w:type="dxa"/>
            <w:vAlign w:val="center"/>
          </w:tcPr>
          <w:p>
            <w:pPr>
              <w:pStyle w:val="30"/>
              <w:rPr>
                <w:color w:val="auto"/>
              </w:rPr>
            </w:pPr>
            <w:r>
              <w:rPr>
                <w:rFonts w:hint="eastAsia"/>
                <w:color w:val="auto"/>
              </w:rPr>
              <w:t>电：</w:t>
            </w:r>
            <w:r>
              <w:rPr>
                <w:color w:val="auto"/>
              </w:rPr>
              <w:t xml:space="preserve">100 </w:t>
            </w:r>
            <w:r>
              <w:rPr>
                <w:rFonts w:hint="eastAsia"/>
                <w:color w:val="auto"/>
              </w:rPr>
              <w:t>万度电</w:t>
            </w:r>
          </w:p>
        </w:tc>
        <w:tc>
          <w:tcPr>
            <w:tcW w:w="718" w:type="dxa"/>
            <w:vAlign w:val="center"/>
          </w:tcPr>
          <w:p>
            <w:pPr>
              <w:pStyle w:val="30"/>
              <w:rPr>
                <w:color w:val="auto"/>
              </w:rPr>
            </w:pPr>
            <w:r>
              <w:rPr>
                <w:rFonts w:hint="eastAsia"/>
                <w:color w:val="auto"/>
              </w:rPr>
              <w:t>/</w:t>
            </w:r>
          </w:p>
        </w:tc>
        <w:tc>
          <w:tcPr>
            <w:tcW w:w="621" w:type="dxa"/>
            <w:vAlign w:val="center"/>
          </w:tcPr>
          <w:p>
            <w:pPr>
              <w:pStyle w:val="30"/>
              <w:rPr>
                <w:color w:val="auto"/>
              </w:rPr>
            </w:pPr>
            <w:r>
              <w:rPr>
                <w:rFonts w:hint="eastAsia"/>
                <w:color w:val="auto"/>
              </w:rPr>
              <w:t>/</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color w:val="auto"/>
              </w:rPr>
              <w:t>0.025</w:t>
            </w:r>
          </w:p>
        </w:tc>
        <w:tc>
          <w:tcPr>
            <w:tcW w:w="4380" w:type="dxa"/>
            <w:vAlign w:val="center"/>
          </w:tcPr>
          <w:p>
            <w:pPr>
              <w:pStyle w:val="30"/>
              <w:rPr>
                <w:color w:val="auto"/>
              </w:rPr>
            </w:pPr>
            <w:r>
              <w:rPr>
                <w:rFonts w:hint="eastAsia"/>
                <w:color w:val="auto"/>
              </w:rPr>
              <w:t>喷涂塑粉产生的粉尘采用一级旋风除尘+ 二级脉冲反吹回收装置处理，喷涂、浸漆环节产生的非甲烷总烃通过活性炭吸附处理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vAlign w:val="center"/>
          </w:tcPr>
          <w:p>
            <w:pPr>
              <w:pStyle w:val="30"/>
              <w:rPr>
                <w:color w:val="auto"/>
              </w:rPr>
            </w:pPr>
            <w:r>
              <w:rPr>
                <w:color w:val="auto"/>
              </w:rPr>
              <w:t>25</w:t>
            </w:r>
          </w:p>
        </w:tc>
        <w:tc>
          <w:tcPr>
            <w:tcW w:w="2765" w:type="dxa"/>
            <w:vAlign w:val="center"/>
          </w:tcPr>
          <w:p>
            <w:pPr>
              <w:pStyle w:val="30"/>
              <w:rPr>
                <w:color w:val="auto"/>
              </w:rPr>
            </w:pPr>
            <w:r>
              <w:rPr>
                <w:rFonts w:hint="eastAsia"/>
                <w:color w:val="auto"/>
              </w:rPr>
              <w:t>湖南振纲铝材有限公司</w:t>
            </w:r>
          </w:p>
        </w:tc>
        <w:tc>
          <w:tcPr>
            <w:tcW w:w="921" w:type="dxa"/>
            <w:vAlign w:val="center"/>
          </w:tcPr>
          <w:p>
            <w:pPr>
              <w:pStyle w:val="30"/>
              <w:rPr>
                <w:color w:val="auto"/>
              </w:rPr>
            </w:pPr>
            <w:r>
              <w:rPr>
                <w:color w:val="auto"/>
              </w:rPr>
              <w:t>120473</w:t>
            </w:r>
          </w:p>
        </w:tc>
        <w:tc>
          <w:tcPr>
            <w:tcW w:w="2466" w:type="dxa"/>
            <w:vAlign w:val="center"/>
          </w:tcPr>
          <w:p>
            <w:pPr>
              <w:pStyle w:val="30"/>
              <w:rPr>
                <w:color w:val="auto"/>
              </w:rPr>
            </w:pPr>
            <w:r>
              <w:rPr>
                <w:rFonts w:hint="eastAsia"/>
                <w:color w:val="auto"/>
              </w:rPr>
              <w:t>电：100万度电、天然气：172万m</w:t>
            </w:r>
            <w:r>
              <w:rPr>
                <w:rFonts w:hint="eastAsia"/>
                <w:color w:val="auto"/>
                <w:vertAlign w:val="superscript"/>
              </w:rPr>
              <w:t>3</w:t>
            </w:r>
          </w:p>
        </w:tc>
        <w:tc>
          <w:tcPr>
            <w:tcW w:w="718" w:type="dxa"/>
            <w:vAlign w:val="center"/>
          </w:tcPr>
          <w:p>
            <w:pPr>
              <w:pStyle w:val="30"/>
              <w:rPr>
                <w:color w:val="auto"/>
              </w:rPr>
            </w:pPr>
            <w:r>
              <w:rPr>
                <w:color w:val="auto"/>
              </w:rPr>
              <w:t>2.425</w:t>
            </w:r>
          </w:p>
        </w:tc>
        <w:tc>
          <w:tcPr>
            <w:tcW w:w="621" w:type="dxa"/>
            <w:vAlign w:val="center"/>
          </w:tcPr>
          <w:p>
            <w:pPr>
              <w:pStyle w:val="30"/>
              <w:rPr>
                <w:color w:val="auto"/>
              </w:rPr>
            </w:pPr>
            <w:r>
              <w:rPr>
                <w:color w:val="auto"/>
              </w:rPr>
              <w:t>10.18</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rFonts w:hint="eastAsia"/>
                <w:color w:val="auto"/>
              </w:rPr>
              <w:t>/</w:t>
            </w:r>
          </w:p>
        </w:tc>
        <w:tc>
          <w:tcPr>
            <w:tcW w:w="4380" w:type="dxa"/>
            <w:vAlign w:val="center"/>
          </w:tcPr>
          <w:p>
            <w:pPr>
              <w:pStyle w:val="30"/>
              <w:rPr>
                <w:color w:val="auto"/>
              </w:rPr>
            </w:pPr>
            <w:r>
              <w:rPr>
                <w:rFonts w:hint="eastAsia"/>
                <w:color w:val="auto"/>
              </w:rPr>
              <w:t>废气经布袋除尘</w:t>
            </w:r>
            <w:r>
              <w:rPr>
                <w:color w:val="auto"/>
              </w:rPr>
              <w:t>+</w:t>
            </w:r>
            <w:r>
              <w:rPr>
                <w:rFonts w:hint="eastAsia"/>
                <w:color w:val="auto"/>
              </w:rPr>
              <w:t>活性炭吸附</w:t>
            </w:r>
            <w:r>
              <w:rPr>
                <w:color w:val="auto"/>
              </w:rPr>
              <w:t>+</w:t>
            </w:r>
            <w:r>
              <w:rPr>
                <w:rFonts w:hint="eastAsia"/>
                <w:color w:val="auto"/>
              </w:rPr>
              <w:t>催化燃烧处理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820" w:hRule="atLeast"/>
        </w:trPr>
        <w:tc>
          <w:tcPr>
            <w:tcW w:w="562" w:type="dxa"/>
            <w:vAlign w:val="center"/>
          </w:tcPr>
          <w:p>
            <w:pPr>
              <w:pStyle w:val="30"/>
              <w:rPr>
                <w:color w:val="auto"/>
              </w:rPr>
            </w:pPr>
            <w:r>
              <w:rPr>
                <w:rFonts w:hint="eastAsia"/>
                <w:color w:val="auto"/>
              </w:rPr>
              <w:t>2</w:t>
            </w:r>
            <w:r>
              <w:rPr>
                <w:color w:val="auto"/>
              </w:rPr>
              <w:t>6</w:t>
            </w:r>
          </w:p>
        </w:tc>
        <w:tc>
          <w:tcPr>
            <w:tcW w:w="2765" w:type="dxa"/>
            <w:vAlign w:val="center"/>
          </w:tcPr>
          <w:p>
            <w:pPr>
              <w:pStyle w:val="30"/>
              <w:rPr>
                <w:color w:val="auto"/>
              </w:rPr>
            </w:pPr>
            <w:r>
              <w:rPr>
                <w:rFonts w:hint="eastAsia" w:ascii="宋体" w:cs="宋体" w:hAnsiTheme="minorHAnsi"/>
                <w:color w:val="auto"/>
                <w:kern w:val="0"/>
                <w:szCs w:val="21"/>
              </w:rPr>
              <w:t>湖南志航金属有限公司</w:t>
            </w:r>
          </w:p>
        </w:tc>
        <w:tc>
          <w:tcPr>
            <w:tcW w:w="921" w:type="dxa"/>
            <w:vAlign w:val="center"/>
          </w:tcPr>
          <w:p>
            <w:pPr>
              <w:pStyle w:val="30"/>
              <w:rPr>
                <w:color w:val="auto"/>
              </w:rPr>
            </w:pPr>
            <w:r>
              <w:rPr>
                <w:color w:val="auto"/>
              </w:rPr>
              <w:t>45334</w:t>
            </w:r>
          </w:p>
        </w:tc>
        <w:tc>
          <w:tcPr>
            <w:tcW w:w="2466" w:type="dxa"/>
            <w:vAlign w:val="center"/>
          </w:tcPr>
          <w:p>
            <w:pPr>
              <w:pStyle w:val="30"/>
              <w:rPr>
                <w:color w:val="auto"/>
              </w:rPr>
            </w:pPr>
            <w:r>
              <w:rPr>
                <w:rFonts w:hint="eastAsia"/>
                <w:color w:val="auto"/>
              </w:rPr>
              <w:t>电：</w:t>
            </w:r>
            <w:r>
              <w:rPr>
                <w:rFonts w:ascii="TimesNewRomanPSMT" w:eastAsia="TimesNewRomanPSMT" w:cs="TimesNewRomanPSMT"/>
                <w:color w:val="auto"/>
              </w:rPr>
              <w:t>1</w:t>
            </w:r>
            <w:r>
              <w:rPr>
                <w:rFonts w:hint="eastAsia"/>
                <w:color w:val="auto"/>
              </w:rPr>
              <w:t>万度电、天然</w:t>
            </w:r>
          </w:p>
          <w:p>
            <w:pPr>
              <w:pStyle w:val="30"/>
              <w:rPr>
                <w:color w:val="auto"/>
              </w:rPr>
            </w:pPr>
            <w:r>
              <w:rPr>
                <w:rFonts w:hint="eastAsia"/>
                <w:color w:val="auto"/>
              </w:rPr>
              <w:t>气：</w:t>
            </w:r>
            <w:r>
              <w:rPr>
                <w:color w:val="auto"/>
              </w:rPr>
              <w:t>28</w:t>
            </w:r>
            <w:r>
              <w:rPr>
                <w:rFonts w:hint="eastAsia"/>
                <w:color w:val="auto"/>
              </w:rPr>
              <w:t>万</w:t>
            </w:r>
            <w:r>
              <w:rPr>
                <w:color w:val="auto"/>
              </w:rPr>
              <w:t>m</w:t>
            </w:r>
            <w:r>
              <w:rPr>
                <w:color w:val="auto"/>
                <w:vertAlign w:val="superscript"/>
              </w:rPr>
              <w:t>3</w:t>
            </w:r>
          </w:p>
        </w:tc>
        <w:tc>
          <w:tcPr>
            <w:tcW w:w="718" w:type="dxa"/>
            <w:vAlign w:val="center"/>
          </w:tcPr>
          <w:p>
            <w:pPr>
              <w:pStyle w:val="30"/>
              <w:rPr>
                <w:color w:val="auto"/>
              </w:rPr>
            </w:pPr>
            <w:r>
              <w:rPr>
                <w:rFonts w:ascii="TimesNewRomanPSMT" w:eastAsia="TimesNewRomanPSMT" w:cs="TimesNewRomanPSMT" w:hAnsiTheme="minorHAnsi"/>
                <w:color w:val="auto"/>
                <w:kern w:val="0"/>
                <w:szCs w:val="21"/>
              </w:rPr>
              <w:t>0.05</w:t>
            </w:r>
          </w:p>
        </w:tc>
        <w:tc>
          <w:tcPr>
            <w:tcW w:w="621" w:type="dxa"/>
            <w:vAlign w:val="center"/>
          </w:tcPr>
          <w:p>
            <w:pPr>
              <w:pStyle w:val="30"/>
              <w:rPr>
                <w:rFonts w:ascii="TimesNewRomanPSMT" w:eastAsia="TimesNewRomanPSMT" w:cs="TimesNewRomanPSMT" w:hAnsiTheme="minorHAnsi"/>
                <w:color w:val="auto"/>
                <w:kern w:val="0"/>
                <w:szCs w:val="21"/>
              </w:rPr>
            </w:pPr>
            <w:r>
              <w:rPr>
                <w:rFonts w:ascii="TimesNewRomanPSMT" w:eastAsia="TimesNewRomanPSMT" w:cs="TimesNewRomanPSMT" w:hAnsiTheme="minorHAnsi"/>
                <w:color w:val="auto"/>
                <w:kern w:val="0"/>
                <w:szCs w:val="21"/>
              </w:rPr>
              <w:t>12.5</w:t>
            </w:r>
          </w:p>
        </w:tc>
        <w:tc>
          <w:tcPr>
            <w:tcW w:w="731" w:type="dxa"/>
            <w:vAlign w:val="center"/>
          </w:tcPr>
          <w:p>
            <w:pPr>
              <w:pStyle w:val="30"/>
              <w:rPr>
                <w:color w:val="auto"/>
              </w:rPr>
            </w:pPr>
            <w:r>
              <w:rPr>
                <w:rFonts w:hint="eastAsia"/>
                <w:color w:val="auto"/>
              </w:rPr>
              <w:t>/</w:t>
            </w:r>
          </w:p>
        </w:tc>
        <w:tc>
          <w:tcPr>
            <w:tcW w:w="1134" w:type="dxa"/>
            <w:vAlign w:val="center"/>
          </w:tcPr>
          <w:p>
            <w:pPr>
              <w:pStyle w:val="30"/>
              <w:rPr>
                <w:color w:val="auto"/>
              </w:rPr>
            </w:pPr>
            <w:r>
              <w:rPr>
                <w:rFonts w:hint="eastAsia"/>
                <w:color w:val="auto"/>
              </w:rPr>
              <w:t>/</w:t>
            </w:r>
          </w:p>
        </w:tc>
        <w:tc>
          <w:tcPr>
            <w:tcW w:w="4380" w:type="dxa"/>
            <w:vAlign w:val="center"/>
          </w:tcPr>
          <w:p>
            <w:pPr>
              <w:pStyle w:val="30"/>
              <w:rPr>
                <w:color w:val="auto"/>
              </w:rPr>
            </w:pPr>
            <w:r>
              <w:rPr>
                <w:rFonts w:hint="eastAsia"/>
                <w:color w:val="auto"/>
              </w:rPr>
              <w:t>熔炼废气经集气罩收集后送入麻石水膜除尘器处理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tcBorders>
              <w:bottom w:val="single" w:color="000000" w:sz="8" w:space="0"/>
              <w:right w:val="single" w:color="000000" w:sz="8" w:space="0"/>
            </w:tcBorders>
            <w:vAlign w:val="center"/>
          </w:tcPr>
          <w:p>
            <w:pPr>
              <w:pStyle w:val="30"/>
              <w:rPr>
                <w:color w:val="auto"/>
              </w:rPr>
            </w:pPr>
            <w:r>
              <w:rPr>
                <w:color w:val="auto"/>
              </w:rPr>
              <w:t>27</w:t>
            </w:r>
          </w:p>
        </w:tc>
        <w:tc>
          <w:tcPr>
            <w:tcW w:w="2765" w:type="dxa"/>
            <w:tcBorders>
              <w:left w:val="single" w:color="000000" w:sz="8" w:space="0"/>
              <w:bottom w:val="single" w:color="000000" w:sz="8" w:space="0"/>
              <w:right w:val="single" w:color="000000" w:sz="8" w:space="0"/>
            </w:tcBorders>
            <w:vAlign w:val="center"/>
          </w:tcPr>
          <w:p>
            <w:pPr>
              <w:pStyle w:val="30"/>
              <w:rPr>
                <w:color w:val="auto"/>
              </w:rPr>
            </w:pPr>
            <w:r>
              <w:rPr>
                <w:color w:val="auto"/>
              </w:rPr>
              <w:t>湖南中联志远车轮有限公司</w:t>
            </w:r>
          </w:p>
        </w:tc>
        <w:tc>
          <w:tcPr>
            <w:tcW w:w="921" w:type="dxa"/>
            <w:tcBorders>
              <w:left w:val="single" w:color="000000" w:sz="8" w:space="0"/>
              <w:bottom w:val="single" w:color="000000" w:sz="8" w:space="0"/>
              <w:right w:val="single" w:color="000000" w:sz="8" w:space="0"/>
            </w:tcBorders>
            <w:vAlign w:val="center"/>
          </w:tcPr>
          <w:p>
            <w:pPr>
              <w:pStyle w:val="30"/>
              <w:rPr>
                <w:color w:val="auto"/>
              </w:rPr>
            </w:pPr>
            <w:r>
              <w:rPr>
                <w:color w:val="auto"/>
              </w:rPr>
              <w:t>98667</w:t>
            </w:r>
          </w:p>
        </w:tc>
        <w:tc>
          <w:tcPr>
            <w:tcW w:w="2466" w:type="dxa"/>
            <w:tcBorders>
              <w:left w:val="single" w:color="000000" w:sz="8" w:space="0"/>
              <w:bottom w:val="single" w:color="000000" w:sz="8" w:space="0"/>
              <w:right w:val="single" w:color="000000" w:sz="8" w:space="0"/>
            </w:tcBorders>
            <w:vAlign w:val="center"/>
          </w:tcPr>
          <w:p>
            <w:pPr>
              <w:pStyle w:val="30"/>
              <w:rPr>
                <w:color w:val="auto"/>
              </w:rPr>
            </w:pPr>
            <w:r>
              <w:rPr>
                <w:color w:val="auto"/>
              </w:rPr>
              <w:t>电：160万度电、天然气：15万m</w:t>
            </w:r>
            <w:r>
              <w:rPr>
                <w:color w:val="auto"/>
                <w:vertAlign w:val="superscript"/>
              </w:rPr>
              <w:t>3</w:t>
            </w:r>
          </w:p>
        </w:tc>
        <w:tc>
          <w:tcPr>
            <w:tcW w:w="718" w:type="dxa"/>
            <w:tcBorders>
              <w:left w:val="single" w:color="000000" w:sz="8" w:space="0"/>
              <w:bottom w:val="single" w:color="000000" w:sz="8" w:space="0"/>
              <w:right w:val="single" w:color="000000" w:sz="8" w:space="0"/>
            </w:tcBorders>
            <w:vAlign w:val="center"/>
          </w:tcPr>
          <w:p>
            <w:pPr>
              <w:pStyle w:val="30"/>
              <w:rPr>
                <w:color w:val="auto"/>
              </w:rPr>
            </w:pPr>
            <w:r>
              <w:rPr>
                <w:color w:val="auto"/>
              </w:rPr>
              <w:t>0.1</w:t>
            </w:r>
          </w:p>
        </w:tc>
        <w:tc>
          <w:tcPr>
            <w:tcW w:w="621" w:type="dxa"/>
            <w:tcBorders>
              <w:left w:val="single" w:color="000000" w:sz="8" w:space="0"/>
              <w:bottom w:val="single" w:color="000000" w:sz="8" w:space="0"/>
              <w:right w:val="single" w:color="000000" w:sz="8" w:space="0"/>
            </w:tcBorders>
            <w:vAlign w:val="center"/>
          </w:tcPr>
          <w:p>
            <w:pPr>
              <w:pStyle w:val="30"/>
              <w:rPr>
                <w:color w:val="auto"/>
              </w:rPr>
            </w:pPr>
            <w:r>
              <w:rPr>
                <w:color w:val="auto"/>
              </w:rPr>
              <w:t>0.5</w:t>
            </w:r>
          </w:p>
        </w:tc>
        <w:tc>
          <w:tcPr>
            <w:tcW w:w="731" w:type="dxa"/>
            <w:tcBorders>
              <w:left w:val="single" w:color="000000" w:sz="8" w:space="0"/>
              <w:bottom w:val="single" w:color="000000" w:sz="8" w:space="0"/>
              <w:right w:val="single" w:color="000000" w:sz="8" w:space="0"/>
            </w:tcBorders>
            <w:vAlign w:val="center"/>
          </w:tcPr>
          <w:p>
            <w:pPr>
              <w:pStyle w:val="30"/>
              <w:rPr>
                <w:color w:val="auto"/>
              </w:rPr>
            </w:pPr>
            <w:r>
              <w:rPr>
                <w:color w:val="auto"/>
              </w:rPr>
              <w:t>/</w:t>
            </w:r>
          </w:p>
        </w:tc>
        <w:tc>
          <w:tcPr>
            <w:tcW w:w="1134" w:type="dxa"/>
            <w:tcBorders>
              <w:left w:val="single" w:color="000000" w:sz="8" w:space="0"/>
              <w:bottom w:val="single" w:color="000000" w:sz="8" w:space="0"/>
              <w:right w:val="single" w:color="000000" w:sz="8" w:space="0"/>
            </w:tcBorders>
            <w:vAlign w:val="center"/>
          </w:tcPr>
          <w:p>
            <w:pPr>
              <w:pStyle w:val="30"/>
              <w:rPr>
                <w:color w:val="auto"/>
              </w:rPr>
            </w:pPr>
            <w:r>
              <w:rPr>
                <w:color w:val="auto"/>
              </w:rPr>
              <w:t>/</w:t>
            </w:r>
          </w:p>
        </w:tc>
        <w:tc>
          <w:tcPr>
            <w:tcW w:w="4380" w:type="dxa"/>
            <w:tcBorders>
              <w:left w:val="single" w:color="000000" w:sz="8" w:space="0"/>
              <w:bottom w:val="single" w:color="000000" w:sz="8" w:space="0"/>
            </w:tcBorders>
            <w:vAlign w:val="center"/>
          </w:tcPr>
          <w:p>
            <w:pPr>
              <w:pStyle w:val="30"/>
              <w:rPr>
                <w:color w:val="auto"/>
              </w:rPr>
            </w:pPr>
            <w:r>
              <w:rPr>
                <w:color w:val="auto"/>
              </w:rPr>
              <w:t>废气采用旋风除尘器、活性炭吸附、水帘漆雾净化 酸雾处理设施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820" w:hRule="atLeast"/>
        </w:trPr>
        <w:tc>
          <w:tcPr>
            <w:tcW w:w="562" w:type="dxa"/>
            <w:tcBorders>
              <w:top w:val="single" w:color="000000" w:sz="8" w:space="0"/>
              <w:bottom w:val="single" w:color="000000" w:sz="8" w:space="0"/>
              <w:right w:val="single" w:color="000000" w:sz="8" w:space="0"/>
            </w:tcBorders>
            <w:vAlign w:val="center"/>
          </w:tcPr>
          <w:p>
            <w:pPr>
              <w:pStyle w:val="30"/>
              <w:rPr>
                <w:color w:val="auto"/>
              </w:rPr>
            </w:pPr>
            <w:r>
              <w:rPr>
                <w:color w:val="auto"/>
              </w:rPr>
              <w:t>28</w:t>
            </w:r>
          </w:p>
        </w:tc>
        <w:tc>
          <w:tcPr>
            <w:tcW w:w="2765"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汨罗市万容电子废弃物处理有限公司</w:t>
            </w:r>
          </w:p>
        </w:tc>
        <w:tc>
          <w:tcPr>
            <w:tcW w:w="92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174600</w:t>
            </w:r>
          </w:p>
        </w:tc>
        <w:tc>
          <w:tcPr>
            <w:tcW w:w="2466"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电：40万度电</w:t>
            </w:r>
          </w:p>
        </w:tc>
        <w:tc>
          <w:tcPr>
            <w:tcW w:w="718"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15.71</w:t>
            </w:r>
          </w:p>
        </w:tc>
        <w:tc>
          <w:tcPr>
            <w:tcW w:w="62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w:t>
            </w:r>
          </w:p>
        </w:tc>
        <w:tc>
          <w:tcPr>
            <w:tcW w:w="73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w:t>
            </w:r>
          </w:p>
        </w:tc>
        <w:tc>
          <w:tcPr>
            <w:tcW w:w="1134"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2.16</w:t>
            </w:r>
          </w:p>
        </w:tc>
        <w:tc>
          <w:tcPr>
            <w:tcW w:w="4380" w:type="dxa"/>
            <w:tcBorders>
              <w:top w:val="single" w:color="000000" w:sz="8" w:space="0"/>
              <w:left w:val="single" w:color="000000" w:sz="8" w:space="0"/>
              <w:bottom w:val="single" w:color="000000" w:sz="8" w:space="0"/>
            </w:tcBorders>
            <w:vAlign w:val="center"/>
          </w:tcPr>
          <w:p>
            <w:pPr>
              <w:pStyle w:val="30"/>
              <w:rPr>
                <w:rFonts w:ascii="宋体" w:cs="宋体" w:hAnsiTheme="minorHAnsi"/>
                <w:color w:val="auto"/>
                <w:kern w:val="0"/>
                <w:szCs w:val="21"/>
              </w:rPr>
            </w:pPr>
            <w:r>
              <w:rPr>
                <w:color w:val="auto"/>
              </w:rPr>
              <w:t>废气采用旋风收集</w:t>
            </w:r>
            <w:r>
              <w:rPr>
                <w:rFonts w:eastAsia="Times New Roman"/>
                <w:color w:val="auto"/>
              </w:rPr>
              <w:t>+</w:t>
            </w:r>
            <w:r>
              <w:rPr>
                <w:color w:val="auto"/>
              </w:rPr>
              <w:t>脉冲布袋处理</w:t>
            </w:r>
            <w:r>
              <w:rPr>
                <w:rFonts w:eastAsia="Times New Roman"/>
                <w:color w:val="auto"/>
              </w:rPr>
              <w:t>+</w:t>
            </w:r>
            <w:r>
              <w:rPr>
                <w:color w:val="auto"/>
              </w:rPr>
              <w:t>活性炭处理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562" w:type="dxa"/>
            <w:tcBorders>
              <w:top w:val="single" w:color="000000" w:sz="8" w:space="0"/>
              <w:bottom w:val="single" w:color="000000" w:sz="8" w:space="0"/>
              <w:right w:val="single" w:color="000000" w:sz="8" w:space="0"/>
            </w:tcBorders>
            <w:vAlign w:val="center"/>
          </w:tcPr>
          <w:p>
            <w:pPr>
              <w:pStyle w:val="30"/>
              <w:rPr>
                <w:color w:val="auto"/>
              </w:rPr>
            </w:pPr>
            <w:r>
              <w:rPr>
                <w:color w:val="auto"/>
              </w:rPr>
              <w:t>29</w:t>
            </w:r>
          </w:p>
        </w:tc>
        <w:tc>
          <w:tcPr>
            <w:tcW w:w="2765"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汨罗市生活垃圾焚烧发电工程</w:t>
            </w:r>
          </w:p>
        </w:tc>
        <w:tc>
          <w:tcPr>
            <w:tcW w:w="92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53069</w:t>
            </w:r>
          </w:p>
        </w:tc>
        <w:tc>
          <w:tcPr>
            <w:tcW w:w="2466"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电：971 万度电、0#柴油70t/a</w:t>
            </w:r>
          </w:p>
        </w:tc>
        <w:tc>
          <w:tcPr>
            <w:tcW w:w="718"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 29.2</w:t>
            </w:r>
          </w:p>
        </w:tc>
        <w:tc>
          <w:tcPr>
            <w:tcW w:w="62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87.52</w:t>
            </w:r>
          </w:p>
        </w:tc>
        <w:tc>
          <w:tcPr>
            <w:tcW w:w="731"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8.38</w:t>
            </w:r>
          </w:p>
        </w:tc>
        <w:tc>
          <w:tcPr>
            <w:tcW w:w="1134" w:type="dxa"/>
            <w:tcBorders>
              <w:top w:val="single" w:color="000000" w:sz="8" w:space="0"/>
              <w:left w:val="single" w:color="000000" w:sz="8" w:space="0"/>
              <w:bottom w:val="single" w:color="000000" w:sz="8" w:space="0"/>
              <w:right w:val="single" w:color="000000" w:sz="8" w:space="0"/>
            </w:tcBorders>
            <w:vAlign w:val="center"/>
          </w:tcPr>
          <w:p>
            <w:pPr>
              <w:pStyle w:val="30"/>
              <w:rPr>
                <w:color w:val="auto"/>
              </w:rPr>
            </w:pPr>
            <w:r>
              <w:rPr>
                <w:color w:val="auto"/>
              </w:rPr>
              <w:t>/</w:t>
            </w:r>
          </w:p>
        </w:tc>
        <w:tc>
          <w:tcPr>
            <w:tcW w:w="4380" w:type="dxa"/>
            <w:tcBorders>
              <w:top w:val="single" w:color="000000" w:sz="8" w:space="0"/>
              <w:left w:val="single" w:color="000000" w:sz="8" w:space="0"/>
              <w:bottom w:val="single" w:color="000000" w:sz="8" w:space="0"/>
            </w:tcBorders>
            <w:vAlign w:val="center"/>
          </w:tcPr>
          <w:p>
            <w:pPr>
              <w:pStyle w:val="30"/>
              <w:rPr>
                <w:rFonts w:ascii="宋体" w:cs="宋体" w:hAnsiTheme="minorHAnsi"/>
                <w:color w:val="auto"/>
                <w:kern w:val="0"/>
                <w:szCs w:val="21"/>
              </w:rPr>
            </w:pPr>
            <w:r>
              <w:rPr>
                <w:color w:val="auto"/>
              </w:rPr>
              <w:t>焚烧烟气：</w:t>
            </w:r>
            <w:r>
              <w:rPr>
                <w:rFonts w:eastAsia="Times New Roman"/>
                <w:color w:val="auto"/>
              </w:rPr>
              <w:t xml:space="preserve">SNCR </w:t>
            </w:r>
            <w:r>
              <w:rPr>
                <w:color w:val="auto"/>
                <w:spacing w:val="-1"/>
              </w:rPr>
              <w:t>炉内脱氮＋半干法脱酸＋ 干法喷射</w:t>
            </w:r>
            <w:r>
              <w:rPr>
                <w:rFonts w:eastAsia="Times New Roman"/>
                <w:color w:val="auto"/>
                <w:spacing w:val="-1"/>
              </w:rPr>
              <w:t>+</w:t>
            </w:r>
            <w:r>
              <w:rPr>
                <w:color w:val="auto"/>
                <w:spacing w:val="-1"/>
              </w:rPr>
              <w:t>活性炭吸附＋布袋除尘</w:t>
            </w:r>
            <w:r>
              <w:rPr>
                <w:rFonts w:eastAsia="Times New Roman"/>
                <w:color w:val="auto"/>
                <w:spacing w:val="-1"/>
              </w:rPr>
              <w:t xml:space="preserve">”+80m </w:t>
            </w:r>
            <w:r>
              <w:rPr>
                <w:color w:val="auto"/>
                <w:spacing w:val="-8"/>
              </w:rPr>
              <w:t xml:space="preserve">高集束烟囱；抽风产生负压，垃圾贮坑臭气设 </w:t>
            </w:r>
            <w:r>
              <w:rPr>
                <w:rFonts w:eastAsia="Times New Roman"/>
                <w:color w:val="auto"/>
              </w:rPr>
              <w:t xml:space="preserve">1 </w:t>
            </w:r>
            <w:r>
              <w:rPr>
                <w:color w:val="auto"/>
              </w:rPr>
              <w:t xml:space="preserve">套活性炭除臭装置， </w:t>
            </w:r>
            <w:r>
              <w:rPr>
                <w:color w:val="auto"/>
                <w:spacing w:val="-9"/>
                <w:w w:val="95"/>
              </w:rPr>
              <w:t>抽回炉内，渗滤液处理臭气抽回炉内，同时设火炬燃</w:t>
            </w:r>
            <w:r>
              <w:rPr>
                <w:color w:val="auto"/>
              </w:rPr>
              <w:t>烧处理系统</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20" w:hRule="atLeast"/>
        </w:trPr>
        <w:tc>
          <w:tcPr>
            <w:tcW w:w="3327" w:type="dxa"/>
            <w:gridSpan w:val="2"/>
            <w:tcBorders>
              <w:top w:val="single" w:color="000000" w:sz="8" w:space="0"/>
              <w:right w:val="single" w:color="000000" w:sz="8" w:space="0"/>
            </w:tcBorders>
            <w:vAlign w:val="center"/>
          </w:tcPr>
          <w:p>
            <w:pPr>
              <w:pStyle w:val="30"/>
              <w:rPr>
                <w:color w:val="auto"/>
              </w:rPr>
            </w:pPr>
            <w:r>
              <w:rPr>
                <w:color w:val="auto"/>
              </w:rPr>
              <w:t>合计</w:t>
            </w:r>
          </w:p>
        </w:tc>
        <w:tc>
          <w:tcPr>
            <w:tcW w:w="921" w:type="dxa"/>
            <w:tcBorders>
              <w:top w:val="single" w:color="000000" w:sz="8" w:space="0"/>
              <w:left w:val="single" w:color="000000" w:sz="8" w:space="0"/>
              <w:right w:val="single" w:color="000000" w:sz="8" w:space="0"/>
            </w:tcBorders>
            <w:vAlign w:val="center"/>
          </w:tcPr>
          <w:p>
            <w:pPr>
              <w:pStyle w:val="30"/>
              <w:rPr>
                <w:color w:val="auto"/>
              </w:rPr>
            </w:pPr>
            <w:r>
              <w:rPr>
                <w:color w:val="auto"/>
              </w:rPr>
              <w:t>1485776.53</w:t>
            </w:r>
          </w:p>
        </w:tc>
        <w:tc>
          <w:tcPr>
            <w:tcW w:w="2466" w:type="dxa"/>
            <w:tcBorders>
              <w:top w:val="single" w:color="000000" w:sz="8" w:space="0"/>
              <w:left w:val="single" w:color="000000" w:sz="8" w:space="0"/>
              <w:right w:val="single" w:color="000000" w:sz="8" w:space="0"/>
            </w:tcBorders>
            <w:vAlign w:val="center"/>
          </w:tcPr>
          <w:p>
            <w:pPr>
              <w:pStyle w:val="30"/>
              <w:rPr>
                <w:color w:val="auto"/>
              </w:rPr>
            </w:pPr>
            <w:r>
              <w:rPr>
                <w:color w:val="auto"/>
              </w:rPr>
              <w:t>/</w:t>
            </w:r>
          </w:p>
        </w:tc>
        <w:tc>
          <w:tcPr>
            <w:tcW w:w="718" w:type="dxa"/>
            <w:tcBorders>
              <w:top w:val="single" w:color="000000" w:sz="8" w:space="0"/>
              <w:left w:val="single" w:color="000000" w:sz="8" w:space="0"/>
              <w:right w:val="single" w:color="000000" w:sz="8" w:space="0"/>
            </w:tcBorders>
            <w:vAlign w:val="center"/>
          </w:tcPr>
          <w:p>
            <w:pPr>
              <w:pStyle w:val="30"/>
              <w:rPr>
                <w:color w:val="auto"/>
              </w:rPr>
            </w:pPr>
            <w:r>
              <w:rPr>
                <w:color w:val="auto"/>
              </w:rPr>
              <w:t>305.811</w:t>
            </w:r>
          </w:p>
        </w:tc>
        <w:tc>
          <w:tcPr>
            <w:tcW w:w="621" w:type="dxa"/>
            <w:tcBorders>
              <w:top w:val="single" w:color="000000" w:sz="8" w:space="0"/>
              <w:left w:val="single" w:color="000000" w:sz="8" w:space="0"/>
              <w:right w:val="single" w:color="000000" w:sz="8" w:space="0"/>
            </w:tcBorders>
            <w:vAlign w:val="center"/>
          </w:tcPr>
          <w:p>
            <w:pPr>
              <w:pStyle w:val="30"/>
              <w:rPr>
                <w:color w:val="auto"/>
              </w:rPr>
            </w:pPr>
            <w:r>
              <w:rPr>
                <w:color w:val="auto"/>
              </w:rPr>
              <w:t>197.43</w:t>
            </w:r>
          </w:p>
        </w:tc>
        <w:tc>
          <w:tcPr>
            <w:tcW w:w="731" w:type="dxa"/>
            <w:tcBorders>
              <w:top w:val="single" w:color="000000" w:sz="8" w:space="0"/>
              <w:left w:val="single" w:color="000000" w:sz="8" w:space="0"/>
              <w:right w:val="single" w:color="000000" w:sz="8" w:space="0"/>
            </w:tcBorders>
            <w:vAlign w:val="center"/>
          </w:tcPr>
          <w:p>
            <w:pPr>
              <w:pStyle w:val="30"/>
              <w:rPr>
                <w:color w:val="auto"/>
              </w:rPr>
            </w:pPr>
            <w:r>
              <w:rPr>
                <w:color w:val="auto"/>
              </w:rPr>
              <w:t>14.941</w:t>
            </w:r>
          </w:p>
        </w:tc>
        <w:tc>
          <w:tcPr>
            <w:tcW w:w="1134" w:type="dxa"/>
            <w:tcBorders>
              <w:top w:val="single" w:color="000000" w:sz="8" w:space="0"/>
              <w:left w:val="single" w:color="000000" w:sz="8" w:space="0"/>
              <w:right w:val="single" w:color="000000" w:sz="8" w:space="0"/>
            </w:tcBorders>
            <w:vAlign w:val="center"/>
          </w:tcPr>
          <w:p>
            <w:pPr>
              <w:pStyle w:val="30"/>
              <w:rPr>
                <w:color w:val="auto"/>
              </w:rPr>
            </w:pPr>
            <w:r>
              <w:rPr>
                <w:color w:val="auto"/>
              </w:rPr>
              <w:t>7.228</w:t>
            </w:r>
          </w:p>
        </w:tc>
        <w:tc>
          <w:tcPr>
            <w:tcW w:w="4380" w:type="dxa"/>
            <w:tcBorders>
              <w:top w:val="single" w:color="000000" w:sz="8" w:space="0"/>
              <w:left w:val="single" w:color="000000" w:sz="8" w:space="0"/>
            </w:tcBorders>
            <w:vAlign w:val="center"/>
          </w:tcPr>
          <w:p>
            <w:pPr>
              <w:pStyle w:val="30"/>
              <w:rPr>
                <w:color w:val="auto"/>
              </w:rPr>
            </w:pPr>
            <w:r>
              <w:rPr>
                <w:color w:val="auto"/>
                <w:w w:val="99"/>
              </w:rPr>
              <w:t>/</w:t>
            </w:r>
          </w:p>
        </w:tc>
      </w:tr>
    </w:tbl>
    <w:p>
      <w:pPr>
        <w:pStyle w:val="31"/>
        <w:rPr>
          <w:color w:val="auto"/>
        </w:rPr>
        <w:sectPr>
          <w:pgSz w:w="16840" w:h="11910" w:orient="landscape"/>
          <w:pgMar w:top="1100" w:right="940" w:bottom="1020" w:left="1280" w:header="992" w:footer="821" w:gutter="0"/>
          <w:pgBorders>
            <w:top w:val="none" w:sz="0" w:space="0"/>
            <w:left w:val="none" w:sz="0" w:space="0"/>
            <w:bottom w:val="none" w:sz="0" w:space="0"/>
            <w:right w:val="none" w:sz="0" w:space="0"/>
          </w:pgBorders>
          <w:cols w:space="720" w:num="1"/>
          <w:docGrid w:linePitch="326" w:charSpace="0"/>
        </w:sectPr>
      </w:pPr>
    </w:p>
    <w:p>
      <w:pPr>
        <w:pStyle w:val="5"/>
        <w:rPr>
          <w:color w:val="auto"/>
          <w:u w:val="single"/>
        </w:rPr>
      </w:pPr>
      <w:bookmarkStart w:id="137" w:name="_Toc16286"/>
      <w:bookmarkStart w:id="138" w:name="_Toc12917"/>
      <w:r>
        <w:rPr>
          <w:rFonts w:hint="eastAsia"/>
          <w:color w:val="auto"/>
        </w:rPr>
        <w:t xml:space="preserve">第5章 </w:t>
      </w:r>
      <w:r>
        <w:rPr>
          <w:color w:val="auto"/>
        </w:rPr>
        <w:t xml:space="preserve"> 环境影响预测与评价</w:t>
      </w:r>
      <w:bookmarkEnd w:id="137"/>
      <w:bookmarkEnd w:id="138"/>
    </w:p>
    <w:p>
      <w:pPr>
        <w:pStyle w:val="6"/>
        <w:rPr>
          <w:color w:val="auto"/>
        </w:rPr>
      </w:pPr>
      <w:bookmarkStart w:id="139" w:name="_Toc494546619"/>
      <w:bookmarkStart w:id="140" w:name="_Toc488145476"/>
      <w:bookmarkStart w:id="141" w:name="_Toc3881"/>
      <w:bookmarkStart w:id="142" w:name="_Toc21212"/>
      <w:bookmarkStart w:id="143" w:name="_Toc521305574"/>
      <w:bookmarkStart w:id="144" w:name="_Toc1618"/>
      <w:r>
        <w:rPr>
          <w:color w:val="auto"/>
        </w:rPr>
        <w:t>5.1施工期环境影响分析</w:t>
      </w:r>
      <w:bookmarkEnd w:id="139"/>
      <w:bookmarkEnd w:id="140"/>
      <w:r>
        <w:rPr>
          <w:color w:val="auto"/>
        </w:rPr>
        <w:t>与评价</w:t>
      </w:r>
      <w:bookmarkEnd w:id="141"/>
      <w:bookmarkEnd w:id="142"/>
      <w:bookmarkEnd w:id="143"/>
      <w:bookmarkEnd w:id="144"/>
    </w:p>
    <w:p>
      <w:pPr>
        <w:ind w:firstLine="480"/>
        <w:rPr>
          <w:color w:val="auto"/>
        </w:rPr>
      </w:pPr>
      <w:r>
        <w:rPr>
          <w:color w:val="auto"/>
        </w:rPr>
        <w:t>根据现场勘查，本项目主要利用现有场地、厂房进行生产。本项目施工期主要</w:t>
      </w:r>
      <w:r>
        <w:rPr>
          <w:rFonts w:hint="eastAsia"/>
          <w:color w:val="auto"/>
        </w:rPr>
        <w:t>是</w:t>
      </w:r>
      <w:r>
        <w:rPr>
          <w:color w:val="auto"/>
        </w:rPr>
        <w:t>设备安装，主要污染有施工人员生活污水、车辆运输扬尘、施工噪声、</w:t>
      </w:r>
      <w:r>
        <w:rPr>
          <w:rFonts w:hint="eastAsia"/>
          <w:color w:val="auto"/>
        </w:rPr>
        <w:t>包装固废</w:t>
      </w:r>
      <w:r>
        <w:rPr>
          <w:color w:val="auto"/>
        </w:rPr>
        <w:t>和施工人员生活垃圾等。</w:t>
      </w:r>
      <w:r>
        <w:rPr>
          <w:rFonts w:hint="eastAsia"/>
          <w:color w:val="auto"/>
        </w:rPr>
        <w:t>采取的措施主要有：</w:t>
      </w:r>
      <w:r>
        <w:rPr>
          <w:color w:val="auto"/>
        </w:rPr>
        <w:t xml:space="preserve"> </w:t>
      </w:r>
    </w:p>
    <w:p>
      <w:pPr>
        <w:ind w:firstLine="480"/>
        <w:rPr>
          <w:color w:val="auto"/>
        </w:rPr>
      </w:pPr>
      <w:r>
        <w:rPr>
          <w:rFonts w:hint="eastAsia" w:ascii="宋体" w:hAnsi="宋体" w:cs="宋体"/>
          <w:color w:val="auto"/>
        </w:rPr>
        <w:t>①</w:t>
      </w:r>
      <w:r>
        <w:rPr>
          <w:color w:val="auto"/>
        </w:rPr>
        <w:t>施工人员生活污水经</w:t>
      </w:r>
      <w:r>
        <w:rPr>
          <w:rFonts w:hint="eastAsia"/>
          <w:color w:val="auto"/>
        </w:rPr>
        <w:t>园区</w:t>
      </w:r>
      <w:r>
        <w:rPr>
          <w:color w:val="auto"/>
        </w:rPr>
        <w:t>化粪池处理后</w:t>
      </w:r>
      <w:r>
        <w:rPr>
          <w:rFonts w:hint="eastAsia"/>
          <w:color w:val="auto"/>
        </w:rPr>
        <w:t>排入市政污水管网，进入汨罗市城市污水处理厂处理</w:t>
      </w:r>
      <w:r>
        <w:rPr>
          <w:color w:val="auto"/>
        </w:rPr>
        <w:t xml:space="preserve">，对环境影响不大。 </w:t>
      </w:r>
    </w:p>
    <w:p>
      <w:pPr>
        <w:ind w:firstLine="480"/>
        <w:rPr>
          <w:color w:val="auto"/>
        </w:rPr>
      </w:pPr>
      <w:r>
        <w:rPr>
          <w:rFonts w:hint="eastAsia" w:ascii="宋体" w:hAnsi="宋体" w:cs="宋体"/>
          <w:color w:val="auto"/>
        </w:rPr>
        <w:t>②</w:t>
      </w:r>
      <w:r>
        <w:rPr>
          <w:rFonts w:hint="eastAsia"/>
          <w:color w:val="auto"/>
        </w:rPr>
        <w:t>施工期控制车辆运输速度</w:t>
      </w:r>
      <w:r>
        <w:rPr>
          <w:color w:val="auto"/>
        </w:rPr>
        <w:t xml:space="preserve">，减少扬尘污染，采用尾气排放符合国家规定标准的车辆，确保其尾气达标排放，减少对环境空气的污染施工废气对大气环境影响较小。 </w:t>
      </w:r>
    </w:p>
    <w:p>
      <w:pPr>
        <w:ind w:firstLine="480"/>
        <w:rPr>
          <w:color w:val="auto"/>
        </w:rPr>
      </w:pPr>
      <w:r>
        <w:rPr>
          <w:rFonts w:hint="eastAsia" w:ascii="宋体" w:hAnsi="宋体" w:cs="宋体"/>
          <w:color w:val="auto"/>
        </w:rPr>
        <w:t>③</w:t>
      </w:r>
      <w:r>
        <w:rPr>
          <w:color w:val="auto"/>
        </w:rPr>
        <w:t xml:space="preserve">施工期噪声主要是车辆运输噪声和施工机械噪声。施工机械产生的噪声都较大，本环评要求建设方合理安排车辆运输作业、夜间禁止施工。施工期短，噪声随着施工的结束而结束，本项目施工期噪声不会对周边声环境保护目标产生不利影响。 </w:t>
      </w:r>
    </w:p>
    <w:p>
      <w:pPr>
        <w:ind w:firstLine="480"/>
        <w:rPr>
          <w:color w:val="auto"/>
        </w:rPr>
      </w:pPr>
      <w:r>
        <w:rPr>
          <w:rFonts w:hint="eastAsia" w:ascii="宋体" w:hAnsi="宋体" w:cs="宋体"/>
          <w:color w:val="auto"/>
        </w:rPr>
        <w:t>④</w:t>
      </w:r>
      <w:r>
        <w:rPr>
          <w:rFonts w:hint="eastAsia"/>
          <w:color w:val="auto"/>
        </w:rPr>
        <w:t>设备包装固废厂家回收利用</w:t>
      </w:r>
      <w:r>
        <w:rPr>
          <w:color w:val="auto"/>
        </w:rPr>
        <w:t>；施工人员生活垃圾定点收集，交由当地环卫部门统一清运处理，对环境影响不大。</w:t>
      </w:r>
    </w:p>
    <w:p>
      <w:pPr>
        <w:pStyle w:val="6"/>
        <w:rPr>
          <w:color w:val="auto"/>
          <w:u w:val="single"/>
        </w:rPr>
      </w:pPr>
      <w:bookmarkStart w:id="145" w:name="_Toc16906"/>
      <w:bookmarkStart w:id="146" w:name="_Toc8733"/>
      <w:bookmarkStart w:id="147" w:name="_Toc20979"/>
      <w:r>
        <w:rPr>
          <w:color w:val="auto"/>
        </w:rPr>
        <w:t>5.2运营期大气环境影响预测与评价</w:t>
      </w:r>
      <w:bookmarkEnd w:id="145"/>
      <w:bookmarkEnd w:id="146"/>
      <w:bookmarkEnd w:id="147"/>
    </w:p>
    <w:p>
      <w:pPr>
        <w:pStyle w:val="7"/>
        <w:rPr>
          <w:color w:val="auto"/>
        </w:rPr>
      </w:pPr>
      <w:r>
        <w:rPr>
          <w:rFonts w:hint="eastAsia"/>
          <w:color w:val="auto"/>
        </w:rPr>
        <w:t>5</w:t>
      </w:r>
      <w:r>
        <w:rPr>
          <w:color w:val="auto"/>
        </w:rPr>
        <w:t>.2.</w:t>
      </w:r>
      <w:r>
        <w:rPr>
          <w:rFonts w:hint="eastAsia"/>
          <w:color w:val="auto"/>
        </w:rPr>
        <w:t>1估算模式及达标情况</w:t>
      </w:r>
    </w:p>
    <w:p>
      <w:pPr>
        <w:ind w:firstLine="482"/>
        <w:rPr>
          <w:b/>
          <w:bCs/>
          <w:color w:val="auto"/>
        </w:rPr>
      </w:pPr>
      <w:r>
        <w:rPr>
          <w:rFonts w:hint="eastAsia"/>
          <w:b/>
          <w:bCs/>
          <w:color w:val="auto"/>
        </w:rPr>
        <w:t>1、评价等级判定</w:t>
      </w:r>
    </w:p>
    <w:p>
      <w:pPr>
        <w:ind w:firstLine="482"/>
        <w:rPr>
          <w:b/>
          <w:bCs/>
          <w:color w:val="auto"/>
        </w:rPr>
      </w:pPr>
      <w:r>
        <w:rPr>
          <w:rFonts w:hint="eastAsia"/>
          <w:b/>
          <w:bCs/>
          <w:color w:val="auto"/>
        </w:rPr>
        <w:t>（1）估算模型说明</w:t>
      </w:r>
    </w:p>
    <w:p>
      <w:pPr>
        <w:ind w:firstLine="480"/>
        <w:rPr>
          <w:color w:val="auto"/>
        </w:rPr>
      </w:pPr>
      <w:r>
        <w:rPr>
          <w:rFonts w:hint="eastAsia"/>
          <w:color w:val="auto"/>
        </w:rPr>
        <w:t>本项目采用《环境影响评价技术导则 大气环境》（HJ2.2-2018）附录A推荐模型中的估算模型AERSCREEN对项目大气环境影响评价工作进行分级。估算模型AERSCREEN应采用满负荷运行条件下排放强度及对应的污染源参数，其计算输出结果为短期浓度最大值及对应距离。环评选择项目污染源正常排放的主要污染物及排放参数，考虑地形参数，输入估算模型参数，采用附录A推荐模型中估算模型分别计算项目污染源的最大环境影响，然后按评价工作分级判据进行分级。</w:t>
      </w:r>
    </w:p>
    <w:p>
      <w:pPr>
        <w:ind w:firstLine="482"/>
        <w:rPr>
          <w:b/>
          <w:bCs/>
          <w:color w:val="auto"/>
        </w:rPr>
      </w:pPr>
      <w:r>
        <w:rPr>
          <w:rFonts w:hint="eastAsia"/>
          <w:b/>
          <w:bCs/>
          <w:color w:val="auto"/>
        </w:rPr>
        <w:t>（2）评价工作分级方法</w:t>
      </w:r>
    </w:p>
    <w:p>
      <w:pPr>
        <w:ind w:firstLine="480"/>
        <w:rPr>
          <w:color w:val="auto"/>
        </w:rPr>
      </w:pPr>
      <w:r>
        <w:rPr>
          <w:rFonts w:hint="eastAsia"/>
          <w:color w:val="auto"/>
        </w:rPr>
        <w:t>根据项目污染源分析结果，通过估算模型AERSCREEN分别计算项目排放主要污染物的最大地面空气质量浓度占标率P</w:t>
      </w:r>
      <w:r>
        <w:rPr>
          <w:rFonts w:hint="eastAsia"/>
          <w:color w:val="auto"/>
          <w:vertAlign w:val="subscript"/>
        </w:rPr>
        <w:t>i</w:t>
      </w:r>
      <w:r>
        <w:rPr>
          <w:rFonts w:hint="eastAsia"/>
          <w:color w:val="auto"/>
        </w:rPr>
        <w:t>（第i个污染物，简称“最大浓度占标率”）及第i个污染物的地面空气质量浓度达到标准值的10%时所对应的最远距离D10%。其中，P</w:t>
      </w:r>
      <w:r>
        <w:rPr>
          <w:rFonts w:hint="eastAsia"/>
          <w:color w:val="auto"/>
          <w:vertAlign w:val="subscript"/>
        </w:rPr>
        <w:t>i</w:t>
      </w:r>
      <w:r>
        <w:rPr>
          <w:rFonts w:hint="eastAsia"/>
          <w:color w:val="auto"/>
        </w:rPr>
        <w:t>定义见下列公式：</w:t>
      </w:r>
    </w:p>
    <w:p>
      <w:pPr>
        <w:ind w:firstLine="480"/>
        <w:rPr>
          <w:color w:val="auto"/>
        </w:rPr>
      </w:pPr>
      <w:r>
        <w:rPr>
          <w:color w:val="auto"/>
        </w:rPr>
        <w:drawing>
          <wp:inline distT="0" distB="0" distL="0" distR="0">
            <wp:extent cx="2362200" cy="717550"/>
            <wp:effectExtent l="0" t="0" r="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362200" cy="717550"/>
                    </a:xfrm>
                    <a:prstGeom prst="rect">
                      <a:avLst/>
                    </a:prstGeom>
                    <a:noFill/>
                    <a:ln>
                      <a:noFill/>
                    </a:ln>
                  </pic:spPr>
                </pic:pic>
              </a:graphicData>
            </a:graphic>
          </wp:inline>
        </w:drawing>
      </w:r>
    </w:p>
    <w:p>
      <w:pPr>
        <w:ind w:firstLine="480"/>
        <w:rPr>
          <w:color w:val="auto"/>
        </w:rPr>
      </w:pPr>
      <w:r>
        <w:rPr>
          <w:rFonts w:hint="eastAsia"/>
          <w:color w:val="auto"/>
        </w:rPr>
        <w:t>式中：P</w:t>
      </w:r>
      <w:r>
        <w:rPr>
          <w:rFonts w:hint="eastAsia"/>
          <w:color w:val="auto"/>
          <w:vertAlign w:val="subscript"/>
        </w:rPr>
        <w:t>i</w:t>
      </w:r>
      <w:r>
        <w:rPr>
          <w:rFonts w:hint="eastAsia"/>
          <w:color w:val="auto"/>
        </w:rPr>
        <w:t>—第i个污染物的最大地面浓度占标率，％；</w:t>
      </w:r>
    </w:p>
    <w:p>
      <w:pPr>
        <w:ind w:firstLine="480"/>
        <w:rPr>
          <w:color w:val="auto"/>
        </w:rPr>
      </w:pPr>
      <w:r>
        <w:rPr>
          <w:rFonts w:hint="eastAsia"/>
          <w:color w:val="auto"/>
        </w:rPr>
        <w:t>Ci—采用估算模式计算出的第i个污染物的最大地面浓度，</w:t>
      </w:r>
      <w:r>
        <w:rPr>
          <w:color w:val="auto"/>
        </w:rPr>
        <w:t>μ</w:t>
      </w:r>
      <w:r>
        <w:rPr>
          <w:rFonts w:hint="eastAsia"/>
          <w:color w:val="auto"/>
        </w:rPr>
        <w:t>g/m</w:t>
      </w:r>
      <w:r>
        <w:rPr>
          <w:rFonts w:hint="eastAsia"/>
          <w:color w:val="auto"/>
          <w:vertAlign w:val="superscript"/>
        </w:rPr>
        <w:t>3</w:t>
      </w:r>
      <w:r>
        <w:rPr>
          <w:rFonts w:hint="eastAsia"/>
          <w:color w:val="auto"/>
        </w:rPr>
        <w:t>；</w:t>
      </w:r>
    </w:p>
    <w:p>
      <w:pPr>
        <w:ind w:firstLine="480"/>
        <w:rPr>
          <w:color w:val="auto"/>
        </w:rPr>
      </w:pPr>
      <w:r>
        <w:rPr>
          <w:rFonts w:hint="eastAsia"/>
          <w:color w:val="auto"/>
        </w:rPr>
        <w:t>C</w:t>
      </w:r>
      <w:r>
        <w:rPr>
          <w:rFonts w:hint="eastAsia"/>
          <w:color w:val="auto"/>
          <w:vertAlign w:val="subscript"/>
        </w:rPr>
        <w:t>0i</w:t>
      </w:r>
      <w:r>
        <w:rPr>
          <w:rFonts w:hint="eastAsia"/>
          <w:color w:val="auto"/>
        </w:rPr>
        <w:t>—第i个污染物的环境空气质量标准，</w:t>
      </w:r>
      <w:r>
        <w:rPr>
          <w:color w:val="auto"/>
        </w:rPr>
        <w:t>μ</w:t>
      </w:r>
      <w:r>
        <w:rPr>
          <w:rFonts w:hint="eastAsia"/>
          <w:color w:val="auto"/>
        </w:rPr>
        <w:t>g/m</w:t>
      </w:r>
      <w:r>
        <w:rPr>
          <w:rFonts w:hint="eastAsia"/>
          <w:color w:val="auto"/>
          <w:vertAlign w:val="superscript"/>
        </w:rPr>
        <w:t>3</w:t>
      </w:r>
      <w:r>
        <w:rPr>
          <w:rFonts w:hint="eastAsia"/>
          <w:color w:val="auto"/>
        </w:rPr>
        <w:t>。</w:t>
      </w:r>
    </w:p>
    <w:p>
      <w:pPr>
        <w:ind w:firstLine="480"/>
        <w:rPr>
          <w:color w:val="auto"/>
        </w:rPr>
      </w:pPr>
      <w:r>
        <w:rPr>
          <w:rFonts w:hint="eastAsia"/>
          <w:color w:val="auto"/>
        </w:rPr>
        <w:t>C</w:t>
      </w:r>
      <w:r>
        <w:rPr>
          <w:rFonts w:hint="eastAsia"/>
          <w:color w:val="auto"/>
          <w:vertAlign w:val="subscript"/>
        </w:rPr>
        <w:t>0i</w:t>
      </w:r>
      <w:r>
        <w:rPr>
          <w:rFonts w:hint="eastAsia"/>
          <w:color w:val="auto"/>
        </w:rPr>
        <w:t>一般选用GB3095中1h平均质量浓度的二级浓度限值，如项目位于一类环境 空气功能区，应选择相应的一级浓度限值；对该标准中未包含的污染物，使用大气导则5.2确定的各评价因子1h平均质量浓度限值。对仅有8h平均质量浓度限值、日平均质量浓度限值或年平均质量浓度限值的，可分别按2倍、3倍、6倍折算为1h平均质量浓度限值。</w:t>
      </w:r>
    </w:p>
    <w:p>
      <w:pPr>
        <w:ind w:firstLine="480"/>
        <w:rPr>
          <w:color w:val="auto"/>
        </w:rPr>
      </w:pPr>
      <w:r>
        <w:rPr>
          <w:rFonts w:hint="eastAsia"/>
          <w:color w:val="auto"/>
        </w:rPr>
        <w:t>评价工作等级按表5.2-1的分级判据进行划分，最大地面浓度占标率P</w:t>
      </w:r>
      <w:r>
        <w:rPr>
          <w:rFonts w:hint="eastAsia"/>
          <w:color w:val="auto"/>
          <w:vertAlign w:val="subscript"/>
        </w:rPr>
        <w:t>i</w:t>
      </w:r>
      <w:r>
        <w:rPr>
          <w:rFonts w:hint="eastAsia"/>
          <w:color w:val="auto"/>
        </w:rPr>
        <w:t>按上式进行计算，如果污染物数i大于1，取P值中最大者（Pmax）和对应的D10％。</w:t>
      </w:r>
    </w:p>
    <w:p>
      <w:pPr>
        <w:pStyle w:val="31"/>
        <w:rPr>
          <w:color w:val="auto"/>
        </w:rPr>
      </w:pPr>
      <w:r>
        <w:rPr>
          <w:rFonts w:hint="eastAsia"/>
          <w:color w:val="auto"/>
        </w:rPr>
        <w:t xml:space="preserve">表5.2-1 </w:t>
      </w:r>
      <w:r>
        <w:rPr>
          <w:color w:val="auto"/>
        </w:rPr>
        <w:t xml:space="preserve"> </w:t>
      </w:r>
      <w:r>
        <w:rPr>
          <w:rFonts w:hint="eastAsia"/>
          <w:color w:val="auto"/>
        </w:rPr>
        <w:t>大气评价等级判别表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502"/>
        <w:gridCol w:w="45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02" w:type="dxa"/>
            <w:vAlign w:val="center"/>
          </w:tcPr>
          <w:p>
            <w:pPr>
              <w:pStyle w:val="30"/>
              <w:rPr>
                <w:b/>
                <w:bCs/>
                <w:color w:val="auto"/>
              </w:rPr>
            </w:pPr>
            <w:r>
              <w:rPr>
                <w:rFonts w:hint="eastAsia"/>
                <w:b/>
                <w:bCs/>
                <w:color w:val="auto"/>
              </w:rPr>
              <w:t>评价工作等级</w:t>
            </w:r>
          </w:p>
        </w:tc>
        <w:tc>
          <w:tcPr>
            <w:tcW w:w="4502" w:type="dxa"/>
            <w:vAlign w:val="center"/>
          </w:tcPr>
          <w:p>
            <w:pPr>
              <w:pStyle w:val="30"/>
              <w:rPr>
                <w:b/>
                <w:bCs/>
                <w:color w:val="auto"/>
              </w:rPr>
            </w:pPr>
            <w:r>
              <w:rPr>
                <w:rFonts w:hint="eastAsia"/>
                <w:b/>
                <w:bCs/>
                <w:color w:val="auto"/>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02" w:type="dxa"/>
            <w:vAlign w:val="center"/>
          </w:tcPr>
          <w:p>
            <w:pPr>
              <w:pStyle w:val="30"/>
              <w:rPr>
                <w:color w:val="auto"/>
              </w:rPr>
            </w:pPr>
            <w:r>
              <w:rPr>
                <w:rFonts w:hint="eastAsia"/>
                <w:color w:val="auto"/>
              </w:rPr>
              <w:t>一级评价</w:t>
            </w:r>
          </w:p>
        </w:tc>
        <w:tc>
          <w:tcPr>
            <w:tcW w:w="4502" w:type="dxa"/>
            <w:vAlign w:val="center"/>
          </w:tcPr>
          <w:p>
            <w:pPr>
              <w:pStyle w:val="30"/>
              <w:rPr>
                <w:color w:val="auto"/>
              </w:rPr>
            </w:pPr>
            <w:r>
              <w:rPr>
                <w:rFonts w:hint="eastAsia"/>
                <w:color w:val="auto"/>
              </w:rPr>
              <w:t>Pmax≥10%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02" w:type="dxa"/>
            <w:vAlign w:val="center"/>
          </w:tcPr>
          <w:p>
            <w:pPr>
              <w:pStyle w:val="30"/>
              <w:rPr>
                <w:color w:val="auto"/>
              </w:rPr>
            </w:pPr>
            <w:r>
              <w:rPr>
                <w:rFonts w:hint="eastAsia"/>
                <w:color w:val="auto"/>
              </w:rPr>
              <w:t>二级评价</w:t>
            </w:r>
          </w:p>
        </w:tc>
        <w:tc>
          <w:tcPr>
            <w:tcW w:w="4502" w:type="dxa"/>
            <w:vAlign w:val="center"/>
          </w:tcPr>
          <w:p>
            <w:pPr>
              <w:pStyle w:val="30"/>
              <w:rPr>
                <w:color w:val="auto"/>
              </w:rPr>
            </w:pPr>
            <w:r>
              <w:rPr>
                <w:rFonts w:hint="eastAsia"/>
                <w:color w:val="auto"/>
              </w:rPr>
              <w:t>1%≤Pmax&lt; 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4502" w:type="dxa"/>
            <w:vAlign w:val="center"/>
          </w:tcPr>
          <w:p>
            <w:pPr>
              <w:pStyle w:val="30"/>
              <w:rPr>
                <w:color w:val="auto"/>
              </w:rPr>
            </w:pPr>
            <w:r>
              <w:rPr>
                <w:rFonts w:hint="eastAsia"/>
                <w:color w:val="auto"/>
              </w:rPr>
              <w:t>三级评价</w:t>
            </w:r>
          </w:p>
        </w:tc>
        <w:tc>
          <w:tcPr>
            <w:tcW w:w="4502" w:type="dxa"/>
            <w:vAlign w:val="center"/>
          </w:tcPr>
          <w:p>
            <w:pPr>
              <w:pStyle w:val="30"/>
              <w:rPr>
                <w:color w:val="auto"/>
              </w:rPr>
            </w:pPr>
            <w:r>
              <w:rPr>
                <w:rFonts w:hint="eastAsia"/>
                <w:color w:val="auto"/>
              </w:rPr>
              <w:t>Pmax &lt; 1%</w:t>
            </w:r>
          </w:p>
        </w:tc>
      </w:tr>
    </w:tbl>
    <w:p>
      <w:pPr>
        <w:ind w:firstLine="482"/>
        <w:rPr>
          <w:b/>
          <w:bCs/>
          <w:color w:val="auto"/>
        </w:rPr>
      </w:pPr>
      <w:r>
        <w:rPr>
          <w:rFonts w:hint="eastAsia"/>
          <w:b/>
          <w:bCs/>
          <w:color w:val="auto"/>
        </w:rPr>
        <w:t>2、预测评价因子及评价标准</w:t>
      </w:r>
    </w:p>
    <w:p>
      <w:pPr>
        <w:pStyle w:val="31"/>
        <w:rPr>
          <w:color w:val="auto"/>
        </w:rPr>
      </w:pPr>
      <w:r>
        <w:rPr>
          <w:rFonts w:hint="eastAsia"/>
          <w:color w:val="auto"/>
        </w:rPr>
        <w:t xml:space="preserve">表5.2-2 </w:t>
      </w:r>
      <w:r>
        <w:rPr>
          <w:color w:val="auto"/>
        </w:rPr>
        <w:t xml:space="preserve"> </w:t>
      </w:r>
      <w:r>
        <w:rPr>
          <w:rFonts w:hint="eastAsia"/>
          <w:color w:val="auto"/>
        </w:rPr>
        <w:t>评价因子和评价标准表</w:t>
      </w:r>
    </w:p>
    <w:tbl>
      <w:tblPr>
        <w:tblStyle w:val="21"/>
        <w:tblW w:w="84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130"/>
        <w:gridCol w:w="1985"/>
        <w:gridCol w:w="3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0" w:type="dxa"/>
            <w:vAlign w:val="center"/>
          </w:tcPr>
          <w:p>
            <w:pPr>
              <w:pStyle w:val="30"/>
              <w:rPr>
                <w:b/>
                <w:bCs/>
                <w:color w:val="auto"/>
              </w:rPr>
            </w:pPr>
            <w:r>
              <w:rPr>
                <w:b/>
                <w:bCs/>
                <w:color w:val="auto"/>
              </w:rPr>
              <w:t>评价因子</w:t>
            </w:r>
          </w:p>
        </w:tc>
        <w:tc>
          <w:tcPr>
            <w:tcW w:w="1130" w:type="dxa"/>
            <w:vAlign w:val="center"/>
          </w:tcPr>
          <w:p>
            <w:pPr>
              <w:pStyle w:val="30"/>
              <w:rPr>
                <w:b/>
                <w:bCs/>
                <w:color w:val="auto"/>
              </w:rPr>
            </w:pPr>
            <w:r>
              <w:rPr>
                <w:b/>
                <w:bCs/>
                <w:color w:val="auto"/>
              </w:rPr>
              <w:t>平均时段</w:t>
            </w:r>
          </w:p>
        </w:tc>
        <w:tc>
          <w:tcPr>
            <w:tcW w:w="1985" w:type="dxa"/>
            <w:vAlign w:val="center"/>
          </w:tcPr>
          <w:p>
            <w:pPr>
              <w:pStyle w:val="30"/>
              <w:rPr>
                <w:b/>
                <w:bCs/>
                <w:color w:val="auto"/>
              </w:rPr>
            </w:pPr>
            <w:r>
              <w:rPr>
                <w:b/>
                <w:bCs/>
                <w:color w:val="auto"/>
              </w:rPr>
              <w:t>标准值/（μg/m</w:t>
            </w:r>
            <w:r>
              <w:rPr>
                <w:b/>
                <w:bCs/>
                <w:color w:val="auto"/>
                <w:vertAlign w:val="superscript"/>
              </w:rPr>
              <w:t>3</w:t>
            </w:r>
            <w:r>
              <w:rPr>
                <w:b/>
                <w:bCs/>
                <w:color w:val="auto"/>
              </w:rPr>
              <w:t>）</w:t>
            </w:r>
          </w:p>
        </w:tc>
        <w:tc>
          <w:tcPr>
            <w:tcW w:w="3426" w:type="dxa"/>
            <w:vAlign w:val="center"/>
          </w:tcPr>
          <w:p>
            <w:pPr>
              <w:pStyle w:val="30"/>
              <w:rPr>
                <w:b/>
                <w:bCs/>
                <w:color w:val="auto"/>
              </w:rPr>
            </w:pPr>
            <w:r>
              <w:rPr>
                <w:b/>
                <w:bCs/>
                <w:color w:val="auto"/>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0" w:type="dxa"/>
            <w:vAlign w:val="center"/>
          </w:tcPr>
          <w:p>
            <w:pPr>
              <w:pStyle w:val="30"/>
              <w:rPr>
                <w:color w:val="auto"/>
              </w:rPr>
            </w:pPr>
            <w:r>
              <w:rPr>
                <w:rFonts w:hint="eastAsia"/>
                <w:color w:val="auto"/>
              </w:rPr>
              <w:t>T</w:t>
            </w:r>
            <w:r>
              <w:rPr>
                <w:color w:val="auto"/>
              </w:rPr>
              <w:t>SP</w:t>
            </w:r>
          </w:p>
        </w:tc>
        <w:tc>
          <w:tcPr>
            <w:tcW w:w="1130" w:type="dxa"/>
            <w:vAlign w:val="center"/>
          </w:tcPr>
          <w:p>
            <w:pPr>
              <w:pStyle w:val="30"/>
              <w:rPr>
                <w:color w:val="auto"/>
              </w:rPr>
            </w:pPr>
            <w:r>
              <w:rPr>
                <w:color w:val="auto"/>
              </w:rPr>
              <w:t>1h</w:t>
            </w:r>
          </w:p>
        </w:tc>
        <w:tc>
          <w:tcPr>
            <w:tcW w:w="1985" w:type="dxa"/>
            <w:vAlign w:val="center"/>
          </w:tcPr>
          <w:p>
            <w:pPr>
              <w:pStyle w:val="30"/>
              <w:rPr>
                <w:color w:val="auto"/>
              </w:rPr>
            </w:pPr>
            <w:r>
              <w:rPr>
                <w:color w:val="auto"/>
              </w:rPr>
              <w:t>900</w:t>
            </w:r>
            <w:r>
              <w:rPr>
                <w:rFonts w:hint="eastAsia"/>
                <w:color w:val="auto"/>
              </w:rPr>
              <w:t>（折算）</w:t>
            </w:r>
          </w:p>
        </w:tc>
        <w:tc>
          <w:tcPr>
            <w:tcW w:w="3426" w:type="dxa"/>
            <w:vAlign w:val="center"/>
          </w:tcPr>
          <w:p>
            <w:pPr>
              <w:pStyle w:val="30"/>
              <w:rPr>
                <w:color w:val="auto"/>
              </w:rPr>
            </w:pPr>
            <w:r>
              <w:rPr>
                <w:color w:val="auto"/>
              </w:rPr>
              <w:t>《环境空气质量标准》（GB3095-2012）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930" w:type="dxa"/>
            <w:vAlign w:val="center"/>
          </w:tcPr>
          <w:p>
            <w:pPr>
              <w:pStyle w:val="30"/>
              <w:rPr>
                <w:color w:val="auto"/>
              </w:rPr>
            </w:pPr>
            <w:r>
              <w:rPr>
                <w:color w:val="auto"/>
              </w:rPr>
              <w:t>非甲烷总烃</w:t>
            </w:r>
          </w:p>
        </w:tc>
        <w:tc>
          <w:tcPr>
            <w:tcW w:w="1130" w:type="dxa"/>
            <w:vAlign w:val="center"/>
          </w:tcPr>
          <w:p>
            <w:pPr>
              <w:pStyle w:val="30"/>
              <w:rPr>
                <w:color w:val="auto"/>
              </w:rPr>
            </w:pPr>
            <w:r>
              <w:rPr>
                <w:color w:val="auto"/>
              </w:rPr>
              <w:t>1h</w:t>
            </w:r>
          </w:p>
        </w:tc>
        <w:tc>
          <w:tcPr>
            <w:tcW w:w="1985" w:type="dxa"/>
            <w:vAlign w:val="center"/>
          </w:tcPr>
          <w:p>
            <w:pPr>
              <w:pStyle w:val="30"/>
              <w:rPr>
                <w:color w:val="auto"/>
              </w:rPr>
            </w:pPr>
            <w:r>
              <w:rPr>
                <w:color w:val="auto"/>
              </w:rPr>
              <w:t>2000</w:t>
            </w:r>
          </w:p>
        </w:tc>
        <w:tc>
          <w:tcPr>
            <w:tcW w:w="3426" w:type="dxa"/>
            <w:vAlign w:val="center"/>
          </w:tcPr>
          <w:p>
            <w:pPr>
              <w:pStyle w:val="30"/>
              <w:rPr>
                <w:color w:val="auto"/>
              </w:rPr>
            </w:pPr>
            <w:r>
              <w:rPr>
                <w:color w:val="auto"/>
              </w:rPr>
              <w:t>《</w:t>
            </w:r>
            <w:r>
              <w:rPr>
                <w:rFonts w:hint="eastAsia"/>
                <w:color w:val="auto"/>
              </w:rPr>
              <w:t>大气污染物综合排放标准详解</w:t>
            </w:r>
            <w:r>
              <w:rPr>
                <w:color w:val="auto"/>
              </w:rPr>
              <w:t>》</w:t>
            </w:r>
          </w:p>
        </w:tc>
      </w:tr>
    </w:tbl>
    <w:p>
      <w:pPr>
        <w:pStyle w:val="31"/>
        <w:jc w:val="left"/>
        <w:rPr>
          <w:color w:val="auto"/>
        </w:rPr>
      </w:pPr>
      <w:r>
        <w:rPr>
          <w:rFonts w:hint="eastAsia"/>
          <w:color w:val="auto"/>
        </w:rPr>
        <w:t>注：TSP 1h平均质量浓度限值按3倍日平均质量浓度限值计算，即900</w:t>
      </w:r>
      <w:r>
        <w:rPr>
          <w:color w:val="auto"/>
        </w:rPr>
        <w:t>μ</w:t>
      </w:r>
      <w:r>
        <w:rPr>
          <w:rFonts w:hint="eastAsia"/>
          <w:color w:val="auto"/>
        </w:rPr>
        <w:t>g/m</w:t>
      </w:r>
      <w:r>
        <w:rPr>
          <w:rFonts w:hint="eastAsia"/>
          <w:color w:val="auto"/>
          <w:vertAlign w:val="superscript"/>
        </w:rPr>
        <w:t>3</w:t>
      </w:r>
      <w:r>
        <w:rPr>
          <w:rFonts w:hint="eastAsia"/>
          <w:color w:val="auto"/>
        </w:rPr>
        <w:t>。</w:t>
      </w:r>
    </w:p>
    <w:p>
      <w:pPr>
        <w:ind w:firstLine="482"/>
        <w:rPr>
          <w:b/>
          <w:bCs/>
          <w:color w:val="auto"/>
        </w:rPr>
      </w:pPr>
      <w:r>
        <w:rPr>
          <w:rFonts w:hint="eastAsia"/>
          <w:b/>
          <w:bCs/>
          <w:color w:val="auto"/>
        </w:rPr>
        <w:t xml:space="preserve">3、预测模式 </w:t>
      </w:r>
    </w:p>
    <w:p>
      <w:pPr>
        <w:ind w:firstLine="480"/>
        <w:rPr>
          <w:color w:val="auto"/>
        </w:rPr>
      </w:pPr>
      <w:r>
        <w:rPr>
          <w:rFonts w:hint="eastAsia"/>
          <w:color w:val="auto"/>
        </w:rPr>
        <w:t>本次评价采用《环境影响评价技术导则 大气环境》（HJ2.2-2018）推荐的估算模型AERSCREEN对本项目大气污染物进行大气等级评价估算。</w:t>
      </w:r>
    </w:p>
    <w:p>
      <w:pPr>
        <w:ind w:firstLine="482"/>
        <w:rPr>
          <w:b/>
          <w:bCs/>
          <w:color w:val="auto"/>
        </w:rPr>
      </w:pPr>
      <w:r>
        <w:rPr>
          <w:rFonts w:hint="eastAsia"/>
          <w:b/>
          <w:bCs/>
          <w:color w:val="auto"/>
        </w:rPr>
        <w:t>4、污染源参数</w:t>
      </w:r>
    </w:p>
    <w:p>
      <w:pPr>
        <w:ind w:firstLine="480"/>
      </w:pPr>
      <w:r>
        <w:rPr>
          <w:rFonts w:hint="eastAsia"/>
          <w:color w:val="auto"/>
        </w:rPr>
        <w:t>根据项目工程分析结果，项目大气污染物点源及面源参数如下。</w:t>
      </w:r>
    </w:p>
    <w:p>
      <w:pPr>
        <w:pStyle w:val="31"/>
        <w:rPr>
          <w:color w:val="auto"/>
        </w:rPr>
      </w:pPr>
    </w:p>
    <w:p>
      <w:pPr>
        <w:pStyle w:val="31"/>
        <w:rPr>
          <w:color w:val="auto"/>
        </w:rPr>
      </w:pPr>
    </w:p>
    <w:p>
      <w:pPr>
        <w:pStyle w:val="31"/>
        <w:rPr>
          <w:color w:val="auto"/>
        </w:rPr>
      </w:pPr>
    </w:p>
    <w:p>
      <w:pPr>
        <w:pStyle w:val="31"/>
        <w:rPr>
          <w:color w:val="auto"/>
        </w:rPr>
      </w:pPr>
    </w:p>
    <w:p>
      <w:pPr>
        <w:pStyle w:val="31"/>
        <w:rPr>
          <w:color w:val="auto"/>
        </w:rPr>
      </w:pPr>
    </w:p>
    <w:p>
      <w:pPr>
        <w:pStyle w:val="31"/>
        <w:rPr>
          <w:color w:val="auto"/>
        </w:rPr>
      </w:pPr>
      <w:r>
        <w:rPr>
          <w:color w:val="auto"/>
        </w:rPr>
        <w:t>表2.5-</w:t>
      </w:r>
      <w:r>
        <w:rPr>
          <w:rFonts w:hint="eastAsia"/>
          <w:color w:val="auto"/>
          <w:lang w:val="en-US" w:eastAsia="zh-CN"/>
        </w:rPr>
        <w:t>4</w:t>
      </w:r>
      <w:r>
        <w:rPr>
          <w:color w:val="auto"/>
        </w:rPr>
        <w:t xml:space="preserve">  本项目有组织污染源清单</w:t>
      </w:r>
    </w:p>
    <w:tbl>
      <w:tblPr>
        <w:tblStyle w:val="21"/>
        <w:tblW w:w="5000" w:type="pct"/>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464"/>
        <w:gridCol w:w="464"/>
        <w:gridCol w:w="1310"/>
        <w:gridCol w:w="1205"/>
        <w:gridCol w:w="748"/>
        <w:gridCol w:w="748"/>
        <w:gridCol w:w="634"/>
        <w:gridCol w:w="862"/>
        <w:gridCol w:w="748"/>
        <w:gridCol w:w="957"/>
        <w:gridCol w:w="864"/>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64" w:type="dxa"/>
            <w:vMerge w:val="restart"/>
            <w:tcBorders>
              <w:top w:val="single" w:color="auto" w:sz="12" w:space="0"/>
              <w:left w:val="single" w:color="auto" w:sz="12" w:space="0"/>
              <w:bottom w:val="single" w:color="auto" w:sz="4" w:space="0"/>
              <w:right w:val="single" w:color="auto" w:sz="4" w:space="0"/>
            </w:tcBorders>
            <w:vAlign w:val="center"/>
          </w:tcPr>
          <w:p>
            <w:pPr>
              <w:pStyle w:val="30"/>
              <w:rPr>
                <w:rFonts w:hint="eastAsia" w:eastAsia="宋体"/>
                <w:b/>
                <w:bCs/>
                <w:color w:val="auto"/>
                <w:lang w:val="en-US" w:eastAsia="zh-CN"/>
              </w:rPr>
            </w:pPr>
            <w:r>
              <w:rPr>
                <w:rFonts w:hint="eastAsia"/>
                <w:b/>
                <w:bCs/>
                <w:color w:val="auto"/>
                <w:lang w:val="en-US" w:eastAsia="zh-CN"/>
              </w:rPr>
              <w:t>编号</w:t>
            </w:r>
          </w:p>
        </w:tc>
        <w:tc>
          <w:tcPr>
            <w:tcW w:w="464" w:type="dxa"/>
            <w:vMerge w:val="restart"/>
            <w:tcBorders>
              <w:top w:val="single" w:color="auto" w:sz="12" w:space="0"/>
              <w:left w:val="single" w:color="auto" w:sz="4" w:space="0"/>
              <w:bottom w:val="single" w:color="auto" w:sz="4" w:space="0"/>
              <w:right w:val="single" w:color="auto" w:sz="4" w:space="0"/>
            </w:tcBorders>
            <w:vAlign w:val="center"/>
          </w:tcPr>
          <w:p>
            <w:pPr>
              <w:pStyle w:val="30"/>
              <w:rPr>
                <w:b/>
                <w:bCs/>
                <w:color w:val="auto"/>
              </w:rPr>
            </w:pPr>
            <w:r>
              <w:rPr>
                <w:b/>
                <w:bCs/>
                <w:color w:val="auto"/>
              </w:rPr>
              <w:t>污染源名称</w:t>
            </w:r>
          </w:p>
        </w:tc>
        <w:tc>
          <w:tcPr>
            <w:tcW w:w="2515" w:type="dxa"/>
            <w:gridSpan w:val="2"/>
            <w:tcBorders>
              <w:top w:val="single" w:color="auto" w:sz="12" w:space="0"/>
              <w:left w:val="single" w:color="auto" w:sz="4" w:space="0"/>
              <w:bottom w:val="single" w:color="auto" w:sz="4" w:space="0"/>
              <w:right w:val="single" w:color="auto" w:sz="4" w:space="0"/>
            </w:tcBorders>
            <w:vAlign w:val="center"/>
          </w:tcPr>
          <w:p>
            <w:pPr>
              <w:pStyle w:val="30"/>
              <w:rPr>
                <w:b/>
                <w:bCs/>
                <w:color w:val="auto"/>
              </w:rPr>
            </w:pPr>
            <w:r>
              <w:rPr>
                <w:b/>
                <w:bCs/>
                <w:color w:val="auto"/>
              </w:rPr>
              <w:t>排气筒底部中心坐标(°)</w:t>
            </w:r>
          </w:p>
        </w:tc>
        <w:tc>
          <w:tcPr>
            <w:tcW w:w="748" w:type="dxa"/>
            <w:vMerge w:val="restart"/>
            <w:tcBorders>
              <w:top w:val="single" w:color="auto" w:sz="12" w:space="0"/>
              <w:left w:val="single" w:color="auto" w:sz="4" w:space="0"/>
              <w:bottom w:val="single" w:color="auto" w:sz="4" w:space="0"/>
              <w:right w:val="single" w:color="auto" w:sz="4" w:space="0"/>
            </w:tcBorders>
            <w:vAlign w:val="center"/>
          </w:tcPr>
          <w:p>
            <w:pPr>
              <w:pStyle w:val="30"/>
              <w:rPr>
                <w:b/>
                <w:bCs/>
                <w:color w:val="auto"/>
              </w:rPr>
            </w:pPr>
            <w:r>
              <w:rPr>
                <w:b/>
                <w:bCs/>
                <w:color w:val="auto"/>
              </w:rPr>
              <w:t>排气筒底部海拔高度(m)</w:t>
            </w:r>
          </w:p>
        </w:tc>
        <w:tc>
          <w:tcPr>
            <w:tcW w:w="2992" w:type="dxa"/>
            <w:gridSpan w:val="4"/>
            <w:tcBorders>
              <w:top w:val="single" w:color="auto" w:sz="12" w:space="0"/>
              <w:left w:val="single" w:color="auto" w:sz="4" w:space="0"/>
              <w:bottom w:val="single" w:color="auto" w:sz="4" w:space="0"/>
              <w:right w:val="single" w:color="auto" w:sz="4" w:space="0"/>
            </w:tcBorders>
            <w:vAlign w:val="center"/>
          </w:tcPr>
          <w:p>
            <w:pPr>
              <w:pStyle w:val="30"/>
              <w:rPr>
                <w:b/>
                <w:bCs/>
                <w:color w:val="auto"/>
              </w:rPr>
            </w:pPr>
            <w:r>
              <w:rPr>
                <w:b/>
                <w:bCs/>
                <w:color w:val="auto"/>
              </w:rPr>
              <w:t>排气筒参数</w:t>
            </w:r>
          </w:p>
        </w:tc>
        <w:tc>
          <w:tcPr>
            <w:tcW w:w="1821" w:type="dxa"/>
            <w:gridSpan w:val="2"/>
            <w:tcBorders>
              <w:top w:val="single" w:color="auto" w:sz="12" w:space="0"/>
              <w:left w:val="single" w:color="auto" w:sz="4" w:space="0"/>
              <w:bottom w:val="single" w:color="auto" w:sz="4" w:space="0"/>
              <w:right w:val="single" w:color="auto" w:sz="12" w:space="0"/>
            </w:tcBorders>
            <w:vAlign w:val="center"/>
          </w:tcPr>
          <w:p>
            <w:pPr>
              <w:pStyle w:val="30"/>
              <w:rPr>
                <w:b/>
                <w:bCs/>
                <w:color w:val="auto"/>
              </w:rPr>
            </w:pPr>
            <w:r>
              <w:rPr>
                <w:b/>
                <w:bCs/>
                <w:color w:val="auto"/>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0" w:hRule="atLeast"/>
          <w:jc w:val="center"/>
        </w:trPr>
        <w:tc>
          <w:tcPr>
            <w:tcW w:w="464" w:type="dxa"/>
            <w:vMerge w:val="continue"/>
            <w:tcBorders>
              <w:top w:val="single" w:color="auto" w:sz="4" w:space="0"/>
              <w:left w:val="single" w:color="auto" w:sz="12" w:space="0"/>
              <w:bottom w:val="single" w:color="auto" w:sz="4" w:space="0"/>
              <w:right w:val="single" w:color="auto" w:sz="4" w:space="0"/>
            </w:tcBorders>
            <w:vAlign w:val="center"/>
          </w:tcPr>
          <w:p>
            <w:pPr>
              <w:pStyle w:val="30"/>
              <w:rPr>
                <w:b/>
                <w:bCs/>
                <w:color w:val="auto"/>
              </w:rPr>
            </w:pPr>
          </w:p>
        </w:tc>
        <w:tc>
          <w:tcPr>
            <w:tcW w:w="464" w:type="dxa"/>
            <w:vMerge w:val="continue"/>
            <w:tcBorders>
              <w:top w:val="single" w:color="auto" w:sz="4" w:space="0"/>
              <w:left w:val="single" w:color="auto" w:sz="4" w:space="0"/>
              <w:bottom w:val="single" w:color="auto" w:sz="4" w:space="0"/>
              <w:right w:val="single" w:color="auto" w:sz="4" w:space="0"/>
            </w:tcBorders>
            <w:vAlign w:val="center"/>
          </w:tcPr>
          <w:p>
            <w:pPr>
              <w:pStyle w:val="30"/>
              <w:rPr>
                <w:b/>
                <w:bCs/>
                <w:color w:val="auto"/>
              </w:rPr>
            </w:pPr>
          </w:p>
        </w:tc>
        <w:tc>
          <w:tcPr>
            <w:tcW w:w="1310"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经度</w:t>
            </w:r>
          </w:p>
        </w:tc>
        <w:tc>
          <w:tcPr>
            <w:tcW w:w="1205"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纬度</w:t>
            </w:r>
          </w:p>
        </w:tc>
        <w:tc>
          <w:tcPr>
            <w:tcW w:w="748" w:type="dxa"/>
            <w:vMerge w:val="continue"/>
            <w:tcBorders>
              <w:top w:val="single" w:color="auto" w:sz="4" w:space="0"/>
              <w:left w:val="single" w:color="auto" w:sz="4" w:space="0"/>
              <w:bottom w:val="single" w:color="auto" w:sz="4" w:space="0"/>
              <w:right w:val="single" w:color="auto" w:sz="4" w:space="0"/>
            </w:tcBorders>
            <w:vAlign w:val="center"/>
          </w:tcPr>
          <w:p>
            <w:pPr>
              <w:pStyle w:val="30"/>
              <w:rPr>
                <w:b/>
                <w:bCs/>
                <w:color w:val="auto"/>
              </w:rPr>
            </w:pPr>
          </w:p>
        </w:tc>
        <w:tc>
          <w:tcPr>
            <w:tcW w:w="748"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高度(m)</w:t>
            </w:r>
          </w:p>
        </w:tc>
        <w:tc>
          <w:tcPr>
            <w:tcW w:w="634"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内径(m)</w:t>
            </w:r>
          </w:p>
        </w:tc>
        <w:tc>
          <w:tcPr>
            <w:tcW w:w="862"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温度(℃)</w:t>
            </w:r>
          </w:p>
        </w:tc>
        <w:tc>
          <w:tcPr>
            <w:tcW w:w="748"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流速(m/s)</w:t>
            </w:r>
          </w:p>
        </w:tc>
        <w:tc>
          <w:tcPr>
            <w:tcW w:w="957" w:type="dxa"/>
            <w:tcBorders>
              <w:top w:val="single" w:color="auto" w:sz="4" w:space="0"/>
              <w:left w:val="single" w:color="auto" w:sz="4" w:space="0"/>
              <w:bottom w:val="single" w:color="auto" w:sz="4" w:space="0"/>
              <w:right w:val="single" w:color="auto" w:sz="4" w:space="0"/>
            </w:tcBorders>
            <w:vAlign w:val="center"/>
          </w:tcPr>
          <w:p>
            <w:pPr>
              <w:pStyle w:val="30"/>
              <w:rPr>
                <w:b/>
                <w:bCs/>
                <w:color w:val="auto"/>
              </w:rPr>
            </w:pPr>
            <w:r>
              <w:rPr>
                <w:b/>
                <w:bCs/>
                <w:color w:val="auto"/>
              </w:rPr>
              <w:t>NMHC</w:t>
            </w:r>
          </w:p>
        </w:tc>
        <w:tc>
          <w:tcPr>
            <w:tcW w:w="864" w:type="dxa"/>
            <w:tcBorders>
              <w:top w:val="single" w:color="auto" w:sz="4" w:space="0"/>
              <w:left w:val="single" w:color="auto" w:sz="4" w:space="0"/>
              <w:bottom w:val="single" w:color="auto" w:sz="4" w:space="0"/>
              <w:right w:val="single" w:color="auto" w:sz="12" w:space="0"/>
            </w:tcBorders>
            <w:vAlign w:val="center"/>
          </w:tcPr>
          <w:p>
            <w:pPr>
              <w:pStyle w:val="30"/>
              <w:rPr>
                <w:rFonts w:hint="default" w:eastAsia="宋体"/>
                <w:b/>
                <w:bCs/>
                <w:color w:val="auto"/>
                <w:lang w:val="en-US" w:eastAsia="zh-CN"/>
              </w:rPr>
            </w:pPr>
            <w:r>
              <w:rPr>
                <w:rFonts w:hint="eastAsia"/>
                <w:b/>
                <w:bCs/>
                <w:color w:val="auto"/>
                <w:lang w:val="en-US" w:eastAsia="zh-CN"/>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64" w:type="dxa"/>
            <w:tcBorders>
              <w:top w:val="single" w:color="auto" w:sz="4" w:space="0"/>
              <w:left w:val="single" w:color="auto" w:sz="12" w:space="0"/>
              <w:bottom w:val="single" w:color="auto" w:sz="4" w:space="0"/>
              <w:right w:val="single" w:color="auto" w:sz="4" w:space="0"/>
            </w:tcBorders>
            <w:vAlign w:val="center"/>
          </w:tcPr>
          <w:p>
            <w:pPr>
              <w:pStyle w:val="30"/>
              <w:rPr>
                <w:rFonts w:hint="eastAsia"/>
                <w:color w:val="auto"/>
                <w:lang w:val="en-US" w:eastAsia="zh-CN"/>
              </w:rPr>
            </w:pPr>
            <w:r>
              <w:rPr>
                <w:rFonts w:hint="eastAsia"/>
                <w:color w:val="auto"/>
                <w:lang w:val="en-US" w:eastAsia="zh-CN"/>
              </w:rPr>
              <w:t>1</w:t>
            </w:r>
          </w:p>
        </w:tc>
        <w:tc>
          <w:tcPr>
            <w:tcW w:w="464" w:type="dxa"/>
            <w:tcBorders>
              <w:top w:val="single" w:color="auto" w:sz="4" w:space="0"/>
              <w:left w:val="single" w:color="auto" w:sz="4" w:space="0"/>
              <w:bottom w:val="single" w:color="auto" w:sz="4" w:space="0"/>
              <w:right w:val="single" w:color="auto" w:sz="4" w:space="0"/>
            </w:tcBorders>
            <w:vAlign w:val="center"/>
          </w:tcPr>
          <w:p>
            <w:pPr>
              <w:pStyle w:val="30"/>
              <w:rPr>
                <w:color w:val="auto"/>
              </w:rPr>
            </w:pPr>
            <w:r>
              <w:rPr>
                <w:color w:val="auto"/>
              </w:rPr>
              <w:t>点源</w:t>
            </w:r>
          </w:p>
        </w:tc>
        <w:tc>
          <w:tcPr>
            <w:tcW w:w="1310" w:type="dxa"/>
            <w:tcBorders>
              <w:top w:val="single" w:color="auto" w:sz="4" w:space="0"/>
              <w:left w:val="single" w:color="auto" w:sz="4" w:space="0"/>
              <w:bottom w:val="single" w:color="auto" w:sz="4" w:space="0"/>
              <w:right w:val="single" w:color="auto" w:sz="4" w:space="0"/>
            </w:tcBorders>
            <w:vAlign w:val="center"/>
          </w:tcPr>
          <w:p>
            <w:pPr>
              <w:pStyle w:val="30"/>
              <w:rPr>
                <w:color w:val="auto"/>
              </w:rPr>
            </w:pPr>
            <w:r>
              <w:rPr>
                <w:color w:val="auto"/>
              </w:rPr>
              <w:t>113.171286</w:t>
            </w:r>
          </w:p>
        </w:tc>
        <w:tc>
          <w:tcPr>
            <w:tcW w:w="1205" w:type="dxa"/>
            <w:tcBorders>
              <w:top w:val="single" w:color="auto" w:sz="4" w:space="0"/>
              <w:left w:val="single" w:color="auto" w:sz="4" w:space="0"/>
              <w:bottom w:val="single" w:color="auto" w:sz="4" w:space="0"/>
              <w:right w:val="single" w:color="auto" w:sz="4" w:space="0"/>
            </w:tcBorders>
            <w:vAlign w:val="center"/>
          </w:tcPr>
          <w:p>
            <w:pPr>
              <w:pStyle w:val="30"/>
              <w:rPr>
                <w:color w:val="auto"/>
              </w:rPr>
            </w:pPr>
            <w:r>
              <w:rPr>
                <w:color w:val="auto"/>
              </w:rPr>
              <w:t>28.762883</w:t>
            </w:r>
          </w:p>
        </w:tc>
        <w:tc>
          <w:tcPr>
            <w:tcW w:w="748" w:type="dxa"/>
            <w:tcBorders>
              <w:top w:val="single" w:color="auto" w:sz="4" w:space="0"/>
              <w:left w:val="single" w:color="auto" w:sz="4" w:space="0"/>
              <w:bottom w:val="single" w:color="auto" w:sz="4" w:space="0"/>
              <w:right w:val="single" w:color="auto" w:sz="4" w:space="0"/>
            </w:tcBorders>
            <w:vAlign w:val="center"/>
          </w:tcPr>
          <w:p>
            <w:pPr>
              <w:pStyle w:val="30"/>
              <w:rPr>
                <w:color w:val="auto"/>
              </w:rPr>
            </w:pPr>
            <w:r>
              <w:rPr>
                <w:color w:val="auto"/>
              </w:rPr>
              <w:t>55.00</w:t>
            </w:r>
          </w:p>
        </w:tc>
        <w:tc>
          <w:tcPr>
            <w:tcW w:w="748"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color w:val="auto"/>
              </w:rPr>
            </w:pPr>
            <w:r>
              <w:rPr>
                <w:color w:val="auto"/>
              </w:rPr>
              <w:t>15.00</w:t>
            </w:r>
          </w:p>
        </w:tc>
        <w:tc>
          <w:tcPr>
            <w:tcW w:w="634"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lang w:val="en-US" w:eastAsia="zh-CN"/>
              </w:rPr>
            </w:pPr>
            <w:r>
              <w:rPr>
                <w:rFonts w:hint="eastAsia"/>
                <w:color w:val="auto"/>
                <w:lang w:val="en-US" w:eastAsia="zh-CN"/>
              </w:rPr>
              <w:t>0.80</w:t>
            </w:r>
          </w:p>
        </w:tc>
        <w:tc>
          <w:tcPr>
            <w:tcW w:w="862"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color w:val="auto"/>
                <w:lang w:val="en-US"/>
              </w:rPr>
            </w:pPr>
            <w:r>
              <w:rPr>
                <w:rFonts w:hint="eastAsia"/>
                <w:color w:val="auto"/>
                <w:lang w:val="en-US" w:eastAsia="zh-CN"/>
              </w:rPr>
              <w:t>80</w:t>
            </w:r>
          </w:p>
        </w:tc>
        <w:tc>
          <w:tcPr>
            <w:tcW w:w="748"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lang w:val="en-US" w:eastAsia="zh-CN"/>
              </w:rPr>
            </w:pPr>
            <w:r>
              <w:rPr>
                <w:rFonts w:hint="eastAsia"/>
                <w:color w:val="auto"/>
                <w:lang w:val="en-US" w:eastAsia="zh-CN"/>
              </w:rPr>
              <w:t>17.68</w:t>
            </w:r>
          </w:p>
        </w:tc>
        <w:tc>
          <w:tcPr>
            <w:tcW w:w="957" w:type="dxa"/>
            <w:tcBorders>
              <w:top w:val="single" w:color="auto" w:sz="4" w:space="0"/>
              <w:left w:val="single" w:color="auto" w:sz="4" w:space="0"/>
              <w:bottom w:val="single" w:color="auto" w:sz="4" w:space="0"/>
              <w:right w:val="single" w:color="auto" w:sz="4" w:space="0"/>
            </w:tcBorders>
            <w:vAlign w:val="center"/>
          </w:tcPr>
          <w:p>
            <w:pPr>
              <w:pStyle w:val="30"/>
              <w:ind w:firstLine="0" w:firstLineChars="0"/>
              <w:rPr>
                <w:rFonts w:hint="default" w:eastAsia="宋体"/>
                <w:color w:val="auto"/>
                <w:lang w:val="en-US" w:eastAsia="zh-CN"/>
              </w:rPr>
            </w:pPr>
            <w:r>
              <w:rPr>
                <w:rFonts w:hint="eastAsia"/>
                <w:color w:val="auto"/>
                <w:lang w:val="en-US" w:eastAsia="zh-CN"/>
              </w:rPr>
              <w:t>0.792</w:t>
            </w:r>
          </w:p>
        </w:tc>
        <w:tc>
          <w:tcPr>
            <w:tcW w:w="864" w:type="dxa"/>
            <w:tcBorders>
              <w:top w:val="single" w:color="auto" w:sz="4" w:space="0"/>
              <w:left w:val="single" w:color="auto" w:sz="4" w:space="0"/>
              <w:bottom w:val="single" w:color="auto" w:sz="4" w:space="0"/>
              <w:right w:val="single" w:color="auto" w:sz="12" w:space="0"/>
            </w:tcBorders>
            <w:vAlign w:val="center"/>
          </w:tcPr>
          <w:p>
            <w:pPr>
              <w:pStyle w:val="30"/>
              <w:ind w:firstLine="0" w:firstLineChars="0"/>
              <w:rPr>
                <w:color w:val="auto"/>
              </w:rPr>
            </w:pPr>
            <w:r>
              <w:rPr>
                <w:color w:val="auto"/>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0" w:hRule="atLeast"/>
          <w:jc w:val="center"/>
        </w:trPr>
        <w:tc>
          <w:tcPr>
            <w:tcW w:w="464" w:type="dxa"/>
            <w:tcBorders>
              <w:top w:val="single" w:color="auto" w:sz="4" w:space="0"/>
              <w:left w:val="single" w:color="auto" w:sz="12" w:space="0"/>
              <w:bottom w:val="single" w:color="auto" w:sz="12" w:space="0"/>
              <w:right w:val="single" w:color="auto" w:sz="4" w:space="0"/>
            </w:tcBorders>
            <w:vAlign w:val="center"/>
          </w:tcPr>
          <w:p>
            <w:pPr>
              <w:pStyle w:val="30"/>
              <w:rPr>
                <w:rFonts w:hint="default"/>
                <w:color w:val="auto"/>
                <w:lang w:val="en-US" w:eastAsia="zh-CN"/>
              </w:rPr>
            </w:pPr>
            <w:r>
              <w:rPr>
                <w:rFonts w:hint="eastAsia"/>
                <w:color w:val="auto"/>
                <w:lang w:val="en-US" w:eastAsia="zh-CN"/>
              </w:rPr>
              <w:t>2</w:t>
            </w:r>
          </w:p>
        </w:tc>
        <w:tc>
          <w:tcPr>
            <w:tcW w:w="464" w:type="dxa"/>
            <w:tcBorders>
              <w:top w:val="single" w:color="auto" w:sz="4" w:space="0"/>
              <w:left w:val="single" w:color="auto" w:sz="4" w:space="0"/>
              <w:bottom w:val="single" w:color="auto" w:sz="12" w:space="0"/>
              <w:right w:val="single" w:color="auto" w:sz="4" w:space="0"/>
            </w:tcBorders>
            <w:vAlign w:val="center"/>
          </w:tcPr>
          <w:p>
            <w:pPr>
              <w:pStyle w:val="30"/>
              <w:rPr>
                <w:color w:val="auto"/>
              </w:rPr>
            </w:pPr>
            <w:r>
              <w:rPr>
                <w:color w:val="auto"/>
              </w:rPr>
              <w:t>点源</w:t>
            </w:r>
          </w:p>
        </w:tc>
        <w:tc>
          <w:tcPr>
            <w:tcW w:w="1310" w:type="dxa"/>
            <w:tcBorders>
              <w:top w:val="single" w:color="auto" w:sz="4" w:space="0"/>
              <w:left w:val="single" w:color="auto" w:sz="4" w:space="0"/>
              <w:bottom w:val="single" w:color="auto" w:sz="12" w:space="0"/>
              <w:right w:val="single" w:color="auto" w:sz="4" w:space="0"/>
            </w:tcBorders>
            <w:vAlign w:val="center"/>
          </w:tcPr>
          <w:p>
            <w:pPr>
              <w:pStyle w:val="30"/>
              <w:rPr>
                <w:color w:val="auto"/>
              </w:rPr>
            </w:pPr>
            <w:r>
              <w:rPr>
                <w:color w:val="auto"/>
              </w:rPr>
              <w:t>113.17076</w:t>
            </w:r>
          </w:p>
        </w:tc>
        <w:tc>
          <w:tcPr>
            <w:tcW w:w="1205" w:type="dxa"/>
            <w:tcBorders>
              <w:top w:val="single" w:color="auto" w:sz="4" w:space="0"/>
              <w:left w:val="single" w:color="auto" w:sz="4" w:space="0"/>
              <w:bottom w:val="single" w:color="auto" w:sz="12" w:space="0"/>
              <w:right w:val="single" w:color="auto" w:sz="4" w:space="0"/>
            </w:tcBorders>
            <w:vAlign w:val="center"/>
          </w:tcPr>
          <w:p>
            <w:pPr>
              <w:pStyle w:val="30"/>
              <w:rPr>
                <w:color w:val="auto"/>
              </w:rPr>
            </w:pPr>
            <w:r>
              <w:rPr>
                <w:color w:val="auto"/>
              </w:rPr>
              <w:t>28.762346</w:t>
            </w:r>
          </w:p>
        </w:tc>
        <w:tc>
          <w:tcPr>
            <w:tcW w:w="748" w:type="dxa"/>
            <w:tcBorders>
              <w:top w:val="single" w:color="auto" w:sz="4" w:space="0"/>
              <w:left w:val="single" w:color="auto" w:sz="4" w:space="0"/>
              <w:bottom w:val="single" w:color="auto" w:sz="12" w:space="0"/>
              <w:right w:val="single" w:color="auto" w:sz="4" w:space="0"/>
            </w:tcBorders>
            <w:vAlign w:val="center"/>
          </w:tcPr>
          <w:p>
            <w:pPr>
              <w:pStyle w:val="30"/>
              <w:rPr>
                <w:color w:val="auto"/>
              </w:rPr>
            </w:pPr>
            <w:r>
              <w:rPr>
                <w:rFonts w:hint="eastAsia"/>
                <w:color w:val="auto"/>
                <w:lang w:val="en-US" w:eastAsia="zh-CN"/>
              </w:rPr>
              <w:t>55</w:t>
            </w:r>
            <w:r>
              <w:rPr>
                <w:color w:val="auto"/>
              </w:rPr>
              <w:t>.00</w:t>
            </w:r>
          </w:p>
        </w:tc>
        <w:tc>
          <w:tcPr>
            <w:tcW w:w="748"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rPr>
            </w:pPr>
            <w:r>
              <w:rPr>
                <w:color w:val="auto"/>
              </w:rPr>
              <w:t>15.00</w:t>
            </w:r>
          </w:p>
        </w:tc>
        <w:tc>
          <w:tcPr>
            <w:tcW w:w="634"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rPr>
            </w:pPr>
            <w:r>
              <w:rPr>
                <w:color w:val="auto"/>
              </w:rPr>
              <w:t>0.</w:t>
            </w:r>
            <w:r>
              <w:rPr>
                <w:rFonts w:hint="eastAsia"/>
                <w:color w:val="auto"/>
                <w:lang w:val="en-US" w:eastAsia="zh-CN"/>
              </w:rPr>
              <w:t>4</w:t>
            </w:r>
            <w:r>
              <w:rPr>
                <w:color w:val="auto"/>
              </w:rPr>
              <w:t>0</w:t>
            </w:r>
          </w:p>
        </w:tc>
        <w:tc>
          <w:tcPr>
            <w:tcW w:w="862"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rFonts w:hint="default" w:eastAsia="宋体"/>
                <w:color w:val="auto"/>
                <w:lang w:val="en-US" w:eastAsia="zh-CN"/>
              </w:rPr>
            </w:pPr>
            <w:r>
              <w:rPr>
                <w:rFonts w:hint="eastAsia"/>
                <w:color w:val="auto"/>
                <w:lang w:val="en-US" w:eastAsia="zh-CN"/>
              </w:rPr>
              <w:t>60</w:t>
            </w:r>
          </w:p>
        </w:tc>
        <w:tc>
          <w:tcPr>
            <w:tcW w:w="748"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rPr>
            </w:pPr>
            <w:r>
              <w:rPr>
                <w:color w:val="auto"/>
              </w:rPr>
              <w:t>5.00</w:t>
            </w:r>
          </w:p>
        </w:tc>
        <w:tc>
          <w:tcPr>
            <w:tcW w:w="957" w:type="dxa"/>
            <w:tcBorders>
              <w:top w:val="single" w:color="auto" w:sz="4" w:space="0"/>
              <w:left w:val="single" w:color="auto" w:sz="4" w:space="0"/>
              <w:bottom w:val="single" w:color="auto" w:sz="12" w:space="0"/>
              <w:right w:val="single" w:color="auto" w:sz="4" w:space="0"/>
            </w:tcBorders>
            <w:vAlign w:val="center"/>
          </w:tcPr>
          <w:p>
            <w:pPr>
              <w:pStyle w:val="30"/>
              <w:ind w:firstLine="0" w:firstLineChars="0"/>
              <w:rPr>
                <w:color w:val="auto"/>
              </w:rPr>
            </w:pPr>
            <w:r>
              <w:rPr>
                <w:color w:val="auto"/>
              </w:rPr>
              <w:t>-</w:t>
            </w:r>
          </w:p>
        </w:tc>
        <w:tc>
          <w:tcPr>
            <w:tcW w:w="864" w:type="dxa"/>
            <w:tcBorders>
              <w:top w:val="single" w:color="auto" w:sz="4" w:space="0"/>
              <w:left w:val="single" w:color="auto" w:sz="4" w:space="0"/>
              <w:bottom w:val="single" w:color="auto" w:sz="12" w:space="0"/>
              <w:right w:val="single" w:color="auto" w:sz="12" w:space="0"/>
            </w:tcBorders>
            <w:vAlign w:val="center"/>
          </w:tcPr>
          <w:p>
            <w:pPr>
              <w:pStyle w:val="30"/>
              <w:ind w:firstLine="0" w:firstLineChars="0"/>
              <w:rPr>
                <w:rFonts w:hint="default" w:eastAsia="宋体"/>
                <w:color w:val="auto"/>
                <w:lang w:val="en-US" w:eastAsia="zh-CN"/>
              </w:rPr>
            </w:pPr>
            <w:r>
              <w:rPr>
                <w:color w:val="auto"/>
              </w:rPr>
              <w:t>0.00</w:t>
            </w:r>
            <w:r>
              <w:rPr>
                <w:rFonts w:hint="eastAsia"/>
                <w:color w:val="auto"/>
                <w:lang w:val="en-US" w:eastAsia="zh-CN"/>
              </w:rPr>
              <w:t>07</w:t>
            </w:r>
          </w:p>
        </w:tc>
      </w:tr>
    </w:tbl>
    <w:p>
      <w:pPr>
        <w:pStyle w:val="31"/>
        <w:rPr>
          <w:color w:val="auto"/>
        </w:rPr>
      </w:pPr>
      <w:r>
        <w:rPr>
          <w:color w:val="auto"/>
        </w:rPr>
        <w:t>表2.5-</w:t>
      </w:r>
      <w:r>
        <w:rPr>
          <w:rFonts w:hint="eastAsia"/>
          <w:color w:val="auto"/>
          <w:lang w:val="en-US" w:eastAsia="zh-CN"/>
        </w:rPr>
        <w:t>5</w:t>
      </w:r>
      <w:r>
        <w:rPr>
          <w:color w:val="auto"/>
        </w:rPr>
        <w:t xml:space="preserve">  本项目</w:t>
      </w:r>
      <w:r>
        <w:rPr>
          <w:rFonts w:hint="eastAsia"/>
          <w:color w:val="auto"/>
          <w:lang w:val="en-US" w:eastAsia="zh-CN"/>
        </w:rPr>
        <w:t>无</w:t>
      </w:r>
      <w:r>
        <w:rPr>
          <w:color w:val="auto"/>
        </w:rPr>
        <w:t>组织污染源清单</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1503"/>
        <w:gridCol w:w="1381"/>
        <w:gridCol w:w="849"/>
        <w:gridCol w:w="982"/>
        <w:gridCol w:w="849"/>
        <w:gridCol w:w="849"/>
        <w:gridCol w:w="1093"/>
        <w:gridCol w:w="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污染源名称</w:t>
            </w:r>
          </w:p>
        </w:tc>
        <w:tc>
          <w:tcPr>
            <w:tcW w:w="0" w:type="dxa"/>
            <w:gridSpan w:val="2"/>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坐标(°)</w:t>
            </w:r>
          </w:p>
        </w:tc>
        <w:tc>
          <w:tcPr>
            <w:tcW w:w="0"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海拔高度(m)</w:t>
            </w:r>
          </w:p>
        </w:tc>
        <w:tc>
          <w:tcPr>
            <w:tcW w:w="0" w:type="dxa"/>
            <w:gridSpan w:val="3"/>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矩形面源</w:t>
            </w:r>
          </w:p>
        </w:tc>
        <w:tc>
          <w:tcPr>
            <w:tcW w:w="0" w:type="dxa"/>
            <w:gridSpan w:val="2"/>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污染物排放速率(kg/h)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经度</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纬度</w:t>
            </w:r>
          </w:p>
        </w:tc>
        <w:tc>
          <w:tcPr>
            <w:tcW w:w="0"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长度(m)</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宽度(m)</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有效高度(m)</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NMHC</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bCs/>
                <w:sz w:val="21"/>
              </w:rPr>
            </w:pPr>
            <w:r>
              <w:rPr>
                <w:rFonts w:ascii="Times New Roman" w:hAnsi="Times New Roman" w:eastAsia="宋体" w:cs="Times New Roman"/>
                <w:b/>
                <w:bCs/>
                <w:sz w:val="23"/>
                <w:szCs w:val="23"/>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矩形面源</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113.170185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28.762764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55.00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b w:val="0"/>
                <w:sz w:val="23"/>
                <w:szCs w:val="23"/>
                <w:lang w:val="en-US" w:eastAsia="zh-CN"/>
              </w:rPr>
              <w:t>128</w:t>
            </w:r>
            <w:r>
              <w:rPr>
                <w:rFonts w:ascii="Times New Roman" w:hAnsi="Times New Roman" w:eastAsia="宋体" w:cs="Times New Roman"/>
                <w:b w:val="0"/>
                <w:sz w:val="23"/>
                <w:szCs w:val="23"/>
              </w:rPr>
              <w:t>.00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hint="eastAsia" w:ascii="Times New Roman" w:hAnsi="Times New Roman" w:eastAsia="宋体" w:cs="Times New Roman"/>
                <w:b w:val="0"/>
                <w:sz w:val="23"/>
                <w:szCs w:val="23"/>
                <w:lang w:val="en-US" w:eastAsia="zh-CN"/>
              </w:rPr>
              <w:t>84</w:t>
            </w:r>
            <w:r>
              <w:rPr>
                <w:rFonts w:ascii="Times New Roman" w:hAnsi="Times New Roman" w:eastAsia="宋体" w:cs="Times New Roman"/>
                <w:b w:val="0"/>
                <w:sz w:val="23"/>
                <w:szCs w:val="23"/>
              </w:rPr>
              <w:t>.00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10.00</w:t>
            </w:r>
          </w:p>
        </w:tc>
        <w:tc>
          <w:tcPr>
            <w:tcW w:w="0"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sz w:val="21"/>
                <w:lang w:val="en-US"/>
              </w:rPr>
            </w:pPr>
            <w:r>
              <w:rPr>
                <w:rFonts w:hint="eastAsia" w:cs="Times New Roman"/>
                <w:b w:val="0"/>
                <w:sz w:val="23"/>
                <w:szCs w:val="23"/>
                <w:lang w:val="en-US" w:eastAsia="zh-CN"/>
              </w:rPr>
              <w:t>0.3300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b w:val="0"/>
                <w:sz w:val="23"/>
                <w:szCs w:val="23"/>
              </w:rPr>
              <w:t>0.0032</w:t>
            </w:r>
          </w:p>
        </w:tc>
      </w:tr>
    </w:tbl>
    <w:p>
      <w:pPr>
        <w:ind w:firstLine="482"/>
        <w:rPr>
          <w:b/>
          <w:bCs/>
          <w:color w:val="auto"/>
        </w:rPr>
      </w:pPr>
      <w:r>
        <w:rPr>
          <w:rFonts w:hint="eastAsia"/>
          <w:b/>
          <w:bCs/>
          <w:color w:val="auto"/>
        </w:rPr>
        <w:t>5、估算模型</w:t>
      </w:r>
    </w:p>
    <w:p>
      <w:pPr>
        <w:ind w:firstLine="480"/>
        <w:rPr>
          <w:color w:val="auto"/>
        </w:rPr>
      </w:pPr>
      <w:r>
        <w:rPr>
          <w:rFonts w:hint="eastAsia"/>
          <w:color w:val="auto"/>
        </w:rPr>
        <w:t>根据项目所在区域周边环境情况，确定大气估算模式参数如下。</w:t>
      </w:r>
    </w:p>
    <w:p>
      <w:pPr>
        <w:pStyle w:val="31"/>
        <w:rPr>
          <w:color w:val="auto"/>
        </w:rPr>
      </w:pPr>
      <w:r>
        <w:rPr>
          <w:rFonts w:hint="eastAsia"/>
          <w:color w:val="auto"/>
        </w:rPr>
        <w:t>表5.2-5 估算模型参数表</w:t>
      </w:r>
    </w:p>
    <w:tbl>
      <w:tblPr>
        <w:tblStyle w:val="21"/>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116"/>
        <w:gridCol w:w="4761"/>
        <w:gridCol w:w="2127"/>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tblHeader/>
          <w:jc w:val="center"/>
        </w:trPr>
        <w:tc>
          <w:tcPr>
            <w:tcW w:w="6877" w:type="dxa"/>
            <w:gridSpan w:val="2"/>
            <w:vAlign w:val="center"/>
          </w:tcPr>
          <w:p>
            <w:pPr>
              <w:pStyle w:val="30"/>
              <w:ind w:firstLine="480" w:firstLineChars="0"/>
              <w:rPr>
                <w:b/>
                <w:bCs/>
                <w:color w:val="auto"/>
              </w:rPr>
            </w:pPr>
            <w:r>
              <w:rPr>
                <w:b/>
                <w:bCs/>
                <w:color w:val="auto"/>
              </w:rPr>
              <w:t>参数</w:t>
            </w:r>
          </w:p>
        </w:tc>
        <w:tc>
          <w:tcPr>
            <w:tcW w:w="2127" w:type="dxa"/>
            <w:noWrap/>
            <w:vAlign w:val="center"/>
          </w:tcPr>
          <w:p>
            <w:pPr>
              <w:pStyle w:val="30"/>
              <w:ind w:firstLine="480" w:firstLineChars="0"/>
              <w:rPr>
                <w:b/>
                <w:bCs/>
                <w:color w:val="auto"/>
              </w:rPr>
            </w:pPr>
            <w:r>
              <w:rPr>
                <w:b/>
                <w:bCs/>
                <w:color w:val="auto"/>
              </w:rPr>
              <w:t>取值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PrEx>
        <w:trPr>
          <w:trHeight w:val="239" w:hRule="atLeast"/>
          <w:jc w:val="center"/>
        </w:trPr>
        <w:tc>
          <w:tcPr>
            <w:tcW w:w="2116" w:type="dxa"/>
            <w:vMerge w:val="restart"/>
            <w:vAlign w:val="center"/>
          </w:tcPr>
          <w:p>
            <w:pPr>
              <w:pStyle w:val="30"/>
              <w:ind w:firstLine="480" w:firstLineChars="0"/>
              <w:rPr>
                <w:color w:val="auto"/>
              </w:rPr>
            </w:pPr>
            <w:r>
              <w:rPr>
                <w:color w:val="auto"/>
              </w:rPr>
              <w:t>城市/农村选项</w:t>
            </w:r>
          </w:p>
        </w:tc>
        <w:tc>
          <w:tcPr>
            <w:tcW w:w="4761" w:type="dxa"/>
            <w:noWrap/>
            <w:vAlign w:val="center"/>
          </w:tcPr>
          <w:p>
            <w:pPr>
              <w:pStyle w:val="30"/>
              <w:ind w:firstLine="480" w:firstLineChars="0"/>
              <w:rPr>
                <w:color w:val="auto"/>
              </w:rPr>
            </w:pPr>
            <w:r>
              <w:rPr>
                <w:color w:val="auto"/>
              </w:rPr>
              <w:t>城市/农村</w:t>
            </w:r>
          </w:p>
        </w:tc>
        <w:tc>
          <w:tcPr>
            <w:tcW w:w="2127" w:type="dxa"/>
            <w:noWrap/>
            <w:vAlign w:val="center"/>
          </w:tcPr>
          <w:p>
            <w:pPr>
              <w:pStyle w:val="30"/>
              <w:ind w:firstLine="480" w:firstLineChars="0"/>
              <w:rPr>
                <w:color w:val="auto"/>
              </w:rPr>
            </w:pPr>
            <w:r>
              <w:rPr>
                <w:rFonts w:ascii="宋体" w:hAnsi="宋体" w:eastAsia="宋体"/>
                <w:b w:val="0"/>
                <w:sz w:val="23"/>
                <w:szCs w:val="23"/>
              </w:rPr>
              <w:t>农村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00" w:hRule="atLeast"/>
          <w:jc w:val="center"/>
        </w:trPr>
        <w:tc>
          <w:tcPr>
            <w:tcW w:w="2116" w:type="dxa"/>
            <w:vMerge w:val="continue"/>
            <w:vAlign w:val="center"/>
          </w:tcPr>
          <w:p>
            <w:pPr>
              <w:pStyle w:val="30"/>
              <w:ind w:firstLine="480" w:firstLineChars="0"/>
              <w:rPr>
                <w:color w:val="auto"/>
              </w:rPr>
            </w:pPr>
          </w:p>
        </w:tc>
        <w:tc>
          <w:tcPr>
            <w:tcW w:w="4761" w:type="dxa"/>
            <w:noWrap/>
            <w:vAlign w:val="center"/>
          </w:tcPr>
          <w:p>
            <w:pPr>
              <w:pStyle w:val="30"/>
              <w:ind w:firstLine="480" w:firstLineChars="0"/>
              <w:rPr>
                <w:color w:val="auto"/>
              </w:rPr>
            </w:pPr>
            <w:r>
              <w:rPr>
                <w:color w:val="auto"/>
              </w:rPr>
              <w:t>人口数（城市选项时）</w:t>
            </w:r>
          </w:p>
        </w:tc>
        <w:tc>
          <w:tcPr>
            <w:tcW w:w="2127" w:type="dxa"/>
            <w:noWrap/>
            <w:vAlign w:val="center"/>
          </w:tcPr>
          <w:p>
            <w:pPr>
              <w:pStyle w:val="30"/>
              <w:ind w:firstLine="480" w:firstLineChars="0"/>
              <w:rPr>
                <w:color w:val="auto"/>
              </w:rPr>
            </w:pPr>
            <w:r>
              <w:rPr>
                <w:rFonts w:hint="eastAsia"/>
                <w:color w:val="auto"/>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877" w:type="dxa"/>
            <w:gridSpan w:val="2"/>
            <w:vAlign w:val="center"/>
          </w:tcPr>
          <w:p>
            <w:pPr>
              <w:pStyle w:val="30"/>
              <w:ind w:firstLine="480" w:firstLineChars="0"/>
              <w:rPr>
                <w:color w:val="auto"/>
              </w:rPr>
            </w:pPr>
            <w:r>
              <w:rPr>
                <w:color w:val="auto"/>
              </w:rPr>
              <w:t>最高环境温度/ ℃</w:t>
            </w:r>
          </w:p>
        </w:tc>
        <w:tc>
          <w:tcPr>
            <w:tcW w:w="2127" w:type="dxa"/>
            <w:noWrap/>
            <w:vAlign w:val="center"/>
          </w:tcPr>
          <w:p>
            <w:pPr>
              <w:pStyle w:val="30"/>
              <w:ind w:firstLine="480" w:firstLineChars="0"/>
              <w:rPr>
                <w:color w:val="auto"/>
              </w:rPr>
            </w:pPr>
            <w:r>
              <w:rPr>
                <w:color w:val="auto"/>
              </w:rPr>
              <w:t>40.</w:t>
            </w:r>
            <w:r>
              <w:rPr>
                <w:rFonts w:hint="eastAsia"/>
                <w:color w:val="auto"/>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68" w:hRule="atLeast"/>
          <w:jc w:val="center"/>
        </w:trPr>
        <w:tc>
          <w:tcPr>
            <w:tcW w:w="6877" w:type="dxa"/>
            <w:gridSpan w:val="2"/>
            <w:vAlign w:val="center"/>
          </w:tcPr>
          <w:p>
            <w:pPr>
              <w:pStyle w:val="30"/>
              <w:ind w:firstLine="480" w:firstLineChars="0"/>
              <w:rPr>
                <w:color w:val="auto"/>
              </w:rPr>
            </w:pPr>
            <w:r>
              <w:rPr>
                <w:color w:val="auto"/>
              </w:rPr>
              <w:t>最低环境温度/ ℃</w:t>
            </w:r>
          </w:p>
        </w:tc>
        <w:tc>
          <w:tcPr>
            <w:tcW w:w="2127" w:type="dxa"/>
            <w:noWrap/>
            <w:vAlign w:val="center"/>
          </w:tcPr>
          <w:p>
            <w:pPr>
              <w:pStyle w:val="30"/>
              <w:ind w:firstLine="480" w:firstLineChars="0"/>
              <w:rPr>
                <w:color w:val="auto"/>
              </w:rPr>
            </w:pPr>
            <w:r>
              <w:rPr>
                <w:color w:val="auto"/>
              </w:rPr>
              <w:t>-</w:t>
            </w:r>
            <w:r>
              <w:rPr>
                <w:rFonts w:hint="eastAsia"/>
                <w:color w:val="auto"/>
                <w:lang w:val="en-US" w:eastAsia="zh-CN"/>
              </w:rPr>
              <w:t>14</w:t>
            </w:r>
            <w:r>
              <w:rPr>
                <w:color w:val="auto"/>
              </w:rPr>
              <w:t>.</w:t>
            </w:r>
            <w:r>
              <w:rPr>
                <w:rFonts w:hint="eastAsia"/>
                <w:color w:val="auto"/>
                <w:lang w:val="en-US" w:eastAsia="zh-CN"/>
              </w:rPr>
              <w:t>7</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877" w:type="dxa"/>
            <w:gridSpan w:val="2"/>
            <w:vAlign w:val="center"/>
          </w:tcPr>
          <w:p>
            <w:pPr>
              <w:pStyle w:val="30"/>
              <w:ind w:firstLine="480" w:firstLineChars="0"/>
              <w:rPr>
                <w:color w:val="auto"/>
              </w:rPr>
            </w:pPr>
            <w:r>
              <w:rPr>
                <w:color w:val="auto"/>
              </w:rPr>
              <w:t>土地利用类型</w:t>
            </w:r>
          </w:p>
        </w:tc>
        <w:tc>
          <w:tcPr>
            <w:tcW w:w="2127" w:type="dxa"/>
            <w:noWrap/>
            <w:vAlign w:val="center"/>
          </w:tcPr>
          <w:p>
            <w:pPr>
              <w:pStyle w:val="30"/>
              <w:ind w:firstLine="480" w:firstLineChars="0"/>
              <w:rPr>
                <w:color w:val="auto"/>
              </w:rPr>
            </w:pPr>
            <w:r>
              <w:rPr>
                <w:rFonts w:hint="eastAsia"/>
                <w:color w:val="auto"/>
                <w:lang w:val="en-US" w:eastAsia="zh-CN"/>
              </w:rPr>
              <w:t>农田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6877" w:type="dxa"/>
            <w:gridSpan w:val="2"/>
            <w:vAlign w:val="center"/>
          </w:tcPr>
          <w:p>
            <w:pPr>
              <w:pStyle w:val="30"/>
              <w:ind w:firstLine="480" w:firstLineChars="0"/>
              <w:rPr>
                <w:color w:val="auto"/>
              </w:rPr>
            </w:pPr>
            <w:r>
              <w:rPr>
                <w:color w:val="auto"/>
              </w:rPr>
              <w:t>区域湿度条件</w:t>
            </w:r>
          </w:p>
        </w:tc>
        <w:tc>
          <w:tcPr>
            <w:tcW w:w="2127" w:type="dxa"/>
            <w:noWrap/>
            <w:vAlign w:val="center"/>
          </w:tcPr>
          <w:p>
            <w:pPr>
              <w:pStyle w:val="30"/>
              <w:ind w:firstLine="480" w:firstLineChars="0"/>
              <w:rPr>
                <w:color w:val="auto"/>
              </w:rPr>
            </w:pPr>
            <w:r>
              <w:rPr>
                <w:rFonts w:hint="eastAsia"/>
                <w:color w:val="auto"/>
              </w:rPr>
              <w:t>潮湿</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2116" w:type="dxa"/>
            <w:vMerge w:val="restart"/>
            <w:vAlign w:val="center"/>
          </w:tcPr>
          <w:p>
            <w:pPr>
              <w:pStyle w:val="30"/>
              <w:ind w:firstLine="480" w:firstLineChars="0"/>
              <w:rPr>
                <w:color w:val="auto"/>
              </w:rPr>
            </w:pPr>
            <w:r>
              <w:rPr>
                <w:color w:val="auto"/>
              </w:rPr>
              <w:t>是否考虑地形</w:t>
            </w:r>
          </w:p>
        </w:tc>
        <w:tc>
          <w:tcPr>
            <w:tcW w:w="4761" w:type="dxa"/>
            <w:noWrap/>
            <w:vAlign w:val="center"/>
          </w:tcPr>
          <w:p>
            <w:pPr>
              <w:pStyle w:val="30"/>
              <w:ind w:firstLine="480" w:firstLineChars="0"/>
              <w:rPr>
                <w:color w:val="auto"/>
              </w:rPr>
            </w:pPr>
            <w:r>
              <w:rPr>
                <w:color w:val="auto"/>
              </w:rPr>
              <w:t>考虑地形</w:t>
            </w:r>
          </w:p>
        </w:tc>
        <w:tc>
          <w:tcPr>
            <w:tcW w:w="2127" w:type="dxa"/>
            <w:noWrap/>
            <w:vAlign w:val="center"/>
          </w:tcPr>
          <w:p>
            <w:pPr>
              <w:pStyle w:val="30"/>
              <w:ind w:firstLine="480" w:firstLineChars="0"/>
              <w:rPr>
                <w:color w:val="auto"/>
              </w:rPr>
            </w:pPr>
            <w:r>
              <w:rPr>
                <w:color w:val="auto"/>
              </w:rPr>
              <w:t>是</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2116" w:type="dxa"/>
            <w:vMerge w:val="continue"/>
            <w:vAlign w:val="center"/>
          </w:tcPr>
          <w:p>
            <w:pPr>
              <w:pStyle w:val="30"/>
              <w:ind w:firstLine="480" w:firstLineChars="0"/>
              <w:rPr>
                <w:color w:val="auto"/>
              </w:rPr>
            </w:pPr>
          </w:p>
        </w:tc>
        <w:tc>
          <w:tcPr>
            <w:tcW w:w="4761" w:type="dxa"/>
            <w:noWrap/>
            <w:vAlign w:val="center"/>
          </w:tcPr>
          <w:p>
            <w:pPr>
              <w:pStyle w:val="30"/>
              <w:ind w:firstLine="480" w:firstLineChars="0"/>
              <w:rPr>
                <w:color w:val="auto"/>
              </w:rPr>
            </w:pPr>
            <w:r>
              <w:rPr>
                <w:color w:val="auto"/>
              </w:rPr>
              <w:t>地形数据分辨率 / m</w:t>
            </w:r>
          </w:p>
        </w:tc>
        <w:tc>
          <w:tcPr>
            <w:tcW w:w="2127" w:type="dxa"/>
            <w:noWrap/>
            <w:vAlign w:val="center"/>
          </w:tcPr>
          <w:p>
            <w:pPr>
              <w:pStyle w:val="30"/>
              <w:ind w:firstLine="480" w:firstLineChars="0"/>
              <w:rPr>
                <w:color w:val="auto"/>
              </w:rPr>
            </w:pPr>
            <w:r>
              <w:rPr>
                <w:color w:val="auto"/>
              </w:rPr>
              <w:t>90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2116" w:type="dxa"/>
            <w:vMerge w:val="restart"/>
            <w:vAlign w:val="center"/>
          </w:tcPr>
          <w:p>
            <w:pPr>
              <w:pStyle w:val="30"/>
              <w:ind w:firstLine="480" w:firstLineChars="0"/>
              <w:rPr>
                <w:color w:val="auto"/>
              </w:rPr>
            </w:pPr>
            <w:r>
              <w:rPr>
                <w:color w:val="auto"/>
              </w:rPr>
              <w:t>是否考虑岸线熏烟</w:t>
            </w:r>
          </w:p>
        </w:tc>
        <w:tc>
          <w:tcPr>
            <w:tcW w:w="4761" w:type="dxa"/>
            <w:noWrap/>
            <w:vAlign w:val="center"/>
          </w:tcPr>
          <w:p>
            <w:pPr>
              <w:pStyle w:val="30"/>
              <w:ind w:firstLine="480" w:firstLineChars="0"/>
              <w:rPr>
                <w:color w:val="auto"/>
              </w:rPr>
            </w:pPr>
            <w:r>
              <w:rPr>
                <w:color w:val="auto"/>
              </w:rPr>
              <w:t>考虑岸线熏烟</w:t>
            </w:r>
          </w:p>
        </w:tc>
        <w:tc>
          <w:tcPr>
            <w:tcW w:w="2127" w:type="dxa"/>
            <w:noWrap/>
            <w:vAlign w:val="center"/>
          </w:tcPr>
          <w:p>
            <w:pPr>
              <w:pStyle w:val="30"/>
              <w:ind w:firstLine="480" w:firstLineChars="0"/>
              <w:rPr>
                <w:color w:val="auto"/>
              </w:rPr>
            </w:pPr>
            <w:r>
              <w:rPr>
                <w:color w:val="auto"/>
              </w:rPr>
              <w:t>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407" w:hRule="atLeast"/>
          <w:jc w:val="center"/>
        </w:trPr>
        <w:tc>
          <w:tcPr>
            <w:tcW w:w="2116" w:type="dxa"/>
            <w:vMerge w:val="continue"/>
            <w:vAlign w:val="center"/>
          </w:tcPr>
          <w:p>
            <w:pPr>
              <w:pStyle w:val="30"/>
              <w:ind w:firstLine="480" w:firstLineChars="0"/>
              <w:rPr>
                <w:color w:val="auto"/>
              </w:rPr>
            </w:pPr>
          </w:p>
        </w:tc>
        <w:tc>
          <w:tcPr>
            <w:tcW w:w="4761" w:type="dxa"/>
            <w:noWrap/>
            <w:vAlign w:val="center"/>
          </w:tcPr>
          <w:p>
            <w:pPr>
              <w:pStyle w:val="30"/>
              <w:ind w:firstLine="480" w:firstLineChars="0"/>
              <w:rPr>
                <w:color w:val="auto"/>
              </w:rPr>
            </w:pPr>
            <w:r>
              <w:rPr>
                <w:color w:val="auto"/>
              </w:rPr>
              <w:t>岸线距离/km</w:t>
            </w:r>
          </w:p>
        </w:tc>
        <w:tc>
          <w:tcPr>
            <w:tcW w:w="2127" w:type="dxa"/>
            <w:noWrap/>
            <w:vAlign w:val="center"/>
          </w:tcPr>
          <w:p>
            <w:pPr>
              <w:pStyle w:val="30"/>
              <w:ind w:firstLine="480" w:firstLineChars="0"/>
              <w:rPr>
                <w:color w:val="auto"/>
              </w:rPr>
            </w:pPr>
            <w:r>
              <w:rPr>
                <w:color w:val="auto"/>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87" w:hRule="atLeast"/>
          <w:jc w:val="center"/>
        </w:trPr>
        <w:tc>
          <w:tcPr>
            <w:tcW w:w="2116" w:type="dxa"/>
            <w:vMerge w:val="continue"/>
            <w:vAlign w:val="center"/>
          </w:tcPr>
          <w:p>
            <w:pPr>
              <w:pStyle w:val="30"/>
              <w:ind w:firstLine="480" w:firstLineChars="0"/>
              <w:rPr>
                <w:color w:val="auto"/>
              </w:rPr>
            </w:pPr>
          </w:p>
        </w:tc>
        <w:tc>
          <w:tcPr>
            <w:tcW w:w="4761" w:type="dxa"/>
            <w:noWrap/>
            <w:vAlign w:val="center"/>
          </w:tcPr>
          <w:p>
            <w:pPr>
              <w:pStyle w:val="30"/>
              <w:ind w:firstLine="480" w:firstLineChars="0"/>
              <w:rPr>
                <w:color w:val="auto"/>
              </w:rPr>
            </w:pPr>
            <w:r>
              <w:rPr>
                <w:color w:val="auto"/>
              </w:rPr>
              <w:t>岸线方向/ °</w:t>
            </w:r>
          </w:p>
        </w:tc>
        <w:tc>
          <w:tcPr>
            <w:tcW w:w="2127" w:type="dxa"/>
            <w:noWrap/>
            <w:vAlign w:val="center"/>
          </w:tcPr>
          <w:p>
            <w:pPr>
              <w:pStyle w:val="30"/>
              <w:ind w:firstLine="480" w:firstLineChars="0"/>
              <w:rPr>
                <w:color w:val="auto"/>
              </w:rPr>
            </w:pPr>
            <w:r>
              <w:rPr>
                <w:color w:val="auto"/>
              </w:rPr>
              <w:t>/</w:t>
            </w:r>
          </w:p>
        </w:tc>
      </w:tr>
    </w:tbl>
    <w:p>
      <w:pPr>
        <w:pStyle w:val="31"/>
        <w:rPr>
          <w:color w:val="auto"/>
        </w:rPr>
      </w:pPr>
    </w:p>
    <w:p>
      <w:pPr>
        <w:ind w:firstLine="482"/>
        <w:rPr>
          <w:color w:val="auto"/>
        </w:rPr>
      </w:pPr>
      <w:r>
        <w:rPr>
          <w:b/>
          <w:bCs/>
          <w:color w:val="auto"/>
        </w:rPr>
        <w:t>说明：</w:t>
      </w:r>
      <w:r>
        <w:rPr>
          <w:rFonts w:hint="eastAsia"/>
          <w:color w:val="auto"/>
        </w:rPr>
        <w:t>①</w:t>
      </w:r>
      <w:r>
        <w:rPr>
          <w:color w:val="auto"/>
        </w:rPr>
        <w:t>项目周边3km半径范围内未达到一半以上面积属于城市建成区或者规划区，故选择农村；</w:t>
      </w:r>
      <w:r>
        <w:rPr>
          <w:rFonts w:hint="eastAsia"/>
          <w:color w:val="auto"/>
        </w:rPr>
        <w:t>②</w:t>
      </w:r>
      <w:r>
        <w:rPr>
          <w:color w:val="auto"/>
        </w:rPr>
        <w:t>项目周边3km范围内的占地面积最大的土地利用类型为农田。</w:t>
      </w:r>
    </w:p>
    <w:p>
      <w:pPr>
        <w:ind w:firstLine="482"/>
        <w:rPr>
          <w:b/>
          <w:bCs/>
          <w:color w:val="auto"/>
        </w:rPr>
      </w:pPr>
      <w:r>
        <w:rPr>
          <w:rFonts w:hint="eastAsia"/>
          <w:b/>
          <w:bCs/>
          <w:color w:val="auto"/>
        </w:rPr>
        <w:t>6、地形高程</w:t>
      </w:r>
    </w:p>
    <w:p>
      <w:pPr>
        <w:ind w:firstLine="480"/>
        <w:rPr>
          <w:color w:val="auto"/>
        </w:rPr>
      </w:pPr>
      <w:r>
        <w:rPr>
          <w:rFonts w:hint="eastAsia"/>
          <w:color w:val="auto"/>
        </w:rPr>
        <w:t>本项目位于汨罗市新市镇八里村，评价范围内的地形数据采用外部DEM文件，数据来源为http：//srtm.csi.cgiar.org/，分辨率为90m，地形数据范围为srtm59-07。采用Aermap运行计算得出评价范围内各网格及敏感点的地形等高线数据。</w:t>
      </w:r>
    </w:p>
    <w:p>
      <w:pPr>
        <w:ind w:firstLine="482"/>
        <w:rPr>
          <w:b/>
          <w:bCs/>
          <w:color w:val="auto"/>
        </w:rPr>
      </w:pPr>
      <w:r>
        <w:rPr>
          <w:rFonts w:hint="eastAsia"/>
          <w:b/>
          <w:bCs/>
          <w:color w:val="auto"/>
        </w:rPr>
        <w:t>7、预测结果</w:t>
      </w:r>
    </w:p>
    <w:p>
      <w:pPr>
        <w:ind w:firstLine="480"/>
        <w:rPr>
          <w:color w:val="auto"/>
        </w:rPr>
      </w:pPr>
      <w:r>
        <w:rPr>
          <w:rFonts w:hint="eastAsia"/>
          <w:color w:val="auto"/>
        </w:rPr>
        <w:t>本项目正常工况下有组织排放废气及无组织排放废气预测结果如下。</w:t>
      </w:r>
    </w:p>
    <w:p>
      <w:pPr>
        <w:pStyle w:val="31"/>
        <w:rPr>
          <w:color w:val="auto"/>
        </w:rPr>
      </w:pPr>
      <w:r>
        <w:rPr>
          <w:rFonts w:hint="eastAsia"/>
          <w:color w:val="auto"/>
        </w:rPr>
        <w:t>表5.2-7 正常工况下有组织废气预测结果—DA001排气筒（挤出</w:t>
      </w:r>
      <w:r>
        <w:rPr>
          <w:rFonts w:hint="eastAsia"/>
          <w:color w:val="auto"/>
          <w:lang w:eastAsia="zh-CN"/>
        </w:rPr>
        <w:t>、</w:t>
      </w:r>
      <w:r>
        <w:rPr>
          <w:rFonts w:hint="eastAsia"/>
          <w:color w:val="auto"/>
          <w:lang w:val="en-US" w:eastAsia="zh-CN"/>
        </w:rPr>
        <w:t>造粒</w:t>
      </w:r>
      <w:r>
        <w:rPr>
          <w:rFonts w:hint="eastAsia"/>
          <w:color w:val="auto"/>
        </w:rPr>
        <w:t>）</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92"/>
        <w:gridCol w:w="2789"/>
        <w:gridCol w:w="2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下风向距离</w:t>
            </w:r>
          </w:p>
        </w:tc>
        <w:tc>
          <w:tcPr>
            <w:tcW w:w="0" w:type="auto"/>
            <w:gridSpan w:val="2"/>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p>
        </w:tc>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NMHC浓度(μg/m³)</w:t>
            </w:r>
          </w:p>
        </w:tc>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NMHC占标率(%)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50.0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5.5972</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0.2799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7.5135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0.3757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200.0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8.8840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0.4442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300.0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7.3265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0.3663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400.0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7.4995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500.0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7.1768</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0.3588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600.0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6.7020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0.3351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700.0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6.2075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800.0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5.7659</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0.2883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900.0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5.3610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5.0117</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0.2506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1200.0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4.4237</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0.2212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1400.0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4.0695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0.2035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1600.0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3.7730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0.1887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1800.0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3.5160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0.1758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2000.0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3.2881</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0.1644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2500.0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3.6506</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3000.0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6.3451</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3500.0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2.5494</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4000.0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3.0537</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4500.0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7.4813</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0.3741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5000.0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14.0470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0.7024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10000.0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5.3495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0.2675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11000.0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7.2475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0.3624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12000.0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4.3855</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13000.0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5.2580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0.2629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14000.0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3.1481</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0.1574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15000.0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4.7920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0.2396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20000.0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3.5732</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0.1787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25000.0</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2.7222</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0.1361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下风向最大浓度</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20.7310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1.0366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下风向最大浓度出现距离</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3705.0</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3705.0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auto"/>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b w:val="0"/>
                <w:sz w:val="21"/>
                <w:szCs w:val="21"/>
              </w:rPr>
              <w:t>D10%最远距离</w:t>
            </w:r>
          </w:p>
        </w:tc>
        <w:tc>
          <w:tcPr>
            <w:tcW w:w="2789"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2623"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bl>
    <w:p>
      <w:pPr>
        <w:pStyle w:val="31"/>
        <w:rPr>
          <w:rFonts w:hint="eastAsia"/>
          <w:color w:val="auto"/>
        </w:rPr>
      </w:pPr>
    </w:p>
    <w:p>
      <w:pPr>
        <w:pStyle w:val="31"/>
        <w:rPr>
          <w:color w:val="auto"/>
        </w:rPr>
      </w:pPr>
      <w:r>
        <w:rPr>
          <w:rFonts w:hint="eastAsia"/>
          <w:color w:val="auto"/>
        </w:rPr>
        <w:t>表5.2-</w:t>
      </w:r>
      <w:r>
        <w:rPr>
          <w:rFonts w:hint="eastAsia"/>
          <w:color w:val="auto"/>
          <w:lang w:val="en-US" w:eastAsia="zh-CN"/>
        </w:rPr>
        <w:t>8</w:t>
      </w:r>
      <w:r>
        <w:rPr>
          <w:rFonts w:hint="eastAsia"/>
          <w:color w:val="auto"/>
        </w:rPr>
        <w:t xml:space="preserve"> 正常工况下有组织废气预测结果—DA00</w:t>
      </w:r>
      <w:r>
        <w:rPr>
          <w:rFonts w:hint="eastAsia"/>
          <w:color w:val="auto"/>
          <w:lang w:val="en-US" w:eastAsia="zh-CN"/>
        </w:rPr>
        <w:t>2</w:t>
      </w:r>
      <w:r>
        <w:rPr>
          <w:rFonts w:hint="eastAsia"/>
          <w:color w:val="auto"/>
        </w:rPr>
        <w:t>排气筒（</w:t>
      </w:r>
      <w:r>
        <w:rPr>
          <w:rFonts w:hint="eastAsia"/>
          <w:color w:val="auto"/>
          <w:lang w:val="en-US" w:eastAsia="zh-CN"/>
        </w:rPr>
        <w:t>破碎</w:t>
      </w:r>
      <w:r>
        <w:rPr>
          <w:rFonts w:hint="eastAsia"/>
          <w:color w:val="auto"/>
        </w:rPr>
        <w:t>）</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72"/>
        <w:gridCol w:w="3031"/>
        <w:gridCol w:w="2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下风向距离</w:t>
            </w:r>
          </w:p>
        </w:tc>
        <w:tc>
          <w:tcPr>
            <w:tcW w:w="0" w:type="dxa"/>
            <w:gridSpan w:val="2"/>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点源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TSP浓度(μg/m³)</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0.0411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0.0363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0.0340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0.0289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0.0294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0.0260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0.0231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0.0204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0.0185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900.0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0.0173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0.0163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0.0146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0.0194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0.0224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0.0118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0.0122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0.0335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0.0240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0.0397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0.0362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0.0324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0.0239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0.0119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0.0088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0.0093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0.0070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0.0066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0.0033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下风向最大浓度</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0.0433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0.0048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下风向最大浓度出现距离</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3595.0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3595.0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D10%最远距离</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r>
    </w:tbl>
    <w:p>
      <w:pPr>
        <w:pStyle w:val="31"/>
        <w:rPr>
          <w:rFonts w:hint="eastAsia"/>
          <w:color w:val="auto"/>
        </w:rPr>
      </w:pPr>
      <w:r>
        <w:rPr>
          <w:rFonts w:hint="eastAsia"/>
          <w:color w:val="auto"/>
        </w:rPr>
        <w:t>表5.2-</w:t>
      </w:r>
      <w:r>
        <w:rPr>
          <w:rFonts w:hint="eastAsia"/>
          <w:color w:val="auto"/>
          <w:lang w:val="en-US" w:eastAsia="zh-CN"/>
        </w:rPr>
        <w:t>10</w:t>
      </w:r>
      <w:r>
        <w:rPr>
          <w:rFonts w:hint="eastAsia"/>
          <w:color w:val="auto"/>
        </w:rPr>
        <w:t xml:space="preserve"> 正常工况下</w:t>
      </w:r>
      <w:r>
        <w:rPr>
          <w:rFonts w:hint="eastAsia"/>
          <w:color w:val="auto"/>
          <w:lang w:val="en-US" w:eastAsia="zh-CN"/>
        </w:rPr>
        <w:t>无</w:t>
      </w:r>
      <w:r>
        <w:rPr>
          <w:rFonts w:hint="eastAsia"/>
          <w:color w:val="auto"/>
        </w:rPr>
        <w:t>组织废气预测结果—</w:t>
      </w:r>
      <w:r>
        <w:rPr>
          <w:rFonts w:hint="eastAsia"/>
          <w:color w:val="auto"/>
          <w:lang w:val="en-US" w:eastAsia="zh-CN"/>
        </w:rPr>
        <w:t>生产厂房</w:t>
      </w:r>
    </w:p>
    <w:tbl>
      <w:tblPr>
        <w:tblStyle w:val="2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38"/>
        <w:gridCol w:w="2053"/>
        <w:gridCol w:w="1732"/>
        <w:gridCol w:w="1757"/>
        <w:gridCol w:w="16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vMerge w:val="restart"/>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下风向距离</w:t>
            </w:r>
          </w:p>
        </w:tc>
        <w:tc>
          <w:tcPr>
            <w:tcW w:w="0" w:type="dxa"/>
            <w:gridSpan w:val="4"/>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矩形面源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NMHC浓度(μg/m³)</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NMHC占标率(%)</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TSP浓度(μg/m³)</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TSP占标率(%)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74.8790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3.7439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0.7261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0.0807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103.0200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5.1510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0.9990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0.1110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88.4520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4.4226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0.8577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0.0953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71.8570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3.5929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0.6968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0.0774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60.7280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3.0364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0.5889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0.0654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52.9000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2.6450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0.5130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49.2230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2.4611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0.4773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44.1430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2.2071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0.4281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40.1730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2.0086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0.3896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0.0433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900.0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36.9710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1.8485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0.3585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34.3260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1.7163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0.3329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0.0370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30.1910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1.5095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0.2928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28.4080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1.4204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0.2755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26.9930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1.3497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0.2618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0.0291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25.6840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1.2842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0.2491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0.0277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24.4950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1.2248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0.2375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0.0264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21.9110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1.0956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0.2125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19.9770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0.9989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0.1937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3500.0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18.1190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0.9060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0.1757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0.0195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16.5500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0.8275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0.1605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0.0178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4500.0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15.2100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0.7605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0.1475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14.0530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0.7027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0.1363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8.2542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0.4127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0.0800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7.7628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0.3881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0.0753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12000.0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7.3218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0.3661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0.0710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13000.0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6.9239</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0.3462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0.0671</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14000.0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6.5633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0.3282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0.0636</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6.2353</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0.3118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0.0605</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20000.0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5.0288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0.2514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0.0488</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25000.0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4.2487</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0.2124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0.0412</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0.0046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下风向最大浓度</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105.6400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5.2820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1.0244</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0.1138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下风向最大浓度出现距离</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118.0</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118.0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D10%最远距离</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w:t>
            </w:r>
          </w:p>
        </w:tc>
        <w:tc>
          <w:tcPr>
            <w:tcW w:w="0" w:type="dxa"/>
            <w:tcBorders>
              <w:tl2br w:val="nil"/>
              <w:tr2bl w:val="nil"/>
            </w:tcBorders>
            <w:vAlign w:val="center"/>
          </w:tcPr>
          <w:p>
            <w:pPr>
              <w:spacing w:line="240" w:lineRule="auto"/>
              <w:ind w:firstLine="0" w:firstLineChars="0"/>
              <w:jc w:val="center"/>
              <w:rPr>
                <w:rFonts w:ascii="Times New Roman" w:hAnsi="Times New Roman" w:eastAsia="宋体" w:cs="Times New Roman"/>
                <w:b w:val="0"/>
                <w:sz w:val="21"/>
                <w:szCs w:val="21"/>
              </w:rPr>
            </w:pPr>
            <w:r>
              <w:rPr>
                <w:rFonts w:ascii="Times New Roman" w:hAnsi="Times New Roman" w:eastAsia="宋体" w:cs="Times New Roman"/>
                <w:b w:val="0"/>
                <w:sz w:val="21"/>
                <w:szCs w:val="21"/>
              </w:rPr>
              <w:t>/</w:t>
            </w:r>
          </w:p>
        </w:tc>
      </w:tr>
    </w:tbl>
    <w:p>
      <w:pPr>
        <w:pStyle w:val="31"/>
        <w:jc w:val="both"/>
        <w:rPr>
          <w:color w:val="auto"/>
        </w:rPr>
      </w:pPr>
    </w:p>
    <w:p>
      <w:pPr>
        <w:ind w:firstLine="480"/>
        <w:rPr>
          <w:color w:val="auto"/>
        </w:rPr>
      </w:pPr>
      <w:r>
        <w:rPr>
          <w:rFonts w:hint="eastAsia"/>
          <w:color w:val="auto"/>
        </w:rPr>
        <w:t>根据《环境影响评价技术导则大气环境》（HJ2.2-2018），采用推荐模式中的估算模型AERSCREEN对污染物的最大地面占标率Pi（第i个污染物）及第i个污染物的地面浓度达标准限值 10%时所对应的最远距离D10%进行计算。计算结果如下。</w:t>
      </w:r>
    </w:p>
    <w:p>
      <w:pPr>
        <w:pStyle w:val="31"/>
        <w:rPr>
          <w:color w:val="auto"/>
        </w:rPr>
      </w:pPr>
      <w:r>
        <w:rPr>
          <w:rFonts w:hint="eastAsia"/>
          <w:color w:val="auto"/>
        </w:rPr>
        <w:t>表5.2-9 估算模式计算结果统计</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99"/>
        <w:gridCol w:w="1801"/>
        <w:gridCol w:w="1801"/>
        <w:gridCol w:w="1801"/>
        <w:gridCol w:w="1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999" w:type="pct"/>
            <w:tcBorders>
              <w:top w:val="single" w:color="auto" w:sz="12" w:space="0"/>
              <w:bottom w:val="single" w:color="auto" w:sz="6" w:space="0"/>
              <w:right w:val="single" w:color="auto" w:sz="6" w:space="0"/>
            </w:tcBorders>
            <w:vAlign w:val="center"/>
          </w:tcPr>
          <w:p>
            <w:pPr>
              <w:pStyle w:val="30"/>
              <w:rPr>
                <w:b/>
                <w:bCs/>
                <w:color w:val="auto"/>
              </w:rPr>
            </w:pPr>
            <w:r>
              <w:rPr>
                <w:rFonts w:hint="eastAsia"/>
                <w:b/>
                <w:bCs/>
                <w:color w:val="auto"/>
              </w:rPr>
              <w:t>污染源</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rPr>
            </w:pPr>
            <w:r>
              <w:rPr>
                <w:rFonts w:hint="eastAsia"/>
                <w:b/>
                <w:bCs/>
                <w:color w:val="auto"/>
              </w:rPr>
              <w:t>评价因子</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rPr>
            </w:pPr>
            <w:r>
              <w:rPr>
                <w:rFonts w:hint="eastAsia"/>
                <w:b/>
                <w:bCs/>
                <w:color w:val="auto"/>
              </w:rPr>
              <w:t>评价标准（</w:t>
            </w:r>
            <w:r>
              <w:rPr>
                <w:b/>
                <w:bCs/>
                <w:color w:val="auto"/>
              </w:rPr>
              <w:t>μ</w:t>
            </w:r>
            <w:r>
              <w:rPr>
                <w:rFonts w:hint="eastAsia"/>
                <w:b/>
                <w:bCs/>
                <w:color w:val="auto"/>
              </w:rPr>
              <w:t>g/m</w:t>
            </w:r>
            <w:r>
              <w:rPr>
                <w:rFonts w:hint="eastAsia"/>
                <w:b/>
                <w:bCs/>
                <w:color w:val="auto"/>
                <w:vertAlign w:val="superscript"/>
              </w:rPr>
              <w:t>3</w:t>
            </w:r>
            <w:r>
              <w:rPr>
                <w:rFonts w:hint="eastAsia"/>
                <w:b/>
                <w:bCs/>
                <w:color w:val="auto"/>
              </w:rPr>
              <w:t>）</w:t>
            </w:r>
          </w:p>
        </w:tc>
        <w:tc>
          <w:tcPr>
            <w:tcW w:w="1000" w:type="pct"/>
            <w:tcBorders>
              <w:top w:val="single" w:color="auto" w:sz="12" w:space="0"/>
              <w:left w:val="single" w:color="auto" w:sz="6" w:space="0"/>
              <w:bottom w:val="single" w:color="auto" w:sz="6" w:space="0"/>
              <w:right w:val="single" w:color="auto" w:sz="6" w:space="0"/>
            </w:tcBorders>
            <w:vAlign w:val="center"/>
          </w:tcPr>
          <w:p>
            <w:pPr>
              <w:pStyle w:val="30"/>
              <w:rPr>
                <w:b/>
                <w:bCs/>
                <w:color w:val="auto"/>
              </w:rPr>
            </w:pPr>
            <w:r>
              <w:rPr>
                <w:rFonts w:hint="eastAsia"/>
                <w:b/>
                <w:bCs/>
                <w:color w:val="auto"/>
              </w:rPr>
              <w:t>Cmax（</w:t>
            </w:r>
            <w:r>
              <w:rPr>
                <w:b/>
                <w:bCs/>
                <w:color w:val="auto"/>
              </w:rPr>
              <w:t>μ</w:t>
            </w:r>
            <w:r>
              <w:rPr>
                <w:rFonts w:hint="eastAsia"/>
                <w:b/>
                <w:bCs/>
                <w:color w:val="auto"/>
              </w:rPr>
              <w:t>g/m</w:t>
            </w:r>
            <w:r>
              <w:rPr>
                <w:rFonts w:hint="eastAsia"/>
                <w:b/>
                <w:bCs/>
                <w:color w:val="auto"/>
                <w:vertAlign w:val="superscript"/>
              </w:rPr>
              <w:t>3</w:t>
            </w:r>
            <w:r>
              <w:rPr>
                <w:rFonts w:hint="eastAsia"/>
                <w:b/>
                <w:bCs/>
                <w:color w:val="auto"/>
              </w:rPr>
              <w:t>）</w:t>
            </w:r>
          </w:p>
        </w:tc>
        <w:tc>
          <w:tcPr>
            <w:tcW w:w="1000" w:type="pct"/>
            <w:tcBorders>
              <w:top w:val="single" w:color="auto" w:sz="12" w:space="0"/>
              <w:left w:val="single" w:color="auto" w:sz="6" w:space="0"/>
              <w:bottom w:val="single" w:color="auto" w:sz="6" w:space="0"/>
            </w:tcBorders>
            <w:vAlign w:val="center"/>
          </w:tcPr>
          <w:p>
            <w:pPr>
              <w:pStyle w:val="30"/>
              <w:rPr>
                <w:b/>
                <w:bCs/>
                <w:color w:val="auto"/>
              </w:rPr>
            </w:pPr>
            <w:r>
              <w:rPr>
                <w:rFonts w:hint="eastAsia"/>
                <w:b/>
                <w:bCs/>
                <w:color w:val="auto"/>
              </w:rPr>
              <w:t>Pmax（%）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tcBorders>
              <w:top w:val="single" w:color="auto" w:sz="6" w:space="0"/>
              <w:bottom w:val="single" w:color="auto" w:sz="6" w:space="0"/>
              <w:right w:val="single" w:color="auto" w:sz="6" w:space="0"/>
            </w:tcBorders>
            <w:vAlign w:val="center"/>
          </w:tcPr>
          <w:p>
            <w:pPr>
              <w:pStyle w:val="30"/>
              <w:rPr>
                <w:color w:val="auto"/>
              </w:rPr>
            </w:pPr>
            <w:r>
              <w:rPr>
                <w:rFonts w:hint="eastAsia"/>
                <w:color w:val="auto"/>
              </w:rPr>
              <w:t>DA001排气筒（熔融挤出）</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rPr>
            </w:pPr>
            <w:r>
              <w:rPr>
                <w:rFonts w:hint="eastAsia"/>
                <w:color w:val="auto"/>
              </w:rPr>
              <w:t>非甲烷总烃</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rPr>
            </w:pPr>
            <w:r>
              <w:rPr>
                <w:color w:val="auto"/>
              </w:rPr>
              <w:t>2000.0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rPr>
            </w:pPr>
            <w:r>
              <w:rPr>
                <w:color w:val="auto"/>
              </w:rPr>
              <w:t>20.7310</w:t>
            </w:r>
          </w:p>
        </w:tc>
        <w:tc>
          <w:tcPr>
            <w:tcW w:w="1802" w:type="dxa"/>
            <w:tcBorders>
              <w:top w:val="single" w:color="auto" w:sz="6" w:space="0"/>
              <w:left w:val="single" w:color="auto" w:sz="6" w:space="0"/>
              <w:bottom w:val="single" w:color="auto" w:sz="6" w:space="0"/>
            </w:tcBorders>
            <w:vAlign w:val="center"/>
          </w:tcPr>
          <w:p>
            <w:pPr>
              <w:pStyle w:val="30"/>
              <w:rPr>
                <w:color w:val="auto"/>
              </w:rPr>
            </w:pPr>
            <w:r>
              <w:rPr>
                <w:color w:val="auto"/>
              </w:rPr>
              <w:t>1.0366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tcBorders>
              <w:top w:val="single" w:color="auto" w:sz="6" w:space="0"/>
              <w:bottom w:val="single" w:color="auto" w:sz="6" w:space="0"/>
              <w:right w:val="single" w:color="auto" w:sz="6" w:space="0"/>
            </w:tcBorders>
            <w:vAlign w:val="center"/>
          </w:tcPr>
          <w:p>
            <w:pPr>
              <w:pStyle w:val="30"/>
              <w:rPr>
                <w:rFonts w:hint="eastAsia"/>
                <w:color w:val="auto"/>
              </w:rPr>
            </w:pPr>
            <w:r>
              <w:rPr>
                <w:rFonts w:hint="eastAsia"/>
                <w:color w:val="auto"/>
                <w:lang w:eastAsia="zh-CN"/>
              </w:rPr>
              <w:t>DA002</w:t>
            </w:r>
            <w:r>
              <w:rPr>
                <w:rFonts w:hint="eastAsia"/>
                <w:color w:val="auto"/>
              </w:rPr>
              <w:t>排气筒（</w:t>
            </w:r>
            <w:r>
              <w:rPr>
                <w:rFonts w:hint="eastAsia"/>
                <w:color w:val="auto"/>
                <w:lang w:val="en-US" w:eastAsia="zh-CN"/>
              </w:rPr>
              <w:t>破碎</w:t>
            </w:r>
            <w:r>
              <w:rPr>
                <w:rFonts w:hint="eastAsia"/>
                <w:color w:val="auto"/>
              </w:rPr>
              <w:t>）</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eastAsia"/>
                <w:color w:val="auto"/>
              </w:rPr>
            </w:pPr>
            <w:r>
              <w:rPr>
                <w:rFonts w:hint="eastAsia"/>
                <w:color w:val="auto"/>
              </w:rPr>
              <w:t>颗粒物</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default"/>
                <w:color w:val="auto"/>
                <w:lang w:val="en-US" w:eastAsia="zh-CN"/>
              </w:rPr>
            </w:pPr>
            <w:r>
              <w:rPr>
                <w:rFonts w:hint="eastAsia"/>
                <w:color w:val="auto"/>
                <w:lang w:val="en-US" w:eastAsia="zh-CN"/>
              </w:rPr>
              <w:t>900</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rFonts w:hint="eastAsia"/>
                <w:color w:val="auto"/>
              </w:rPr>
            </w:pPr>
            <w:r>
              <w:rPr>
                <w:color w:val="auto"/>
              </w:rPr>
              <w:t>0.0433</w:t>
            </w:r>
          </w:p>
        </w:tc>
        <w:tc>
          <w:tcPr>
            <w:tcW w:w="1000" w:type="pct"/>
            <w:tcBorders>
              <w:top w:val="single" w:color="auto" w:sz="6" w:space="0"/>
              <w:left w:val="single" w:color="auto" w:sz="6" w:space="0"/>
              <w:bottom w:val="single" w:color="auto" w:sz="6" w:space="0"/>
            </w:tcBorders>
            <w:vAlign w:val="center"/>
          </w:tcPr>
          <w:p>
            <w:pPr>
              <w:pStyle w:val="30"/>
              <w:rPr>
                <w:rFonts w:hint="eastAsia"/>
                <w:color w:val="auto"/>
              </w:rPr>
            </w:pPr>
            <w:r>
              <w:rPr>
                <w:color w:val="auto"/>
              </w:rPr>
              <w:t>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vMerge w:val="restart"/>
            <w:tcBorders>
              <w:top w:val="single" w:color="auto" w:sz="6" w:space="0"/>
              <w:right w:val="single" w:color="auto" w:sz="6" w:space="0"/>
            </w:tcBorders>
            <w:vAlign w:val="center"/>
          </w:tcPr>
          <w:p>
            <w:pPr>
              <w:pStyle w:val="30"/>
              <w:rPr>
                <w:color w:val="auto"/>
              </w:rPr>
            </w:pPr>
            <w:r>
              <w:rPr>
                <w:rFonts w:hint="eastAsia"/>
                <w:color w:val="auto"/>
              </w:rPr>
              <w:t>生产厂房</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rPr>
            </w:pPr>
            <w:r>
              <w:rPr>
                <w:rFonts w:hint="eastAsia"/>
                <w:color w:val="auto"/>
              </w:rPr>
              <w:t>颗粒物</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rPr>
            </w:pPr>
            <w:r>
              <w:rPr>
                <w:rFonts w:hint="eastAsia"/>
                <w:color w:val="auto"/>
              </w:rPr>
              <w:t>900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rPr>
            </w:pPr>
            <w:r>
              <w:rPr>
                <w:color w:val="auto"/>
              </w:rPr>
              <w:t>1.0244</w:t>
            </w:r>
          </w:p>
        </w:tc>
        <w:tc>
          <w:tcPr>
            <w:tcW w:w="1802" w:type="dxa"/>
            <w:tcBorders>
              <w:top w:val="single" w:color="auto" w:sz="6" w:space="0"/>
              <w:left w:val="single" w:color="auto" w:sz="6" w:space="0"/>
              <w:bottom w:val="single" w:color="auto" w:sz="6" w:space="0"/>
            </w:tcBorders>
            <w:vAlign w:val="center"/>
          </w:tcPr>
          <w:p>
            <w:pPr>
              <w:pStyle w:val="30"/>
              <w:rPr>
                <w:color w:val="auto"/>
              </w:rPr>
            </w:pPr>
            <w:r>
              <w:rPr>
                <w:color w:val="auto"/>
              </w:rPr>
              <w:t>0.1138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99" w:type="pct"/>
            <w:vMerge w:val="continue"/>
            <w:tcBorders>
              <w:bottom w:val="single" w:color="auto" w:sz="6" w:space="0"/>
              <w:right w:val="single" w:color="auto" w:sz="6" w:space="0"/>
            </w:tcBorders>
            <w:vAlign w:val="center"/>
          </w:tcPr>
          <w:p>
            <w:pPr>
              <w:pStyle w:val="30"/>
              <w:rPr>
                <w:color w:val="auto"/>
              </w:rPr>
            </w:pP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rPr>
            </w:pPr>
            <w:r>
              <w:rPr>
                <w:rFonts w:hint="eastAsia"/>
                <w:color w:val="auto"/>
              </w:rPr>
              <w:t>非甲烷总烃</w:t>
            </w:r>
          </w:p>
        </w:tc>
        <w:tc>
          <w:tcPr>
            <w:tcW w:w="1000" w:type="pct"/>
            <w:tcBorders>
              <w:top w:val="single" w:color="auto" w:sz="6" w:space="0"/>
              <w:left w:val="single" w:color="auto" w:sz="6" w:space="0"/>
              <w:bottom w:val="single" w:color="auto" w:sz="6" w:space="0"/>
              <w:right w:val="single" w:color="auto" w:sz="6" w:space="0"/>
            </w:tcBorders>
            <w:vAlign w:val="center"/>
          </w:tcPr>
          <w:p>
            <w:pPr>
              <w:pStyle w:val="30"/>
              <w:rPr>
                <w:color w:val="auto"/>
              </w:rPr>
            </w:pPr>
            <w:r>
              <w:rPr>
                <w:color w:val="auto"/>
              </w:rPr>
              <w:t>2000</w:t>
            </w:r>
          </w:p>
        </w:tc>
        <w:tc>
          <w:tcPr>
            <w:tcW w:w="1801" w:type="dxa"/>
            <w:tcBorders>
              <w:top w:val="single" w:color="auto" w:sz="6" w:space="0"/>
              <w:left w:val="single" w:color="auto" w:sz="6" w:space="0"/>
              <w:bottom w:val="single" w:color="auto" w:sz="6" w:space="0"/>
              <w:right w:val="single" w:color="auto" w:sz="6" w:space="0"/>
            </w:tcBorders>
            <w:vAlign w:val="center"/>
          </w:tcPr>
          <w:p>
            <w:pPr>
              <w:pStyle w:val="30"/>
              <w:rPr>
                <w:color w:val="auto"/>
              </w:rPr>
            </w:pPr>
            <w:r>
              <w:rPr>
                <w:color w:val="auto"/>
              </w:rPr>
              <w:t>105.6400</w:t>
            </w:r>
          </w:p>
        </w:tc>
        <w:tc>
          <w:tcPr>
            <w:tcW w:w="1802" w:type="dxa"/>
            <w:tcBorders>
              <w:top w:val="single" w:color="auto" w:sz="6" w:space="0"/>
              <w:left w:val="single" w:color="auto" w:sz="6" w:space="0"/>
              <w:bottom w:val="single" w:color="auto" w:sz="6" w:space="0"/>
            </w:tcBorders>
            <w:vAlign w:val="center"/>
          </w:tcPr>
          <w:p>
            <w:pPr>
              <w:pStyle w:val="30"/>
              <w:rPr>
                <w:color w:val="auto"/>
              </w:rPr>
            </w:pPr>
            <w:r>
              <w:rPr>
                <w:color w:val="auto"/>
              </w:rPr>
              <w:t>5.2820</w:t>
            </w:r>
          </w:p>
        </w:tc>
      </w:tr>
    </w:tbl>
    <w:p>
      <w:pPr>
        <w:ind w:firstLine="480"/>
        <w:rPr>
          <w:color w:val="auto"/>
        </w:rPr>
      </w:pPr>
      <w:r>
        <w:rPr>
          <w:rFonts w:hint="eastAsia"/>
          <w:color w:val="auto"/>
        </w:rPr>
        <w:t>从预测结果可以看出，评价区域内非甲烷总烃最大落地浓度满足《环境影响评级技术导则 大气环境》（HJ2.2-2018）附录D中相关要求；颗粒物最大浓度满足《环境空气质量标准》（GB3095-2012）二级标准及其修改单相关要求。</w:t>
      </w:r>
    </w:p>
    <w:p>
      <w:pPr>
        <w:pStyle w:val="7"/>
        <w:rPr>
          <w:color w:val="auto"/>
        </w:rPr>
      </w:pPr>
      <w:r>
        <w:rPr>
          <w:rFonts w:hint="eastAsia"/>
          <w:color w:val="auto"/>
        </w:rPr>
        <w:t>5</w:t>
      </w:r>
      <w:r>
        <w:rPr>
          <w:color w:val="auto"/>
        </w:rPr>
        <w:t>.2.</w:t>
      </w:r>
      <w:r>
        <w:rPr>
          <w:rFonts w:hint="eastAsia"/>
          <w:color w:val="auto"/>
        </w:rPr>
        <w:t>2大气环境防护距离</w:t>
      </w:r>
    </w:p>
    <w:p>
      <w:pPr>
        <w:ind w:firstLine="480"/>
        <w:rPr>
          <w:color w:val="auto"/>
        </w:rPr>
      </w:pPr>
      <w:r>
        <w:rPr>
          <w:rFonts w:hint="eastAsia"/>
          <w:color w:val="auto"/>
        </w:rPr>
        <w:t>根据《环境影响评价技术导则  大气环境》（HJ2.2-2018），大气环境防护距离是为了保护人群建康，减少正常排放条件下大气污染物对居住区的环境影响，在项目厂界以外设置的环境防护距离。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ind w:firstLine="480"/>
        <w:rPr>
          <w:color w:val="auto"/>
        </w:rPr>
      </w:pPr>
      <w:r>
        <w:rPr>
          <w:rFonts w:hint="eastAsia"/>
          <w:color w:val="auto"/>
        </w:rPr>
        <w:t>根据估算模式的预测结果，本项目在正常排放下，有组织排放及无组织排放下风向最大落地浓度占标率均小于10%，非甲烷总烃最大落地浓度满足《环境影响评价技术导则 大气环境》（HJ2.2-2018）附录D中相关要求；颗粒物最大落地浓度满足《环境空气质量标准》（GB3095-2012）二级标准及其修改单相关要求，厂界外不存在短期贡献浓度超标点。</w:t>
      </w:r>
    </w:p>
    <w:p>
      <w:pPr>
        <w:ind w:firstLine="480"/>
        <w:rPr>
          <w:color w:val="auto"/>
        </w:rPr>
      </w:pPr>
      <w:r>
        <w:rPr>
          <w:rFonts w:hint="eastAsia"/>
          <w:color w:val="auto"/>
        </w:rPr>
        <w:t>因此，本项目无需设置大气防护距离。</w:t>
      </w:r>
    </w:p>
    <w:p>
      <w:pPr>
        <w:pStyle w:val="7"/>
        <w:rPr>
          <w:color w:val="auto"/>
        </w:rPr>
      </w:pPr>
      <w:r>
        <w:rPr>
          <w:rFonts w:hint="eastAsia"/>
          <w:color w:val="auto"/>
        </w:rPr>
        <w:t>5</w:t>
      </w:r>
      <w:r>
        <w:rPr>
          <w:color w:val="auto"/>
        </w:rPr>
        <w:t>.2.</w:t>
      </w:r>
      <w:r>
        <w:rPr>
          <w:rFonts w:hint="eastAsia"/>
          <w:color w:val="auto"/>
        </w:rPr>
        <w:t>3大气污染物排放量核算</w:t>
      </w:r>
    </w:p>
    <w:p>
      <w:pPr>
        <w:ind w:firstLine="480"/>
        <w:rPr>
          <w:color w:val="auto"/>
        </w:rPr>
      </w:pPr>
      <w:r>
        <w:rPr>
          <w:rFonts w:hint="eastAsia"/>
          <w:color w:val="auto"/>
        </w:rPr>
        <w:t>项目大气污染物有组织及无组织排放量核算如下。</w:t>
      </w:r>
    </w:p>
    <w:p>
      <w:pPr>
        <w:pStyle w:val="31"/>
        <w:rPr>
          <w:color w:val="auto"/>
          <w:highlight w:val="none"/>
        </w:rPr>
      </w:pPr>
      <w:r>
        <w:rPr>
          <w:rFonts w:hint="eastAsia"/>
          <w:color w:val="auto"/>
          <w:highlight w:val="none"/>
        </w:rPr>
        <w:t>表5.2-10  大气污染物有组织排放量核算表</w:t>
      </w:r>
    </w:p>
    <w:tbl>
      <w:tblPr>
        <w:tblStyle w:val="21"/>
        <w:tblW w:w="90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00"/>
        <w:gridCol w:w="1500"/>
        <w:gridCol w:w="1501"/>
        <w:gridCol w:w="1501"/>
        <w:gridCol w:w="1501"/>
        <w:gridCol w:w="15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500" w:type="dxa"/>
            <w:vAlign w:val="center"/>
          </w:tcPr>
          <w:p>
            <w:pPr>
              <w:pStyle w:val="30"/>
              <w:rPr>
                <w:b/>
                <w:bCs/>
                <w:color w:val="auto"/>
                <w:highlight w:val="none"/>
              </w:rPr>
            </w:pPr>
            <w:r>
              <w:rPr>
                <w:rFonts w:hint="eastAsia"/>
                <w:b/>
                <w:bCs/>
                <w:color w:val="auto"/>
                <w:highlight w:val="none"/>
              </w:rPr>
              <w:t>序号</w:t>
            </w:r>
          </w:p>
        </w:tc>
        <w:tc>
          <w:tcPr>
            <w:tcW w:w="1500" w:type="dxa"/>
            <w:vAlign w:val="center"/>
          </w:tcPr>
          <w:p>
            <w:pPr>
              <w:pStyle w:val="30"/>
              <w:rPr>
                <w:b/>
                <w:bCs/>
                <w:color w:val="auto"/>
                <w:highlight w:val="none"/>
              </w:rPr>
            </w:pPr>
            <w:r>
              <w:rPr>
                <w:rFonts w:hint="eastAsia"/>
                <w:b/>
                <w:bCs/>
                <w:color w:val="auto"/>
                <w:highlight w:val="none"/>
              </w:rPr>
              <w:t>排放口编号</w:t>
            </w:r>
          </w:p>
        </w:tc>
        <w:tc>
          <w:tcPr>
            <w:tcW w:w="1501" w:type="dxa"/>
            <w:vAlign w:val="center"/>
          </w:tcPr>
          <w:p>
            <w:pPr>
              <w:pStyle w:val="30"/>
              <w:rPr>
                <w:b/>
                <w:bCs/>
                <w:color w:val="auto"/>
                <w:highlight w:val="none"/>
              </w:rPr>
            </w:pPr>
            <w:r>
              <w:rPr>
                <w:rFonts w:hint="eastAsia"/>
                <w:b/>
                <w:bCs/>
                <w:color w:val="auto"/>
                <w:highlight w:val="none"/>
              </w:rPr>
              <w:t>污染物</w:t>
            </w:r>
          </w:p>
        </w:tc>
        <w:tc>
          <w:tcPr>
            <w:tcW w:w="1501" w:type="dxa"/>
            <w:vAlign w:val="center"/>
          </w:tcPr>
          <w:p>
            <w:pPr>
              <w:pStyle w:val="30"/>
              <w:rPr>
                <w:b/>
                <w:bCs/>
                <w:color w:val="auto"/>
                <w:highlight w:val="none"/>
              </w:rPr>
            </w:pPr>
            <w:r>
              <w:rPr>
                <w:rFonts w:hint="eastAsia"/>
                <w:b/>
                <w:bCs/>
                <w:color w:val="auto"/>
                <w:highlight w:val="none"/>
              </w:rPr>
              <w:t>排放浓度（mg/m</w:t>
            </w:r>
            <w:r>
              <w:rPr>
                <w:rFonts w:hint="eastAsia"/>
                <w:b/>
                <w:bCs/>
                <w:color w:val="auto"/>
                <w:highlight w:val="none"/>
                <w:vertAlign w:val="superscript"/>
              </w:rPr>
              <w:t>3</w:t>
            </w:r>
            <w:r>
              <w:rPr>
                <w:rFonts w:hint="eastAsia"/>
                <w:b/>
                <w:bCs/>
                <w:color w:val="auto"/>
                <w:highlight w:val="none"/>
              </w:rPr>
              <w:t>）</w:t>
            </w:r>
          </w:p>
        </w:tc>
        <w:tc>
          <w:tcPr>
            <w:tcW w:w="1501" w:type="dxa"/>
            <w:vAlign w:val="center"/>
          </w:tcPr>
          <w:p>
            <w:pPr>
              <w:pStyle w:val="30"/>
              <w:rPr>
                <w:b/>
                <w:bCs/>
                <w:color w:val="auto"/>
                <w:highlight w:val="none"/>
              </w:rPr>
            </w:pPr>
            <w:r>
              <w:rPr>
                <w:rFonts w:hint="eastAsia"/>
                <w:b/>
                <w:bCs/>
                <w:color w:val="auto"/>
                <w:highlight w:val="none"/>
              </w:rPr>
              <w:t>排放速率（kg/h）</w:t>
            </w:r>
          </w:p>
        </w:tc>
        <w:tc>
          <w:tcPr>
            <w:tcW w:w="1501" w:type="dxa"/>
            <w:vAlign w:val="center"/>
          </w:tcPr>
          <w:p>
            <w:pPr>
              <w:pStyle w:val="30"/>
              <w:rPr>
                <w:b/>
                <w:bCs/>
                <w:color w:val="auto"/>
                <w:highlight w:val="none"/>
              </w:rPr>
            </w:pPr>
            <w:r>
              <w:rPr>
                <w:rFonts w:hint="eastAsia"/>
                <w:b/>
                <w:bCs/>
                <w:color w:val="auto"/>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04" w:type="dxa"/>
            <w:gridSpan w:val="6"/>
            <w:vAlign w:val="center"/>
          </w:tcPr>
          <w:p>
            <w:pPr>
              <w:pStyle w:val="30"/>
              <w:rPr>
                <w:color w:val="auto"/>
                <w:highlight w:val="none"/>
              </w:rPr>
            </w:pPr>
            <w:r>
              <w:rPr>
                <w:rFonts w:hint="eastAsia"/>
                <w:color w:val="auto"/>
                <w:highlight w:val="none"/>
              </w:rPr>
              <w:t>一般排放口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500" w:type="dxa"/>
            <w:vAlign w:val="center"/>
          </w:tcPr>
          <w:p>
            <w:pPr>
              <w:pStyle w:val="30"/>
              <w:rPr>
                <w:color w:val="auto"/>
                <w:highlight w:val="none"/>
              </w:rPr>
            </w:pPr>
            <w:r>
              <w:rPr>
                <w:rFonts w:hint="eastAsia"/>
                <w:color w:val="auto"/>
                <w:highlight w:val="none"/>
              </w:rPr>
              <w:t>1</w:t>
            </w:r>
          </w:p>
        </w:tc>
        <w:tc>
          <w:tcPr>
            <w:tcW w:w="1500" w:type="dxa"/>
            <w:vAlign w:val="center"/>
          </w:tcPr>
          <w:p>
            <w:pPr>
              <w:pStyle w:val="30"/>
              <w:rPr>
                <w:color w:val="auto"/>
                <w:highlight w:val="none"/>
              </w:rPr>
            </w:pPr>
            <w:r>
              <w:rPr>
                <w:rFonts w:hint="eastAsia"/>
                <w:color w:val="auto"/>
                <w:highlight w:val="none"/>
              </w:rPr>
              <w:t>DA001</w:t>
            </w:r>
          </w:p>
        </w:tc>
        <w:tc>
          <w:tcPr>
            <w:tcW w:w="1501" w:type="dxa"/>
            <w:vAlign w:val="center"/>
          </w:tcPr>
          <w:p>
            <w:pPr>
              <w:pStyle w:val="30"/>
              <w:rPr>
                <w:color w:val="auto"/>
                <w:highlight w:val="none"/>
              </w:rPr>
            </w:pPr>
            <w:r>
              <w:rPr>
                <w:rFonts w:hint="eastAsia"/>
                <w:color w:val="auto"/>
                <w:highlight w:val="none"/>
              </w:rPr>
              <w:t>非甲烷总烃</w:t>
            </w:r>
          </w:p>
        </w:tc>
        <w:tc>
          <w:tcPr>
            <w:tcW w:w="1501" w:type="dxa"/>
            <w:vAlign w:val="center"/>
          </w:tcPr>
          <w:p>
            <w:pPr>
              <w:pStyle w:val="30"/>
              <w:ind w:firstLine="0" w:firstLineChars="0"/>
              <w:rPr>
                <w:rFonts w:hint="default"/>
                <w:color w:val="auto"/>
                <w:highlight w:val="none"/>
                <w:lang w:val="en-US"/>
              </w:rPr>
            </w:pPr>
            <w:r>
              <w:rPr>
                <w:rFonts w:hint="eastAsia"/>
                <w:color w:val="auto"/>
                <w:highlight w:val="none"/>
                <w:lang w:val="en-US" w:eastAsia="zh-CN"/>
              </w:rPr>
              <w:t>24.75</w:t>
            </w:r>
          </w:p>
        </w:tc>
        <w:tc>
          <w:tcPr>
            <w:tcW w:w="1501" w:type="dxa"/>
            <w:vAlign w:val="center"/>
          </w:tcPr>
          <w:p>
            <w:pPr>
              <w:pStyle w:val="30"/>
              <w:ind w:firstLine="0" w:firstLineChars="0"/>
              <w:rPr>
                <w:rFonts w:hint="default"/>
                <w:color w:val="auto"/>
                <w:highlight w:val="none"/>
                <w:lang w:val="en-US"/>
              </w:rPr>
            </w:pPr>
            <w:r>
              <w:rPr>
                <w:rFonts w:hint="eastAsia"/>
                <w:color w:val="auto"/>
                <w:highlight w:val="none"/>
                <w:lang w:val="en-US" w:eastAsia="zh-CN"/>
              </w:rPr>
              <w:t>0.792</w:t>
            </w:r>
          </w:p>
        </w:tc>
        <w:tc>
          <w:tcPr>
            <w:tcW w:w="1501" w:type="dxa"/>
            <w:vAlign w:val="center"/>
          </w:tcPr>
          <w:p>
            <w:pPr>
              <w:pStyle w:val="30"/>
              <w:ind w:firstLine="0" w:firstLineChars="0"/>
              <w:rPr>
                <w:rFonts w:hint="default"/>
                <w:color w:val="auto"/>
                <w:highlight w:val="none"/>
                <w:lang w:val="en-US"/>
              </w:rPr>
            </w:pPr>
            <w:r>
              <w:rPr>
                <w:rFonts w:hint="eastAsia"/>
                <w:color w:val="auto"/>
                <w:highlight w:val="none"/>
                <w:lang w:val="en-US" w:eastAsia="zh-CN"/>
              </w:rPr>
              <w:t>5.7024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500" w:type="dxa"/>
            <w:vAlign w:val="center"/>
          </w:tcPr>
          <w:p>
            <w:pPr>
              <w:pStyle w:val="30"/>
              <w:rPr>
                <w:rFonts w:hint="eastAsia" w:eastAsia="宋体"/>
                <w:color w:val="auto"/>
                <w:highlight w:val="none"/>
                <w:lang w:val="en-US" w:eastAsia="zh-CN"/>
              </w:rPr>
            </w:pPr>
            <w:r>
              <w:rPr>
                <w:rFonts w:hint="eastAsia"/>
                <w:color w:val="auto"/>
                <w:highlight w:val="none"/>
                <w:lang w:val="en-US" w:eastAsia="zh-CN"/>
              </w:rPr>
              <w:t>3</w:t>
            </w:r>
          </w:p>
        </w:tc>
        <w:tc>
          <w:tcPr>
            <w:tcW w:w="1500" w:type="dxa"/>
            <w:vAlign w:val="center"/>
          </w:tcPr>
          <w:p>
            <w:pPr>
              <w:pStyle w:val="30"/>
              <w:rPr>
                <w:rFonts w:hint="eastAsia" w:eastAsia="宋体"/>
                <w:color w:val="auto"/>
                <w:highlight w:val="none"/>
                <w:lang w:val="en-US" w:eastAsia="zh-CN"/>
              </w:rPr>
            </w:pPr>
            <w:r>
              <w:rPr>
                <w:rFonts w:hint="eastAsia"/>
                <w:color w:val="auto"/>
                <w:highlight w:val="none"/>
                <w:lang w:eastAsia="zh-CN"/>
              </w:rPr>
              <w:t>DA002</w:t>
            </w:r>
          </w:p>
        </w:tc>
        <w:tc>
          <w:tcPr>
            <w:tcW w:w="1501" w:type="dxa"/>
            <w:vAlign w:val="center"/>
          </w:tcPr>
          <w:p>
            <w:pPr>
              <w:pStyle w:val="30"/>
              <w:rPr>
                <w:rFonts w:hint="eastAsia" w:eastAsia="宋体"/>
                <w:color w:val="auto"/>
                <w:highlight w:val="none"/>
                <w:lang w:val="en-US" w:eastAsia="zh-CN"/>
              </w:rPr>
            </w:pPr>
            <w:r>
              <w:rPr>
                <w:rFonts w:hint="eastAsia"/>
                <w:color w:val="auto"/>
                <w:highlight w:val="none"/>
                <w:lang w:val="en-US" w:eastAsia="zh-CN"/>
              </w:rPr>
              <w:t>颗粒物</w:t>
            </w:r>
          </w:p>
        </w:tc>
        <w:tc>
          <w:tcPr>
            <w:tcW w:w="1501" w:type="dxa"/>
            <w:vAlign w:val="center"/>
          </w:tcPr>
          <w:p>
            <w:pPr>
              <w:pStyle w:val="30"/>
              <w:ind w:firstLine="0" w:firstLineChars="0"/>
              <w:rPr>
                <w:rFonts w:hint="eastAsia"/>
                <w:color w:val="auto"/>
                <w:highlight w:val="none"/>
              </w:rPr>
            </w:pPr>
            <w:r>
              <w:rPr>
                <w:rFonts w:hint="eastAsia"/>
                <w:color w:val="auto"/>
                <w:highlight w:val="none"/>
                <w:lang w:val="en-US" w:eastAsia="zh-CN"/>
              </w:rPr>
              <w:t>0.35</w:t>
            </w:r>
          </w:p>
        </w:tc>
        <w:tc>
          <w:tcPr>
            <w:tcW w:w="1501" w:type="dxa"/>
            <w:vAlign w:val="center"/>
          </w:tcPr>
          <w:p>
            <w:pPr>
              <w:pStyle w:val="30"/>
              <w:ind w:firstLine="0" w:firstLineChars="0"/>
              <w:rPr>
                <w:color w:val="auto"/>
                <w:highlight w:val="none"/>
              </w:rPr>
            </w:pPr>
            <w:r>
              <w:rPr>
                <w:rFonts w:hint="eastAsia"/>
                <w:color w:val="auto"/>
                <w:highlight w:val="none"/>
                <w:lang w:val="en-US" w:eastAsia="zh-CN"/>
              </w:rPr>
              <w:t>0.0007</w:t>
            </w:r>
          </w:p>
        </w:tc>
        <w:tc>
          <w:tcPr>
            <w:tcW w:w="1501" w:type="dxa"/>
            <w:vAlign w:val="center"/>
          </w:tcPr>
          <w:p>
            <w:pPr>
              <w:pStyle w:val="30"/>
              <w:ind w:firstLine="0" w:firstLineChars="0"/>
              <w:rPr>
                <w:color w:val="auto"/>
                <w:highlight w:val="none"/>
              </w:rPr>
            </w:pPr>
            <w:r>
              <w:rPr>
                <w:rFonts w:hint="eastAsia"/>
                <w:color w:val="auto"/>
                <w:highlight w:val="none"/>
                <w:lang w:val="en-US" w:eastAsia="zh-CN"/>
              </w:rPr>
              <w:t>0.0045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000" w:type="dxa"/>
            <w:gridSpan w:val="2"/>
            <w:vMerge w:val="restart"/>
            <w:vAlign w:val="center"/>
          </w:tcPr>
          <w:p>
            <w:pPr>
              <w:pStyle w:val="30"/>
              <w:rPr>
                <w:color w:val="auto"/>
                <w:highlight w:val="none"/>
              </w:rPr>
            </w:pPr>
            <w:r>
              <w:rPr>
                <w:rFonts w:hint="eastAsia"/>
                <w:color w:val="auto"/>
                <w:highlight w:val="none"/>
              </w:rPr>
              <w:t>一般排放口合计</w:t>
            </w:r>
          </w:p>
        </w:tc>
        <w:tc>
          <w:tcPr>
            <w:tcW w:w="3002" w:type="dxa"/>
            <w:gridSpan w:val="2"/>
            <w:vAlign w:val="center"/>
          </w:tcPr>
          <w:p>
            <w:pPr>
              <w:pStyle w:val="30"/>
              <w:rPr>
                <w:color w:val="auto"/>
                <w:highlight w:val="none"/>
              </w:rPr>
            </w:pPr>
            <w:r>
              <w:rPr>
                <w:rFonts w:hint="eastAsia"/>
                <w:color w:val="auto"/>
                <w:highlight w:val="none"/>
              </w:rPr>
              <w:t>非甲烷总烃</w:t>
            </w:r>
          </w:p>
        </w:tc>
        <w:tc>
          <w:tcPr>
            <w:tcW w:w="1501" w:type="dxa"/>
            <w:vAlign w:val="center"/>
          </w:tcPr>
          <w:p>
            <w:pPr>
              <w:pStyle w:val="30"/>
              <w:rPr>
                <w:rFonts w:hint="eastAsia" w:eastAsia="宋体"/>
                <w:color w:val="auto"/>
                <w:highlight w:val="none"/>
                <w:lang w:eastAsia="zh-CN"/>
              </w:rPr>
            </w:pPr>
            <w:r>
              <w:rPr>
                <w:rFonts w:hint="eastAsia"/>
                <w:color w:val="auto"/>
                <w:highlight w:val="none"/>
                <w:lang w:val="en-US" w:eastAsia="zh-CN"/>
              </w:rPr>
              <w:t>/</w:t>
            </w:r>
          </w:p>
        </w:tc>
        <w:tc>
          <w:tcPr>
            <w:tcW w:w="1501" w:type="dxa"/>
            <w:vAlign w:val="center"/>
          </w:tcPr>
          <w:p>
            <w:pPr>
              <w:pStyle w:val="30"/>
              <w:ind w:firstLine="0" w:firstLineChars="0"/>
              <w:rPr>
                <w:rFonts w:hint="default" w:eastAsia="宋体"/>
                <w:color w:val="auto"/>
                <w:highlight w:val="none"/>
                <w:lang w:val="en-US" w:eastAsia="zh-CN"/>
              </w:rPr>
            </w:pPr>
            <w:r>
              <w:rPr>
                <w:rFonts w:hint="eastAsia"/>
                <w:color w:val="auto"/>
                <w:highlight w:val="none"/>
                <w:lang w:val="en-US" w:eastAsia="zh-CN"/>
              </w:rPr>
              <w:t>5.7024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000" w:type="dxa"/>
            <w:gridSpan w:val="2"/>
            <w:vMerge w:val="continue"/>
            <w:vAlign w:val="center"/>
          </w:tcPr>
          <w:p>
            <w:pPr>
              <w:pStyle w:val="30"/>
              <w:rPr>
                <w:color w:val="auto"/>
                <w:highlight w:val="none"/>
              </w:rPr>
            </w:pPr>
          </w:p>
        </w:tc>
        <w:tc>
          <w:tcPr>
            <w:tcW w:w="3002" w:type="dxa"/>
            <w:gridSpan w:val="2"/>
            <w:vAlign w:val="center"/>
          </w:tcPr>
          <w:p>
            <w:pPr>
              <w:pStyle w:val="30"/>
              <w:rPr>
                <w:rFonts w:hint="eastAsia" w:eastAsia="宋体"/>
                <w:b/>
                <w:bCs/>
                <w:color w:val="auto"/>
                <w:highlight w:val="none"/>
                <w:lang w:eastAsia="zh-CN"/>
              </w:rPr>
            </w:pPr>
            <w:r>
              <w:rPr>
                <w:rFonts w:hint="eastAsia"/>
                <w:color w:val="auto"/>
                <w:highlight w:val="none"/>
                <w:lang w:val="en-US" w:eastAsia="zh-CN"/>
              </w:rPr>
              <w:t>颗粒物</w:t>
            </w:r>
          </w:p>
        </w:tc>
        <w:tc>
          <w:tcPr>
            <w:tcW w:w="1501" w:type="dxa"/>
            <w:vAlign w:val="center"/>
          </w:tcPr>
          <w:p>
            <w:pPr>
              <w:pStyle w:val="30"/>
              <w:ind w:firstLine="0" w:firstLineChars="0"/>
              <w:rPr>
                <w:rFonts w:hint="default" w:eastAsia="宋体"/>
                <w:color w:val="auto"/>
                <w:highlight w:val="none"/>
                <w:lang w:val="en-US" w:eastAsia="zh-CN"/>
              </w:rPr>
            </w:pPr>
            <w:r>
              <w:rPr>
                <w:rFonts w:hint="eastAsia"/>
                <w:color w:val="auto"/>
                <w:highlight w:val="none"/>
                <w:lang w:val="en-US" w:eastAsia="zh-CN"/>
              </w:rPr>
              <w:t>/</w:t>
            </w:r>
          </w:p>
        </w:tc>
        <w:tc>
          <w:tcPr>
            <w:tcW w:w="1501" w:type="dxa"/>
            <w:vAlign w:val="center"/>
          </w:tcPr>
          <w:p>
            <w:pPr>
              <w:pStyle w:val="30"/>
              <w:ind w:firstLine="0" w:firstLineChars="0"/>
              <w:rPr>
                <w:color w:val="auto"/>
                <w:highlight w:val="none"/>
              </w:rPr>
            </w:pPr>
            <w:r>
              <w:rPr>
                <w:rFonts w:hint="eastAsia"/>
                <w:color w:val="auto"/>
                <w:highlight w:val="none"/>
                <w:lang w:val="en-US" w:eastAsia="zh-CN"/>
              </w:rPr>
              <w:t>0.0045</w:t>
            </w:r>
          </w:p>
        </w:tc>
      </w:tr>
    </w:tbl>
    <w:p>
      <w:pPr>
        <w:pStyle w:val="31"/>
        <w:rPr>
          <w:color w:val="auto"/>
          <w:highlight w:val="none"/>
        </w:rPr>
      </w:pPr>
      <w:r>
        <w:rPr>
          <w:rFonts w:hint="eastAsia"/>
          <w:color w:val="auto"/>
          <w:highlight w:val="none"/>
        </w:rPr>
        <w:t>表5.2-11  本项目大气污染物无组织排放量核算表</w:t>
      </w:r>
    </w:p>
    <w:tbl>
      <w:tblPr>
        <w:tblStyle w:val="21"/>
        <w:tblW w:w="90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6"/>
        <w:gridCol w:w="1097"/>
        <w:gridCol w:w="1320"/>
        <w:gridCol w:w="1605"/>
        <w:gridCol w:w="1950"/>
        <w:gridCol w:w="1262"/>
        <w:gridCol w:w="10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76" w:type="dxa"/>
            <w:vMerge w:val="restart"/>
            <w:vAlign w:val="center"/>
          </w:tcPr>
          <w:p>
            <w:pPr>
              <w:pStyle w:val="30"/>
              <w:rPr>
                <w:b/>
                <w:bCs/>
                <w:color w:val="auto"/>
                <w:highlight w:val="none"/>
              </w:rPr>
            </w:pPr>
            <w:r>
              <w:rPr>
                <w:rFonts w:hint="eastAsia"/>
                <w:b/>
                <w:bCs/>
                <w:color w:val="auto"/>
                <w:highlight w:val="none"/>
              </w:rPr>
              <w:t>序号</w:t>
            </w:r>
          </w:p>
        </w:tc>
        <w:tc>
          <w:tcPr>
            <w:tcW w:w="1097" w:type="dxa"/>
            <w:vMerge w:val="restart"/>
            <w:vAlign w:val="center"/>
          </w:tcPr>
          <w:p>
            <w:pPr>
              <w:pStyle w:val="30"/>
              <w:rPr>
                <w:b/>
                <w:bCs/>
                <w:color w:val="auto"/>
                <w:highlight w:val="none"/>
              </w:rPr>
            </w:pPr>
            <w:r>
              <w:rPr>
                <w:rFonts w:hint="eastAsia"/>
                <w:b/>
                <w:bCs/>
                <w:color w:val="auto"/>
                <w:highlight w:val="none"/>
              </w:rPr>
              <w:t>产污环节</w:t>
            </w:r>
          </w:p>
        </w:tc>
        <w:tc>
          <w:tcPr>
            <w:tcW w:w="1320" w:type="dxa"/>
            <w:vMerge w:val="restart"/>
            <w:vAlign w:val="center"/>
          </w:tcPr>
          <w:p>
            <w:pPr>
              <w:pStyle w:val="30"/>
              <w:rPr>
                <w:b/>
                <w:bCs/>
                <w:color w:val="auto"/>
                <w:highlight w:val="none"/>
              </w:rPr>
            </w:pPr>
            <w:r>
              <w:rPr>
                <w:rFonts w:hint="eastAsia"/>
                <w:b/>
                <w:bCs/>
                <w:color w:val="auto"/>
                <w:highlight w:val="none"/>
              </w:rPr>
              <w:t>污染物</w:t>
            </w:r>
          </w:p>
        </w:tc>
        <w:tc>
          <w:tcPr>
            <w:tcW w:w="1605" w:type="dxa"/>
            <w:vMerge w:val="restart"/>
            <w:vAlign w:val="center"/>
          </w:tcPr>
          <w:p>
            <w:pPr>
              <w:pStyle w:val="30"/>
              <w:rPr>
                <w:b/>
                <w:bCs/>
                <w:color w:val="auto"/>
                <w:highlight w:val="none"/>
              </w:rPr>
            </w:pPr>
            <w:r>
              <w:rPr>
                <w:rFonts w:hint="eastAsia"/>
                <w:b/>
                <w:bCs/>
                <w:color w:val="auto"/>
                <w:highlight w:val="none"/>
              </w:rPr>
              <w:t>主要防治措施</w:t>
            </w:r>
          </w:p>
        </w:tc>
        <w:tc>
          <w:tcPr>
            <w:tcW w:w="3212" w:type="dxa"/>
            <w:gridSpan w:val="2"/>
            <w:vAlign w:val="center"/>
          </w:tcPr>
          <w:p>
            <w:pPr>
              <w:pStyle w:val="30"/>
              <w:rPr>
                <w:b/>
                <w:bCs/>
                <w:color w:val="auto"/>
                <w:highlight w:val="none"/>
              </w:rPr>
            </w:pPr>
            <w:r>
              <w:rPr>
                <w:rFonts w:hint="eastAsia"/>
                <w:b/>
                <w:bCs/>
                <w:color w:val="auto"/>
                <w:highlight w:val="none"/>
              </w:rPr>
              <w:t>国家或地方污染物排放标准</w:t>
            </w:r>
          </w:p>
        </w:tc>
        <w:tc>
          <w:tcPr>
            <w:tcW w:w="1094" w:type="dxa"/>
            <w:vMerge w:val="restart"/>
            <w:vAlign w:val="center"/>
          </w:tcPr>
          <w:p>
            <w:pPr>
              <w:pStyle w:val="30"/>
              <w:rPr>
                <w:b/>
                <w:bCs/>
                <w:color w:val="auto"/>
                <w:highlight w:val="none"/>
              </w:rPr>
            </w:pPr>
            <w:r>
              <w:rPr>
                <w:rFonts w:hint="eastAsia"/>
                <w:b/>
                <w:bCs/>
                <w:color w:val="auto"/>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76" w:type="dxa"/>
            <w:vMerge w:val="continue"/>
            <w:vAlign w:val="center"/>
          </w:tcPr>
          <w:p>
            <w:pPr>
              <w:pStyle w:val="30"/>
              <w:rPr>
                <w:b/>
                <w:bCs/>
                <w:color w:val="auto"/>
                <w:highlight w:val="none"/>
              </w:rPr>
            </w:pPr>
          </w:p>
        </w:tc>
        <w:tc>
          <w:tcPr>
            <w:tcW w:w="1097" w:type="dxa"/>
            <w:vMerge w:val="continue"/>
            <w:vAlign w:val="center"/>
          </w:tcPr>
          <w:p>
            <w:pPr>
              <w:pStyle w:val="30"/>
              <w:rPr>
                <w:b/>
                <w:bCs/>
                <w:color w:val="auto"/>
                <w:highlight w:val="none"/>
              </w:rPr>
            </w:pPr>
          </w:p>
        </w:tc>
        <w:tc>
          <w:tcPr>
            <w:tcW w:w="1320" w:type="dxa"/>
            <w:vMerge w:val="continue"/>
            <w:vAlign w:val="center"/>
          </w:tcPr>
          <w:p>
            <w:pPr>
              <w:pStyle w:val="30"/>
              <w:rPr>
                <w:b/>
                <w:bCs/>
                <w:color w:val="auto"/>
                <w:highlight w:val="none"/>
              </w:rPr>
            </w:pPr>
          </w:p>
        </w:tc>
        <w:tc>
          <w:tcPr>
            <w:tcW w:w="1605" w:type="dxa"/>
            <w:vMerge w:val="continue"/>
            <w:vAlign w:val="center"/>
          </w:tcPr>
          <w:p>
            <w:pPr>
              <w:pStyle w:val="30"/>
              <w:rPr>
                <w:b/>
                <w:bCs/>
                <w:color w:val="auto"/>
                <w:highlight w:val="none"/>
              </w:rPr>
            </w:pPr>
          </w:p>
        </w:tc>
        <w:tc>
          <w:tcPr>
            <w:tcW w:w="1950" w:type="dxa"/>
            <w:vAlign w:val="center"/>
          </w:tcPr>
          <w:p>
            <w:pPr>
              <w:pStyle w:val="30"/>
              <w:rPr>
                <w:b/>
                <w:bCs/>
                <w:color w:val="auto"/>
                <w:highlight w:val="none"/>
              </w:rPr>
            </w:pPr>
            <w:r>
              <w:rPr>
                <w:rFonts w:hint="eastAsia"/>
                <w:b/>
                <w:bCs/>
                <w:color w:val="auto"/>
                <w:highlight w:val="none"/>
              </w:rPr>
              <w:t>标准名称</w:t>
            </w:r>
          </w:p>
        </w:tc>
        <w:tc>
          <w:tcPr>
            <w:tcW w:w="1262" w:type="dxa"/>
            <w:vAlign w:val="center"/>
          </w:tcPr>
          <w:p>
            <w:pPr>
              <w:pStyle w:val="30"/>
              <w:rPr>
                <w:b/>
                <w:bCs/>
                <w:color w:val="auto"/>
                <w:highlight w:val="none"/>
              </w:rPr>
            </w:pPr>
            <w:r>
              <w:rPr>
                <w:rFonts w:hint="eastAsia"/>
                <w:b/>
                <w:bCs/>
                <w:color w:val="auto"/>
                <w:highlight w:val="none"/>
              </w:rPr>
              <w:t>浓度限值（</w:t>
            </w:r>
            <w:r>
              <w:rPr>
                <w:b/>
                <w:bCs/>
                <w:color w:val="auto"/>
                <w:highlight w:val="none"/>
              </w:rPr>
              <w:t>μ</w:t>
            </w:r>
            <w:r>
              <w:rPr>
                <w:rFonts w:hint="eastAsia"/>
                <w:b/>
                <w:bCs/>
                <w:color w:val="auto"/>
                <w:highlight w:val="none"/>
              </w:rPr>
              <w:t>g/m</w:t>
            </w:r>
            <w:r>
              <w:rPr>
                <w:rFonts w:hint="eastAsia"/>
                <w:b/>
                <w:bCs/>
                <w:color w:val="auto"/>
                <w:highlight w:val="none"/>
                <w:vertAlign w:val="superscript"/>
              </w:rPr>
              <w:t>3</w:t>
            </w:r>
            <w:r>
              <w:rPr>
                <w:rFonts w:hint="eastAsia"/>
                <w:b/>
                <w:bCs/>
                <w:color w:val="auto"/>
                <w:highlight w:val="none"/>
              </w:rPr>
              <w:t>）</w:t>
            </w:r>
          </w:p>
        </w:tc>
        <w:tc>
          <w:tcPr>
            <w:tcW w:w="1094" w:type="dxa"/>
            <w:vMerge w:val="continue"/>
            <w:vAlign w:val="center"/>
          </w:tcPr>
          <w:p>
            <w:pPr>
              <w:pStyle w:val="30"/>
              <w:rPr>
                <w:b/>
                <w:bCs/>
                <w:color w:val="auto"/>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76" w:type="dxa"/>
            <w:vAlign w:val="center"/>
          </w:tcPr>
          <w:p>
            <w:pPr>
              <w:pStyle w:val="30"/>
              <w:rPr>
                <w:color w:val="auto"/>
                <w:highlight w:val="none"/>
              </w:rPr>
            </w:pPr>
            <w:r>
              <w:rPr>
                <w:rFonts w:hint="eastAsia"/>
                <w:color w:val="auto"/>
                <w:highlight w:val="none"/>
              </w:rPr>
              <w:t>1</w:t>
            </w:r>
          </w:p>
        </w:tc>
        <w:tc>
          <w:tcPr>
            <w:tcW w:w="1097" w:type="dxa"/>
            <w:vAlign w:val="center"/>
          </w:tcPr>
          <w:p>
            <w:pPr>
              <w:pStyle w:val="30"/>
              <w:rPr>
                <w:color w:val="auto"/>
                <w:highlight w:val="none"/>
              </w:rPr>
            </w:pPr>
            <w:r>
              <w:rPr>
                <w:rFonts w:hint="eastAsia"/>
                <w:color w:val="auto"/>
                <w:highlight w:val="none"/>
              </w:rPr>
              <w:t>破碎</w:t>
            </w:r>
          </w:p>
        </w:tc>
        <w:tc>
          <w:tcPr>
            <w:tcW w:w="1320" w:type="dxa"/>
            <w:vAlign w:val="center"/>
          </w:tcPr>
          <w:p>
            <w:pPr>
              <w:pStyle w:val="30"/>
              <w:rPr>
                <w:color w:val="auto"/>
                <w:highlight w:val="none"/>
              </w:rPr>
            </w:pPr>
            <w:r>
              <w:rPr>
                <w:rFonts w:hint="eastAsia"/>
                <w:color w:val="auto"/>
                <w:highlight w:val="none"/>
              </w:rPr>
              <w:t>颗粒物</w:t>
            </w:r>
          </w:p>
        </w:tc>
        <w:tc>
          <w:tcPr>
            <w:tcW w:w="1605" w:type="dxa"/>
            <w:vMerge w:val="restart"/>
            <w:vAlign w:val="center"/>
          </w:tcPr>
          <w:p>
            <w:pPr>
              <w:pStyle w:val="30"/>
              <w:rPr>
                <w:color w:val="auto"/>
                <w:highlight w:val="none"/>
              </w:rPr>
            </w:pPr>
            <w:r>
              <w:rPr>
                <w:rFonts w:hint="eastAsia"/>
                <w:color w:val="auto"/>
                <w:highlight w:val="none"/>
              </w:rPr>
              <w:t>加强集气罩收集效率、厂房内沉降</w:t>
            </w:r>
          </w:p>
        </w:tc>
        <w:tc>
          <w:tcPr>
            <w:tcW w:w="1950" w:type="dxa"/>
            <w:vMerge w:val="restart"/>
            <w:vAlign w:val="center"/>
          </w:tcPr>
          <w:p>
            <w:pPr>
              <w:pStyle w:val="30"/>
              <w:rPr>
                <w:color w:val="auto"/>
                <w:highlight w:val="none"/>
              </w:rPr>
            </w:pPr>
            <w:r>
              <w:rPr>
                <w:rFonts w:hint="eastAsia"/>
                <w:color w:val="auto"/>
                <w:highlight w:val="none"/>
              </w:rPr>
              <w:t>《合成树脂工业污染物排放标准》（GB31572-2015）</w:t>
            </w:r>
          </w:p>
        </w:tc>
        <w:tc>
          <w:tcPr>
            <w:tcW w:w="1262" w:type="dxa"/>
            <w:vAlign w:val="center"/>
          </w:tcPr>
          <w:p>
            <w:pPr>
              <w:pStyle w:val="30"/>
              <w:rPr>
                <w:color w:val="auto"/>
                <w:highlight w:val="none"/>
              </w:rPr>
            </w:pPr>
            <w:r>
              <w:rPr>
                <w:rFonts w:hint="eastAsia"/>
                <w:color w:val="auto"/>
                <w:highlight w:val="none"/>
              </w:rPr>
              <w:t>1000</w:t>
            </w:r>
          </w:p>
        </w:tc>
        <w:tc>
          <w:tcPr>
            <w:tcW w:w="1094" w:type="dxa"/>
            <w:vAlign w:val="center"/>
          </w:tcPr>
          <w:p>
            <w:pPr>
              <w:pStyle w:val="30"/>
              <w:rPr>
                <w:color w:val="auto"/>
                <w:highlight w:val="none"/>
              </w:rPr>
            </w:pPr>
            <w:r>
              <w:rPr>
                <w:rFonts w:hint="eastAsia" w:cstheme="minorBidi"/>
                <w:color w:val="auto"/>
                <w:kern w:val="2"/>
                <w:sz w:val="21"/>
                <w:szCs w:val="22"/>
                <w:highlight w:val="none"/>
                <w:lang w:val="en-US" w:eastAsia="zh-CN" w:bidi="ar-SA"/>
              </w:rPr>
              <w:t>0.0225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676" w:type="dxa"/>
            <w:vAlign w:val="center"/>
          </w:tcPr>
          <w:p>
            <w:pPr>
              <w:pStyle w:val="30"/>
              <w:rPr>
                <w:color w:val="auto"/>
                <w:highlight w:val="none"/>
              </w:rPr>
            </w:pPr>
            <w:r>
              <w:rPr>
                <w:rFonts w:hint="eastAsia"/>
                <w:color w:val="auto"/>
                <w:highlight w:val="none"/>
              </w:rPr>
              <w:t>2</w:t>
            </w:r>
          </w:p>
        </w:tc>
        <w:tc>
          <w:tcPr>
            <w:tcW w:w="1097" w:type="dxa"/>
            <w:vAlign w:val="center"/>
          </w:tcPr>
          <w:p>
            <w:pPr>
              <w:pStyle w:val="30"/>
              <w:rPr>
                <w:color w:val="auto"/>
                <w:highlight w:val="none"/>
              </w:rPr>
            </w:pPr>
            <w:r>
              <w:rPr>
                <w:rFonts w:hint="eastAsia"/>
                <w:color w:val="auto"/>
                <w:highlight w:val="none"/>
              </w:rPr>
              <w:t>熔融挤出</w:t>
            </w:r>
          </w:p>
        </w:tc>
        <w:tc>
          <w:tcPr>
            <w:tcW w:w="1320" w:type="dxa"/>
            <w:vAlign w:val="center"/>
          </w:tcPr>
          <w:p>
            <w:pPr>
              <w:pStyle w:val="30"/>
              <w:rPr>
                <w:color w:val="auto"/>
                <w:highlight w:val="none"/>
              </w:rPr>
            </w:pPr>
            <w:r>
              <w:rPr>
                <w:rFonts w:hint="eastAsia"/>
                <w:color w:val="auto"/>
                <w:highlight w:val="none"/>
              </w:rPr>
              <w:t>非甲烷总烃</w:t>
            </w:r>
          </w:p>
        </w:tc>
        <w:tc>
          <w:tcPr>
            <w:tcW w:w="1605" w:type="dxa"/>
            <w:vMerge w:val="continue"/>
            <w:vAlign w:val="center"/>
          </w:tcPr>
          <w:p>
            <w:pPr>
              <w:pStyle w:val="30"/>
              <w:rPr>
                <w:color w:val="auto"/>
                <w:highlight w:val="none"/>
              </w:rPr>
            </w:pPr>
          </w:p>
        </w:tc>
        <w:tc>
          <w:tcPr>
            <w:tcW w:w="1950" w:type="dxa"/>
            <w:vMerge w:val="continue"/>
            <w:vAlign w:val="center"/>
          </w:tcPr>
          <w:p>
            <w:pPr>
              <w:pStyle w:val="30"/>
              <w:rPr>
                <w:color w:val="auto"/>
                <w:highlight w:val="none"/>
              </w:rPr>
            </w:pPr>
          </w:p>
        </w:tc>
        <w:tc>
          <w:tcPr>
            <w:tcW w:w="1262" w:type="dxa"/>
            <w:vAlign w:val="center"/>
          </w:tcPr>
          <w:p>
            <w:pPr>
              <w:pStyle w:val="30"/>
              <w:rPr>
                <w:color w:val="auto"/>
                <w:highlight w:val="none"/>
              </w:rPr>
            </w:pPr>
            <w:r>
              <w:rPr>
                <w:rFonts w:hint="eastAsia"/>
                <w:color w:val="auto"/>
                <w:highlight w:val="none"/>
              </w:rPr>
              <w:t>4000</w:t>
            </w:r>
          </w:p>
        </w:tc>
        <w:tc>
          <w:tcPr>
            <w:tcW w:w="1094" w:type="dxa"/>
            <w:vAlign w:val="center"/>
          </w:tcPr>
          <w:p>
            <w:pPr>
              <w:pStyle w:val="30"/>
              <w:rPr>
                <w:rFonts w:hint="default"/>
                <w:color w:val="auto"/>
                <w:highlight w:val="none"/>
                <w:lang w:val="en-US"/>
              </w:rPr>
            </w:pPr>
            <w:r>
              <w:rPr>
                <w:rFonts w:hint="eastAsia" w:cs="Times New Roman"/>
                <w:color w:val="auto"/>
                <w:lang w:val="en-US" w:eastAsia="zh-CN"/>
              </w:rPr>
              <w:t>2.376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9004" w:type="dxa"/>
            <w:gridSpan w:val="7"/>
            <w:vAlign w:val="center"/>
          </w:tcPr>
          <w:p>
            <w:pPr>
              <w:pStyle w:val="30"/>
              <w:rPr>
                <w:color w:val="auto"/>
                <w:highlight w:val="none"/>
              </w:rPr>
            </w:pPr>
            <w:r>
              <w:rPr>
                <w:rFonts w:hint="eastAsia"/>
                <w:color w:val="auto"/>
                <w:highlight w:val="none"/>
              </w:rPr>
              <w:t>无组织排放总计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093" w:type="dxa"/>
            <w:gridSpan w:val="3"/>
            <w:vMerge w:val="restart"/>
            <w:vAlign w:val="center"/>
          </w:tcPr>
          <w:p>
            <w:pPr>
              <w:pStyle w:val="30"/>
              <w:rPr>
                <w:color w:val="auto"/>
                <w:highlight w:val="none"/>
              </w:rPr>
            </w:pPr>
            <w:r>
              <w:rPr>
                <w:rFonts w:hint="eastAsia"/>
                <w:color w:val="auto"/>
                <w:highlight w:val="none"/>
              </w:rPr>
              <w:t>无组织排放总计</w:t>
            </w:r>
          </w:p>
        </w:tc>
        <w:tc>
          <w:tcPr>
            <w:tcW w:w="4817" w:type="dxa"/>
            <w:gridSpan w:val="3"/>
            <w:vAlign w:val="center"/>
          </w:tcPr>
          <w:p>
            <w:pPr>
              <w:pStyle w:val="30"/>
              <w:rPr>
                <w:color w:val="auto"/>
                <w:highlight w:val="none"/>
              </w:rPr>
            </w:pPr>
            <w:r>
              <w:rPr>
                <w:rFonts w:hint="eastAsia"/>
                <w:color w:val="auto"/>
                <w:highlight w:val="none"/>
              </w:rPr>
              <w:t>颗粒物</w:t>
            </w:r>
          </w:p>
        </w:tc>
        <w:tc>
          <w:tcPr>
            <w:tcW w:w="1094" w:type="dxa"/>
            <w:vAlign w:val="center"/>
          </w:tcPr>
          <w:p>
            <w:pPr>
              <w:pStyle w:val="30"/>
              <w:ind w:firstLine="0" w:firstLineChars="0"/>
              <w:rPr>
                <w:color w:val="auto"/>
                <w:highlight w:val="none"/>
              </w:rPr>
            </w:pPr>
            <w:r>
              <w:rPr>
                <w:rFonts w:hint="eastAsia" w:cstheme="minorBidi"/>
                <w:color w:val="auto"/>
                <w:kern w:val="2"/>
                <w:sz w:val="21"/>
                <w:szCs w:val="22"/>
                <w:highlight w:val="none"/>
                <w:lang w:val="en-US" w:eastAsia="zh-CN" w:bidi="ar-SA"/>
              </w:rPr>
              <w:t>0.0225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3093" w:type="dxa"/>
            <w:gridSpan w:val="3"/>
            <w:vMerge w:val="continue"/>
            <w:vAlign w:val="center"/>
          </w:tcPr>
          <w:p>
            <w:pPr>
              <w:pStyle w:val="30"/>
              <w:rPr>
                <w:color w:val="auto"/>
                <w:highlight w:val="none"/>
              </w:rPr>
            </w:pPr>
          </w:p>
        </w:tc>
        <w:tc>
          <w:tcPr>
            <w:tcW w:w="4817" w:type="dxa"/>
            <w:gridSpan w:val="3"/>
            <w:vAlign w:val="center"/>
          </w:tcPr>
          <w:p>
            <w:pPr>
              <w:pStyle w:val="30"/>
              <w:rPr>
                <w:color w:val="auto"/>
                <w:highlight w:val="none"/>
              </w:rPr>
            </w:pPr>
            <w:r>
              <w:rPr>
                <w:rFonts w:hint="eastAsia"/>
                <w:color w:val="auto"/>
                <w:highlight w:val="none"/>
              </w:rPr>
              <w:t>非甲烷总烃</w:t>
            </w:r>
          </w:p>
        </w:tc>
        <w:tc>
          <w:tcPr>
            <w:tcW w:w="1094" w:type="dxa"/>
            <w:vAlign w:val="center"/>
          </w:tcPr>
          <w:p>
            <w:pPr>
              <w:pStyle w:val="30"/>
              <w:ind w:firstLine="0" w:firstLineChars="0"/>
              <w:rPr>
                <w:rFonts w:hint="default"/>
                <w:color w:val="auto"/>
                <w:highlight w:val="none"/>
                <w:lang w:val="en-US"/>
              </w:rPr>
            </w:pPr>
            <w:r>
              <w:rPr>
                <w:rFonts w:hint="eastAsia" w:cs="Times New Roman"/>
                <w:color w:val="auto"/>
                <w:lang w:val="en-US" w:eastAsia="zh-CN"/>
              </w:rPr>
              <w:t>2.376</w:t>
            </w:r>
          </w:p>
        </w:tc>
      </w:tr>
    </w:tbl>
    <w:p>
      <w:pPr>
        <w:pStyle w:val="31"/>
        <w:rPr>
          <w:color w:val="auto"/>
          <w:highlight w:val="none"/>
        </w:rPr>
      </w:pPr>
      <w:r>
        <w:rPr>
          <w:rFonts w:hint="eastAsia"/>
          <w:color w:val="auto"/>
          <w:highlight w:val="none"/>
        </w:rPr>
        <w:t>表5.2-12  本项目大气污染物年排放量核算表</w:t>
      </w:r>
    </w:p>
    <w:tbl>
      <w:tblPr>
        <w:tblStyle w:val="21"/>
        <w:tblW w:w="891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913"/>
        <w:gridCol w:w="3001"/>
        <w:gridCol w:w="30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913" w:type="dxa"/>
            <w:vAlign w:val="center"/>
          </w:tcPr>
          <w:p>
            <w:pPr>
              <w:pStyle w:val="30"/>
              <w:rPr>
                <w:b/>
                <w:bCs/>
                <w:color w:val="auto"/>
                <w:highlight w:val="none"/>
              </w:rPr>
            </w:pPr>
            <w:r>
              <w:rPr>
                <w:rFonts w:hint="eastAsia"/>
                <w:b/>
                <w:bCs/>
                <w:color w:val="auto"/>
                <w:highlight w:val="none"/>
              </w:rPr>
              <w:t>序号</w:t>
            </w:r>
          </w:p>
        </w:tc>
        <w:tc>
          <w:tcPr>
            <w:tcW w:w="3001" w:type="dxa"/>
            <w:vAlign w:val="center"/>
          </w:tcPr>
          <w:p>
            <w:pPr>
              <w:pStyle w:val="30"/>
              <w:rPr>
                <w:b/>
                <w:bCs/>
                <w:color w:val="auto"/>
                <w:highlight w:val="none"/>
              </w:rPr>
            </w:pPr>
            <w:r>
              <w:rPr>
                <w:rFonts w:hint="eastAsia"/>
                <w:b/>
                <w:bCs/>
                <w:color w:val="auto"/>
                <w:highlight w:val="none"/>
              </w:rPr>
              <w:t>污染物</w:t>
            </w:r>
          </w:p>
        </w:tc>
        <w:tc>
          <w:tcPr>
            <w:tcW w:w="3002" w:type="dxa"/>
            <w:vAlign w:val="center"/>
          </w:tcPr>
          <w:p>
            <w:pPr>
              <w:pStyle w:val="30"/>
              <w:rPr>
                <w:b/>
                <w:bCs/>
                <w:color w:val="auto"/>
                <w:highlight w:val="none"/>
              </w:rPr>
            </w:pPr>
            <w:r>
              <w:rPr>
                <w:rFonts w:hint="eastAsia"/>
                <w:b/>
                <w:bCs/>
                <w:color w:val="auto"/>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913" w:type="dxa"/>
            <w:vAlign w:val="center"/>
          </w:tcPr>
          <w:p>
            <w:pPr>
              <w:pStyle w:val="30"/>
              <w:rPr>
                <w:color w:val="auto"/>
                <w:highlight w:val="none"/>
              </w:rPr>
            </w:pPr>
            <w:r>
              <w:rPr>
                <w:rFonts w:hint="eastAsia"/>
                <w:color w:val="auto"/>
                <w:highlight w:val="none"/>
              </w:rPr>
              <w:t>1</w:t>
            </w:r>
          </w:p>
        </w:tc>
        <w:tc>
          <w:tcPr>
            <w:tcW w:w="3001" w:type="dxa"/>
            <w:vAlign w:val="center"/>
          </w:tcPr>
          <w:p>
            <w:pPr>
              <w:pStyle w:val="30"/>
              <w:rPr>
                <w:color w:val="auto"/>
                <w:highlight w:val="none"/>
              </w:rPr>
            </w:pPr>
            <w:r>
              <w:rPr>
                <w:rFonts w:hint="eastAsia"/>
                <w:color w:val="auto"/>
                <w:highlight w:val="none"/>
              </w:rPr>
              <w:t>颗粒物</w:t>
            </w:r>
          </w:p>
        </w:tc>
        <w:tc>
          <w:tcPr>
            <w:tcW w:w="3002" w:type="dxa"/>
            <w:vAlign w:val="center"/>
          </w:tcPr>
          <w:p>
            <w:pPr>
              <w:pStyle w:val="30"/>
              <w:rPr>
                <w:rFonts w:hint="default" w:eastAsia="宋体"/>
                <w:color w:val="auto"/>
                <w:highlight w:val="none"/>
                <w:lang w:val="en-US" w:eastAsia="zh-CN"/>
              </w:rPr>
            </w:pPr>
            <w:r>
              <w:rPr>
                <w:rFonts w:hint="eastAsia"/>
                <w:color w:val="auto"/>
                <w:highlight w:val="none"/>
              </w:rPr>
              <w:t>0.0</w:t>
            </w:r>
            <w:r>
              <w:rPr>
                <w:rFonts w:hint="eastAsia"/>
                <w:color w:val="auto"/>
                <w:highlight w:val="no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2913" w:type="dxa"/>
            <w:vAlign w:val="center"/>
          </w:tcPr>
          <w:p>
            <w:pPr>
              <w:pStyle w:val="30"/>
              <w:rPr>
                <w:color w:val="auto"/>
                <w:highlight w:val="none"/>
              </w:rPr>
            </w:pPr>
            <w:r>
              <w:rPr>
                <w:rFonts w:hint="eastAsia"/>
                <w:color w:val="auto"/>
                <w:highlight w:val="none"/>
              </w:rPr>
              <w:t>2</w:t>
            </w:r>
          </w:p>
        </w:tc>
        <w:tc>
          <w:tcPr>
            <w:tcW w:w="3001" w:type="dxa"/>
            <w:vAlign w:val="center"/>
          </w:tcPr>
          <w:p>
            <w:pPr>
              <w:pStyle w:val="30"/>
              <w:rPr>
                <w:color w:val="auto"/>
                <w:highlight w:val="none"/>
              </w:rPr>
            </w:pPr>
            <w:r>
              <w:rPr>
                <w:rFonts w:hint="eastAsia"/>
                <w:color w:val="auto"/>
                <w:highlight w:val="none"/>
              </w:rPr>
              <w:t>非甲烷总烃</w:t>
            </w:r>
          </w:p>
        </w:tc>
        <w:tc>
          <w:tcPr>
            <w:tcW w:w="3002" w:type="dxa"/>
            <w:vAlign w:val="center"/>
          </w:tcPr>
          <w:p>
            <w:pPr>
              <w:pStyle w:val="30"/>
              <w:rPr>
                <w:rFonts w:hint="default" w:eastAsia="宋体"/>
                <w:color w:val="auto"/>
                <w:highlight w:val="none"/>
                <w:lang w:val="en-US" w:eastAsia="zh-CN"/>
              </w:rPr>
            </w:pPr>
            <w:r>
              <w:rPr>
                <w:rFonts w:hint="eastAsia"/>
                <w:color w:val="auto"/>
                <w:highlight w:val="none"/>
                <w:lang w:val="en-US" w:eastAsia="zh-CN"/>
              </w:rPr>
              <w:t>8.0784</w:t>
            </w:r>
          </w:p>
        </w:tc>
      </w:tr>
    </w:tbl>
    <w:p>
      <w:pPr>
        <w:pStyle w:val="7"/>
        <w:rPr>
          <w:color w:val="auto"/>
        </w:rPr>
      </w:pPr>
      <w:r>
        <w:rPr>
          <w:rFonts w:hint="eastAsia"/>
          <w:color w:val="auto"/>
        </w:rPr>
        <w:t>5</w:t>
      </w:r>
      <w:r>
        <w:rPr>
          <w:color w:val="auto"/>
        </w:rPr>
        <w:t>.2.</w:t>
      </w:r>
      <w:r>
        <w:rPr>
          <w:rFonts w:hint="eastAsia"/>
          <w:color w:val="auto"/>
        </w:rPr>
        <w:t>4 大气环境影响评价结论</w:t>
      </w:r>
    </w:p>
    <w:p>
      <w:pPr>
        <w:ind w:firstLine="480"/>
        <w:rPr>
          <w:color w:val="auto"/>
        </w:rPr>
      </w:pPr>
      <w:r>
        <w:rPr>
          <w:rFonts w:hint="eastAsia"/>
          <w:color w:val="auto"/>
        </w:rPr>
        <w:t>综上所述，项目采取的大气污染物控制措施可以保证污染物达标排放，环境防护距离设置满足环保要求，项目废气对外环境影响很小，所采取的废气防治措施是可行的，大气环境影响可接受。</w:t>
      </w:r>
    </w:p>
    <w:p>
      <w:pPr>
        <w:pStyle w:val="6"/>
        <w:rPr>
          <w:color w:val="auto"/>
        </w:rPr>
      </w:pPr>
      <w:bookmarkStart w:id="148" w:name="_Toc9351"/>
      <w:bookmarkStart w:id="149" w:name="_Toc26718"/>
      <w:bookmarkStart w:id="150" w:name="_Toc30408"/>
      <w:r>
        <w:rPr>
          <w:rFonts w:hint="eastAsia"/>
          <w:color w:val="auto"/>
        </w:rPr>
        <w:t>5</w:t>
      </w:r>
      <w:r>
        <w:rPr>
          <w:color w:val="auto"/>
        </w:rPr>
        <w:t>.3运营期地表水环境影响预测评价</w:t>
      </w:r>
      <w:bookmarkEnd w:id="148"/>
      <w:bookmarkEnd w:id="149"/>
      <w:bookmarkEnd w:id="150"/>
    </w:p>
    <w:p>
      <w:pPr>
        <w:ind w:firstLine="480"/>
        <w:rPr>
          <w:color w:val="auto"/>
        </w:rPr>
      </w:pPr>
      <w:r>
        <w:rPr>
          <w:rFonts w:hint="eastAsia"/>
          <w:color w:val="auto"/>
        </w:rPr>
        <w:t>本项目主要废水有冷却水和生活污水。</w:t>
      </w:r>
    </w:p>
    <w:p>
      <w:pPr>
        <w:ind w:firstLine="482"/>
        <w:rPr>
          <w:b/>
          <w:bCs/>
          <w:color w:val="auto"/>
        </w:rPr>
      </w:pPr>
      <w:r>
        <w:rPr>
          <w:rFonts w:hint="eastAsia"/>
          <w:b/>
          <w:bCs/>
          <w:color w:val="auto"/>
        </w:rPr>
        <w:t>（1）冷却水</w:t>
      </w:r>
    </w:p>
    <w:p>
      <w:pPr>
        <w:ind w:firstLine="480"/>
        <w:rPr>
          <w:color w:val="auto"/>
          <w:u w:val="single"/>
        </w:rPr>
      </w:pPr>
      <w:r>
        <w:rPr>
          <w:rFonts w:hint="eastAsia"/>
          <w:color w:val="auto"/>
          <w:u w:val="single"/>
        </w:rPr>
        <w:t>生产用水主要为间接冷却用水，主要用于冷却定型，采用间接热交换冷却的方式，冷却水对水质要求不高，经循环水池简单沉淀后，可一直循环使用，不外排</w:t>
      </w:r>
      <w:r>
        <w:rPr>
          <w:rFonts w:hint="eastAsia"/>
          <w:color w:val="auto"/>
          <w:u w:val="single"/>
          <w:lang w:eastAsia="zh-CN"/>
        </w:rPr>
        <w:t>，</w:t>
      </w:r>
      <w:r>
        <w:rPr>
          <w:rFonts w:hint="eastAsia"/>
          <w:color w:val="auto"/>
          <w:u w:val="single"/>
          <w:lang w:val="en-US" w:eastAsia="zh-CN"/>
        </w:rPr>
        <w:t>项目设置一个128m</w:t>
      </w:r>
      <w:r>
        <w:rPr>
          <w:rFonts w:hint="eastAsia"/>
          <w:color w:val="auto"/>
          <w:u w:val="single"/>
          <w:vertAlign w:val="superscript"/>
          <w:lang w:val="en-US" w:eastAsia="zh-CN"/>
        </w:rPr>
        <w:t>3</w:t>
      </w:r>
      <w:r>
        <w:rPr>
          <w:rFonts w:hint="eastAsia"/>
          <w:color w:val="auto"/>
          <w:u w:val="single"/>
          <w:lang w:val="en-US" w:eastAsia="zh-CN"/>
        </w:rPr>
        <w:t>的循环水池，冷却水间接冷却，不与产品接触，根据建设单位提供的资料，循环冷却水无需外排</w:t>
      </w:r>
      <w:r>
        <w:rPr>
          <w:rFonts w:hint="eastAsia"/>
          <w:color w:val="auto"/>
          <w:u w:val="single"/>
        </w:rPr>
        <w:t>。</w:t>
      </w:r>
    </w:p>
    <w:p>
      <w:pPr>
        <w:ind w:firstLine="482"/>
        <w:rPr>
          <w:b/>
          <w:bCs/>
          <w:color w:val="auto"/>
        </w:rPr>
      </w:pPr>
      <w:r>
        <w:rPr>
          <w:rFonts w:hint="eastAsia"/>
          <w:b/>
          <w:bCs/>
          <w:color w:val="auto"/>
        </w:rPr>
        <w:t>（2）生活污水</w:t>
      </w:r>
    </w:p>
    <w:p>
      <w:pPr>
        <w:ind w:firstLine="480"/>
        <w:rPr>
          <w:color w:val="auto"/>
        </w:rPr>
      </w:pPr>
      <w:r>
        <w:rPr>
          <w:rFonts w:hint="eastAsia"/>
          <w:color w:val="auto"/>
        </w:rPr>
        <w:t>本项目职工30人，厂区内不提供食宿，年工作</w:t>
      </w:r>
      <w:r>
        <w:rPr>
          <w:rFonts w:hint="eastAsia"/>
          <w:color w:val="auto"/>
          <w:lang w:val="en-US" w:eastAsia="zh-CN"/>
        </w:rPr>
        <w:t>30</w:t>
      </w:r>
      <w:r>
        <w:rPr>
          <w:rFonts w:hint="eastAsia"/>
          <w:color w:val="auto"/>
        </w:rPr>
        <w:t>0天，项目生活污水排放量为1.2 m</w:t>
      </w:r>
      <w:r>
        <w:rPr>
          <w:rFonts w:hint="eastAsia"/>
          <w:color w:val="auto"/>
          <w:vertAlign w:val="superscript"/>
        </w:rPr>
        <w:t>3</w:t>
      </w:r>
      <w:r>
        <w:rPr>
          <w:rFonts w:hint="eastAsia"/>
          <w:color w:val="auto"/>
        </w:rPr>
        <w:t>/d（336 m</w:t>
      </w:r>
      <w:r>
        <w:rPr>
          <w:rFonts w:hint="eastAsia"/>
          <w:color w:val="auto"/>
          <w:vertAlign w:val="superscript"/>
        </w:rPr>
        <w:t>3</w:t>
      </w:r>
      <w:r>
        <w:rPr>
          <w:rFonts w:hint="eastAsia"/>
          <w:color w:val="auto"/>
        </w:rPr>
        <w:t>/a）。</w:t>
      </w:r>
      <w:r>
        <w:rPr>
          <w:color w:val="auto"/>
        </w:rPr>
        <w:t>生活污水经化粪池处理达到《污水综合排放标准》</w:t>
      </w:r>
      <w:r>
        <w:rPr>
          <w:rFonts w:hint="eastAsia"/>
          <w:color w:val="auto"/>
        </w:rPr>
        <w:t>（GB8978-1996）</w:t>
      </w:r>
      <w:r>
        <w:rPr>
          <w:color w:val="auto"/>
        </w:rPr>
        <w:t>中三级标准及汨罗市城市污水处理厂接管标准的较严值后排入园区生活污水管网进入汨罗市城市污水处理厂处理</w:t>
      </w:r>
      <w:r>
        <w:rPr>
          <w:rFonts w:hint="eastAsia"/>
          <w:color w:val="auto"/>
        </w:rPr>
        <w:t>达到《城镇污水处理厂污染物排放标准》（GB18918-2002）一级A标准要求后</w:t>
      </w:r>
      <w:r>
        <w:rPr>
          <w:color w:val="auto"/>
        </w:rPr>
        <w:t>，最终排入汨罗江。</w:t>
      </w:r>
    </w:p>
    <w:p>
      <w:pPr>
        <w:ind w:firstLine="480"/>
        <w:rPr>
          <w:bCs/>
          <w:color w:val="auto"/>
        </w:rPr>
      </w:pPr>
      <w:bookmarkStart w:id="151" w:name="_Toc8944"/>
      <w:r>
        <w:rPr>
          <w:bCs/>
          <w:color w:val="auto"/>
        </w:rPr>
        <w:t>本项目废水类别、污染物及污染治理措施见表</w:t>
      </w:r>
      <w:r>
        <w:rPr>
          <w:color w:val="auto"/>
        </w:rPr>
        <w:t>表5.2-13</w:t>
      </w:r>
      <w:r>
        <w:rPr>
          <w:bCs/>
          <w:color w:val="auto"/>
        </w:rPr>
        <w:t>。</w:t>
      </w:r>
    </w:p>
    <w:p>
      <w:pPr>
        <w:pStyle w:val="31"/>
        <w:rPr>
          <w:color w:val="auto"/>
        </w:rPr>
      </w:pPr>
      <w:r>
        <w:rPr>
          <w:rFonts w:hint="eastAsia"/>
          <w:color w:val="auto"/>
        </w:rPr>
        <w:t>表5.2-13</w:t>
      </w:r>
      <w:r>
        <w:rPr>
          <w:color w:val="auto"/>
        </w:rPr>
        <w:t xml:space="preserve"> </w:t>
      </w:r>
      <w:r>
        <w:rPr>
          <w:rFonts w:hint="eastAsia"/>
          <w:color w:val="auto"/>
        </w:rPr>
        <w:t xml:space="preserve"> 本项目废水类别、污染物及污染治理措施信息表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90"/>
        <w:gridCol w:w="570"/>
        <w:gridCol w:w="951"/>
        <w:gridCol w:w="756"/>
        <w:gridCol w:w="686"/>
        <w:gridCol w:w="787"/>
        <w:gridCol w:w="690"/>
        <w:gridCol w:w="720"/>
        <w:gridCol w:w="690"/>
        <w:gridCol w:w="668"/>
        <w:gridCol w:w="170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9" w:hRule="atLeast"/>
          <w:jc w:val="center"/>
        </w:trPr>
        <w:tc>
          <w:tcPr>
            <w:tcW w:w="390" w:type="dxa"/>
            <w:vMerge w:val="restart"/>
            <w:vAlign w:val="center"/>
          </w:tcPr>
          <w:p>
            <w:pPr>
              <w:pStyle w:val="30"/>
              <w:rPr>
                <w:b/>
                <w:bCs/>
                <w:color w:val="auto"/>
              </w:rPr>
            </w:pPr>
            <w:r>
              <w:rPr>
                <w:b/>
                <w:bCs/>
                <w:color w:val="auto"/>
              </w:rPr>
              <w:t>序号</w:t>
            </w:r>
          </w:p>
        </w:tc>
        <w:tc>
          <w:tcPr>
            <w:tcW w:w="570" w:type="dxa"/>
            <w:vMerge w:val="restart"/>
            <w:vAlign w:val="center"/>
          </w:tcPr>
          <w:p>
            <w:pPr>
              <w:pStyle w:val="30"/>
              <w:rPr>
                <w:b/>
                <w:bCs/>
                <w:color w:val="auto"/>
              </w:rPr>
            </w:pPr>
            <w:r>
              <w:rPr>
                <w:b/>
                <w:bCs/>
                <w:color w:val="auto"/>
              </w:rPr>
              <w:t>废水类别</w:t>
            </w:r>
          </w:p>
        </w:tc>
        <w:tc>
          <w:tcPr>
            <w:tcW w:w="951" w:type="dxa"/>
            <w:vMerge w:val="restart"/>
            <w:vAlign w:val="center"/>
          </w:tcPr>
          <w:p>
            <w:pPr>
              <w:pStyle w:val="30"/>
              <w:rPr>
                <w:b/>
                <w:bCs/>
                <w:color w:val="auto"/>
              </w:rPr>
            </w:pPr>
            <w:r>
              <w:rPr>
                <w:b/>
                <w:bCs/>
                <w:color w:val="auto"/>
              </w:rPr>
              <w:t>污染物种类</w:t>
            </w:r>
          </w:p>
        </w:tc>
        <w:tc>
          <w:tcPr>
            <w:tcW w:w="756" w:type="dxa"/>
            <w:vMerge w:val="restart"/>
            <w:vAlign w:val="center"/>
          </w:tcPr>
          <w:p>
            <w:pPr>
              <w:pStyle w:val="30"/>
              <w:rPr>
                <w:b/>
                <w:bCs/>
                <w:color w:val="auto"/>
              </w:rPr>
            </w:pPr>
            <w:r>
              <w:rPr>
                <w:b/>
                <w:bCs/>
                <w:color w:val="auto"/>
              </w:rPr>
              <w:t>排放去向</w:t>
            </w:r>
          </w:p>
        </w:tc>
        <w:tc>
          <w:tcPr>
            <w:tcW w:w="686" w:type="dxa"/>
            <w:vMerge w:val="restart"/>
            <w:vAlign w:val="center"/>
          </w:tcPr>
          <w:p>
            <w:pPr>
              <w:pStyle w:val="30"/>
              <w:rPr>
                <w:b/>
                <w:bCs/>
                <w:color w:val="auto"/>
              </w:rPr>
            </w:pPr>
            <w:r>
              <w:rPr>
                <w:b/>
                <w:bCs/>
                <w:color w:val="auto"/>
              </w:rPr>
              <w:t>排放规律</w:t>
            </w:r>
          </w:p>
        </w:tc>
        <w:tc>
          <w:tcPr>
            <w:tcW w:w="2197" w:type="dxa"/>
            <w:gridSpan w:val="3"/>
            <w:vAlign w:val="center"/>
          </w:tcPr>
          <w:p>
            <w:pPr>
              <w:pStyle w:val="30"/>
              <w:rPr>
                <w:b/>
                <w:bCs/>
                <w:color w:val="auto"/>
              </w:rPr>
            </w:pPr>
            <w:r>
              <w:rPr>
                <w:b/>
                <w:bCs/>
                <w:color w:val="auto"/>
              </w:rPr>
              <w:t>污染治理设施</w:t>
            </w:r>
          </w:p>
        </w:tc>
        <w:tc>
          <w:tcPr>
            <w:tcW w:w="690" w:type="dxa"/>
            <w:vMerge w:val="restart"/>
            <w:vAlign w:val="center"/>
          </w:tcPr>
          <w:p>
            <w:pPr>
              <w:pStyle w:val="30"/>
              <w:rPr>
                <w:b/>
                <w:bCs/>
                <w:color w:val="auto"/>
              </w:rPr>
            </w:pPr>
            <w:r>
              <w:rPr>
                <w:b/>
                <w:bCs/>
                <w:color w:val="auto"/>
              </w:rPr>
              <w:t>排放口编号</w:t>
            </w:r>
          </w:p>
        </w:tc>
        <w:tc>
          <w:tcPr>
            <w:tcW w:w="668" w:type="dxa"/>
            <w:vMerge w:val="restart"/>
            <w:vAlign w:val="center"/>
          </w:tcPr>
          <w:p>
            <w:pPr>
              <w:pStyle w:val="30"/>
              <w:rPr>
                <w:b/>
                <w:bCs/>
                <w:color w:val="auto"/>
              </w:rPr>
            </w:pPr>
            <w:r>
              <w:rPr>
                <w:b/>
                <w:bCs/>
                <w:color w:val="auto"/>
              </w:rPr>
              <w:t>排放口设置是否符合要求</w:t>
            </w:r>
          </w:p>
        </w:tc>
        <w:tc>
          <w:tcPr>
            <w:tcW w:w="1709" w:type="dxa"/>
            <w:vMerge w:val="restart"/>
            <w:vAlign w:val="center"/>
          </w:tcPr>
          <w:p>
            <w:pPr>
              <w:pStyle w:val="30"/>
              <w:rPr>
                <w:b/>
                <w:bCs/>
                <w:color w:val="auto"/>
              </w:rPr>
            </w:pPr>
            <w:r>
              <w:rPr>
                <w:b/>
                <w:bCs/>
                <w:color w:val="auto"/>
              </w:rPr>
              <w:t>排放口类型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04" w:hRule="atLeast"/>
          <w:jc w:val="center"/>
        </w:trPr>
        <w:tc>
          <w:tcPr>
            <w:tcW w:w="390" w:type="dxa"/>
            <w:vMerge w:val="continue"/>
            <w:vAlign w:val="center"/>
          </w:tcPr>
          <w:p>
            <w:pPr>
              <w:pStyle w:val="30"/>
              <w:rPr>
                <w:b/>
                <w:bCs/>
                <w:color w:val="auto"/>
              </w:rPr>
            </w:pPr>
          </w:p>
        </w:tc>
        <w:tc>
          <w:tcPr>
            <w:tcW w:w="570" w:type="dxa"/>
            <w:vMerge w:val="continue"/>
            <w:vAlign w:val="center"/>
          </w:tcPr>
          <w:p>
            <w:pPr>
              <w:pStyle w:val="30"/>
              <w:rPr>
                <w:b/>
                <w:bCs/>
                <w:color w:val="auto"/>
              </w:rPr>
            </w:pPr>
          </w:p>
        </w:tc>
        <w:tc>
          <w:tcPr>
            <w:tcW w:w="951" w:type="dxa"/>
            <w:vMerge w:val="continue"/>
            <w:vAlign w:val="center"/>
          </w:tcPr>
          <w:p>
            <w:pPr>
              <w:pStyle w:val="30"/>
              <w:rPr>
                <w:b/>
                <w:bCs/>
                <w:color w:val="auto"/>
              </w:rPr>
            </w:pPr>
          </w:p>
        </w:tc>
        <w:tc>
          <w:tcPr>
            <w:tcW w:w="756" w:type="dxa"/>
            <w:vMerge w:val="continue"/>
            <w:vAlign w:val="center"/>
          </w:tcPr>
          <w:p>
            <w:pPr>
              <w:pStyle w:val="30"/>
              <w:rPr>
                <w:b/>
                <w:bCs/>
                <w:color w:val="auto"/>
              </w:rPr>
            </w:pPr>
          </w:p>
        </w:tc>
        <w:tc>
          <w:tcPr>
            <w:tcW w:w="686" w:type="dxa"/>
            <w:vMerge w:val="continue"/>
            <w:vAlign w:val="center"/>
          </w:tcPr>
          <w:p>
            <w:pPr>
              <w:pStyle w:val="30"/>
              <w:rPr>
                <w:b/>
                <w:bCs/>
                <w:color w:val="auto"/>
              </w:rPr>
            </w:pPr>
          </w:p>
        </w:tc>
        <w:tc>
          <w:tcPr>
            <w:tcW w:w="787" w:type="dxa"/>
            <w:vAlign w:val="center"/>
          </w:tcPr>
          <w:p>
            <w:pPr>
              <w:pStyle w:val="30"/>
              <w:rPr>
                <w:b/>
                <w:bCs/>
                <w:color w:val="auto"/>
              </w:rPr>
            </w:pPr>
            <w:r>
              <w:rPr>
                <w:b/>
                <w:bCs/>
                <w:color w:val="auto"/>
              </w:rPr>
              <w:t>污染治理设施编号</w:t>
            </w:r>
          </w:p>
        </w:tc>
        <w:tc>
          <w:tcPr>
            <w:tcW w:w="690" w:type="dxa"/>
            <w:vAlign w:val="center"/>
          </w:tcPr>
          <w:p>
            <w:pPr>
              <w:pStyle w:val="30"/>
              <w:rPr>
                <w:b/>
                <w:bCs/>
                <w:color w:val="auto"/>
              </w:rPr>
            </w:pPr>
            <w:r>
              <w:rPr>
                <w:b/>
                <w:bCs/>
                <w:color w:val="auto"/>
              </w:rPr>
              <w:t>污染治理设施名称</w:t>
            </w:r>
          </w:p>
        </w:tc>
        <w:tc>
          <w:tcPr>
            <w:tcW w:w="720" w:type="dxa"/>
            <w:vAlign w:val="center"/>
          </w:tcPr>
          <w:p>
            <w:pPr>
              <w:pStyle w:val="30"/>
              <w:rPr>
                <w:b/>
                <w:bCs/>
                <w:color w:val="auto"/>
              </w:rPr>
            </w:pPr>
            <w:r>
              <w:rPr>
                <w:b/>
                <w:bCs/>
                <w:color w:val="auto"/>
              </w:rPr>
              <w:t>污染治理设施工艺</w:t>
            </w:r>
          </w:p>
        </w:tc>
        <w:tc>
          <w:tcPr>
            <w:tcW w:w="690" w:type="dxa"/>
            <w:vMerge w:val="continue"/>
            <w:vAlign w:val="center"/>
          </w:tcPr>
          <w:p>
            <w:pPr>
              <w:pStyle w:val="30"/>
              <w:rPr>
                <w:b/>
                <w:bCs/>
                <w:color w:val="auto"/>
              </w:rPr>
            </w:pPr>
          </w:p>
        </w:tc>
        <w:tc>
          <w:tcPr>
            <w:tcW w:w="668" w:type="dxa"/>
            <w:vMerge w:val="continue"/>
            <w:vAlign w:val="center"/>
          </w:tcPr>
          <w:p>
            <w:pPr>
              <w:pStyle w:val="30"/>
              <w:rPr>
                <w:b/>
                <w:bCs/>
                <w:color w:val="auto"/>
              </w:rPr>
            </w:pPr>
          </w:p>
        </w:tc>
        <w:tc>
          <w:tcPr>
            <w:tcW w:w="1709" w:type="dxa"/>
            <w:vMerge w:val="continue"/>
            <w:vAlign w:val="center"/>
          </w:tcPr>
          <w:p>
            <w:pPr>
              <w:pStyle w:val="30"/>
              <w:rPr>
                <w:b/>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8" w:hRule="atLeast"/>
          <w:jc w:val="center"/>
        </w:trPr>
        <w:tc>
          <w:tcPr>
            <w:tcW w:w="390" w:type="dxa"/>
            <w:vAlign w:val="center"/>
          </w:tcPr>
          <w:p>
            <w:pPr>
              <w:pStyle w:val="30"/>
              <w:rPr>
                <w:color w:val="auto"/>
              </w:rPr>
            </w:pPr>
            <w:r>
              <w:rPr>
                <w:color w:val="auto"/>
              </w:rPr>
              <w:t>1</w:t>
            </w:r>
          </w:p>
        </w:tc>
        <w:tc>
          <w:tcPr>
            <w:tcW w:w="570" w:type="dxa"/>
            <w:vAlign w:val="center"/>
          </w:tcPr>
          <w:p>
            <w:pPr>
              <w:pStyle w:val="30"/>
              <w:rPr>
                <w:color w:val="auto"/>
              </w:rPr>
            </w:pPr>
            <w:r>
              <w:rPr>
                <w:color w:val="auto"/>
              </w:rPr>
              <w:t>生活污水</w:t>
            </w:r>
          </w:p>
        </w:tc>
        <w:tc>
          <w:tcPr>
            <w:tcW w:w="951" w:type="dxa"/>
            <w:vAlign w:val="center"/>
          </w:tcPr>
          <w:p>
            <w:pPr>
              <w:pStyle w:val="30"/>
              <w:rPr>
                <w:color w:val="auto"/>
              </w:rPr>
            </w:pPr>
            <w:r>
              <w:rPr>
                <w:color w:val="auto"/>
              </w:rPr>
              <w:t>CODcr、BOD5、SS、氨氮</w:t>
            </w:r>
          </w:p>
        </w:tc>
        <w:tc>
          <w:tcPr>
            <w:tcW w:w="756" w:type="dxa"/>
            <w:vAlign w:val="center"/>
          </w:tcPr>
          <w:p>
            <w:pPr>
              <w:pStyle w:val="30"/>
              <w:rPr>
                <w:color w:val="auto"/>
              </w:rPr>
            </w:pPr>
            <w:r>
              <w:rPr>
                <w:color w:val="auto"/>
              </w:rPr>
              <w:t>汨罗市城市污水处理厂</w:t>
            </w:r>
          </w:p>
        </w:tc>
        <w:tc>
          <w:tcPr>
            <w:tcW w:w="686" w:type="dxa"/>
            <w:vAlign w:val="center"/>
          </w:tcPr>
          <w:p>
            <w:pPr>
              <w:pStyle w:val="30"/>
              <w:rPr>
                <w:color w:val="auto"/>
              </w:rPr>
            </w:pPr>
            <w:r>
              <w:rPr>
                <w:color w:val="auto"/>
              </w:rPr>
              <w:t>间断排放，流量不稳定</w:t>
            </w:r>
          </w:p>
        </w:tc>
        <w:tc>
          <w:tcPr>
            <w:tcW w:w="787" w:type="dxa"/>
            <w:vAlign w:val="center"/>
          </w:tcPr>
          <w:p>
            <w:pPr>
              <w:pStyle w:val="30"/>
              <w:rPr>
                <w:color w:val="auto"/>
              </w:rPr>
            </w:pPr>
            <w:r>
              <w:rPr>
                <w:color w:val="auto"/>
              </w:rPr>
              <w:t>TW001</w:t>
            </w:r>
          </w:p>
        </w:tc>
        <w:tc>
          <w:tcPr>
            <w:tcW w:w="690" w:type="dxa"/>
            <w:vAlign w:val="center"/>
          </w:tcPr>
          <w:p>
            <w:pPr>
              <w:pStyle w:val="30"/>
              <w:rPr>
                <w:color w:val="auto"/>
              </w:rPr>
            </w:pPr>
            <w:r>
              <w:rPr>
                <w:color w:val="auto"/>
              </w:rPr>
              <w:t>生活污水处理设施</w:t>
            </w:r>
          </w:p>
        </w:tc>
        <w:tc>
          <w:tcPr>
            <w:tcW w:w="720" w:type="dxa"/>
            <w:vAlign w:val="center"/>
          </w:tcPr>
          <w:p>
            <w:pPr>
              <w:pStyle w:val="30"/>
              <w:rPr>
                <w:color w:val="auto"/>
              </w:rPr>
            </w:pPr>
            <w:r>
              <w:rPr>
                <w:color w:val="auto"/>
              </w:rPr>
              <w:t>化粪池</w:t>
            </w:r>
          </w:p>
        </w:tc>
        <w:tc>
          <w:tcPr>
            <w:tcW w:w="690" w:type="dxa"/>
            <w:vAlign w:val="center"/>
          </w:tcPr>
          <w:p>
            <w:pPr>
              <w:pStyle w:val="30"/>
              <w:rPr>
                <w:color w:val="auto"/>
              </w:rPr>
            </w:pPr>
            <w:r>
              <w:rPr>
                <w:color w:val="auto"/>
              </w:rPr>
              <w:t>DW001</w:t>
            </w:r>
          </w:p>
        </w:tc>
        <w:tc>
          <w:tcPr>
            <w:tcW w:w="668" w:type="dxa"/>
            <w:vAlign w:val="center"/>
          </w:tcPr>
          <w:p>
            <w:pPr>
              <w:pStyle w:val="30"/>
              <w:rPr>
                <w:color w:val="auto"/>
              </w:rPr>
            </w:pPr>
            <w:r>
              <w:rPr>
                <w:color w:val="auto"/>
              </w:rPr>
              <w:sym w:font="Wingdings 2" w:char="0052"/>
            </w:r>
            <w:r>
              <w:rPr>
                <w:color w:val="auto"/>
              </w:rPr>
              <w:t>是</w:t>
            </w:r>
          </w:p>
          <w:p>
            <w:pPr>
              <w:pStyle w:val="30"/>
              <w:rPr>
                <w:color w:val="auto"/>
              </w:rPr>
            </w:pPr>
            <w:r>
              <w:rPr>
                <w:color w:val="auto"/>
              </w:rPr>
              <w:sym w:font="Wingdings 2" w:char="00A3"/>
            </w:r>
            <w:r>
              <w:rPr>
                <w:color w:val="auto"/>
              </w:rPr>
              <w:t>否</w:t>
            </w:r>
          </w:p>
        </w:tc>
        <w:tc>
          <w:tcPr>
            <w:tcW w:w="1709" w:type="dxa"/>
            <w:vAlign w:val="center"/>
          </w:tcPr>
          <w:p>
            <w:pPr>
              <w:pStyle w:val="30"/>
              <w:rPr>
                <w:color w:val="auto"/>
              </w:rPr>
            </w:pPr>
            <w:r>
              <w:rPr>
                <w:color w:val="auto"/>
              </w:rPr>
              <w:sym w:font="Wingdings 2" w:char="0052"/>
            </w:r>
            <w:r>
              <w:rPr>
                <w:color w:val="auto"/>
              </w:rPr>
              <w:t>企业总排</w:t>
            </w:r>
          </w:p>
          <w:p>
            <w:pPr>
              <w:pStyle w:val="30"/>
              <w:rPr>
                <w:color w:val="auto"/>
              </w:rPr>
            </w:pPr>
            <w:r>
              <w:rPr>
                <w:color w:val="auto"/>
              </w:rPr>
              <w:sym w:font="Wingdings 2" w:char="00A3"/>
            </w:r>
            <w:r>
              <w:rPr>
                <w:color w:val="auto"/>
              </w:rPr>
              <w:t>雨水排放</w:t>
            </w:r>
          </w:p>
          <w:p>
            <w:pPr>
              <w:pStyle w:val="30"/>
              <w:rPr>
                <w:color w:val="auto"/>
              </w:rPr>
            </w:pPr>
            <w:r>
              <w:rPr>
                <w:color w:val="auto"/>
              </w:rPr>
              <w:sym w:font="Wingdings 2" w:char="00A3"/>
            </w:r>
            <w:r>
              <w:rPr>
                <w:color w:val="auto"/>
              </w:rPr>
              <w:t>清净下水排放</w:t>
            </w:r>
          </w:p>
          <w:p>
            <w:pPr>
              <w:pStyle w:val="30"/>
              <w:rPr>
                <w:color w:val="auto"/>
              </w:rPr>
            </w:pPr>
            <w:r>
              <w:rPr>
                <w:color w:val="auto"/>
              </w:rPr>
              <w:sym w:font="Wingdings 2" w:char="00A3"/>
            </w:r>
            <w:r>
              <w:rPr>
                <w:color w:val="auto"/>
              </w:rPr>
              <w:t>温排水排放</w:t>
            </w:r>
          </w:p>
          <w:p>
            <w:pPr>
              <w:pStyle w:val="30"/>
              <w:rPr>
                <w:color w:val="auto"/>
              </w:rPr>
            </w:pPr>
            <w:r>
              <w:rPr>
                <w:color w:val="auto"/>
              </w:rPr>
              <w:sym w:font="Wingdings 2" w:char="00A3"/>
            </w:r>
            <w:r>
              <w:rPr>
                <w:color w:val="auto"/>
              </w:rPr>
              <w:t>车间或车间处理口设施排放</w:t>
            </w:r>
          </w:p>
        </w:tc>
      </w:tr>
    </w:tbl>
    <w:p>
      <w:pPr>
        <w:ind w:firstLine="480"/>
        <w:rPr>
          <w:color w:val="auto"/>
        </w:rPr>
      </w:pPr>
      <w:r>
        <w:rPr>
          <w:color w:val="auto"/>
        </w:rPr>
        <w:t>本项目废水排放口基本情况见表表</w:t>
      </w:r>
      <w:r>
        <w:rPr>
          <w:rFonts w:hint="eastAsia"/>
          <w:color w:val="auto"/>
        </w:rPr>
        <w:t>5</w:t>
      </w:r>
      <w:r>
        <w:rPr>
          <w:color w:val="auto"/>
        </w:rPr>
        <w:t>.2-</w:t>
      </w:r>
      <w:r>
        <w:rPr>
          <w:rFonts w:hint="eastAsia"/>
          <w:color w:val="auto"/>
        </w:rPr>
        <w:t>14</w:t>
      </w:r>
      <w:r>
        <w:rPr>
          <w:color w:val="auto"/>
        </w:rPr>
        <w:t>。</w:t>
      </w:r>
    </w:p>
    <w:p>
      <w:pPr>
        <w:pStyle w:val="31"/>
        <w:rPr>
          <w:color w:val="auto"/>
        </w:rPr>
      </w:pPr>
      <w:r>
        <w:rPr>
          <w:rFonts w:hint="eastAsia"/>
          <w:color w:val="auto"/>
        </w:rPr>
        <w:t>表5.2-14 项目废水间接排放口基本情况表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21"/>
        <w:gridCol w:w="526"/>
        <w:gridCol w:w="745"/>
        <w:gridCol w:w="736"/>
        <w:gridCol w:w="731"/>
        <w:gridCol w:w="1008"/>
        <w:gridCol w:w="920"/>
        <w:gridCol w:w="480"/>
        <w:gridCol w:w="691"/>
        <w:gridCol w:w="930"/>
        <w:gridCol w:w="13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58" w:hRule="atLeast"/>
          <w:jc w:val="center"/>
        </w:trPr>
        <w:tc>
          <w:tcPr>
            <w:tcW w:w="421" w:type="dxa"/>
            <w:vMerge w:val="restart"/>
            <w:vAlign w:val="center"/>
          </w:tcPr>
          <w:p>
            <w:pPr>
              <w:pStyle w:val="30"/>
              <w:rPr>
                <w:b/>
                <w:bCs/>
                <w:color w:val="auto"/>
              </w:rPr>
            </w:pPr>
            <w:r>
              <w:rPr>
                <w:b/>
                <w:bCs/>
                <w:color w:val="auto"/>
              </w:rPr>
              <w:t>名称</w:t>
            </w:r>
          </w:p>
        </w:tc>
        <w:tc>
          <w:tcPr>
            <w:tcW w:w="526" w:type="dxa"/>
            <w:vMerge w:val="restart"/>
            <w:vAlign w:val="center"/>
          </w:tcPr>
          <w:p>
            <w:pPr>
              <w:pStyle w:val="30"/>
              <w:rPr>
                <w:b/>
                <w:bCs/>
                <w:color w:val="auto"/>
              </w:rPr>
            </w:pPr>
            <w:r>
              <w:rPr>
                <w:b/>
                <w:bCs/>
                <w:color w:val="auto"/>
              </w:rPr>
              <w:t>排放口编号</w:t>
            </w:r>
          </w:p>
        </w:tc>
        <w:tc>
          <w:tcPr>
            <w:tcW w:w="1481" w:type="dxa"/>
            <w:gridSpan w:val="2"/>
            <w:vAlign w:val="center"/>
          </w:tcPr>
          <w:p>
            <w:pPr>
              <w:pStyle w:val="30"/>
              <w:rPr>
                <w:b/>
                <w:bCs/>
                <w:color w:val="auto"/>
              </w:rPr>
            </w:pPr>
            <w:r>
              <w:rPr>
                <w:b/>
                <w:bCs/>
                <w:color w:val="auto"/>
              </w:rPr>
              <w:t>排放口地理坐标</w:t>
            </w:r>
          </w:p>
        </w:tc>
        <w:tc>
          <w:tcPr>
            <w:tcW w:w="731" w:type="dxa"/>
            <w:vMerge w:val="restart"/>
            <w:vAlign w:val="center"/>
          </w:tcPr>
          <w:p>
            <w:pPr>
              <w:pStyle w:val="30"/>
              <w:rPr>
                <w:b/>
                <w:bCs/>
                <w:color w:val="auto"/>
              </w:rPr>
            </w:pPr>
            <w:r>
              <w:rPr>
                <w:b/>
                <w:bCs/>
                <w:color w:val="auto"/>
              </w:rPr>
              <w:t>废水排放量/（万t/a）</w:t>
            </w:r>
          </w:p>
        </w:tc>
        <w:tc>
          <w:tcPr>
            <w:tcW w:w="1008" w:type="dxa"/>
            <w:vMerge w:val="restart"/>
            <w:vAlign w:val="center"/>
          </w:tcPr>
          <w:p>
            <w:pPr>
              <w:pStyle w:val="30"/>
              <w:rPr>
                <w:b/>
                <w:bCs/>
                <w:color w:val="auto"/>
              </w:rPr>
            </w:pPr>
            <w:r>
              <w:rPr>
                <w:b/>
                <w:bCs/>
                <w:color w:val="auto"/>
              </w:rPr>
              <w:t>排放去向</w:t>
            </w:r>
          </w:p>
        </w:tc>
        <w:tc>
          <w:tcPr>
            <w:tcW w:w="920" w:type="dxa"/>
            <w:vMerge w:val="restart"/>
            <w:vAlign w:val="center"/>
          </w:tcPr>
          <w:p>
            <w:pPr>
              <w:pStyle w:val="30"/>
              <w:rPr>
                <w:b/>
                <w:bCs/>
                <w:color w:val="auto"/>
              </w:rPr>
            </w:pPr>
            <w:r>
              <w:rPr>
                <w:b/>
                <w:bCs/>
                <w:color w:val="auto"/>
              </w:rPr>
              <w:t>排放规律</w:t>
            </w:r>
          </w:p>
        </w:tc>
        <w:tc>
          <w:tcPr>
            <w:tcW w:w="480" w:type="dxa"/>
            <w:vMerge w:val="restart"/>
            <w:vAlign w:val="center"/>
          </w:tcPr>
          <w:p>
            <w:pPr>
              <w:pStyle w:val="30"/>
              <w:rPr>
                <w:b/>
                <w:bCs/>
                <w:color w:val="auto"/>
              </w:rPr>
            </w:pPr>
            <w:r>
              <w:rPr>
                <w:b/>
                <w:bCs/>
                <w:color w:val="auto"/>
              </w:rPr>
              <w:t>间歇排放时段</w:t>
            </w:r>
          </w:p>
        </w:tc>
        <w:tc>
          <w:tcPr>
            <w:tcW w:w="2937" w:type="dxa"/>
            <w:gridSpan w:val="3"/>
            <w:vMerge w:val="restart"/>
            <w:vAlign w:val="center"/>
          </w:tcPr>
          <w:p>
            <w:pPr>
              <w:pStyle w:val="30"/>
              <w:rPr>
                <w:b/>
                <w:bCs/>
                <w:color w:val="auto"/>
              </w:rPr>
            </w:pPr>
            <w:r>
              <w:rPr>
                <w:b/>
                <w:bCs/>
                <w:color w:val="auto"/>
              </w:rPr>
              <w:t>受纳污水处理厂信息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68" w:hRule="atLeast"/>
          <w:jc w:val="center"/>
        </w:trPr>
        <w:tc>
          <w:tcPr>
            <w:tcW w:w="421" w:type="dxa"/>
            <w:vMerge w:val="continue"/>
            <w:vAlign w:val="center"/>
          </w:tcPr>
          <w:p>
            <w:pPr>
              <w:pStyle w:val="30"/>
              <w:rPr>
                <w:b/>
                <w:bCs/>
                <w:color w:val="auto"/>
              </w:rPr>
            </w:pPr>
          </w:p>
        </w:tc>
        <w:tc>
          <w:tcPr>
            <w:tcW w:w="526" w:type="dxa"/>
            <w:vMerge w:val="continue"/>
            <w:vAlign w:val="center"/>
          </w:tcPr>
          <w:p>
            <w:pPr>
              <w:pStyle w:val="30"/>
              <w:rPr>
                <w:b/>
                <w:bCs/>
                <w:color w:val="auto"/>
              </w:rPr>
            </w:pPr>
          </w:p>
        </w:tc>
        <w:tc>
          <w:tcPr>
            <w:tcW w:w="745" w:type="dxa"/>
            <w:vMerge w:val="restart"/>
            <w:vAlign w:val="center"/>
          </w:tcPr>
          <w:p>
            <w:pPr>
              <w:pStyle w:val="30"/>
              <w:rPr>
                <w:b/>
                <w:bCs/>
                <w:color w:val="auto"/>
              </w:rPr>
            </w:pPr>
            <w:r>
              <w:rPr>
                <w:b/>
                <w:bCs/>
                <w:color w:val="auto"/>
              </w:rPr>
              <w:t>经度</w:t>
            </w:r>
          </w:p>
        </w:tc>
        <w:tc>
          <w:tcPr>
            <w:tcW w:w="736" w:type="dxa"/>
            <w:vMerge w:val="restart"/>
            <w:vAlign w:val="center"/>
          </w:tcPr>
          <w:p>
            <w:pPr>
              <w:pStyle w:val="30"/>
              <w:rPr>
                <w:b/>
                <w:bCs/>
                <w:color w:val="auto"/>
              </w:rPr>
            </w:pPr>
            <w:r>
              <w:rPr>
                <w:b/>
                <w:bCs/>
                <w:color w:val="auto"/>
              </w:rPr>
              <w:t>纬度</w:t>
            </w:r>
          </w:p>
        </w:tc>
        <w:tc>
          <w:tcPr>
            <w:tcW w:w="731" w:type="dxa"/>
            <w:vMerge w:val="continue"/>
            <w:vAlign w:val="center"/>
          </w:tcPr>
          <w:p>
            <w:pPr>
              <w:pStyle w:val="30"/>
              <w:rPr>
                <w:b/>
                <w:bCs/>
                <w:color w:val="auto"/>
              </w:rPr>
            </w:pPr>
          </w:p>
        </w:tc>
        <w:tc>
          <w:tcPr>
            <w:tcW w:w="1008" w:type="dxa"/>
            <w:vMerge w:val="continue"/>
            <w:vAlign w:val="center"/>
          </w:tcPr>
          <w:p>
            <w:pPr>
              <w:pStyle w:val="30"/>
              <w:rPr>
                <w:b/>
                <w:bCs/>
                <w:color w:val="auto"/>
              </w:rPr>
            </w:pPr>
          </w:p>
        </w:tc>
        <w:tc>
          <w:tcPr>
            <w:tcW w:w="920" w:type="dxa"/>
            <w:vMerge w:val="continue"/>
            <w:vAlign w:val="center"/>
          </w:tcPr>
          <w:p>
            <w:pPr>
              <w:pStyle w:val="30"/>
              <w:rPr>
                <w:b/>
                <w:bCs/>
                <w:color w:val="auto"/>
              </w:rPr>
            </w:pPr>
          </w:p>
        </w:tc>
        <w:tc>
          <w:tcPr>
            <w:tcW w:w="480" w:type="dxa"/>
            <w:vMerge w:val="continue"/>
            <w:vAlign w:val="center"/>
          </w:tcPr>
          <w:p>
            <w:pPr>
              <w:pStyle w:val="30"/>
              <w:rPr>
                <w:b/>
                <w:bCs/>
                <w:color w:val="auto"/>
              </w:rPr>
            </w:pPr>
          </w:p>
        </w:tc>
        <w:tc>
          <w:tcPr>
            <w:tcW w:w="2937" w:type="dxa"/>
            <w:gridSpan w:val="3"/>
            <w:vMerge w:val="continue"/>
            <w:vAlign w:val="center"/>
          </w:tcPr>
          <w:p>
            <w:pPr>
              <w:pStyle w:val="30"/>
              <w:rPr>
                <w:b/>
                <w:bCs/>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7" w:hRule="atLeast"/>
          <w:jc w:val="center"/>
        </w:trPr>
        <w:tc>
          <w:tcPr>
            <w:tcW w:w="421" w:type="dxa"/>
            <w:vMerge w:val="continue"/>
            <w:vAlign w:val="center"/>
          </w:tcPr>
          <w:p>
            <w:pPr>
              <w:pStyle w:val="30"/>
              <w:rPr>
                <w:b/>
                <w:bCs/>
                <w:color w:val="auto"/>
              </w:rPr>
            </w:pPr>
          </w:p>
        </w:tc>
        <w:tc>
          <w:tcPr>
            <w:tcW w:w="526" w:type="dxa"/>
            <w:vMerge w:val="continue"/>
            <w:vAlign w:val="center"/>
          </w:tcPr>
          <w:p>
            <w:pPr>
              <w:pStyle w:val="30"/>
              <w:rPr>
                <w:b/>
                <w:bCs/>
                <w:color w:val="auto"/>
              </w:rPr>
            </w:pPr>
          </w:p>
        </w:tc>
        <w:tc>
          <w:tcPr>
            <w:tcW w:w="745" w:type="dxa"/>
            <w:vMerge w:val="continue"/>
            <w:vAlign w:val="center"/>
          </w:tcPr>
          <w:p>
            <w:pPr>
              <w:pStyle w:val="30"/>
              <w:rPr>
                <w:b/>
                <w:bCs/>
                <w:color w:val="auto"/>
              </w:rPr>
            </w:pPr>
          </w:p>
        </w:tc>
        <w:tc>
          <w:tcPr>
            <w:tcW w:w="736" w:type="dxa"/>
            <w:vMerge w:val="continue"/>
            <w:vAlign w:val="center"/>
          </w:tcPr>
          <w:p>
            <w:pPr>
              <w:pStyle w:val="30"/>
              <w:rPr>
                <w:b/>
                <w:bCs/>
                <w:color w:val="auto"/>
              </w:rPr>
            </w:pPr>
          </w:p>
        </w:tc>
        <w:tc>
          <w:tcPr>
            <w:tcW w:w="731" w:type="dxa"/>
            <w:vMerge w:val="continue"/>
            <w:vAlign w:val="center"/>
          </w:tcPr>
          <w:p>
            <w:pPr>
              <w:pStyle w:val="30"/>
              <w:rPr>
                <w:b/>
                <w:bCs/>
                <w:color w:val="auto"/>
              </w:rPr>
            </w:pPr>
          </w:p>
        </w:tc>
        <w:tc>
          <w:tcPr>
            <w:tcW w:w="1008" w:type="dxa"/>
            <w:vMerge w:val="continue"/>
            <w:vAlign w:val="center"/>
          </w:tcPr>
          <w:p>
            <w:pPr>
              <w:pStyle w:val="30"/>
              <w:rPr>
                <w:b/>
                <w:bCs/>
                <w:color w:val="auto"/>
              </w:rPr>
            </w:pPr>
          </w:p>
        </w:tc>
        <w:tc>
          <w:tcPr>
            <w:tcW w:w="920" w:type="dxa"/>
            <w:vMerge w:val="continue"/>
            <w:vAlign w:val="center"/>
          </w:tcPr>
          <w:p>
            <w:pPr>
              <w:pStyle w:val="30"/>
              <w:rPr>
                <w:b/>
                <w:bCs/>
                <w:color w:val="auto"/>
              </w:rPr>
            </w:pPr>
          </w:p>
        </w:tc>
        <w:tc>
          <w:tcPr>
            <w:tcW w:w="480" w:type="dxa"/>
            <w:vMerge w:val="continue"/>
            <w:vAlign w:val="center"/>
          </w:tcPr>
          <w:p>
            <w:pPr>
              <w:pStyle w:val="30"/>
              <w:rPr>
                <w:b/>
                <w:bCs/>
                <w:color w:val="auto"/>
              </w:rPr>
            </w:pPr>
          </w:p>
        </w:tc>
        <w:tc>
          <w:tcPr>
            <w:tcW w:w="691" w:type="dxa"/>
            <w:vAlign w:val="center"/>
          </w:tcPr>
          <w:p>
            <w:pPr>
              <w:pStyle w:val="30"/>
              <w:rPr>
                <w:b/>
                <w:bCs/>
                <w:color w:val="auto"/>
              </w:rPr>
            </w:pPr>
            <w:r>
              <w:rPr>
                <w:b/>
                <w:bCs/>
                <w:color w:val="auto"/>
              </w:rPr>
              <w:t>名称</w:t>
            </w:r>
          </w:p>
        </w:tc>
        <w:tc>
          <w:tcPr>
            <w:tcW w:w="930" w:type="dxa"/>
            <w:vAlign w:val="center"/>
          </w:tcPr>
          <w:p>
            <w:pPr>
              <w:pStyle w:val="30"/>
              <w:rPr>
                <w:b/>
                <w:bCs/>
                <w:color w:val="auto"/>
              </w:rPr>
            </w:pPr>
            <w:r>
              <w:rPr>
                <w:b/>
                <w:bCs/>
                <w:color w:val="auto"/>
              </w:rPr>
              <w:t>污染物种类</w:t>
            </w:r>
          </w:p>
        </w:tc>
        <w:tc>
          <w:tcPr>
            <w:tcW w:w="1316" w:type="dxa"/>
            <w:vAlign w:val="center"/>
          </w:tcPr>
          <w:p>
            <w:pPr>
              <w:pStyle w:val="30"/>
              <w:rPr>
                <w:b/>
                <w:bCs/>
                <w:color w:val="auto"/>
              </w:rPr>
            </w:pPr>
            <w:r>
              <w:rPr>
                <w:b/>
                <w:bCs/>
                <w:color w:val="auto"/>
              </w:rPr>
              <w:t>国家或地方污染物排放标准浓度限值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8" w:hRule="atLeast"/>
          <w:jc w:val="center"/>
        </w:trPr>
        <w:tc>
          <w:tcPr>
            <w:tcW w:w="421" w:type="dxa"/>
            <w:vMerge w:val="restart"/>
            <w:vAlign w:val="center"/>
          </w:tcPr>
          <w:p>
            <w:pPr>
              <w:pStyle w:val="30"/>
              <w:rPr>
                <w:color w:val="auto"/>
              </w:rPr>
            </w:pPr>
            <w:r>
              <w:rPr>
                <w:color w:val="auto"/>
              </w:rPr>
              <w:t>生活污水</w:t>
            </w:r>
          </w:p>
        </w:tc>
        <w:tc>
          <w:tcPr>
            <w:tcW w:w="526" w:type="dxa"/>
            <w:vMerge w:val="restart"/>
            <w:vAlign w:val="center"/>
          </w:tcPr>
          <w:p>
            <w:pPr>
              <w:pStyle w:val="30"/>
              <w:rPr>
                <w:color w:val="auto"/>
              </w:rPr>
            </w:pPr>
            <w:r>
              <w:rPr>
                <w:color w:val="auto"/>
              </w:rPr>
              <w:t>W1</w:t>
            </w:r>
          </w:p>
        </w:tc>
        <w:tc>
          <w:tcPr>
            <w:tcW w:w="745" w:type="dxa"/>
            <w:vMerge w:val="restart"/>
            <w:vAlign w:val="center"/>
          </w:tcPr>
          <w:p>
            <w:pPr>
              <w:pStyle w:val="30"/>
              <w:rPr>
                <w:color w:val="auto"/>
              </w:rPr>
            </w:pPr>
            <w:r>
              <w:rPr>
                <w:rFonts w:hint="eastAsia"/>
                <w:color w:val="auto"/>
              </w:rPr>
              <w:t>113.170319</w:t>
            </w:r>
            <w:r>
              <w:rPr>
                <w:color w:val="auto"/>
              </w:rPr>
              <w:t>°</w:t>
            </w:r>
          </w:p>
        </w:tc>
        <w:tc>
          <w:tcPr>
            <w:tcW w:w="736" w:type="dxa"/>
            <w:vMerge w:val="restart"/>
            <w:vAlign w:val="center"/>
          </w:tcPr>
          <w:p>
            <w:pPr>
              <w:pStyle w:val="30"/>
              <w:rPr>
                <w:color w:val="auto"/>
              </w:rPr>
            </w:pPr>
            <w:r>
              <w:rPr>
                <w:color w:val="auto"/>
              </w:rPr>
              <w:t>28.</w:t>
            </w:r>
            <w:r>
              <w:rPr>
                <w:rFonts w:hint="eastAsia"/>
                <w:color w:val="auto"/>
              </w:rPr>
              <w:t>762358</w:t>
            </w:r>
            <w:r>
              <w:rPr>
                <w:color w:val="auto"/>
              </w:rPr>
              <w:t>°</w:t>
            </w:r>
          </w:p>
        </w:tc>
        <w:tc>
          <w:tcPr>
            <w:tcW w:w="731" w:type="dxa"/>
            <w:vMerge w:val="restart"/>
            <w:vAlign w:val="center"/>
          </w:tcPr>
          <w:p>
            <w:pPr>
              <w:pStyle w:val="30"/>
              <w:rPr>
                <w:color w:val="auto"/>
              </w:rPr>
            </w:pPr>
            <w:r>
              <w:rPr>
                <w:rFonts w:hint="eastAsia"/>
                <w:color w:val="auto"/>
              </w:rPr>
              <w:t>0.0336</w:t>
            </w:r>
          </w:p>
        </w:tc>
        <w:tc>
          <w:tcPr>
            <w:tcW w:w="1008" w:type="dxa"/>
            <w:vMerge w:val="restart"/>
            <w:vAlign w:val="center"/>
          </w:tcPr>
          <w:p>
            <w:pPr>
              <w:pStyle w:val="30"/>
              <w:rPr>
                <w:color w:val="auto"/>
              </w:rPr>
            </w:pPr>
            <w:r>
              <w:rPr>
                <w:color w:val="auto"/>
              </w:rPr>
              <w:t>进入汨罗市城市污水处理厂</w:t>
            </w:r>
          </w:p>
        </w:tc>
        <w:tc>
          <w:tcPr>
            <w:tcW w:w="920" w:type="dxa"/>
            <w:vMerge w:val="restart"/>
            <w:vAlign w:val="center"/>
          </w:tcPr>
          <w:p>
            <w:pPr>
              <w:pStyle w:val="30"/>
              <w:rPr>
                <w:color w:val="auto"/>
              </w:rPr>
            </w:pPr>
            <w:r>
              <w:rPr>
                <w:color w:val="auto"/>
              </w:rPr>
              <w:t>间断排放，流量不稳定</w:t>
            </w:r>
          </w:p>
        </w:tc>
        <w:tc>
          <w:tcPr>
            <w:tcW w:w="480" w:type="dxa"/>
            <w:vMerge w:val="restart"/>
            <w:vAlign w:val="center"/>
          </w:tcPr>
          <w:p>
            <w:pPr>
              <w:pStyle w:val="30"/>
              <w:rPr>
                <w:color w:val="auto"/>
              </w:rPr>
            </w:pPr>
            <w:r>
              <w:rPr>
                <w:color w:val="auto"/>
              </w:rPr>
              <w:t>/</w:t>
            </w:r>
          </w:p>
        </w:tc>
        <w:tc>
          <w:tcPr>
            <w:tcW w:w="691" w:type="dxa"/>
            <w:vMerge w:val="restart"/>
            <w:vAlign w:val="center"/>
          </w:tcPr>
          <w:p>
            <w:pPr>
              <w:pStyle w:val="30"/>
              <w:rPr>
                <w:color w:val="auto"/>
              </w:rPr>
            </w:pPr>
            <w:r>
              <w:rPr>
                <w:color w:val="auto"/>
              </w:rPr>
              <w:t>汨罗市城市污水处理厂</w:t>
            </w:r>
          </w:p>
        </w:tc>
        <w:tc>
          <w:tcPr>
            <w:tcW w:w="930" w:type="dxa"/>
            <w:vAlign w:val="center"/>
          </w:tcPr>
          <w:p>
            <w:pPr>
              <w:pStyle w:val="30"/>
              <w:rPr>
                <w:color w:val="auto"/>
              </w:rPr>
            </w:pPr>
            <w:r>
              <w:rPr>
                <w:color w:val="auto"/>
              </w:rPr>
              <w:t>COD</w:t>
            </w:r>
            <w:r>
              <w:rPr>
                <w:color w:val="auto"/>
                <w:vertAlign w:val="subscript"/>
              </w:rPr>
              <w:t>cr</w:t>
            </w:r>
          </w:p>
        </w:tc>
        <w:tc>
          <w:tcPr>
            <w:tcW w:w="1316" w:type="dxa"/>
            <w:vAlign w:val="center"/>
          </w:tcPr>
          <w:p>
            <w:pPr>
              <w:pStyle w:val="30"/>
              <w:rPr>
                <w:color w:val="auto"/>
              </w:rPr>
            </w:pPr>
            <w:r>
              <w:rPr>
                <w:color w:val="auto"/>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421" w:type="dxa"/>
            <w:vMerge w:val="continue"/>
            <w:vAlign w:val="center"/>
          </w:tcPr>
          <w:p>
            <w:pPr>
              <w:pStyle w:val="30"/>
              <w:rPr>
                <w:color w:val="auto"/>
              </w:rPr>
            </w:pPr>
          </w:p>
        </w:tc>
        <w:tc>
          <w:tcPr>
            <w:tcW w:w="526" w:type="dxa"/>
            <w:vMerge w:val="continue"/>
            <w:vAlign w:val="center"/>
          </w:tcPr>
          <w:p>
            <w:pPr>
              <w:pStyle w:val="30"/>
              <w:rPr>
                <w:color w:val="auto"/>
              </w:rPr>
            </w:pPr>
          </w:p>
        </w:tc>
        <w:tc>
          <w:tcPr>
            <w:tcW w:w="745" w:type="dxa"/>
            <w:vMerge w:val="continue"/>
            <w:vAlign w:val="center"/>
          </w:tcPr>
          <w:p>
            <w:pPr>
              <w:pStyle w:val="30"/>
              <w:rPr>
                <w:color w:val="auto"/>
              </w:rPr>
            </w:pPr>
          </w:p>
        </w:tc>
        <w:tc>
          <w:tcPr>
            <w:tcW w:w="736" w:type="dxa"/>
            <w:vMerge w:val="continue"/>
            <w:vAlign w:val="center"/>
          </w:tcPr>
          <w:p>
            <w:pPr>
              <w:pStyle w:val="30"/>
              <w:rPr>
                <w:color w:val="auto"/>
              </w:rPr>
            </w:pPr>
          </w:p>
        </w:tc>
        <w:tc>
          <w:tcPr>
            <w:tcW w:w="731" w:type="dxa"/>
            <w:vMerge w:val="continue"/>
            <w:vAlign w:val="center"/>
          </w:tcPr>
          <w:p>
            <w:pPr>
              <w:pStyle w:val="30"/>
              <w:rPr>
                <w:color w:val="auto"/>
              </w:rPr>
            </w:pPr>
          </w:p>
        </w:tc>
        <w:tc>
          <w:tcPr>
            <w:tcW w:w="1008" w:type="dxa"/>
            <w:vMerge w:val="continue"/>
            <w:vAlign w:val="center"/>
          </w:tcPr>
          <w:p>
            <w:pPr>
              <w:pStyle w:val="30"/>
              <w:rPr>
                <w:color w:val="auto"/>
              </w:rPr>
            </w:pPr>
          </w:p>
        </w:tc>
        <w:tc>
          <w:tcPr>
            <w:tcW w:w="920" w:type="dxa"/>
            <w:vMerge w:val="continue"/>
            <w:vAlign w:val="center"/>
          </w:tcPr>
          <w:p>
            <w:pPr>
              <w:pStyle w:val="30"/>
              <w:rPr>
                <w:color w:val="auto"/>
              </w:rPr>
            </w:pPr>
          </w:p>
        </w:tc>
        <w:tc>
          <w:tcPr>
            <w:tcW w:w="480" w:type="dxa"/>
            <w:vMerge w:val="continue"/>
            <w:vAlign w:val="center"/>
          </w:tcPr>
          <w:p>
            <w:pPr>
              <w:pStyle w:val="30"/>
              <w:rPr>
                <w:color w:val="auto"/>
              </w:rPr>
            </w:pPr>
          </w:p>
        </w:tc>
        <w:tc>
          <w:tcPr>
            <w:tcW w:w="691" w:type="dxa"/>
            <w:vMerge w:val="continue"/>
            <w:vAlign w:val="center"/>
          </w:tcPr>
          <w:p>
            <w:pPr>
              <w:pStyle w:val="30"/>
              <w:rPr>
                <w:color w:val="auto"/>
              </w:rPr>
            </w:pPr>
          </w:p>
        </w:tc>
        <w:tc>
          <w:tcPr>
            <w:tcW w:w="930" w:type="dxa"/>
            <w:vAlign w:val="center"/>
          </w:tcPr>
          <w:p>
            <w:pPr>
              <w:pStyle w:val="30"/>
              <w:rPr>
                <w:color w:val="auto"/>
              </w:rPr>
            </w:pPr>
            <w:r>
              <w:rPr>
                <w:color w:val="auto"/>
              </w:rPr>
              <w:t>BOD</w:t>
            </w:r>
            <w:r>
              <w:rPr>
                <w:color w:val="auto"/>
                <w:vertAlign w:val="subscript"/>
              </w:rPr>
              <w:t>5</w:t>
            </w:r>
          </w:p>
        </w:tc>
        <w:tc>
          <w:tcPr>
            <w:tcW w:w="1316" w:type="dxa"/>
            <w:vAlign w:val="center"/>
          </w:tcPr>
          <w:p>
            <w:pPr>
              <w:pStyle w:val="3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09" w:hRule="atLeast"/>
          <w:jc w:val="center"/>
        </w:trPr>
        <w:tc>
          <w:tcPr>
            <w:tcW w:w="421" w:type="dxa"/>
            <w:vMerge w:val="continue"/>
            <w:vAlign w:val="center"/>
          </w:tcPr>
          <w:p>
            <w:pPr>
              <w:pStyle w:val="30"/>
              <w:rPr>
                <w:color w:val="auto"/>
              </w:rPr>
            </w:pPr>
          </w:p>
        </w:tc>
        <w:tc>
          <w:tcPr>
            <w:tcW w:w="526" w:type="dxa"/>
            <w:vMerge w:val="continue"/>
            <w:vAlign w:val="center"/>
          </w:tcPr>
          <w:p>
            <w:pPr>
              <w:pStyle w:val="30"/>
              <w:rPr>
                <w:color w:val="auto"/>
              </w:rPr>
            </w:pPr>
          </w:p>
        </w:tc>
        <w:tc>
          <w:tcPr>
            <w:tcW w:w="745" w:type="dxa"/>
            <w:vMerge w:val="continue"/>
            <w:vAlign w:val="center"/>
          </w:tcPr>
          <w:p>
            <w:pPr>
              <w:pStyle w:val="30"/>
              <w:rPr>
                <w:color w:val="auto"/>
              </w:rPr>
            </w:pPr>
          </w:p>
        </w:tc>
        <w:tc>
          <w:tcPr>
            <w:tcW w:w="736" w:type="dxa"/>
            <w:vMerge w:val="continue"/>
            <w:vAlign w:val="center"/>
          </w:tcPr>
          <w:p>
            <w:pPr>
              <w:pStyle w:val="30"/>
              <w:rPr>
                <w:color w:val="auto"/>
              </w:rPr>
            </w:pPr>
          </w:p>
        </w:tc>
        <w:tc>
          <w:tcPr>
            <w:tcW w:w="731" w:type="dxa"/>
            <w:vMerge w:val="continue"/>
            <w:vAlign w:val="center"/>
          </w:tcPr>
          <w:p>
            <w:pPr>
              <w:pStyle w:val="30"/>
              <w:rPr>
                <w:color w:val="auto"/>
              </w:rPr>
            </w:pPr>
          </w:p>
        </w:tc>
        <w:tc>
          <w:tcPr>
            <w:tcW w:w="1008" w:type="dxa"/>
            <w:vMerge w:val="continue"/>
            <w:vAlign w:val="center"/>
          </w:tcPr>
          <w:p>
            <w:pPr>
              <w:pStyle w:val="30"/>
              <w:rPr>
                <w:color w:val="auto"/>
              </w:rPr>
            </w:pPr>
          </w:p>
        </w:tc>
        <w:tc>
          <w:tcPr>
            <w:tcW w:w="920" w:type="dxa"/>
            <w:vMerge w:val="continue"/>
            <w:vAlign w:val="center"/>
          </w:tcPr>
          <w:p>
            <w:pPr>
              <w:pStyle w:val="30"/>
              <w:rPr>
                <w:color w:val="auto"/>
              </w:rPr>
            </w:pPr>
          </w:p>
        </w:tc>
        <w:tc>
          <w:tcPr>
            <w:tcW w:w="480" w:type="dxa"/>
            <w:vMerge w:val="continue"/>
            <w:vAlign w:val="center"/>
          </w:tcPr>
          <w:p>
            <w:pPr>
              <w:pStyle w:val="30"/>
              <w:rPr>
                <w:color w:val="auto"/>
              </w:rPr>
            </w:pPr>
          </w:p>
        </w:tc>
        <w:tc>
          <w:tcPr>
            <w:tcW w:w="691" w:type="dxa"/>
            <w:vMerge w:val="continue"/>
            <w:vAlign w:val="center"/>
          </w:tcPr>
          <w:p>
            <w:pPr>
              <w:pStyle w:val="30"/>
              <w:rPr>
                <w:color w:val="auto"/>
              </w:rPr>
            </w:pPr>
          </w:p>
        </w:tc>
        <w:tc>
          <w:tcPr>
            <w:tcW w:w="930" w:type="dxa"/>
            <w:vAlign w:val="center"/>
          </w:tcPr>
          <w:p>
            <w:pPr>
              <w:pStyle w:val="30"/>
              <w:rPr>
                <w:color w:val="auto"/>
              </w:rPr>
            </w:pPr>
            <w:r>
              <w:rPr>
                <w:rFonts w:hint="eastAsia"/>
                <w:color w:val="auto"/>
              </w:rPr>
              <w:t>SS</w:t>
            </w:r>
          </w:p>
        </w:tc>
        <w:tc>
          <w:tcPr>
            <w:tcW w:w="1316" w:type="dxa"/>
            <w:vAlign w:val="center"/>
          </w:tcPr>
          <w:p>
            <w:pPr>
              <w:pStyle w:val="30"/>
              <w:rPr>
                <w:color w:val="auto"/>
              </w:rPr>
            </w:pPr>
            <w:r>
              <w:rPr>
                <w:rFonts w:hint="eastAsia"/>
                <w:color w:val="auto"/>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7" w:hRule="atLeast"/>
          <w:jc w:val="center"/>
        </w:trPr>
        <w:tc>
          <w:tcPr>
            <w:tcW w:w="421" w:type="dxa"/>
            <w:vMerge w:val="continue"/>
            <w:vAlign w:val="center"/>
          </w:tcPr>
          <w:p>
            <w:pPr>
              <w:pStyle w:val="30"/>
              <w:rPr>
                <w:color w:val="auto"/>
              </w:rPr>
            </w:pPr>
          </w:p>
        </w:tc>
        <w:tc>
          <w:tcPr>
            <w:tcW w:w="526" w:type="dxa"/>
            <w:vMerge w:val="continue"/>
            <w:vAlign w:val="center"/>
          </w:tcPr>
          <w:p>
            <w:pPr>
              <w:pStyle w:val="30"/>
              <w:rPr>
                <w:color w:val="auto"/>
              </w:rPr>
            </w:pPr>
          </w:p>
        </w:tc>
        <w:tc>
          <w:tcPr>
            <w:tcW w:w="745" w:type="dxa"/>
            <w:vMerge w:val="continue"/>
            <w:vAlign w:val="center"/>
          </w:tcPr>
          <w:p>
            <w:pPr>
              <w:pStyle w:val="30"/>
              <w:rPr>
                <w:color w:val="auto"/>
              </w:rPr>
            </w:pPr>
          </w:p>
        </w:tc>
        <w:tc>
          <w:tcPr>
            <w:tcW w:w="736" w:type="dxa"/>
            <w:vMerge w:val="continue"/>
            <w:vAlign w:val="center"/>
          </w:tcPr>
          <w:p>
            <w:pPr>
              <w:pStyle w:val="30"/>
              <w:rPr>
                <w:color w:val="auto"/>
              </w:rPr>
            </w:pPr>
          </w:p>
        </w:tc>
        <w:tc>
          <w:tcPr>
            <w:tcW w:w="731" w:type="dxa"/>
            <w:vMerge w:val="continue"/>
            <w:vAlign w:val="center"/>
          </w:tcPr>
          <w:p>
            <w:pPr>
              <w:pStyle w:val="30"/>
              <w:rPr>
                <w:color w:val="auto"/>
              </w:rPr>
            </w:pPr>
          </w:p>
        </w:tc>
        <w:tc>
          <w:tcPr>
            <w:tcW w:w="1008" w:type="dxa"/>
            <w:vMerge w:val="continue"/>
            <w:vAlign w:val="center"/>
          </w:tcPr>
          <w:p>
            <w:pPr>
              <w:pStyle w:val="30"/>
              <w:rPr>
                <w:color w:val="auto"/>
              </w:rPr>
            </w:pPr>
          </w:p>
        </w:tc>
        <w:tc>
          <w:tcPr>
            <w:tcW w:w="920" w:type="dxa"/>
            <w:vMerge w:val="continue"/>
            <w:vAlign w:val="center"/>
          </w:tcPr>
          <w:p>
            <w:pPr>
              <w:pStyle w:val="30"/>
              <w:rPr>
                <w:color w:val="auto"/>
              </w:rPr>
            </w:pPr>
          </w:p>
        </w:tc>
        <w:tc>
          <w:tcPr>
            <w:tcW w:w="480" w:type="dxa"/>
            <w:vMerge w:val="continue"/>
            <w:vAlign w:val="center"/>
          </w:tcPr>
          <w:p>
            <w:pPr>
              <w:pStyle w:val="30"/>
              <w:rPr>
                <w:color w:val="auto"/>
              </w:rPr>
            </w:pPr>
          </w:p>
        </w:tc>
        <w:tc>
          <w:tcPr>
            <w:tcW w:w="691" w:type="dxa"/>
            <w:vMerge w:val="continue"/>
            <w:vAlign w:val="center"/>
          </w:tcPr>
          <w:p>
            <w:pPr>
              <w:pStyle w:val="30"/>
              <w:rPr>
                <w:color w:val="auto"/>
              </w:rPr>
            </w:pPr>
          </w:p>
        </w:tc>
        <w:tc>
          <w:tcPr>
            <w:tcW w:w="930" w:type="dxa"/>
            <w:vAlign w:val="center"/>
          </w:tcPr>
          <w:p>
            <w:pPr>
              <w:pStyle w:val="30"/>
              <w:rPr>
                <w:color w:val="auto"/>
              </w:rPr>
            </w:pPr>
            <w:r>
              <w:rPr>
                <w:color w:val="auto"/>
              </w:rPr>
              <w:t>氨氮</w:t>
            </w:r>
          </w:p>
        </w:tc>
        <w:tc>
          <w:tcPr>
            <w:tcW w:w="1316" w:type="dxa"/>
            <w:vAlign w:val="center"/>
          </w:tcPr>
          <w:p>
            <w:pPr>
              <w:pStyle w:val="30"/>
              <w:rPr>
                <w:color w:val="auto"/>
              </w:rPr>
            </w:pPr>
            <w:r>
              <w:rPr>
                <w:color w:val="auto"/>
              </w:rPr>
              <w:t>5</w:t>
            </w:r>
          </w:p>
        </w:tc>
      </w:tr>
    </w:tbl>
    <w:p>
      <w:pPr>
        <w:pStyle w:val="31"/>
        <w:rPr>
          <w:color w:val="auto"/>
        </w:rPr>
      </w:pPr>
      <w:r>
        <w:rPr>
          <w:rFonts w:hint="eastAsia"/>
          <w:color w:val="auto"/>
        </w:rPr>
        <w:t>表5.2-15 项目废水污染物排放执行情况表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6"/>
        <w:gridCol w:w="1008"/>
        <w:gridCol w:w="935"/>
        <w:gridCol w:w="4027"/>
        <w:gridCol w:w="20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7" w:hRule="atLeast"/>
          <w:jc w:val="center"/>
        </w:trPr>
        <w:tc>
          <w:tcPr>
            <w:tcW w:w="486" w:type="dxa"/>
            <w:vMerge w:val="restart"/>
            <w:vAlign w:val="center"/>
          </w:tcPr>
          <w:p>
            <w:pPr>
              <w:pStyle w:val="30"/>
              <w:rPr>
                <w:b/>
                <w:bCs/>
                <w:color w:val="auto"/>
              </w:rPr>
            </w:pPr>
            <w:r>
              <w:rPr>
                <w:b/>
                <w:bCs/>
                <w:color w:val="auto"/>
              </w:rPr>
              <w:t>序号</w:t>
            </w:r>
          </w:p>
        </w:tc>
        <w:tc>
          <w:tcPr>
            <w:tcW w:w="1008" w:type="dxa"/>
            <w:vMerge w:val="restart"/>
            <w:vAlign w:val="center"/>
          </w:tcPr>
          <w:p>
            <w:pPr>
              <w:pStyle w:val="30"/>
              <w:rPr>
                <w:b/>
                <w:bCs/>
                <w:color w:val="auto"/>
              </w:rPr>
            </w:pPr>
            <w:r>
              <w:rPr>
                <w:b/>
                <w:bCs/>
                <w:color w:val="auto"/>
              </w:rPr>
              <w:t>排放口编号</w:t>
            </w:r>
          </w:p>
        </w:tc>
        <w:tc>
          <w:tcPr>
            <w:tcW w:w="935" w:type="dxa"/>
            <w:vMerge w:val="restart"/>
            <w:vAlign w:val="center"/>
          </w:tcPr>
          <w:p>
            <w:pPr>
              <w:pStyle w:val="30"/>
              <w:rPr>
                <w:b/>
                <w:bCs/>
                <w:color w:val="auto"/>
              </w:rPr>
            </w:pPr>
            <w:r>
              <w:rPr>
                <w:b/>
                <w:bCs/>
                <w:color w:val="auto"/>
              </w:rPr>
              <w:t>污染物种类</w:t>
            </w:r>
          </w:p>
        </w:tc>
        <w:tc>
          <w:tcPr>
            <w:tcW w:w="6075" w:type="dxa"/>
            <w:gridSpan w:val="2"/>
            <w:vAlign w:val="center"/>
          </w:tcPr>
          <w:p>
            <w:pPr>
              <w:pStyle w:val="30"/>
              <w:rPr>
                <w:b/>
                <w:bCs/>
                <w:color w:val="auto"/>
              </w:rPr>
            </w:pPr>
            <w:r>
              <w:rPr>
                <w:b/>
                <w:bCs/>
                <w:color w:val="auto"/>
              </w:rPr>
              <w:t>国家或地方污染物排放标准及其他按规定商定的排放协议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486" w:type="dxa"/>
            <w:vMerge w:val="continue"/>
            <w:vAlign w:val="center"/>
          </w:tcPr>
          <w:p>
            <w:pPr>
              <w:pStyle w:val="30"/>
              <w:rPr>
                <w:b/>
                <w:bCs/>
                <w:color w:val="auto"/>
              </w:rPr>
            </w:pPr>
          </w:p>
        </w:tc>
        <w:tc>
          <w:tcPr>
            <w:tcW w:w="1008" w:type="dxa"/>
            <w:vMerge w:val="continue"/>
            <w:vAlign w:val="center"/>
          </w:tcPr>
          <w:p>
            <w:pPr>
              <w:pStyle w:val="30"/>
              <w:rPr>
                <w:b/>
                <w:bCs/>
                <w:color w:val="auto"/>
              </w:rPr>
            </w:pPr>
          </w:p>
        </w:tc>
        <w:tc>
          <w:tcPr>
            <w:tcW w:w="935" w:type="dxa"/>
            <w:vMerge w:val="continue"/>
            <w:vAlign w:val="center"/>
          </w:tcPr>
          <w:p>
            <w:pPr>
              <w:pStyle w:val="30"/>
              <w:rPr>
                <w:b/>
                <w:bCs/>
                <w:color w:val="auto"/>
              </w:rPr>
            </w:pPr>
          </w:p>
        </w:tc>
        <w:tc>
          <w:tcPr>
            <w:tcW w:w="4027" w:type="dxa"/>
            <w:vAlign w:val="center"/>
          </w:tcPr>
          <w:p>
            <w:pPr>
              <w:pStyle w:val="30"/>
              <w:rPr>
                <w:b/>
                <w:bCs/>
                <w:color w:val="auto"/>
              </w:rPr>
            </w:pPr>
            <w:r>
              <w:rPr>
                <w:b/>
                <w:bCs/>
                <w:color w:val="auto"/>
              </w:rPr>
              <w:t>名称</w:t>
            </w:r>
          </w:p>
        </w:tc>
        <w:tc>
          <w:tcPr>
            <w:tcW w:w="2048" w:type="dxa"/>
            <w:vAlign w:val="center"/>
          </w:tcPr>
          <w:p>
            <w:pPr>
              <w:pStyle w:val="30"/>
              <w:rPr>
                <w:b/>
                <w:bCs/>
                <w:color w:val="auto"/>
              </w:rPr>
            </w:pPr>
            <w:r>
              <w:rPr>
                <w:b/>
                <w:bCs/>
                <w:color w:val="auto"/>
              </w:rPr>
              <w:t>浓度限值/（mg/L）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486" w:type="dxa"/>
            <w:vMerge w:val="restart"/>
            <w:vAlign w:val="center"/>
          </w:tcPr>
          <w:p>
            <w:pPr>
              <w:pStyle w:val="30"/>
              <w:rPr>
                <w:color w:val="auto"/>
              </w:rPr>
            </w:pPr>
            <w:r>
              <w:rPr>
                <w:color w:val="auto"/>
              </w:rPr>
              <w:t>1</w:t>
            </w:r>
          </w:p>
        </w:tc>
        <w:tc>
          <w:tcPr>
            <w:tcW w:w="1008" w:type="dxa"/>
            <w:vMerge w:val="restart"/>
            <w:vAlign w:val="center"/>
          </w:tcPr>
          <w:p>
            <w:pPr>
              <w:pStyle w:val="30"/>
              <w:rPr>
                <w:color w:val="auto"/>
              </w:rPr>
            </w:pPr>
            <w:r>
              <w:rPr>
                <w:color w:val="auto"/>
              </w:rPr>
              <w:t>W1</w:t>
            </w:r>
          </w:p>
        </w:tc>
        <w:tc>
          <w:tcPr>
            <w:tcW w:w="935" w:type="dxa"/>
            <w:vAlign w:val="center"/>
          </w:tcPr>
          <w:p>
            <w:pPr>
              <w:pStyle w:val="30"/>
              <w:rPr>
                <w:color w:val="auto"/>
              </w:rPr>
            </w:pPr>
            <w:r>
              <w:rPr>
                <w:color w:val="auto"/>
              </w:rPr>
              <w:t>COD</w:t>
            </w:r>
            <w:r>
              <w:rPr>
                <w:color w:val="auto"/>
                <w:vertAlign w:val="subscript"/>
              </w:rPr>
              <w:t>Cr</w:t>
            </w:r>
          </w:p>
        </w:tc>
        <w:tc>
          <w:tcPr>
            <w:tcW w:w="4027" w:type="dxa"/>
            <w:vMerge w:val="restart"/>
            <w:vAlign w:val="center"/>
          </w:tcPr>
          <w:p>
            <w:pPr>
              <w:pStyle w:val="30"/>
              <w:rPr>
                <w:color w:val="auto"/>
              </w:rPr>
            </w:pPr>
            <w:r>
              <w:rPr>
                <w:color w:val="auto"/>
              </w:rPr>
              <w:t>《污水综合排放标准》（GB8978-1996）中三级标准及汨罗市城市污水处理厂接管标准的较严值</w:t>
            </w:r>
          </w:p>
        </w:tc>
        <w:tc>
          <w:tcPr>
            <w:tcW w:w="2048" w:type="dxa"/>
            <w:vAlign w:val="center"/>
          </w:tcPr>
          <w:p>
            <w:pPr>
              <w:pStyle w:val="30"/>
              <w:rPr>
                <w:color w:val="auto"/>
              </w:rPr>
            </w:pPr>
            <w:r>
              <w:rPr>
                <w:color w:val="auto"/>
              </w:rPr>
              <w:t>320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486" w:type="dxa"/>
            <w:vMerge w:val="continue"/>
            <w:vAlign w:val="center"/>
          </w:tcPr>
          <w:p>
            <w:pPr>
              <w:pStyle w:val="30"/>
              <w:rPr>
                <w:color w:val="auto"/>
              </w:rPr>
            </w:pPr>
          </w:p>
        </w:tc>
        <w:tc>
          <w:tcPr>
            <w:tcW w:w="1008" w:type="dxa"/>
            <w:vMerge w:val="continue"/>
            <w:vAlign w:val="center"/>
          </w:tcPr>
          <w:p>
            <w:pPr>
              <w:pStyle w:val="30"/>
              <w:rPr>
                <w:color w:val="auto"/>
              </w:rPr>
            </w:pPr>
          </w:p>
        </w:tc>
        <w:tc>
          <w:tcPr>
            <w:tcW w:w="935" w:type="dxa"/>
            <w:vAlign w:val="center"/>
          </w:tcPr>
          <w:p>
            <w:pPr>
              <w:pStyle w:val="30"/>
              <w:rPr>
                <w:color w:val="auto"/>
              </w:rPr>
            </w:pPr>
            <w:r>
              <w:rPr>
                <w:color w:val="auto"/>
              </w:rPr>
              <w:t>BOD</w:t>
            </w:r>
            <w:r>
              <w:rPr>
                <w:color w:val="auto"/>
                <w:vertAlign w:val="subscript"/>
              </w:rPr>
              <w:t>5</w:t>
            </w:r>
          </w:p>
        </w:tc>
        <w:tc>
          <w:tcPr>
            <w:tcW w:w="4027" w:type="dxa"/>
            <w:vMerge w:val="continue"/>
            <w:vAlign w:val="center"/>
          </w:tcPr>
          <w:p>
            <w:pPr>
              <w:pStyle w:val="30"/>
              <w:rPr>
                <w:color w:val="auto"/>
              </w:rPr>
            </w:pPr>
          </w:p>
        </w:tc>
        <w:tc>
          <w:tcPr>
            <w:tcW w:w="2048" w:type="dxa"/>
            <w:vAlign w:val="center"/>
          </w:tcPr>
          <w:p>
            <w:pPr>
              <w:pStyle w:val="30"/>
              <w:rPr>
                <w:color w:val="auto"/>
              </w:rPr>
            </w:pPr>
            <w:r>
              <w:rPr>
                <w:color w:val="auto"/>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486" w:type="dxa"/>
            <w:vMerge w:val="continue"/>
            <w:vAlign w:val="center"/>
          </w:tcPr>
          <w:p>
            <w:pPr>
              <w:pStyle w:val="30"/>
              <w:rPr>
                <w:color w:val="auto"/>
              </w:rPr>
            </w:pPr>
          </w:p>
        </w:tc>
        <w:tc>
          <w:tcPr>
            <w:tcW w:w="1008" w:type="dxa"/>
            <w:vMerge w:val="continue"/>
            <w:vAlign w:val="center"/>
          </w:tcPr>
          <w:p>
            <w:pPr>
              <w:pStyle w:val="30"/>
              <w:rPr>
                <w:color w:val="auto"/>
              </w:rPr>
            </w:pPr>
          </w:p>
        </w:tc>
        <w:tc>
          <w:tcPr>
            <w:tcW w:w="935" w:type="dxa"/>
            <w:vAlign w:val="center"/>
          </w:tcPr>
          <w:p>
            <w:pPr>
              <w:pStyle w:val="30"/>
              <w:rPr>
                <w:color w:val="auto"/>
              </w:rPr>
            </w:pPr>
            <w:r>
              <w:rPr>
                <w:color w:val="auto"/>
              </w:rPr>
              <w:t>氨氮</w:t>
            </w:r>
          </w:p>
        </w:tc>
        <w:tc>
          <w:tcPr>
            <w:tcW w:w="4027" w:type="dxa"/>
            <w:vMerge w:val="continue"/>
            <w:vAlign w:val="center"/>
          </w:tcPr>
          <w:p>
            <w:pPr>
              <w:pStyle w:val="30"/>
              <w:rPr>
                <w:color w:val="auto"/>
              </w:rPr>
            </w:pPr>
          </w:p>
        </w:tc>
        <w:tc>
          <w:tcPr>
            <w:tcW w:w="2048" w:type="dxa"/>
            <w:vAlign w:val="center"/>
          </w:tcPr>
          <w:p>
            <w:pPr>
              <w:pStyle w:val="30"/>
              <w:rPr>
                <w:color w:val="auto"/>
              </w:rPr>
            </w:pPr>
            <w:r>
              <w:rPr>
                <w:color w:val="auto"/>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486" w:type="dxa"/>
            <w:vMerge w:val="continue"/>
            <w:vAlign w:val="center"/>
          </w:tcPr>
          <w:p>
            <w:pPr>
              <w:pStyle w:val="30"/>
              <w:rPr>
                <w:color w:val="auto"/>
              </w:rPr>
            </w:pPr>
          </w:p>
        </w:tc>
        <w:tc>
          <w:tcPr>
            <w:tcW w:w="1008" w:type="dxa"/>
            <w:vMerge w:val="continue"/>
            <w:vAlign w:val="center"/>
          </w:tcPr>
          <w:p>
            <w:pPr>
              <w:pStyle w:val="30"/>
              <w:rPr>
                <w:color w:val="auto"/>
              </w:rPr>
            </w:pPr>
          </w:p>
        </w:tc>
        <w:tc>
          <w:tcPr>
            <w:tcW w:w="935" w:type="dxa"/>
            <w:vAlign w:val="center"/>
          </w:tcPr>
          <w:p>
            <w:pPr>
              <w:pStyle w:val="30"/>
              <w:rPr>
                <w:color w:val="auto"/>
              </w:rPr>
            </w:pPr>
            <w:r>
              <w:rPr>
                <w:color w:val="auto"/>
              </w:rPr>
              <w:t>SS</w:t>
            </w:r>
          </w:p>
        </w:tc>
        <w:tc>
          <w:tcPr>
            <w:tcW w:w="4027" w:type="dxa"/>
            <w:vMerge w:val="continue"/>
            <w:vAlign w:val="center"/>
          </w:tcPr>
          <w:p>
            <w:pPr>
              <w:pStyle w:val="30"/>
              <w:rPr>
                <w:color w:val="auto"/>
              </w:rPr>
            </w:pPr>
          </w:p>
        </w:tc>
        <w:tc>
          <w:tcPr>
            <w:tcW w:w="2048" w:type="dxa"/>
            <w:vAlign w:val="center"/>
          </w:tcPr>
          <w:p>
            <w:pPr>
              <w:pStyle w:val="30"/>
              <w:rPr>
                <w:color w:val="auto"/>
              </w:rPr>
            </w:pPr>
            <w:r>
              <w:rPr>
                <w:color w:val="auto"/>
              </w:rPr>
              <w:t>180</w:t>
            </w:r>
          </w:p>
        </w:tc>
      </w:tr>
    </w:tbl>
    <w:p>
      <w:pPr>
        <w:ind w:firstLine="480"/>
        <w:rPr>
          <w:color w:val="auto"/>
        </w:rPr>
      </w:pPr>
      <w:r>
        <w:rPr>
          <w:color w:val="auto"/>
        </w:rPr>
        <w:t>综上所述，项目废水经过上述措施处理后，可实现达标排放，同时对周围水体环境影响很小。</w:t>
      </w:r>
    </w:p>
    <w:p>
      <w:pPr>
        <w:pStyle w:val="6"/>
        <w:rPr>
          <w:color w:val="auto"/>
        </w:rPr>
      </w:pPr>
      <w:bookmarkStart w:id="152" w:name="_Toc3667"/>
      <w:bookmarkStart w:id="153" w:name="_Toc10925"/>
      <w:r>
        <w:rPr>
          <w:rFonts w:hint="eastAsia"/>
          <w:color w:val="auto"/>
        </w:rPr>
        <w:t>5</w:t>
      </w:r>
      <w:r>
        <w:rPr>
          <w:color w:val="auto"/>
        </w:rPr>
        <w:t>.4运营期地下水环境影响分析</w:t>
      </w:r>
      <w:bookmarkEnd w:id="151"/>
      <w:bookmarkEnd w:id="152"/>
      <w:bookmarkEnd w:id="153"/>
    </w:p>
    <w:p>
      <w:pPr>
        <w:ind w:firstLine="480"/>
        <w:rPr>
          <w:color w:val="auto"/>
        </w:rPr>
      </w:pPr>
      <w:r>
        <w:rPr>
          <w:color w:val="auto"/>
        </w:rPr>
        <w:t>根据《环境影响评价技术导则</w:t>
      </w:r>
      <w:r>
        <w:rPr>
          <w:rFonts w:hint="eastAsia"/>
          <w:color w:val="auto"/>
        </w:rPr>
        <w:t xml:space="preserve"> </w:t>
      </w:r>
      <w:r>
        <w:rPr>
          <w:color w:val="auto"/>
        </w:rPr>
        <w:t>地下水环境》（HJ610-2016），本项目属于“第155 项废旧资源（含生物质）加工、再生利用-废塑料加工”和“第116项塑料制品制造-其他”，属于Ⅱ类项目地下水环境影响评价项目类别。项目所在地</w:t>
      </w:r>
      <w:r>
        <w:rPr>
          <w:rFonts w:hint="eastAsia"/>
          <w:color w:val="auto"/>
        </w:rPr>
        <w:t>地下水环境敏感程度为不</w:t>
      </w:r>
      <w:r>
        <w:rPr>
          <w:color w:val="auto"/>
        </w:rPr>
        <w:t>敏感等，因此确定地下水环境影响评价等级为三级评价。</w:t>
      </w:r>
    </w:p>
    <w:p>
      <w:pPr>
        <w:pStyle w:val="7"/>
        <w:rPr>
          <w:color w:val="auto"/>
        </w:rPr>
      </w:pPr>
      <w:r>
        <w:rPr>
          <w:rFonts w:hint="eastAsia"/>
          <w:color w:val="auto"/>
        </w:rPr>
        <w:t>5</w:t>
      </w:r>
      <w:r>
        <w:rPr>
          <w:color w:val="auto"/>
        </w:rPr>
        <w:t>.4.1区域地质与水文地质概况</w:t>
      </w:r>
    </w:p>
    <w:p>
      <w:pPr>
        <w:ind w:firstLine="480"/>
        <w:rPr>
          <w:color w:val="auto"/>
        </w:rPr>
      </w:pPr>
      <w:r>
        <w:rPr>
          <w:color w:val="auto"/>
        </w:rPr>
        <w:t>1、区域水文地质基本情况</w:t>
      </w:r>
    </w:p>
    <w:p>
      <w:pPr>
        <w:ind w:firstLine="480"/>
        <w:rPr>
          <w:color w:val="auto"/>
        </w:rPr>
      </w:pPr>
      <w:r>
        <w:rPr>
          <w:rFonts w:hint="eastAsia"/>
          <w:color w:val="auto"/>
        </w:rPr>
        <w:t>（1）地形地貌特征</w:t>
      </w:r>
    </w:p>
    <w:p>
      <w:pPr>
        <w:ind w:firstLine="480"/>
        <w:rPr>
          <w:color w:val="auto"/>
        </w:rPr>
      </w:pPr>
      <w:r>
        <w:rPr>
          <w:rFonts w:hint="eastAsia"/>
          <w:color w:val="auto"/>
        </w:rPr>
        <w:t>项目所处地貌为由变质岩组成的低山丘陵区，属洞庭湖盆地边缘。南北为低矮山岗，东西呈横向带状阶梯式变化。本地山地为新构造时期以来地壳运动相对上升，经长期侵蚀、剥蚀所致；现公司所在地地势相对平缓开阔，标高在40~60m之间，地势平坦，其原始地貌已不复存在，仅能从周边的边坡情况有所显示。</w:t>
      </w:r>
    </w:p>
    <w:p>
      <w:pPr>
        <w:ind w:firstLine="480"/>
        <w:rPr>
          <w:color w:val="auto"/>
        </w:rPr>
      </w:pPr>
      <w:r>
        <w:rPr>
          <w:color w:val="auto"/>
        </w:rPr>
        <w:t>A、地层岩性</w:t>
      </w:r>
    </w:p>
    <w:p>
      <w:pPr>
        <w:ind w:firstLine="480"/>
        <w:rPr>
          <w:color w:val="auto"/>
        </w:rPr>
      </w:pPr>
      <w:r>
        <w:rPr>
          <w:color w:val="auto"/>
        </w:rPr>
        <w:t>调査区分布的土层有第四系上更新统、中更新统、人工填土、残坡积土和坡洪积土。基岩主要有志留系、奥陶系、寒武系、震旦系和冷家溪群</w:t>
      </w:r>
      <w:r>
        <w:rPr>
          <w:rFonts w:hint="eastAsia"/>
          <w:color w:val="auto"/>
        </w:rPr>
        <w:t>。</w:t>
      </w:r>
    </w:p>
    <w:p>
      <w:pPr>
        <w:ind w:firstLine="480"/>
        <w:rPr>
          <w:color w:val="auto"/>
        </w:rPr>
      </w:pPr>
      <w:r>
        <w:rPr>
          <w:color w:val="auto"/>
        </w:rPr>
        <w:t>B、地质构造</w:t>
      </w:r>
    </w:p>
    <w:p>
      <w:pPr>
        <w:ind w:firstLine="480"/>
        <w:rPr>
          <w:color w:val="auto"/>
        </w:rPr>
      </w:pPr>
      <w:r>
        <w:rPr>
          <w:color w:val="auto"/>
        </w:rPr>
        <w:t>调查区位于江南地轴与扬子淮地台的交汇处，是新华夏系第二沉降带的东缘地带。区内的构遣形迹经过不同地应力场的不同频率、不同规模的多次叠加、改造、迁就和破坏作用，使区内构造形迹更加复杂化。</w:t>
      </w:r>
    </w:p>
    <w:p>
      <w:pPr>
        <w:ind w:firstLine="480"/>
        <w:rPr>
          <w:color w:val="auto"/>
        </w:rPr>
      </w:pPr>
      <w:r>
        <w:rPr>
          <w:rFonts w:hint="eastAsia"/>
          <w:color w:val="auto"/>
        </w:rPr>
        <w:t>（2）地下水类型、埋深、补给和排泄条件</w:t>
      </w:r>
    </w:p>
    <w:p>
      <w:pPr>
        <w:ind w:firstLine="480"/>
        <w:rPr>
          <w:color w:val="auto"/>
        </w:rPr>
      </w:pPr>
      <w:r>
        <w:rPr>
          <w:rFonts w:hint="eastAsia"/>
          <w:color w:val="auto"/>
        </w:rPr>
        <w:t>根据湖南省水文地质图，汨罗地区富水程度弱，为淡水分布，含水岩组类型生活主要为：碎屑岩类孔隙裂含水岩组和变质岩类裂隙含水岩组。</w:t>
      </w:r>
    </w:p>
    <w:p>
      <w:pPr>
        <w:ind w:firstLine="480"/>
        <w:rPr>
          <w:color w:val="auto"/>
        </w:rPr>
      </w:pPr>
      <w:r>
        <w:rPr>
          <w:rFonts w:hint="eastAsia"/>
          <w:color w:val="auto"/>
        </w:rPr>
        <w:t>①地下水类型、分布及赋存条件</w:t>
      </w:r>
    </w:p>
    <w:p>
      <w:pPr>
        <w:ind w:firstLine="480"/>
        <w:rPr>
          <w:color w:val="auto"/>
        </w:rPr>
      </w:pPr>
      <w:r>
        <w:rPr>
          <w:rFonts w:hint="eastAsia"/>
          <w:color w:val="auto"/>
        </w:rPr>
        <w:t>调查区为一向斜谷地，地貌轮廓明显，地表分水岭清楚，水文地质条件较复杂，岩溶裂隙发育，且不均匀。根据调查区含水层的特点和地下水的类型，划分和为松散岩类孔水、基岩裂隙水和碳酸盐岩类裂障溶洞水三种类型。</w:t>
      </w:r>
    </w:p>
    <w:p>
      <w:pPr>
        <w:ind w:firstLine="480"/>
        <w:rPr>
          <w:color w:val="auto"/>
        </w:rPr>
      </w:pPr>
      <w:r>
        <w:rPr>
          <w:rFonts w:hint="eastAsia"/>
          <w:color w:val="auto"/>
        </w:rPr>
        <w:t>②地下水补给、径流、排条件</w:t>
      </w:r>
    </w:p>
    <w:p>
      <w:pPr>
        <w:ind w:firstLine="480"/>
        <w:rPr>
          <w:color w:val="auto"/>
        </w:rPr>
      </w:pPr>
      <w:r>
        <w:rPr>
          <w:rFonts w:hint="eastAsia"/>
          <w:color w:val="auto"/>
        </w:rPr>
        <w:t>根据调查，区域地下水总体流向为:以厂区西南侧一带为分水岭，地下水主要靠大气降水补给、径流方式由两侧向谷地运移，再由东向西运移，在谷底低洼处以上升泉的形式排于地表或继续向北运移，最终排入汨罗江。其动态变化与大气降水密切相关。场地内地下水总体贫乏，岩层透水性弱，地下水主要接受大气降水补给。径流方式有两侧向谷地运移，再由东向西运移，在谷底低注处以上升泉的形式于地表或直接排入汨罗江。</w:t>
      </w:r>
    </w:p>
    <w:p>
      <w:pPr>
        <w:ind w:firstLine="480"/>
        <w:rPr>
          <w:color w:val="auto"/>
        </w:rPr>
      </w:pPr>
      <w:r>
        <w:rPr>
          <w:rFonts w:hint="eastAsia"/>
          <w:color w:val="auto"/>
        </w:rPr>
        <w:t>（2）水文特征</w:t>
      </w:r>
    </w:p>
    <w:p>
      <w:pPr>
        <w:ind w:firstLine="480"/>
        <w:rPr>
          <w:color w:val="auto"/>
        </w:rPr>
      </w:pPr>
      <w:r>
        <w:rPr>
          <w:rFonts w:hint="eastAsia"/>
          <w:color w:val="auto"/>
        </w:rPr>
        <w:t>项目周边分布的居民多以自来水作为水源。</w:t>
      </w:r>
      <w:r>
        <w:rPr>
          <w:color w:val="auto"/>
        </w:rPr>
        <w:t>为了了解本项目所在区域内的地下水环境质量现状，本项目</w:t>
      </w:r>
      <w:r>
        <w:rPr>
          <w:rFonts w:hint="eastAsia"/>
          <w:color w:val="auto"/>
        </w:rPr>
        <w:t>，由监测数据可知，项目区域地下水监测因子均达到《地下水环境质量标准》（GB/T14848-93）中的Ⅲ类标准。根据调查，项目拟建地区域不属于《环境影响评价技术导则地下水环境》（HJ610-2016）表1中的敏感区及较敏感区，项目区域地下水环境简单。</w:t>
      </w:r>
    </w:p>
    <w:p>
      <w:pPr>
        <w:ind w:firstLine="482"/>
        <w:rPr>
          <w:b/>
          <w:bCs/>
          <w:color w:val="auto"/>
        </w:rPr>
      </w:pPr>
      <w:r>
        <w:rPr>
          <w:rFonts w:hint="eastAsia"/>
          <w:b/>
          <w:bCs/>
          <w:color w:val="auto"/>
        </w:rPr>
        <w:t>2、污染源及污染途径</w:t>
      </w:r>
    </w:p>
    <w:p>
      <w:pPr>
        <w:ind w:firstLine="482"/>
        <w:rPr>
          <w:b/>
          <w:bCs/>
          <w:color w:val="auto"/>
        </w:rPr>
      </w:pPr>
      <w:r>
        <w:rPr>
          <w:rFonts w:hint="eastAsia"/>
          <w:b/>
          <w:bCs/>
          <w:color w:val="auto"/>
        </w:rPr>
        <w:t>地下水污染源类型</w:t>
      </w:r>
    </w:p>
    <w:p>
      <w:pPr>
        <w:ind w:firstLine="480"/>
        <w:rPr>
          <w:color w:val="auto"/>
        </w:rPr>
      </w:pPr>
      <w:r>
        <w:rPr>
          <w:rFonts w:hint="eastAsia"/>
          <w:color w:val="auto"/>
        </w:rPr>
        <w:t>污染物从污染源进入地下水所经过路径称为地下水污染途径，地下水污染途径是多种多样的。根据工程所处区域的地质情况，拟建项目可能对地下水造成污染的途径主要有：危废暂存间废机油泄漏下渗以及化粪池、循环水池等污水下渗对地下水造成的污染。</w:t>
      </w:r>
    </w:p>
    <w:p>
      <w:pPr>
        <w:ind w:firstLine="482"/>
        <w:rPr>
          <w:b/>
          <w:bCs/>
          <w:color w:val="auto"/>
        </w:rPr>
      </w:pPr>
      <w:r>
        <w:rPr>
          <w:rFonts w:hint="eastAsia"/>
          <w:b/>
          <w:bCs/>
          <w:color w:val="auto"/>
        </w:rPr>
        <w:t>地下水污染源源强分析</w:t>
      </w:r>
    </w:p>
    <w:p>
      <w:pPr>
        <w:ind w:firstLine="480"/>
        <w:rPr>
          <w:color w:val="auto"/>
        </w:rPr>
      </w:pPr>
      <w:r>
        <w:rPr>
          <w:rFonts w:hint="eastAsia"/>
          <w:color w:val="auto"/>
        </w:rPr>
        <w:t>本项目可能对地下水的影响为废水的事故泄漏和危废暂存区的污染下渗。在采取收集、防渗等措施后废水对地下水产生的影响极小，可忽略；对危废暂存区按《危险废物贮存污染控制标准》（GB18597）及其修改单的要求，作好基础防渗改造后，使防渗层渗透系数≤10</w:t>
      </w:r>
      <w:r>
        <w:rPr>
          <w:rFonts w:hint="eastAsia"/>
          <w:color w:val="auto"/>
          <w:vertAlign w:val="superscript"/>
        </w:rPr>
        <w:t>-10</w:t>
      </w:r>
      <w:r>
        <w:rPr>
          <w:rFonts w:hint="eastAsia"/>
          <w:color w:val="auto"/>
        </w:rPr>
        <w:t>cm/s，同时在危废暂存区四周设堵截泄露的裙脚，通过上述措施可有效避免项目危险废物及废水对地下水的污染。</w:t>
      </w:r>
    </w:p>
    <w:p>
      <w:pPr>
        <w:ind w:firstLine="482"/>
        <w:rPr>
          <w:b/>
          <w:bCs/>
          <w:color w:val="auto"/>
        </w:rPr>
      </w:pPr>
      <w:r>
        <w:rPr>
          <w:rFonts w:hint="eastAsia"/>
          <w:b/>
          <w:bCs/>
          <w:color w:val="auto"/>
        </w:rPr>
        <w:t>污染途径分析</w:t>
      </w:r>
    </w:p>
    <w:p>
      <w:pPr>
        <w:ind w:firstLine="480"/>
        <w:rPr>
          <w:color w:val="auto"/>
        </w:rPr>
      </w:pPr>
      <w:r>
        <w:rPr>
          <w:rFonts w:hint="eastAsia"/>
          <w:color w:val="auto"/>
        </w:rPr>
        <w:t>本项目事故泄漏的废水及危废暂存区的污染下渗造成影响的途径是通过包气带渗透到潜水含水层而污染地下水的。包气带厚度愈薄，透水性愈好，就愈易造成潜水污染，反之，包气带愈厚、透水性愈差，则其隔污能力就愈强，则潜水层污染的可能性就小。</w:t>
      </w:r>
    </w:p>
    <w:p>
      <w:pPr>
        <w:ind w:firstLine="482"/>
        <w:rPr>
          <w:b/>
          <w:bCs/>
          <w:color w:val="auto"/>
        </w:rPr>
      </w:pPr>
      <w:r>
        <w:rPr>
          <w:rFonts w:hint="eastAsia"/>
          <w:b/>
          <w:bCs/>
          <w:color w:val="auto"/>
        </w:rPr>
        <w:t>3、影响分析</w:t>
      </w:r>
    </w:p>
    <w:p>
      <w:pPr>
        <w:ind w:firstLine="482"/>
        <w:rPr>
          <w:b/>
          <w:bCs/>
          <w:color w:val="auto"/>
        </w:rPr>
      </w:pPr>
      <w:r>
        <w:rPr>
          <w:rFonts w:hint="eastAsia"/>
          <w:b/>
          <w:bCs/>
          <w:color w:val="auto"/>
        </w:rPr>
        <w:t>①对浅层地下水的污染影响</w:t>
      </w:r>
    </w:p>
    <w:p>
      <w:pPr>
        <w:ind w:firstLine="480"/>
        <w:rPr>
          <w:color w:val="auto"/>
        </w:rPr>
      </w:pPr>
      <w:r>
        <w:rPr>
          <w:rFonts w:hint="eastAsia"/>
          <w:color w:val="auto"/>
        </w:rPr>
        <w:t>正常情况下，对地下水的污染主要是由于污染物迁移穿过包气带进入含水层造成。项目场地渗透性强，说明浅层地下水容易受到污染。若废水或废液发生渗漏，污染物会很快穿过包气带进入浅层地下水，对浅层地下水的污染大。</w:t>
      </w:r>
    </w:p>
    <w:p>
      <w:pPr>
        <w:ind w:firstLine="482"/>
        <w:rPr>
          <w:b/>
          <w:bCs/>
          <w:color w:val="auto"/>
        </w:rPr>
      </w:pPr>
      <w:r>
        <w:rPr>
          <w:rFonts w:hint="eastAsia"/>
          <w:b/>
          <w:bCs/>
          <w:color w:val="auto"/>
        </w:rPr>
        <w:t>②对深层地下水的污染影响</w:t>
      </w:r>
    </w:p>
    <w:p>
      <w:pPr>
        <w:ind w:firstLine="480"/>
        <w:rPr>
          <w:color w:val="auto"/>
        </w:rPr>
      </w:pPr>
      <w:r>
        <w:rPr>
          <w:rFonts w:hint="eastAsia"/>
          <w:color w:val="auto"/>
        </w:rPr>
        <w:t>判断深层地下水是否会受到污染影响，通常分析深层地下水含水层上覆地层的防污性能和有无与浅层地下水的水利联系。通过水文地质条件分析，该区域深层土质渗透性弱，所以垂直渗入补给条件较差，与浅层地下水水利联系不密切。因此，深层地下水受到项目下渗污水的污染影响较小。</w:t>
      </w:r>
    </w:p>
    <w:p>
      <w:pPr>
        <w:ind w:firstLine="480"/>
        <w:rPr>
          <w:color w:val="auto"/>
        </w:rPr>
      </w:pPr>
      <w:r>
        <w:rPr>
          <w:rFonts w:hint="eastAsia"/>
          <w:color w:val="auto"/>
        </w:rPr>
        <w:t>本项目主要废水有车间冷却水和生活污水。冷却水循环使用，不外排。生活污水经园区化粪池处理后通过市政污水管网排入汨罗市城市污水处理厂处理。本项目废水水质较为简单，在做好防渗措施的基础上，其进入到地下的可能性较小，对地下水环境影响甚微。</w:t>
      </w:r>
    </w:p>
    <w:p>
      <w:pPr>
        <w:ind w:firstLine="482"/>
        <w:rPr>
          <w:b/>
          <w:bCs/>
          <w:color w:val="auto"/>
        </w:rPr>
      </w:pPr>
      <w:r>
        <w:rPr>
          <w:rFonts w:hint="eastAsia"/>
          <w:b/>
          <w:bCs/>
          <w:color w:val="auto"/>
        </w:rPr>
        <w:t>（1）正常工况地下水环境影响分析</w:t>
      </w:r>
    </w:p>
    <w:p>
      <w:pPr>
        <w:ind w:firstLine="480"/>
        <w:rPr>
          <w:color w:val="auto"/>
        </w:rPr>
      </w:pPr>
      <w:r>
        <w:rPr>
          <w:rFonts w:hint="eastAsia"/>
          <w:color w:val="auto"/>
        </w:rPr>
        <w:t>本项目主要废水为冷却水和生活污水。本项目生活污水依托园区化粪池进行预处理，园区化粪池已做好防渗措施，厂区均已做好硬化。因此正常工况下，本项目对地下水影响不大。</w:t>
      </w:r>
    </w:p>
    <w:p>
      <w:pPr>
        <w:ind w:firstLine="482"/>
        <w:rPr>
          <w:b/>
          <w:bCs/>
          <w:color w:val="auto"/>
        </w:rPr>
      </w:pPr>
      <w:r>
        <w:rPr>
          <w:rFonts w:hint="eastAsia"/>
          <w:b/>
          <w:bCs/>
          <w:color w:val="auto"/>
        </w:rPr>
        <w:t>（2）事故渗漏地下水环境影响分析</w:t>
      </w:r>
    </w:p>
    <w:p>
      <w:pPr>
        <w:ind w:firstLine="480"/>
        <w:rPr>
          <w:color w:val="auto"/>
        </w:rPr>
      </w:pPr>
      <w:r>
        <w:rPr>
          <w:rFonts w:hint="eastAsia"/>
          <w:color w:val="auto"/>
        </w:rPr>
        <w:t>本项目可能对地下水产生影响的环节主要是生活污水泄露及危废暂存间的废机油泄露导致污染物可能渗入地下水。危废暂存间的其他危险废物均为固态。危废暂存间按照《危险废物贮存污染控制标准》（GB18597-20</w:t>
      </w:r>
      <w:r>
        <w:rPr>
          <w:rFonts w:hint="eastAsia"/>
          <w:color w:val="auto"/>
          <w:lang w:val="en-US" w:eastAsia="zh-CN"/>
        </w:rPr>
        <w:t>23</w:t>
      </w:r>
      <w:r>
        <w:rPr>
          <w:rFonts w:hint="eastAsia"/>
          <w:color w:val="auto"/>
        </w:rPr>
        <w:t>），做好防雨、防风、防渗等措施。</w:t>
      </w:r>
    </w:p>
    <w:p>
      <w:pPr>
        <w:ind w:firstLine="480"/>
        <w:rPr>
          <w:color w:val="auto"/>
        </w:rPr>
      </w:pPr>
      <w:r>
        <w:rPr>
          <w:rFonts w:hint="eastAsia"/>
          <w:color w:val="auto"/>
        </w:rPr>
        <w:t>为避免本区域地下水受到本项目污染，针对上述污染源及污染途径，建议采取一下预防措施：</w:t>
      </w:r>
    </w:p>
    <w:p>
      <w:pPr>
        <w:ind w:firstLine="480"/>
        <w:rPr>
          <w:color w:val="auto"/>
        </w:rPr>
      </w:pPr>
      <w:r>
        <w:rPr>
          <w:rFonts w:hint="eastAsia"/>
          <w:color w:val="auto"/>
        </w:rPr>
        <w:t>①合理布设雨污管道，使厂区的雨污水能得到及时疏导。</w:t>
      </w:r>
    </w:p>
    <w:p>
      <w:pPr>
        <w:ind w:firstLine="480"/>
        <w:rPr>
          <w:color w:val="auto"/>
        </w:rPr>
      </w:pPr>
      <w:r>
        <w:rPr>
          <w:rFonts w:hint="eastAsia"/>
          <w:color w:val="auto"/>
        </w:rPr>
        <w:t>②生活污水管道进行防腐、防渗，加强废水处理设施的维护，防治废水处理设施发生废水下渗的情况。</w:t>
      </w:r>
    </w:p>
    <w:p>
      <w:pPr>
        <w:ind w:firstLine="480"/>
        <w:rPr>
          <w:color w:val="auto"/>
        </w:rPr>
      </w:pPr>
      <w:r>
        <w:rPr>
          <w:rFonts w:hint="eastAsia"/>
          <w:color w:val="auto"/>
        </w:rPr>
        <w:t>③一般工业固体废物暂存间必须严格按照</w:t>
      </w:r>
      <w:r>
        <w:rPr>
          <w:color w:val="auto"/>
        </w:rPr>
        <w:t>《一般工业固体废物贮存和填埋污染控制标准》（GB18599-2020）</w:t>
      </w:r>
      <w:r>
        <w:rPr>
          <w:rFonts w:hint="eastAsia"/>
          <w:color w:val="auto"/>
        </w:rPr>
        <w:t>的要求进行设计、建设和管理，做好防雨、防风、防渗措施。</w:t>
      </w:r>
    </w:p>
    <w:p>
      <w:pPr>
        <w:ind w:firstLine="480"/>
        <w:rPr>
          <w:color w:val="auto"/>
        </w:rPr>
      </w:pPr>
      <w:r>
        <w:rPr>
          <w:rFonts w:hint="eastAsia"/>
          <w:color w:val="auto"/>
        </w:rPr>
        <w:t>④危废暂存间需严格按照《危险废物贮存污染可控制标准》（</w:t>
      </w:r>
      <w:r>
        <w:rPr>
          <w:rFonts w:hint="eastAsia"/>
          <w:color w:val="auto"/>
          <w:lang w:eastAsia="zh-CN"/>
        </w:rPr>
        <w:t>GB18597-2023</w:t>
      </w:r>
      <w:r>
        <w:rPr>
          <w:rFonts w:hint="eastAsia"/>
          <w:color w:val="auto"/>
        </w:rPr>
        <w:t>）及其2013年修改单的要求进行设计、建设和管理，做好防雨、防风、防渗措施。</w:t>
      </w:r>
    </w:p>
    <w:p>
      <w:pPr>
        <w:ind w:firstLine="480"/>
        <w:rPr>
          <w:color w:val="auto"/>
        </w:rPr>
      </w:pPr>
      <w:r>
        <w:rPr>
          <w:rFonts w:hint="eastAsia"/>
          <w:color w:val="auto"/>
        </w:rPr>
        <w:t>在采取以上措施的基础上，本项目对地下水环境影响较小。</w:t>
      </w:r>
    </w:p>
    <w:p>
      <w:pPr>
        <w:pStyle w:val="6"/>
        <w:rPr>
          <w:color w:val="auto"/>
        </w:rPr>
      </w:pPr>
      <w:bookmarkStart w:id="154" w:name="_Toc26245"/>
      <w:bookmarkStart w:id="155" w:name="_Toc2993"/>
      <w:bookmarkStart w:id="156" w:name="_Toc11598"/>
      <w:r>
        <w:rPr>
          <w:rFonts w:hint="eastAsia"/>
          <w:color w:val="auto"/>
        </w:rPr>
        <w:t>5</w:t>
      </w:r>
      <w:r>
        <w:rPr>
          <w:color w:val="auto"/>
        </w:rPr>
        <w:t>.5声环境影响分析</w:t>
      </w:r>
      <w:bookmarkEnd w:id="154"/>
      <w:bookmarkEnd w:id="155"/>
      <w:bookmarkEnd w:id="156"/>
    </w:p>
    <w:p>
      <w:pPr>
        <w:ind w:firstLine="480"/>
        <w:rPr>
          <w:color w:val="auto"/>
        </w:rPr>
      </w:pPr>
      <w:r>
        <w:rPr>
          <w:color w:val="auto"/>
        </w:rPr>
        <w:t>项目区为</w:t>
      </w:r>
      <w:r>
        <w:rPr>
          <w:rFonts w:hint="eastAsia"/>
          <w:color w:val="auto"/>
        </w:rPr>
        <w:t>3</w:t>
      </w:r>
      <w:r>
        <w:rPr>
          <w:color w:val="auto"/>
        </w:rPr>
        <w:t>类声环境功能区。经过现场调查，项目</w:t>
      </w:r>
      <w:r>
        <w:rPr>
          <w:rFonts w:hint="eastAsia"/>
          <w:color w:val="auto"/>
        </w:rPr>
        <w:t>西侧相邻即为居民点</w:t>
      </w:r>
      <w:r>
        <w:rPr>
          <w:color w:val="auto"/>
        </w:rPr>
        <w:t>，根据声环境质量监测可知，项目</w:t>
      </w:r>
      <w:r>
        <w:rPr>
          <w:rFonts w:hint="eastAsia"/>
          <w:color w:val="auto"/>
        </w:rPr>
        <w:t>西侧</w:t>
      </w:r>
      <w:r>
        <w:rPr>
          <w:color w:val="auto"/>
        </w:rPr>
        <w:t>居民声环境质量满足《声环境质量标准》(GB3096-2008)中的</w:t>
      </w:r>
      <w:r>
        <w:rPr>
          <w:rFonts w:hint="eastAsia"/>
          <w:color w:val="auto"/>
          <w:lang w:val="en-US" w:eastAsia="zh-CN"/>
        </w:rPr>
        <w:t>4a</w:t>
      </w:r>
      <w:r>
        <w:rPr>
          <w:color w:val="auto"/>
        </w:rPr>
        <w:t>类标准要求，本项目</w:t>
      </w:r>
      <w:r>
        <w:rPr>
          <w:rFonts w:hint="eastAsia"/>
          <w:color w:val="auto"/>
        </w:rPr>
        <w:t>应将高噪声设备布置在远离西侧居民点的位置，</w:t>
      </w:r>
      <w:r>
        <w:rPr>
          <w:color w:val="auto"/>
        </w:rPr>
        <w:t>尽可能减少项目运行对声环境敏感点的影响。</w:t>
      </w:r>
    </w:p>
    <w:p>
      <w:pPr>
        <w:pStyle w:val="7"/>
        <w:rPr>
          <w:color w:val="auto"/>
        </w:rPr>
      </w:pPr>
      <w:r>
        <w:rPr>
          <w:rFonts w:hint="eastAsia"/>
          <w:color w:val="auto"/>
        </w:rPr>
        <w:t>5</w:t>
      </w:r>
      <w:r>
        <w:rPr>
          <w:color w:val="auto"/>
        </w:rPr>
        <w:t>.5.1项目主要噪声源</w:t>
      </w:r>
    </w:p>
    <w:p>
      <w:pPr>
        <w:ind w:firstLine="480"/>
        <w:rPr>
          <w:color w:val="auto"/>
        </w:rPr>
      </w:pPr>
      <w:r>
        <w:rPr>
          <w:color w:val="auto"/>
        </w:rPr>
        <w:t>本项目噪声源主要为</w:t>
      </w:r>
      <w:r>
        <w:rPr>
          <w:rFonts w:hint="eastAsia"/>
          <w:color w:val="auto"/>
        </w:rPr>
        <w:t>破碎机、切割机、挤出机、造粒机、风机</w:t>
      </w:r>
      <w:r>
        <w:rPr>
          <w:color w:val="auto"/>
        </w:rPr>
        <w:t>等，噪声源约7</w:t>
      </w:r>
      <w:r>
        <w:rPr>
          <w:rFonts w:hint="eastAsia"/>
          <w:color w:val="auto"/>
        </w:rPr>
        <w:t>0</w:t>
      </w:r>
      <w:r>
        <w:rPr>
          <w:color w:val="auto"/>
        </w:rPr>
        <w:t>~90dB（A），项目主要噪声源及源强情况见工程分析章节表</w:t>
      </w:r>
      <w:r>
        <w:rPr>
          <w:rFonts w:hint="eastAsia"/>
          <w:color w:val="auto"/>
        </w:rPr>
        <w:t>3</w:t>
      </w:r>
      <w:r>
        <w:rPr>
          <w:color w:val="auto"/>
        </w:rPr>
        <w:t>.7-</w:t>
      </w:r>
      <w:r>
        <w:rPr>
          <w:rFonts w:hint="eastAsia"/>
          <w:color w:val="auto"/>
        </w:rPr>
        <w:t>6</w:t>
      </w:r>
      <w:r>
        <w:rPr>
          <w:color w:val="auto"/>
        </w:rPr>
        <w:t>。</w:t>
      </w:r>
    </w:p>
    <w:p>
      <w:pPr>
        <w:pStyle w:val="7"/>
        <w:rPr>
          <w:color w:val="auto"/>
        </w:rPr>
      </w:pPr>
      <w:r>
        <w:rPr>
          <w:rFonts w:hint="eastAsia"/>
          <w:color w:val="auto"/>
        </w:rPr>
        <w:t>5</w:t>
      </w:r>
      <w:r>
        <w:rPr>
          <w:color w:val="auto"/>
        </w:rPr>
        <w:t>.5.2预测模式</w:t>
      </w:r>
    </w:p>
    <w:p>
      <w:pPr>
        <w:ind w:firstLine="480"/>
        <w:rPr>
          <w:color w:val="auto"/>
        </w:rPr>
      </w:pPr>
      <w:r>
        <w:rPr>
          <w:color w:val="auto"/>
        </w:rPr>
        <w:t>按照《环境影响评价技术导则声环境》（HJ2.4-20</w:t>
      </w:r>
      <w:r>
        <w:rPr>
          <w:rFonts w:hint="eastAsia"/>
          <w:color w:val="auto"/>
        </w:rPr>
        <w:t>21</w:t>
      </w:r>
      <w:r>
        <w:rPr>
          <w:color w:val="auto"/>
        </w:rPr>
        <w:t>）的要求，本项目可选择点声源预测模式，来模拟预测本项目主要声源排放噪声随距离的衰减变化规律。</w:t>
      </w:r>
    </w:p>
    <w:p>
      <w:pPr>
        <w:ind w:firstLine="480"/>
        <w:rPr>
          <w:color w:val="auto"/>
        </w:rPr>
      </w:pPr>
      <w:r>
        <w:rPr>
          <w:color w:val="auto"/>
        </w:rPr>
        <w:t>1、对室外噪声源主要考虑噪声的几何发散衰减及环境因素衰减：</w:t>
      </w:r>
    </w:p>
    <w:p>
      <w:pPr>
        <w:ind w:firstLine="480"/>
        <w:rPr>
          <w:color w:val="auto"/>
        </w:rPr>
      </w:pPr>
      <w:r>
        <w:rPr>
          <w:color w:val="auto"/>
        </w:rPr>
        <w:t>L</w:t>
      </w:r>
      <w:r>
        <w:rPr>
          <w:color w:val="auto"/>
          <w:vertAlign w:val="subscript"/>
        </w:rPr>
        <w:t>2</w:t>
      </w:r>
      <w:r>
        <w:rPr>
          <w:color w:val="auto"/>
        </w:rPr>
        <w:t>=L</w:t>
      </w:r>
      <w:r>
        <w:rPr>
          <w:color w:val="auto"/>
          <w:vertAlign w:val="subscript"/>
        </w:rPr>
        <w:t>1</w:t>
      </w:r>
      <w:r>
        <w:rPr>
          <w:color w:val="auto"/>
        </w:rPr>
        <w:t>-20lg(r</w:t>
      </w:r>
      <w:r>
        <w:rPr>
          <w:color w:val="auto"/>
          <w:vertAlign w:val="subscript"/>
        </w:rPr>
        <w:t>2</w:t>
      </w:r>
      <w:r>
        <w:rPr>
          <w:color w:val="auto"/>
        </w:rPr>
        <w:t>/r</w:t>
      </w:r>
      <w:r>
        <w:rPr>
          <w:color w:val="auto"/>
          <w:vertAlign w:val="subscript"/>
        </w:rPr>
        <w:t>1</w:t>
      </w:r>
      <w:r>
        <w:rPr>
          <w:color w:val="auto"/>
        </w:rPr>
        <w:t>)-ΔL</w:t>
      </w:r>
    </w:p>
    <w:p>
      <w:pPr>
        <w:ind w:firstLine="480"/>
        <w:rPr>
          <w:color w:val="auto"/>
        </w:rPr>
      </w:pPr>
      <w:r>
        <w:rPr>
          <w:color w:val="auto"/>
        </w:rPr>
        <w:t>式中：L</w:t>
      </w:r>
      <w:r>
        <w:rPr>
          <w:color w:val="auto"/>
          <w:vertAlign w:val="subscript"/>
        </w:rPr>
        <w:t>2</w:t>
      </w:r>
      <w:r>
        <w:rPr>
          <w:i/>
          <w:iCs/>
          <w:color w:val="auto"/>
        </w:rPr>
        <w:t>——</w:t>
      </w:r>
      <w:r>
        <w:rPr>
          <w:color w:val="auto"/>
        </w:rPr>
        <w:t>点声源在预测点产生的声压级，dB(A)；</w:t>
      </w:r>
    </w:p>
    <w:p>
      <w:pPr>
        <w:ind w:firstLine="480"/>
        <w:rPr>
          <w:color w:val="auto"/>
        </w:rPr>
      </w:pPr>
      <w:r>
        <w:rPr>
          <w:color w:val="auto"/>
        </w:rPr>
        <w:t>L</w:t>
      </w:r>
      <w:r>
        <w:rPr>
          <w:color w:val="auto"/>
          <w:vertAlign w:val="subscript"/>
        </w:rPr>
        <w:t>1</w:t>
      </w:r>
      <w:r>
        <w:rPr>
          <w:i/>
          <w:iCs/>
          <w:color w:val="auto"/>
        </w:rPr>
        <w:t>——</w:t>
      </w:r>
      <w:r>
        <w:rPr>
          <w:color w:val="auto"/>
        </w:rPr>
        <w:t>点声源在参考点产生的声压级，dB(A)；</w:t>
      </w:r>
    </w:p>
    <w:p>
      <w:pPr>
        <w:ind w:firstLine="480"/>
        <w:rPr>
          <w:color w:val="auto"/>
        </w:rPr>
      </w:pPr>
      <w:r>
        <w:rPr>
          <w:color w:val="auto"/>
        </w:rPr>
        <w:t>r</w:t>
      </w:r>
      <w:r>
        <w:rPr>
          <w:color w:val="auto"/>
          <w:vertAlign w:val="subscript"/>
        </w:rPr>
        <w:t>2</w:t>
      </w:r>
      <w:r>
        <w:rPr>
          <w:i/>
          <w:iCs/>
          <w:color w:val="auto"/>
        </w:rPr>
        <w:t>——</w:t>
      </w:r>
      <w:r>
        <w:rPr>
          <w:color w:val="auto"/>
        </w:rPr>
        <w:t>预测点距声源的距离，m；</w:t>
      </w:r>
    </w:p>
    <w:p>
      <w:pPr>
        <w:ind w:firstLine="480"/>
        <w:rPr>
          <w:color w:val="auto"/>
        </w:rPr>
      </w:pPr>
      <w:r>
        <w:rPr>
          <w:color w:val="auto"/>
        </w:rPr>
        <w:t>r</w:t>
      </w:r>
      <w:r>
        <w:rPr>
          <w:color w:val="auto"/>
          <w:vertAlign w:val="subscript"/>
        </w:rPr>
        <w:t>1</w:t>
      </w:r>
      <w:r>
        <w:rPr>
          <w:i/>
          <w:iCs/>
          <w:color w:val="auto"/>
        </w:rPr>
        <w:t>——</w:t>
      </w:r>
      <w:r>
        <w:rPr>
          <w:color w:val="auto"/>
        </w:rPr>
        <w:t>参考点距声源的距离，m；</w:t>
      </w:r>
    </w:p>
    <w:p>
      <w:pPr>
        <w:ind w:firstLine="480"/>
        <w:rPr>
          <w:color w:val="auto"/>
        </w:rPr>
      </w:pPr>
      <w:r>
        <w:rPr>
          <w:color w:val="auto"/>
        </w:rPr>
        <w:t>ΔL</w:t>
      </w:r>
      <w:r>
        <w:rPr>
          <w:i/>
          <w:iCs/>
          <w:color w:val="auto"/>
        </w:rPr>
        <w:t>——</w:t>
      </w:r>
      <w:r>
        <w:rPr>
          <w:color w:val="auto"/>
        </w:rPr>
        <w:t>各种因素引起的衰减量（包括声屏障、空气吸收等引起的衰减量），dB(A)。</w:t>
      </w:r>
    </w:p>
    <w:p>
      <w:pPr>
        <w:ind w:firstLine="480"/>
        <w:rPr>
          <w:color w:val="auto"/>
        </w:rPr>
      </w:pPr>
      <w:r>
        <w:rPr>
          <w:color w:val="auto"/>
        </w:rPr>
        <w:t>2、对室内噪声源采用室内声源噪声模式并换算成等效的室外声源：</w:t>
      </w:r>
    </w:p>
    <w:p>
      <w:pPr>
        <w:ind w:firstLine="480"/>
        <w:rPr>
          <w:color w:val="auto"/>
        </w:rPr>
      </w:pPr>
      <w:r>
        <w:rPr>
          <w:color w:val="auto"/>
        </w:rPr>
        <w:drawing>
          <wp:inline distT="0" distB="0" distL="0" distR="0">
            <wp:extent cx="1593850" cy="387350"/>
            <wp:effectExtent l="0" t="0" r="63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593850" cy="387350"/>
                    </a:xfrm>
                    <a:prstGeom prst="rect">
                      <a:avLst/>
                    </a:prstGeom>
                    <a:noFill/>
                    <a:ln>
                      <a:noFill/>
                    </a:ln>
                  </pic:spPr>
                </pic:pic>
              </a:graphicData>
            </a:graphic>
          </wp:inline>
        </w:drawing>
      </w:r>
    </w:p>
    <w:p>
      <w:pPr>
        <w:ind w:firstLine="480"/>
        <w:rPr>
          <w:color w:val="auto"/>
        </w:rPr>
      </w:pPr>
      <w:r>
        <w:rPr>
          <w:color w:val="auto"/>
        </w:rPr>
        <w:drawing>
          <wp:inline distT="0" distB="0" distL="0" distR="0">
            <wp:extent cx="1638300" cy="2286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638300" cy="228600"/>
                    </a:xfrm>
                    <a:prstGeom prst="rect">
                      <a:avLst/>
                    </a:prstGeom>
                    <a:noFill/>
                    <a:ln>
                      <a:noFill/>
                    </a:ln>
                  </pic:spPr>
                </pic:pic>
              </a:graphicData>
            </a:graphic>
          </wp:inline>
        </w:drawing>
      </w:r>
    </w:p>
    <w:p>
      <w:pPr>
        <w:ind w:firstLine="480"/>
        <w:rPr>
          <w:color w:val="auto"/>
        </w:rPr>
      </w:pPr>
      <w:r>
        <w:rPr>
          <w:color w:val="auto"/>
        </w:rPr>
        <w:t>式中：L</w:t>
      </w:r>
      <w:r>
        <w:rPr>
          <w:color w:val="auto"/>
          <w:vertAlign w:val="subscript"/>
        </w:rPr>
        <w:t>n</w:t>
      </w:r>
      <w:r>
        <w:rPr>
          <w:i/>
          <w:iCs/>
          <w:color w:val="auto"/>
        </w:rPr>
        <w:t>——</w:t>
      </w:r>
      <w:r>
        <w:rPr>
          <w:color w:val="auto"/>
        </w:rPr>
        <w:t>室内靠近围护结构处产生的声压级，dB；</w:t>
      </w:r>
    </w:p>
    <w:p>
      <w:pPr>
        <w:ind w:firstLine="480"/>
        <w:rPr>
          <w:color w:val="auto"/>
        </w:rPr>
      </w:pPr>
      <w:r>
        <w:rPr>
          <w:color w:val="auto"/>
        </w:rPr>
        <w:t>L</w:t>
      </w:r>
      <w:r>
        <w:rPr>
          <w:color w:val="auto"/>
          <w:vertAlign w:val="subscript"/>
        </w:rPr>
        <w:t>W</w:t>
      </w:r>
      <w:r>
        <w:rPr>
          <w:i/>
          <w:iCs/>
          <w:color w:val="auto"/>
        </w:rPr>
        <w:t>——</w:t>
      </w:r>
      <w:r>
        <w:rPr>
          <w:color w:val="auto"/>
        </w:rPr>
        <w:t>室外靠近围护结构处产生的声压级，dB；</w:t>
      </w:r>
    </w:p>
    <w:p>
      <w:pPr>
        <w:ind w:firstLine="480"/>
        <w:rPr>
          <w:color w:val="auto"/>
        </w:rPr>
      </w:pPr>
      <w:r>
        <w:rPr>
          <w:color w:val="auto"/>
        </w:rPr>
        <w:t>L</w:t>
      </w:r>
      <w:r>
        <w:rPr>
          <w:color w:val="auto"/>
          <w:vertAlign w:val="subscript"/>
        </w:rPr>
        <w:t>e</w:t>
      </w:r>
      <w:r>
        <w:rPr>
          <w:i/>
          <w:iCs/>
          <w:color w:val="auto"/>
        </w:rPr>
        <w:t>——</w:t>
      </w:r>
      <w:r>
        <w:rPr>
          <w:color w:val="auto"/>
        </w:rPr>
        <w:t>声源的声压级，dB；</w:t>
      </w:r>
    </w:p>
    <w:p>
      <w:pPr>
        <w:ind w:firstLine="480"/>
        <w:rPr>
          <w:color w:val="auto"/>
        </w:rPr>
      </w:pPr>
      <w:r>
        <w:rPr>
          <w:color w:val="auto"/>
        </w:rPr>
        <w:t>r</w:t>
      </w:r>
      <w:r>
        <w:rPr>
          <w:i/>
          <w:iCs/>
          <w:color w:val="auto"/>
        </w:rPr>
        <w:t>——</w:t>
      </w:r>
      <w:r>
        <w:rPr>
          <w:color w:val="auto"/>
        </w:rPr>
        <w:t>声源与室内靠近围护结构处的距离，m；</w:t>
      </w:r>
    </w:p>
    <w:p>
      <w:pPr>
        <w:ind w:firstLine="480"/>
        <w:rPr>
          <w:color w:val="auto"/>
        </w:rPr>
      </w:pPr>
      <w:r>
        <w:rPr>
          <w:color w:val="auto"/>
        </w:rPr>
        <w:t>R</w:t>
      </w:r>
      <w:r>
        <w:rPr>
          <w:i/>
          <w:iCs/>
          <w:color w:val="auto"/>
        </w:rPr>
        <w:t>——</w:t>
      </w:r>
      <w:r>
        <w:rPr>
          <w:color w:val="auto"/>
        </w:rPr>
        <w:t>房间常数，m</w:t>
      </w:r>
      <w:r>
        <w:rPr>
          <w:color w:val="auto"/>
          <w:vertAlign w:val="superscript"/>
        </w:rPr>
        <w:t>2</w:t>
      </w:r>
      <w:r>
        <w:rPr>
          <w:color w:val="auto"/>
        </w:rPr>
        <w:t>；</w:t>
      </w:r>
    </w:p>
    <w:p>
      <w:pPr>
        <w:ind w:firstLine="480"/>
        <w:rPr>
          <w:color w:val="auto"/>
        </w:rPr>
      </w:pPr>
      <w:r>
        <w:rPr>
          <w:color w:val="auto"/>
        </w:rPr>
        <w:t>Q</w:t>
      </w:r>
      <w:r>
        <w:rPr>
          <w:i/>
          <w:iCs/>
          <w:color w:val="auto"/>
        </w:rPr>
        <w:t>——</w:t>
      </w:r>
      <w:r>
        <w:rPr>
          <w:color w:val="auto"/>
        </w:rPr>
        <w:t>方向性因子；</w:t>
      </w:r>
    </w:p>
    <w:p>
      <w:pPr>
        <w:ind w:firstLine="480"/>
        <w:rPr>
          <w:color w:val="auto"/>
        </w:rPr>
      </w:pPr>
      <w:r>
        <w:rPr>
          <w:color w:val="auto"/>
        </w:rPr>
        <w:t>TL</w:t>
      </w:r>
      <w:r>
        <w:rPr>
          <w:i/>
          <w:iCs/>
          <w:color w:val="auto"/>
        </w:rPr>
        <w:t>——</w:t>
      </w:r>
      <w:r>
        <w:rPr>
          <w:color w:val="auto"/>
        </w:rPr>
        <w:t>围护结构的传输损失，dB；</w:t>
      </w:r>
    </w:p>
    <w:p>
      <w:pPr>
        <w:ind w:firstLine="480"/>
        <w:rPr>
          <w:color w:val="auto"/>
        </w:rPr>
      </w:pPr>
      <w:r>
        <w:rPr>
          <w:color w:val="auto"/>
        </w:rPr>
        <w:t>S</w:t>
      </w:r>
      <w:r>
        <w:rPr>
          <w:i/>
          <w:iCs/>
          <w:color w:val="auto"/>
        </w:rPr>
        <w:t>——</w:t>
      </w:r>
      <w:r>
        <w:rPr>
          <w:color w:val="auto"/>
        </w:rPr>
        <w:t>透声面积，m</w:t>
      </w:r>
      <w:r>
        <w:rPr>
          <w:color w:val="auto"/>
          <w:vertAlign w:val="superscript"/>
        </w:rPr>
        <w:t>2</w:t>
      </w:r>
    </w:p>
    <w:p>
      <w:pPr>
        <w:ind w:firstLine="480"/>
        <w:rPr>
          <w:color w:val="auto"/>
        </w:rPr>
      </w:pPr>
      <w:r>
        <w:rPr>
          <w:color w:val="auto"/>
        </w:rPr>
        <w:t>3、对两个以上多个声源同时存在时，其预测点总声压级采用下面公式：</w:t>
      </w:r>
    </w:p>
    <w:p>
      <w:pPr>
        <w:ind w:firstLine="480"/>
        <w:rPr>
          <w:color w:val="auto"/>
        </w:rPr>
      </w:pPr>
      <w:r>
        <w:rPr>
          <w:color w:val="auto"/>
        </w:rPr>
        <w:t>Leq=10log(</w:t>
      </w:r>
      <w:r>
        <w:rPr>
          <w:color w:val="auto"/>
        </w:rPr>
        <w:sym w:font="Symbol" w:char="F0E5"/>
      </w:r>
      <w:r>
        <w:rPr>
          <w:color w:val="auto"/>
        </w:rPr>
        <w:t>10</w:t>
      </w:r>
      <w:r>
        <w:rPr>
          <w:color w:val="auto"/>
          <w:vertAlign w:val="superscript"/>
        </w:rPr>
        <w:t>0.1Li</w:t>
      </w:r>
      <w:r>
        <w:rPr>
          <w:color w:val="auto"/>
        </w:rPr>
        <w:t>)</w:t>
      </w:r>
    </w:p>
    <w:p>
      <w:pPr>
        <w:ind w:firstLine="480"/>
        <w:rPr>
          <w:color w:val="auto"/>
        </w:rPr>
      </w:pPr>
      <w:r>
        <w:rPr>
          <w:color w:val="auto"/>
        </w:rPr>
        <w:t>式中：Leq-----预测点的总等效声级，dB(A)；</w:t>
      </w:r>
    </w:p>
    <w:p>
      <w:pPr>
        <w:ind w:firstLine="480"/>
        <w:rPr>
          <w:color w:val="auto"/>
        </w:rPr>
      </w:pPr>
      <w:r>
        <w:rPr>
          <w:color w:val="auto"/>
        </w:rPr>
        <w:t xml:space="preserve">      Li-----第i个声源对预测点的声级影响，dB(A)。</w:t>
      </w:r>
    </w:p>
    <w:p>
      <w:pPr>
        <w:pStyle w:val="7"/>
        <w:rPr>
          <w:color w:val="auto"/>
        </w:rPr>
      </w:pPr>
      <w:r>
        <w:rPr>
          <w:rFonts w:hint="eastAsia"/>
          <w:color w:val="auto"/>
        </w:rPr>
        <w:t>5</w:t>
      </w:r>
      <w:r>
        <w:rPr>
          <w:color w:val="auto"/>
        </w:rPr>
        <w:t>.5.3评价标准和评价量</w:t>
      </w:r>
    </w:p>
    <w:p>
      <w:pPr>
        <w:ind w:firstLine="480"/>
        <w:rPr>
          <w:color w:val="auto"/>
        </w:rPr>
      </w:pPr>
      <w:r>
        <w:rPr>
          <w:bCs/>
          <w:color w:val="auto"/>
        </w:rPr>
        <w:t>项目</w:t>
      </w:r>
      <w:r>
        <w:rPr>
          <w:rFonts w:hint="eastAsia"/>
          <w:bCs/>
          <w:color w:val="auto"/>
        </w:rPr>
        <w:t>东、西、北</w:t>
      </w:r>
      <w:r>
        <w:rPr>
          <w:bCs/>
          <w:color w:val="auto"/>
        </w:rPr>
        <w:t>厂界噪声执行《工业企业厂界环境噪声排放标准》（GB12348-2008）中</w:t>
      </w:r>
      <w:r>
        <w:rPr>
          <w:rFonts w:hint="eastAsia"/>
          <w:bCs/>
          <w:color w:val="auto"/>
        </w:rPr>
        <w:t>3</w:t>
      </w:r>
      <w:r>
        <w:rPr>
          <w:bCs/>
          <w:color w:val="auto"/>
        </w:rPr>
        <w:t>类标准要求，即昼间6</w:t>
      </w:r>
      <w:r>
        <w:rPr>
          <w:rFonts w:hint="eastAsia"/>
          <w:bCs/>
          <w:color w:val="auto"/>
        </w:rPr>
        <w:t>5</w:t>
      </w:r>
      <w:r>
        <w:rPr>
          <w:bCs/>
          <w:color w:val="auto"/>
        </w:rPr>
        <w:t>dB（A），夜间5</w:t>
      </w:r>
      <w:r>
        <w:rPr>
          <w:rFonts w:hint="eastAsia"/>
          <w:bCs/>
          <w:color w:val="auto"/>
        </w:rPr>
        <w:t>5</w:t>
      </w:r>
      <w:r>
        <w:rPr>
          <w:bCs/>
          <w:color w:val="auto"/>
        </w:rPr>
        <w:t>dB（A）</w:t>
      </w:r>
      <w:r>
        <w:rPr>
          <w:rFonts w:hint="eastAsia"/>
          <w:bCs/>
          <w:color w:val="auto"/>
        </w:rPr>
        <w:t>，南</w:t>
      </w:r>
      <w:r>
        <w:rPr>
          <w:bCs/>
          <w:color w:val="auto"/>
        </w:rPr>
        <w:t>厂界噪声执行《工业企业厂界环境噪声排放标准》（GB12348-2008）中</w:t>
      </w:r>
      <w:r>
        <w:rPr>
          <w:rFonts w:hint="eastAsia"/>
          <w:bCs/>
          <w:color w:val="auto"/>
        </w:rPr>
        <w:t>4a</w:t>
      </w:r>
      <w:r>
        <w:rPr>
          <w:bCs/>
          <w:color w:val="auto"/>
        </w:rPr>
        <w:t>类标准要求，</w:t>
      </w:r>
      <w:r>
        <w:rPr>
          <w:rFonts w:hint="eastAsia"/>
          <w:bCs/>
          <w:color w:val="auto"/>
        </w:rPr>
        <w:t>即</w:t>
      </w:r>
      <w:r>
        <w:rPr>
          <w:bCs/>
          <w:color w:val="auto"/>
        </w:rPr>
        <w:t>昼间</w:t>
      </w:r>
      <w:r>
        <w:rPr>
          <w:rFonts w:hint="eastAsia"/>
          <w:bCs/>
          <w:color w:val="auto"/>
        </w:rPr>
        <w:t>70</w:t>
      </w:r>
      <w:r>
        <w:rPr>
          <w:bCs/>
          <w:color w:val="auto"/>
        </w:rPr>
        <w:t>dB（A），夜间5</w:t>
      </w:r>
      <w:r>
        <w:rPr>
          <w:rFonts w:hint="eastAsia"/>
          <w:bCs/>
          <w:color w:val="auto"/>
        </w:rPr>
        <w:t>5</w:t>
      </w:r>
      <w:r>
        <w:rPr>
          <w:bCs/>
          <w:color w:val="auto"/>
        </w:rPr>
        <w:t>dB（A）</w:t>
      </w:r>
      <w:r>
        <w:rPr>
          <w:rFonts w:hint="eastAsia"/>
          <w:bCs/>
          <w:color w:val="auto"/>
        </w:rPr>
        <w:t>，周边居民点声环境满足</w:t>
      </w:r>
      <w:r>
        <w:rPr>
          <w:color w:val="auto"/>
        </w:rPr>
        <w:t>《声环境质量标准》(GB3096-2008)中的2类标准要求</w:t>
      </w:r>
      <w:r>
        <w:rPr>
          <w:rFonts w:hint="eastAsia"/>
          <w:color w:val="auto"/>
        </w:rPr>
        <w:t>，</w:t>
      </w:r>
      <w:r>
        <w:rPr>
          <w:bCs/>
          <w:color w:val="auto"/>
        </w:rPr>
        <w:t>即昼间6</w:t>
      </w:r>
      <w:r>
        <w:rPr>
          <w:rFonts w:hint="eastAsia"/>
          <w:bCs/>
          <w:color w:val="auto"/>
        </w:rPr>
        <w:t>0</w:t>
      </w:r>
      <w:r>
        <w:rPr>
          <w:bCs/>
          <w:color w:val="auto"/>
        </w:rPr>
        <w:t>dB（A），夜间5</w:t>
      </w:r>
      <w:r>
        <w:rPr>
          <w:rFonts w:hint="eastAsia"/>
          <w:bCs/>
          <w:color w:val="auto"/>
        </w:rPr>
        <w:t>0</w:t>
      </w:r>
      <w:r>
        <w:rPr>
          <w:bCs/>
          <w:color w:val="auto"/>
        </w:rPr>
        <w:t>dB（A）</w:t>
      </w:r>
      <w:r>
        <w:rPr>
          <w:color w:val="auto"/>
        </w:rPr>
        <w:t>。</w:t>
      </w:r>
    </w:p>
    <w:p>
      <w:pPr>
        <w:pStyle w:val="7"/>
        <w:rPr>
          <w:color w:val="auto"/>
        </w:rPr>
      </w:pPr>
      <w:r>
        <w:rPr>
          <w:rFonts w:hint="eastAsia"/>
          <w:color w:val="auto"/>
        </w:rPr>
        <w:t>5</w:t>
      </w:r>
      <w:r>
        <w:rPr>
          <w:color w:val="auto"/>
        </w:rPr>
        <w:t>.5.4预测结果及评价</w:t>
      </w:r>
    </w:p>
    <w:p>
      <w:pPr>
        <w:ind w:firstLine="480"/>
        <w:rPr>
          <w:color w:val="auto"/>
        </w:rPr>
      </w:pPr>
      <w:r>
        <w:rPr>
          <w:color w:val="auto"/>
        </w:rPr>
        <w:t>根据《环境影响评价技术导则声环境》（HJ2.4-2021），厂界噪声选择贡献值作为评价量，敏感目标以所受的噪声贡献值与背景噪声值叠加后的预测值作为评价量。</w:t>
      </w:r>
    </w:p>
    <w:p>
      <w:pPr>
        <w:ind w:firstLine="480"/>
        <w:rPr>
          <w:color w:val="auto"/>
        </w:rPr>
      </w:pPr>
      <w:r>
        <w:rPr>
          <w:color w:val="auto"/>
        </w:rPr>
        <w:t>根据项目平面布局，利用上述噪声预测公式，本项目噪声预测结果</w:t>
      </w:r>
      <w:r>
        <w:rPr>
          <w:rFonts w:hint="eastAsia"/>
          <w:color w:val="auto"/>
        </w:rPr>
        <w:t>如下</w:t>
      </w:r>
      <w:r>
        <w:rPr>
          <w:color w:val="auto"/>
        </w:rPr>
        <w:t>。</w:t>
      </w:r>
    </w:p>
    <w:p>
      <w:pPr>
        <w:pStyle w:val="31"/>
        <w:rPr>
          <w:color w:val="auto"/>
        </w:rPr>
      </w:pPr>
      <w:r>
        <w:rPr>
          <w:color w:val="auto"/>
        </w:rPr>
        <w:t>表</w:t>
      </w:r>
      <w:r>
        <w:rPr>
          <w:rFonts w:hint="eastAsia"/>
          <w:color w:val="auto"/>
        </w:rPr>
        <w:t>5</w:t>
      </w:r>
      <w:r>
        <w:rPr>
          <w:color w:val="auto"/>
        </w:rPr>
        <w:t>.5-1  声环境影响预测结果表  单位:Leq[dB(A)]</w:t>
      </w:r>
    </w:p>
    <w:tbl>
      <w:tblPr>
        <w:tblStyle w:val="21"/>
        <w:tblW w:w="90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29"/>
        <w:gridCol w:w="810"/>
        <w:gridCol w:w="1335"/>
        <w:gridCol w:w="1335"/>
        <w:gridCol w:w="1335"/>
        <w:gridCol w:w="1335"/>
        <w:gridCol w:w="11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408" w:hRule="atLeast"/>
          <w:jc w:val="center"/>
        </w:trPr>
        <w:tc>
          <w:tcPr>
            <w:tcW w:w="1729" w:type="dxa"/>
            <w:vAlign w:val="center"/>
          </w:tcPr>
          <w:p>
            <w:pPr>
              <w:pStyle w:val="30"/>
              <w:rPr>
                <w:b/>
                <w:bCs/>
                <w:color w:val="auto"/>
              </w:rPr>
            </w:pPr>
            <w:r>
              <w:rPr>
                <w:rFonts w:hint="eastAsia"/>
                <w:b/>
                <w:bCs/>
                <w:color w:val="auto"/>
              </w:rPr>
              <w:t>预测点</w:t>
            </w:r>
          </w:p>
        </w:tc>
        <w:tc>
          <w:tcPr>
            <w:tcW w:w="810" w:type="dxa"/>
            <w:vAlign w:val="center"/>
          </w:tcPr>
          <w:p>
            <w:pPr>
              <w:pStyle w:val="30"/>
              <w:rPr>
                <w:b/>
                <w:bCs/>
                <w:color w:val="auto"/>
              </w:rPr>
            </w:pPr>
            <w:r>
              <w:rPr>
                <w:rFonts w:hint="eastAsia"/>
                <w:b/>
                <w:bCs/>
                <w:color w:val="auto"/>
              </w:rPr>
              <w:t>时间</w:t>
            </w:r>
          </w:p>
        </w:tc>
        <w:tc>
          <w:tcPr>
            <w:tcW w:w="1335" w:type="dxa"/>
            <w:vAlign w:val="center"/>
          </w:tcPr>
          <w:p>
            <w:pPr>
              <w:pStyle w:val="30"/>
              <w:rPr>
                <w:b/>
                <w:bCs/>
                <w:color w:val="auto"/>
              </w:rPr>
            </w:pPr>
            <w:r>
              <w:rPr>
                <w:rFonts w:hint="eastAsia"/>
                <w:b/>
                <w:bCs/>
                <w:color w:val="auto"/>
              </w:rPr>
              <w:t>贡献值</w:t>
            </w:r>
          </w:p>
        </w:tc>
        <w:tc>
          <w:tcPr>
            <w:tcW w:w="1335" w:type="dxa"/>
            <w:vAlign w:val="center"/>
          </w:tcPr>
          <w:p>
            <w:pPr>
              <w:pStyle w:val="30"/>
              <w:rPr>
                <w:b/>
                <w:bCs/>
                <w:color w:val="auto"/>
              </w:rPr>
            </w:pPr>
            <w:r>
              <w:rPr>
                <w:rFonts w:hint="eastAsia"/>
                <w:b/>
                <w:bCs/>
                <w:color w:val="auto"/>
              </w:rPr>
              <w:t>背景值</w:t>
            </w:r>
          </w:p>
        </w:tc>
        <w:tc>
          <w:tcPr>
            <w:tcW w:w="1335" w:type="dxa"/>
            <w:vAlign w:val="center"/>
          </w:tcPr>
          <w:p>
            <w:pPr>
              <w:pStyle w:val="30"/>
              <w:rPr>
                <w:b/>
                <w:bCs/>
                <w:color w:val="auto"/>
              </w:rPr>
            </w:pPr>
            <w:r>
              <w:rPr>
                <w:rFonts w:hint="eastAsia"/>
                <w:b/>
                <w:bCs/>
                <w:color w:val="auto"/>
              </w:rPr>
              <w:t>预测值</w:t>
            </w:r>
          </w:p>
        </w:tc>
        <w:tc>
          <w:tcPr>
            <w:tcW w:w="1335" w:type="dxa"/>
            <w:vAlign w:val="center"/>
          </w:tcPr>
          <w:p>
            <w:pPr>
              <w:pStyle w:val="30"/>
              <w:rPr>
                <w:b/>
                <w:bCs/>
                <w:color w:val="auto"/>
              </w:rPr>
            </w:pPr>
            <w:r>
              <w:rPr>
                <w:rFonts w:hint="eastAsia"/>
                <w:b/>
                <w:bCs/>
                <w:color w:val="auto"/>
              </w:rPr>
              <w:t>标准值</w:t>
            </w:r>
          </w:p>
        </w:tc>
        <w:tc>
          <w:tcPr>
            <w:tcW w:w="1125" w:type="dxa"/>
            <w:vAlign w:val="center"/>
          </w:tcPr>
          <w:p>
            <w:pPr>
              <w:pStyle w:val="30"/>
              <w:rPr>
                <w:b/>
                <w:bCs/>
                <w:color w:val="auto"/>
              </w:rPr>
            </w:pPr>
            <w:r>
              <w:rPr>
                <w:rFonts w:hint="eastAsia"/>
                <w:b/>
                <w:bCs/>
                <w:color w:val="auto"/>
              </w:rPr>
              <w:t>是否达标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729" w:type="dxa"/>
            <w:vAlign w:val="center"/>
          </w:tcPr>
          <w:p>
            <w:pPr>
              <w:pStyle w:val="30"/>
              <w:rPr>
                <w:color w:val="auto"/>
              </w:rPr>
            </w:pPr>
            <w:r>
              <w:rPr>
                <w:color w:val="auto"/>
              </w:rPr>
              <w:t>东厂界</w:t>
            </w:r>
          </w:p>
        </w:tc>
        <w:tc>
          <w:tcPr>
            <w:tcW w:w="810" w:type="dxa"/>
            <w:vAlign w:val="center"/>
          </w:tcPr>
          <w:p>
            <w:pPr>
              <w:pStyle w:val="30"/>
              <w:rPr>
                <w:color w:val="auto"/>
              </w:rPr>
            </w:pPr>
            <w:r>
              <w:rPr>
                <w:rFonts w:hint="eastAsia"/>
                <w:color w:val="auto"/>
              </w:rPr>
              <w:t>昼间</w:t>
            </w:r>
          </w:p>
        </w:tc>
        <w:tc>
          <w:tcPr>
            <w:tcW w:w="1335" w:type="dxa"/>
            <w:vAlign w:val="center"/>
          </w:tcPr>
          <w:p>
            <w:pPr>
              <w:pStyle w:val="30"/>
              <w:rPr>
                <w:color w:val="auto"/>
              </w:rPr>
            </w:pPr>
            <w:r>
              <w:rPr>
                <w:rFonts w:hint="eastAsia"/>
                <w:color w:val="auto"/>
              </w:rPr>
              <w:t>5</w:t>
            </w:r>
            <w:r>
              <w:rPr>
                <w:color w:val="auto"/>
              </w:rPr>
              <w:t>6</w:t>
            </w:r>
          </w:p>
        </w:tc>
        <w:tc>
          <w:tcPr>
            <w:tcW w:w="1335" w:type="dxa"/>
            <w:vAlign w:val="center"/>
          </w:tcPr>
          <w:p>
            <w:pPr>
              <w:pStyle w:val="30"/>
              <w:rPr>
                <w:color w:val="auto"/>
              </w:rPr>
            </w:pPr>
            <w:r>
              <w:rPr>
                <w:rFonts w:hint="eastAsia" w:ascii="宋体" w:hAnsi="宋体"/>
                <w:color w:val="auto"/>
                <w:szCs w:val="21"/>
              </w:rPr>
              <w:t>59</w:t>
            </w:r>
          </w:p>
        </w:tc>
        <w:tc>
          <w:tcPr>
            <w:tcW w:w="1335" w:type="dxa"/>
            <w:vAlign w:val="center"/>
          </w:tcPr>
          <w:p>
            <w:pPr>
              <w:pStyle w:val="30"/>
              <w:rPr>
                <w:color w:val="auto"/>
              </w:rPr>
            </w:pPr>
            <w:r>
              <w:rPr>
                <w:color w:val="auto"/>
              </w:rPr>
              <w:t>60</w:t>
            </w:r>
          </w:p>
        </w:tc>
        <w:tc>
          <w:tcPr>
            <w:tcW w:w="1335" w:type="dxa"/>
            <w:vAlign w:val="center"/>
          </w:tcPr>
          <w:p>
            <w:pPr>
              <w:pStyle w:val="30"/>
              <w:rPr>
                <w:color w:val="auto"/>
              </w:rPr>
            </w:pPr>
            <w:r>
              <w:rPr>
                <w:color w:val="auto"/>
              </w:rPr>
              <w:t>65</w:t>
            </w:r>
          </w:p>
        </w:tc>
        <w:tc>
          <w:tcPr>
            <w:tcW w:w="1125" w:type="dxa"/>
            <w:vAlign w:val="center"/>
          </w:tcPr>
          <w:p>
            <w:pPr>
              <w:pStyle w:val="30"/>
              <w:rPr>
                <w:color w:val="auto"/>
              </w:rPr>
            </w:pPr>
            <w:r>
              <w:rPr>
                <w:rFonts w:hint="eastAsia"/>
                <w:color w:val="auto"/>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729" w:type="dxa"/>
            <w:vAlign w:val="center"/>
          </w:tcPr>
          <w:p>
            <w:pPr>
              <w:pStyle w:val="30"/>
              <w:rPr>
                <w:color w:val="auto"/>
              </w:rPr>
            </w:pPr>
            <w:r>
              <w:rPr>
                <w:rFonts w:hint="eastAsia"/>
                <w:color w:val="auto"/>
              </w:rPr>
              <w:t>南</w:t>
            </w:r>
            <w:r>
              <w:rPr>
                <w:color w:val="auto"/>
              </w:rPr>
              <w:t>厂界</w:t>
            </w:r>
          </w:p>
        </w:tc>
        <w:tc>
          <w:tcPr>
            <w:tcW w:w="810" w:type="dxa"/>
            <w:vAlign w:val="center"/>
          </w:tcPr>
          <w:p>
            <w:pPr>
              <w:pStyle w:val="30"/>
              <w:rPr>
                <w:color w:val="auto"/>
              </w:rPr>
            </w:pPr>
            <w:r>
              <w:rPr>
                <w:rFonts w:hint="eastAsia"/>
                <w:color w:val="auto"/>
              </w:rPr>
              <w:t>昼间</w:t>
            </w:r>
          </w:p>
        </w:tc>
        <w:tc>
          <w:tcPr>
            <w:tcW w:w="1335" w:type="dxa"/>
            <w:vAlign w:val="center"/>
          </w:tcPr>
          <w:p>
            <w:pPr>
              <w:pStyle w:val="30"/>
              <w:rPr>
                <w:color w:val="auto"/>
              </w:rPr>
            </w:pPr>
            <w:r>
              <w:rPr>
                <w:rFonts w:hint="eastAsia"/>
                <w:color w:val="auto"/>
              </w:rPr>
              <w:t>5</w:t>
            </w:r>
            <w:r>
              <w:rPr>
                <w:color w:val="auto"/>
              </w:rPr>
              <w:t>4</w:t>
            </w:r>
          </w:p>
        </w:tc>
        <w:tc>
          <w:tcPr>
            <w:tcW w:w="1335" w:type="dxa"/>
            <w:vAlign w:val="center"/>
          </w:tcPr>
          <w:p>
            <w:pPr>
              <w:pStyle w:val="30"/>
              <w:rPr>
                <w:color w:val="auto"/>
              </w:rPr>
            </w:pPr>
            <w:r>
              <w:rPr>
                <w:rFonts w:hint="eastAsia" w:ascii="宋体" w:hAnsi="宋体"/>
                <w:color w:val="auto"/>
                <w:szCs w:val="21"/>
              </w:rPr>
              <w:t>61</w:t>
            </w:r>
          </w:p>
        </w:tc>
        <w:tc>
          <w:tcPr>
            <w:tcW w:w="1335" w:type="dxa"/>
            <w:vAlign w:val="center"/>
          </w:tcPr>
          <w:p>
            <w:pPr>
              <w:pStyle w:val="30"/>
              <w:rPr>
                <w:color w:val="auto"/>
              </w:rPr>
            </w:pPr>
            <w:r>
              <w:rPr>
                <w:rFonts w:hint="eastAsia"/>
                <w:color w:val="auto"/>
              </w:rPr>
              <w:t>6</w:t>
            </w:r>
            <w:r>
              <w:rPr>
                <w:color w:val="auto"/>
              </w:rPr>
              <w:t>2</w:t>
            </w:r>
          </w:p>
        </w:tc>
        <w:tc>
          <w:tcPr>
            <w:tcW w:w="1335" w:type="dxa"/>
            <w:vAlign w:val="center"/>
          </w:tcPr>
          <w:p>
            <w:pPr>
              <w:pStyle w:val="30"/>
              <w:rPr>
                <w:rFonts w:hint="default" w:eastAsia="宋体"/>
                <w:color w:val="auto"/>
                <w:lang w:val="en-US" w:eastAsia="zh-CN"/>
              </w:rPr>
            </w:pPr>
            <w:r>
              <w:rPr>
                <w:rFonts w:hint="eastAsia"/>
                <w:color w:val="auto"/>
                <w:lang w:val="en-US" w:eastAsia="zh-CN"/>
              </w:rPr>
              <w:t>65</w:t>
            </w:r>
          </w:p>
        </w:tc>
        <w:tc>
          <w:tcPr>
            <w:tcW w:w="1125" w:type="dxa"/>
            <w:vAlign w:val="center"/>
          </w:tcPr>
          <w:p>
            <w:pPr>
              <w:pStyle w:val="30"/>
              <w:rPr>
                <w:color w:val="auto"/>
              </w:rPr>
            </w:pPr>
            <w:r>
              <w:rPr>
                <w:rFonts w:hint="eastAsia"/>
                <w:color w:val="auto"/>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729" w:type="dxa"/>
            <w:vAlign w:val="center"/>
          </w:tcPr>
          <w:p>
            <w:pPr>
              <w:pStyle w:val="30"/>
              <w:rPr>
                <w:color w:val="auto"/>
              </w:rPr>
            </w:pPr>
            <w:r>
              <w:rPr>
                <w:rFonts w:hint="eastAsia"/>
                <w:color w:val="auto"/>
              </w:rPr>
              <w:t>西</w:t>
            </w:r>
            <w:r>
              <w:rPr>
                <w:color w:val="auto"/>
              </w:rPr>
              <w:t>厂界</w:t>
            </w:r>
          </w:p>
        </w:tc>
        <w:tc>
          <w:tcPr>
            <w:tcW w:w="810" w:type="dxa"/>
            <w:vAlign w:val="center"/>
          </w:tcPr>
          <w:p>
            <w:pPr>
              <w:pStyle w:val="30"/>
              <w:rPr>
                <w:color w:val="auto"/>
              </w:rPr>
            </w:pPr>
            <w:r>
              <w:rPr>
                <w:rFonts w:hint="eastAsia"/>
                <w:color w:val="auto"/>
              </w:rPr>
              <w:t>昼间</w:t>
            </w:r>
          </w:p>
        </w:tc>
        <w:tc>
          <w:tcPr>
            <w:tcW w:w="1335" w:type="dxa"/>
            <w:vAlign w:val="center"/>
          </w:tcPr>
          <w:p>
            <w:pPr>
              <w:pStyle w:val="30"/>
              <w:rPr>
                <w:color w:val="auto"/>
              </w:rPr>
            </w:pPr>
            <w:r>
              <w:rPr>
                <w:rFonts w:hint="eastAsia"/>
                <w:color w:val="auto"/>
              </w:rPr>
              <w:t>5</w:t>
            </w:r>
            <w:r>
              <w:rPr>
                <w:color w:val="auto"/>
              </w:rPr>
              <w:t>3</w:t>
            </w:r>
          </w:p>
        </w:tc>
        <w:tc>
          <w:tcPr>
            <w:tcW w:w="1335" w:type="dxa"/>
            <w:vAlign w:val="center"/>
          </w:tcPr>
          <w:p>
            <w:pPr>
              <w:pStyle w:val="30"/>
              <w:rPr>
                <w:color w:val="auto"/>
              </w:rPr>
            </w:pPr>
            <w:r>
              <w:rPr>
                <w:rFonts w:hint="eastAsia" w:ascii="宋体" w:hAnsi="宋体"/>
                <w:color w:val="auto"/>
                <w:szCs w:val="21"/>
              </w:rPr>
              <w:t>56</w:t>
            </w:r>
          </w:p>
        </w:tc>
        <w:tc>
          <w:tcPr>
            <w:tcW w:w="1335" w:type="dxa"/>
            <w:vAlign w:val="center"/>
          </w:tcPr>
          <w:p>
            <w:pPr>
              <w:pStyle w:val="30"/>
              <w:rPr>
                <w:color w:val="auto"/>
              </w:rPr>
            </w:pPr>
            <w:r>
              <w:rPr>
                <w:rFonts w:hint="eastAsia"/>
                <w:color w:val="auto"/>
              </w:rPr>
              <w:t>5</w:t>
            </w:r>
            <w:r>
              <w:rPr>
                <w:color w:val="auto"/>
              </w:rPr>
              <w:t>8</w:t>
            </w:r>
          </w:p>
        </w:tc>
        <w:tc>
          <w:tcPr>
            <w:tcW w:w="1335" w:type="dxa"/>
            <w:vAlign w:val="center"/>
          </w:tcPr>
          <w:p>
            <w:pPr>
              <w:pStyle w:val="30"/>
              <w:rPr>
                <w:color w:val="auto"/>
              </w:rPr>
            </w:pPr>
            <w:r>
              <w:rPr>
                <w:color w:val="auto"/>
              </w:rPr>
              <w:t>65</w:t>
            </w:r>
          </w:p>
        </w:tc>
        <w:tc>
          <w:tcPr>
            <w:tcW w:w="1125" w:type="dxa"/>
            <w:vAlign w:val="center"/>
          </w:tcPr>
          <w:p>
            <w:pPr>
              <w:pStyle w:val="30"/>
              <w:rPr>
                <w:color w:val="auto"/>
              </w:rPr>
            </w:pPr>
            <w:r>
              <w:rPr>
                <w:rFonts w:hint="eastAsia"/>
                <w:color w:val="auto"/>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729" w:type="dxa"/>
            <w:vAlign w:val="center"/>
          </w:tcPr>
          <w:p>
            <w:pPr>
              <w:pStyle w:val="30"/>
              <w:rPr>
                <w:color w:val="auto"/>
              </w:rPr>
            </w:pPr>
            <w:r>
              <w:rPr>
                <w:rFonts w:hint="eastAsia"/>
                <w:color w:val="auto"/>
              </w:rPr>
              <w:t>北厂界</w:t>
            </w:r>
          </w:p>
        </w:tc>
        <w:tc>
          <w:tcPr>
            <w:tcW w:w="810" w:type="dxa"/>
            <w:vAlign w:val="center"/>
          </w:tcPr>
          <w:p>
            <w:pPr>
              <w:pStyle w:val="30"/>
              <w:rPr>
                <w:color w:val="auto"/>
              </w:rPr>
            </w:pPr>
            <w:r>
              <w:rPr>
                <w:rFonts w:hint="eastAsia"/>
                <w:color w:val="auto"/>
              </w:rPr>
              <w:t>昼间</w:t>
            </w:r>
          </w:p>
        </w:tc>
        <w:tc>
          <w:tcPr>
            <w:tcW w:w="1335" w:type="dxa"/>
            <w:vAlign w:val="center"/>
          </w:tcPr>
          <w:p>
            <w:pPr>
              <w:pStyle w:val="30"/>
              <w:rPr>
                <w:color w:val="auto"/>
              </w:rPr>
            </w:pPr>
            <w:r>
              <w:rPr>
                <w:rFonts w:hint="eastAsia"/>
                <w:color w:val="auto"/>
              </w:rPr>
              <w:t>5</w:t>
            </w:r>
            <w:r>
              <w:rPr>
                <w:color w:val="auto"/>
              </w:rPr>
              <w:t>1</w:t>
            </w:r>
          </w:p>
        </w:tc>
        <w:tc>
          <w:tcPr>
            <w:tcW w:w="1335" w:type="dxa"/>
            <w:vAlign w:val="center"/>
          </w:tcPr>
          <w:p>
            <w:pPr>
              <w:pStyle w:val="30"/>
              <w:rPr>
                <w:color w:val="auto"/>
              </w:rPr>
            </w:pPr>
            <w:r>
              <w:rPr>
                <w:rFonts w:hint="eastAsia" w:ascii="宋体" w:hAnsi="宋体"/>
                <w:color w:val="auto"/>
                <w:szCs w:val="21"/>
              </w:rPr>
              <w:t>58</w:t>
            </w:r>
          </w:p>
        </w:tc>
        <w:tc>
          <w:tcPr>
            <w:tcW w:w="1335" w:type="dxa"/>
            <w:vAlign w:val="center"/>
          </w:tcPr>
          <w:p>
            <w:pPr>
              <w:pStyle w:val="30"/>
              <w:rPr>
                <w:color w:val="auto"/>
              </w:rPr>
            </w:pPr>
            <w:r>
              <w:rPr>
                <w:rFonts w:hint="eastAsia"/>
                <w:color w:val="auto"/>
              </w:rPr>
              <w:t>5</w:t>
            </w:r>
            <w:r>
              <w:rPr>
                <w:color w:val="auto"/>
              </w:rPr>
              <w:t>9</w:t>
            </w:r>
          </w:p>
        </w:tc>
        <w:tc>
          <w:tcPr>
            <w:tcW w:w="1335" w:type="dxa"/>
            <w:vAlign w:val="center"/>
          </w:tcPr>
          <w:p>
            <w:pPr>
              <w:pStyle w:val="30"/>
              <w:rPr>
                <w:color w:val="auto"/>
              </w:rPr>
            </w:pPr>
            <w:r>
              <w:rPr>
                <w:color w:val="auto"/>
              </w:rPr>
              <w:t>65</w:t>
            </w:r>
          </w:p>
        </w:tc>
        <w:tc>
          <w:tcPr>
            <w:tcW w:w="1125" w:type="dxa"/>
            <w:vAlign w:val="center"/>
          </w:tcPr>
          <w:p>
            <w:pPr>
              <w:pStyle w:val="30"/>
              <w:rPr>
                <w:color w:val="auto"/>
              </w:rPr>
            </w:pPr>
            <w:r>
              <w:rPr>
                <w:rFonts w:hint="eastAsia"/>
                <w:color w:val="auto"/>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1729" w:type="dxa"/>
            <w:vAlign w:val="center"/>
          </w:tcPr>
          <w:p>
            <w:pPr>
              <w:pStyle w:val="30"/>
              <w:rPr>
                <w:color w:val="auto"/>
              </w:rPr>
            </w:pPr>
            <w:r>
              <w:rPr>
                <w:rFonts w:hint="eastAsia"/>
                <w:color w:val="auto"/>
              </w:rPr>
              <w:t>107国道沿线居民点</w:t>
            </w:r>
          </w:p>
        </w:tc>
        <w:tc>
          <w:tcPr>
            <w:tcW w:w="810" w:type="dxa"/>
            <w:vAlign w:val="center"/>
          </w:tcPr>
          <w:p>
            <w:pPr>
              <w:pStyle w:val="30"/>
              <w:rPr>
                <w:color w:val="auto"/>
              </w:rPr>
            </w:pPr>
            <w:r>
              <w:rPr>
                <w:rFonts w:hint="eastAsia"/>
                <w:color w:val="auto"/>
              </w:rPr>
              <w:t>昼间</w:t>
            </w:r>
          </w:p>
        </w:tc>
        <w:tc>
          <w:tcPr>
            <w:tcW w:w="1335" w:type="dxa"/>
            <w:vAlign w:val="center"/>
          </w:tcPr>
          <w:p>
            <w:pPr>
              <w:pStyle w:val="30"/>
              <w:rPr>
                <w:color w:val="auto"/>
              </w:rPr>
            </w:pPr>
            <w:r>
              <w:rPr>
                <w:color w:val="auto"/>
              </w:rPr>
              <w:t>50</w:t>
            </w:r>
          </w:p>
        </w:tc>
        <w:tc>
          <w:tcPr>
            <w:tcW w:w="1335" w:type="dxa"/>
            <w:vAlign w:val="center"/>
          </w:tcPr>
          <w:p>
            <w:pPr>
              <w:pStyle w:val="30"/>
              <w:rPr>
                <w:color w:val="auto"/>
              </w:rPr>
            </w:pPr>
            <w:r>
              <w:rPr>
                <w:rFonts w:hint="eastAsia" w:ascii="宋体" w:hAnsi="宋体"/>
                <w:color w:val="auto"/>
                <w:szCs w:val="21"/>
              </w:rPr>
              <w:t>59</w:t>
            </w:r>
          </w:p>
        </w:tc>
        <w:tc>
          <w:tcPr>
            <w:tcW w:w="1335" w:type="dxa"/>
            <w:vAlign w:val="center"/>
          </w:tcPr>
          <w:p>
            <w:pPr>
              <w:pStyle w:val="30"/>
              <w:rPr>
                <w:color w:val="auto"/>
              </w:rPr>
            </w:pPr>
            <w:r>
              <w:rPr>
                <w:rFonts w:hint="eastAsia"/>
                <w:color w:val="auto"/>
              </w:rPr>
              <w:t>5</w:t>
            </w:r>
            <w:r>
              <w:rPr>
                <w:color w:val="auto"/>
              </w:rPr>
              <w:t>5</w:t>
            </w:r>
          </w:p>
        </w:tc>
        <w:tc>
          <w:tcPr>
            <w:tcW w:w="1335" w:type="dxa"/>
            <w:vAlign w:val="center"/>
          </w:tcPr>
          <w:p>
            <w:pPr>
              <w:pStyle w:val="30"/>
              <w:rPr>
                <w:color w:val="auto"/>
              </w:rPr>
            </w:pPr>
            <w:r>
              <w:rPr>
                <w:rFonts w:hint="eastAsia"/>
                <w:color w:val="auto"/>
              </w:rPr>
              <w:t>60</w:t>
            </w:r>
          </w:p>
        </w:tc>
        <w:tc>
          <w:tcPr>
            <w:tcW w:w="1125" w:type="dxa"/>
            <w:vAlign w:val="center"/>
          </w:tcPr>
          <w:p>
            <w:pPr>
              <w:pStyle w:val="30"/>
              <w:rPr>
                <w:color w:val="auto"/>
              </w:rPr>
            </w:pPr>
            <w:r>
              <w:rPr>
                <w:rFonts w:hint="eastAsia"/>
                <w:color w:val="auto"/>
              </w:rPr>
              <w:t>是</w:t>
            </w:r>
          </w:p>
        </w:tc>
      </w:tr>
    </w:tbl>
    <w:p>
      <w:pPr>
        <w:ind w:firstLine="480"/>
        <w:rPr>
          <w:color w:val="auto"/>
        </w:rPr>
      </w:pPr>
      <w:r>
        <w:rPr>
          <w:color w:val="auto"/>
        </w:rPr>
        <w:t>由上表的预测结果可知，建设项目正常营运时，在采取隔声、减振、消声等措施处理后，</w:t>
      </w:r>
      <w:r>
        <w:rPr>
          <w:rFonts w:hint="eastAsia"/>
          <w:bCs/>
          <w:color w:val="auto"/>
        </w:rPr>
        <w:t>东、</w:t>
      </w:r>
      <w:r>
        <w:rPr>
          <w:rFonts w:hint="eastAsia"/>
          <w:bCs/>
          <w:color w:val="auto"/>
          <w:lang w:val="en-US" w:eastAsia="zh-CN"/>
        </w:rPr>
        <w:t>南、</w:t>
      </w:r>
      <w:r>
        <w:rPr>
          <w:rFonts w:hint="eastAsia"/>
          <w:bCs/>
          <w:color w:val="auto"/>
        </w:rPr>
        <w:t>西、北</w:t>
      </w:r>
      <w:r>
        <w:rPr>
          <w:bCs/>
          <w:color w:val="auto"/>
        </w:rPr>
        <w:t>厂界噪声</w:t>
      </w:r>
      <w:r>
        <w:rPr>
          <w:rFonts w:hint="eastAsia"/>
          <w:bCs/>
          <w:color w:val="auto"/>
        </w:rPr>
        <w:t>满足</w:t>
      </w:r>
      <w:r>
        <w:rPr>
          <w:bCs/>
          <w:color w:val="auto"/>
        </w:rPr>
        <w:t>《工业企业厂界环境噪声排放标准》（GB12348-2008）中3类标准要求</w:t>
      </w:r>
      <w:r>
        <w:rPr>
          <w:rFonts w:hint="eastAsia"/>
          <w:bCs/>
          <w:color w:val="auto"/>
        </w:rPr>
        <w:t>，周边居民点声环境满足</w:t>
      </w:r>
      <w:r>
        <w:rPr>
          <w:bCs/>
          <w:color w:val="auto"/>
        </w:rPr>
        <w:t>《工业企业厂界环境噪声排放标准》（GB12348-2008）中4a类标准要求</w:t>
      </w:r>
      <w:r>
        <w:rPr>
          <w:rFonts w:hint="eastAsia"/>
          <w:color w:val="auto"/>
        </w:rPr>
        <w:t>。</w:t>
      </w:r>
      <w:r>
        <w:rPr>
          <w:color w:val="auto"/>
        </w:rPr>
        <w:t>项目建设不会对声环境产生明显不利影响。</w:t>
      </w:r>
    </w:p>
    <w:p>
      <w:pPr>
        <w:pStyle w:val="6"/>
        <w:rPr>
          <w:color w:val="auto"/>
        </w:rPr>
      </w:pPr>
      <w:bookmarkStart w:id="157" w:name="_Toc11934"/>
      <w:bookmarkStart w:id="158" w:name="_Toc19572"/>
      <w:bookmarkStart w:id="159" w:name="_Toc1712"/>
      <w:r>
        <w:rPr>
          <w:rFonts w:hint="eastAsia"/>
          <w:color w:val="auto"/>
        </w:rPr>
        <w:t>5</w:t>
      </w:r>
      <w:r>
        <w:rPr>
          <w:color w:val="auto"/>
        </w:rPr>
        <w:t>.6固体废物环境影响分析</w:t>
      </w:r>
      <w:bookmarkEnd w:id="157"/>
      <w:bookmarkEnd w:id="158"/>
      <w:bookmarkEnd w:id="159"/>
    </w:p>
    <w:p>
      <w:pPr>
        <w:pStyle w:val="7"/>
        <w:rPr>
          <w:color w:val="auto"/>
        </w:rPr>
      </w:pPr>
      <w:r>
        <w:rPr>
          <w:rFonts w:hint="eastAsia"/>
          <w:color w:val="auto"/>
        </w:rPr>
        <w:t>5</w:t>
      </w:r>
      <w:r>
        <w:rPr>
          <w:color w:val="auto"/>
        </w:rPr>
        <w:t>.</w:t>
      </w:r>
      <w:r>
        <w:rPr>
          <w:rFonts w:hint="eastAsia"/>
          <w:color w:val="auto"/>
        </w:rPr>
        <w:t>6</w:t>
      </w:r>
      <w:r>
        <w:rPr>
          <w:color w:val="auto"/>
        </w:rPr>
        <w:t>.</w:t>
      </w:r>
      <w:r>
        <w:rPr>
          <w:rFonts w:hint="eastAsia"/>
          <w:color w:val="auto"/>
        </w:rPr>
        <w:t>1固体废物产生情况及处置措施</w:t>
      </w:r>
    </w:p>
    <w:p>
      <w:pPr>
        <w:ind w:firstLine="480"/>
        <w:rPr>
          <w:color w:val="auto"/>
        </w:rPr>
      </w:pPr>
      <w:r>
        <w:rPr>
          <w:rFonts w:hint="eastAsia"/>
          <w:color w:val="auto"/>
        </w:rPr>
        <w:t>本项目</w:t>
      </w:r>
      <w:r>
        <w:rPr>
          <w:color w:val="auto"/>
        </w:rPr>
        <w:t>产生的固体废物</w:t>
      </w:r>
      <w:r>
        <w:rPr>
          <w:rFonts w:hint="eastAsia"/>
          <w:color w:val="auto"/>
        </w:rPr>
        <w:t>主要是</w:t>
      </w:r>
      <w:r>
        <w:rPr>
          <w:color w:val="auto"/>
        </w:rPr>
        <w:t>不合格成品及边角料、</w:t>
      </w:r>
      <w:r>
        <w:rPr>
          <w:rFonts w:hint="eastAsia"/>
          <w:color w:val="auto"/>
        </w:rPr>
        <w:t>回收</w:t>
      </w:r>
      <w:r>
        <w:rPr>
          <w:color w:val="auto"/>
        </w:rPr>
        <w:t>粉尘、</w:t>
      </w:r>
      <w:r>
        <w:rPr>
          <w:rFonts w:hint="eastAsia"/>
          <w:color w:val="auto"/>
        </w:rPr>
        <w:t>废包装材料、废过滤棉、</w:t>
      </w:r>
      <w:r>
        <w:rPr>
          <w:color w:val="auto"/>
        </w:rPr>
        <w:t>废活性炭、</w:t>
      </w:r>
      <w:r>
        <w:rPr>
          <w:rFonts w:hint="eastAsia"/>
          <w:color w:val="auto"/>
        </w:rPr>
        <w:t>废机油、</w:t>
      </w:r>
      <w:r>
        <w:rPr>
          <w:color w:val="auto"/>
        </w:rPr>
        <w:t>生活垃圾。</w:t>
      </w:r>
    </w:p>
    <w:p>
      <w:pPr>
        <w:ind w:firstLine="480"/>
        <w:rPr>
          <w:color w:val="auto"/>
        </w:rPr>
      </w:pPr>
      <w:r>
        <w:rPr>
          <w:color w:val="auto"/>
        </w:rPr>
        <w:t>（1）不合格成品及边角料</w:t>
      </w:r>
    </w:p>
    <w:p>
      <w:pPr>
        <w:ind w:firstLine="480"/>
        <w:rPr>
          <w:color w:val="auto"/>
        </w:rPr>
      </w:pPr>
      <w:r>
        <w:rPr>
          <w:color w:val="auto"/>
        </w:rPr>
        <w:t>项目在熔融挤出及修整切割工序会产生一定量的不合格成品及边角料。</w:t>
      </w:r>
      <w:r>
        <w:rPr>
          <w:rFonts w:hint="eastAsia"/>
          <w:color w:val="auto"/>
        </w:rPr>
        <w:t>本项目全部采用新设备，废管率较低，</w:t>
      </w:r>
      <w:r>
        <w:rPr>
          <w:color w:val="auto"/>
        </w:rPr>
        <w:t>不合格成品及边角料约占</w:t>
      </w:r>
      <w:r>
        <w:rPr>
          <w:rFonts w:hint="eastAsia"/>
          <w:color w:val="auto"/>
        </w:rPr>
        <w:t>1</w:t>
      </w:r>
      <w:r>
        <w:rPr>
          <w:color w:val="auto"/>
        </w:rPr>
        <w:t>%，本项目年产PE管</w:t>
      </w:r>
      <w:r>
        <w:rPr>
          <w:rFonts w:hint="eastAsia"/>
          <w:color w:val="auto"/>
          <w:lang w:val="en-US" w:eastAsia="zh-CN"/>
        </w:rPr>
        <w:t>3</w:t>
      </w:r>
      <w:r>
        <w:rPr>
          <w:rFonts w:hint="eastAsia"/>
          <w:color w:val="auto"/>
        </w:rPr>
        <w:t>0000</w:t>
      </w:r>
      <w:r>
        <w:rPr>
          <w:color w:val="auto"/>
        </w:rPr>
        <w:t>吨，不合格产品及边角料产生量为</w:t>
      </w:r>
      <w:r>
        <w:rPr>
          <w:rFonts w:hint="eastAsia"/>
          <w:color w:val="auto"/>
          <w:lang w:val="en-US" w:eastAsia="zh-CN"/>
        </w:rPr>
        <w:t>3</w:t>
      </w:r>
      <w:r>
        <w:rPr>
          <w:rFonts w:hint="eastAsia"/>
          <w:color w:val="auto"/>
        </w:rPr>
        <w:t>0</w:t>
      </w:r>
      <w:r>
        <w:rPr>
          <w:color w:val="auto"/>
        </w:rPr>
        <w:t>0吨，不合格产品及边角料收集后破碎</w:t>
      </w:r>
      <w:r>
        <w:rPr>
          <w:rFonts w:hint="eastAsia"/>
          <w:color w:val="auto"/>
        </w:rPr>
        <w:t>造粒</w:t>
      </w:r>
      <w:r>
        <w:rPr>
          <w:color w:val="auto"/>
        </w:rPr>
        <w:t>后作为原料回用于生产。</w:t>
      </w:r>
    </w:p>
    <w:p>
      <w:pPr>
        <w:ind w:firstLine="480"/>
        <w:rPr>
          <w:color w:val="auto"/>
        </w:rPr>
      </w:pPr>
      <w:r>
        <w:rPr>
          <w:color w:val="auto"/>
        </w:rPr>
        <w:t>（2）</w:t>
      </w:r>
      <w:r>
        <w:rPr>
          <w:rFonts w:hint="eastAsia"/>
          <w:color w:val="auto"/>
        </w:rPr>
        <w:t>回收</w:t>
      </w:r>
      <w:r>
        <w:rPr>
          <w:color w:val="auto"/>
        </w:rPr>
        <w:t>粉尘</w:t>
      </w:r>
    </w:p>
    <w:p>
      <w:pPr>
        <w:ind w:firstLine="480"/>
        <w:rPr>
          <w:color w:val="auto"/>
        </w:rPr>
      </w:pPr>
      <w:r>
        <w:rPr>
          <w:color w:val="auto"/>
        </w:rPr>
        <w:t>本项目在破碎工段</w:t>
      </w:r>
      <w:r>
        <w:rPr>
          <w:rFonts w:hint="eastAsia"/>
          <w:color w:val="auto"/>
          <w:lang w:val="en-US" w:eastAsia="zh-CN"/>
        </w:rPr>
        <w:t>产生的粉尘通过布袋除尘器处理后</w:t>
      </w:r>
      <w:r>
        <w:rPr>
          <w:color w:val="auto"/>
        </w:rPr>
        <w:t>会</w:t>
      </w:r>
      <w:r>
        <w:rPr>
          <w:rFonts w:hint="eastAsia"/>
          <w:color w:val="auto"/>
          <w:lang w:val="en-US" w:eastAsia="zh-CN"/>
        </w:rPr>
        <w:t>收集到</w:t>
      </w:r>
      <w:r>
        <w:rPr>
          <w:color w:val="auto"/>
        </w:rPr>
        <w:t>一定量的粉尘</w:t>
      </w:r>
      <w:r>
        <w:rPr>
          <w:rFonts w:hint="eastAsia"/>
          <w:color w:val="auto"/>
        </w:rPr>
        <w:t>，</w:t>
      </w:r>
      <w:r>
        <w:rPr>
          <w:color w:val="auto"/>
        </w:rPr>
        <w:t>根据计算，回收的颗粒物量约为</w:t>
      </w:r>
      <w:r>
        <w:rPr>
          <w:rFonts w:hint="eastAsia"/>
          <w:color w:val="auto"/>
          <w:lang w:val="en-US" w:eastAsia="zh-CN"/>
        </w:rPr>
        <w:t>0.0855</w:t>
      </w:r>
      <w:r>
        <w:rPr>
          <w:color w:val="auto"/>
        </w:rPr>
        <w:t>t/a，其主要成分与原材料一致，可作为原料回用于生产。</w:t>
      </w:r>
    </w:p>
    <w:p>
      <w:pPr>
        <w:ind w:firstLine="480"/>
        <w:rPr>
          <w:color w:val="auto"/>
        </w:rPr>
      </w:pPr>
      <w:r>
        <w:rPr>
          <w:rFonts w:hint="eastAsia"/>
          <w:color w:val="auto"/>
        </w:rPr>
        <w:t>（3）废包装材料</w:t>
      </w:r>
    </w:p>
    <w:p>
      <w:pPr>
        <w:ind w:firstLine="480"/>
        <w:rPr>
          <w:color w:val="auto"/>
        </w:rPr>
      </w:pPr>
      <w:r>
        <w:rPr>
          <w:color w:val="auto"/>
        </w:rPr>
        <w:t>项目运营过程中会产生废包装材料，其产生量约为</w:t>
      </w:r>
      <w:r>
        <w:rPr>
          <w:rFonts w:hint="eastAsia"/>
          <w:color w:val="auto"/>
        </w:rPr>
        <w:t>5</w:t>
      </w:r>
      <w:r>
        <w:rPr>
          <w:color w:val="auto"/>
        </w:rPr>
        <w:t>t/a，收集后外售。</w:t>
      </w:r>
    </w:p>
    <w:p>
      <w:pPr>
        <w:ind w:firstLine="480"/>
        <w:rPr>
          <w:color w:val="auto"/>
        </w:rPr>
      </w:pPr>
      <w:r>
        <w:rPr>
          <w:color w:val="auto"/>
        </w:rPr>
        <w:t>（</w:t>
      </w:r>
      <w:r>
        <w:rPr>
          <w:rFonts w:hint="eastAsia"/>
          <w:color w:val="auto"/>
        </w:rPr>
        <w:t>4</w:t>
      </w:r>
      <w:r>
        <w:rPr>
          <w:color w:val="auto"/>
        </w:rPr>
        <w:t>）废活性炭</w:t>
      </w:r>
    </w:p>
    <w:p>
      <w:pPr>
        <w:ind w:firstLine="480"/>
        <w:rPr>
          <w:color w:val="auto"/>
          <w:highlight w:val="none"/>
        </w:rPr>
      </w:pPr>
      <w:r>
        <w:rPr>
          <w:color w:val="auto"/>
          <w:highlight w:val="none"/>
        </w:rPr>
        <w:t>项目在熔融挤出工段会产生一定量的有机废气</w:t>
      </w:r>
      <w:r>
        <w:rPr>
          <w:rFonts w:hint="eastAsia"/>
          <w:color w:val="auto"/>
          <w:highlight w:val="none"/>
        </w:rPr>
        <w:t>，</w:t>
      </w:r>
      <w:r>
        <w:rPr>
          <w:color w:val="auto"/>
          <w:highlight w:val="none"/>
        </w:rPr>
        <w:t>有机废气经集气罩收集后采取</w:t>
      </w:r>
      <w:r>
        <w:rPr>
          <w:rFonts w:hint="eastAsia"/>
          <w:color w:val="auto"/>
          <w:highlight w:val="none"/>
        </w:rPr>
        <w:t>两级</w:t>
      </w:r>
      <w:r>
        <w:rPr>
          <w:color w:val="auto"/>
          <w:highlight w:val="none"/>
        </w:rPr>
        <w:t>活性炭吸附处理，</w:t>
      </w:r>
      <w:r>
        <w:rPr>
          <w:rFonts w:hint="eastAsia"/>
          <w:color w:val="auto"/>
          <w:highlight w:val="none"/>
        </w:rPr>
        <w:t>本项目活性炭吸附非甲烷总烃的量</w:t>
      </w:r>
      <w:r>
        <w:rPr>
          <w:rFonts w:hint="eastAsia"/>
          <w:color w:val="auto"/>
          <w:highlight w:val="none"/>
          <w:lang w:val="en-US" w:eastAsia="zh-CN"/>
        </w:rPr>
        <w:t>约</w:t>
      </w:r>
      <w:r>
        <w:rPr>
          <w:rFonts w:hint="eastAsia"/>
          <w:color w:val="auto"/>
          <w:highlight w:val="none"/>
        </w:rPr>
        <w:t>为</w:t>
      </w:r>
      <w:r>
        <w:rPr>
          <w:rFonts w:hint="eastAsia"/>
          <w:color w:val="auto"/>
          <w:highlight w:val="none"/>
          <w:lang w:val="en-US" w:eastAsia="zh-CN"/>
        </w:rPr>
        <w:t>3.8</w:t>
      </w:r>
      <w:r>
        <w:rPr>
          <w:rFonts w:hint="eastAsia"/>
          <w:color w:val="auto"/>
          <w:highlight w:val="none"/>
        </w:rPr>
        <w:t xml:space="preserve"> t/a</w:t>
      </w:r>
      <w:r>
        <w:rPr>
          <w:color w:val="auto"/>
          <w:highlight w:val="none"/>
        </w:rPr>
        <w:t>。根据类比，1t活性炭可吸附有机废气0.4-0.5t（本环评以0.</w:t>
      </w:r>
      <w:r>
        <w:rPr>
          <w:rFonts w:hint="eastAsia"/>
          <w:color w:val="auto"/>
          <w:highlight w:val="none"/>
          <w:lang w:val="en-US" w:eastAsia="zh-CN"/>
        </w:rPr>
        <w:t>5</w:t>
      </w:r>
      <w:r>
        <w:rPr>
          <w:color w:val="auto"/>
          <w:highlight w:val="none"/>
        </w:rPr>
        <w:t>t计）</w:t>
      </w:r>
      <w:r>
        <w:rPr>
          <w:rFonts w:hint="eastAsia"/>
          <w:color w:val="auto"/>
          <w:highlight w:val="none"/>
        </w:rPr>
        <w:t>。则需要</w:t>
      </w:r>
      <w:r>
        <w:rPr>
          <w:rFonts w:hint="eastAsia"/>
          <w:color w:val="auto"/>
          <w:highlight w:val="none"/>
          <w:lang w:val="en-US" w:eastAsia="zh-CN"/>
        </w:rPr>
        <w:t>7.6</w:t>
      </w:r>
      <w:r>
        <w:rPr>
          <w:rFonts w:hint="eastAsia"/>
          <w:color w:val="auto"/>
          <w:highlight w:val="none"/>
        </w:rPr>
        <w:t xml:space="preserve"> t活性炭，因此本项目每年废活性炭的产生量为</w:t>
      </w:r>
      <w:r>
        <w:rPr>
          <w:rFonts w:hint="eastAsia"/>
          <w:color w:val="auto"/>
          <w:highlight w:val="none"/>
          <w:lang w:val="en-US" w:eastAsia="zh-CN"/>
        </w:rPr>
        <w:t>11.4</w:t>
      </w:r>
      <w:r>
        <w:rPr>
          <w:rFonts w:hint="eastAsia"/>
          <w:color w:val="auto"/>
          <w:highlight w:val="none"/>
        </w:rPr>
        <w:t>t/a（包括吸附的有机废气），随着吸附时间增长活性炭的吸附效率会降低，为了确保活性炭的吸附效率，需定期更换活性炭。活性炭需一个月更换一次，则本项目运行过程中需12次活性炭。</w:t>
      </w:r>
      <w:r>
        <w:rPr>
          <w:color w:val="auto"/>
          <w:highlight w:val="none"/>
        </w:rPr>
        <w:t>对照《国家危险废物名录》（2021年），废活性炭分类编号为HW49，代码为900-039-49，暂存于危废暂存间，定期交由资质公司处理。</w:t>
      </w:r>
    </w:p>
    <w:p>
      <w:pPr>
        <w:ind w:firstLine="480"/>
        <w:rPr>
          <w:color w:val="auto"/>
        </w:rPr>
      </w:pPr>
      <w:r>
        <w:rPr>
          <w:color w:val="auto"/>
        </w:rPr>
        <w:t>（</w:t>
      </w:r>
      <w:r>
        <w:rPr>
          <w:rFonts w:hint="eastAsia"/>
          <w:color w:val="auto"/>
        </w:rPr>
        <w:t>5</w:t>
      </w:r>
      <w:r>
        <w:rPr>
          <w:color w:val="auto"/>
        </w:rPr>
        <w:t>）废机油</w:t>
      </w:r>
    </w:p>
    <w:p>
      <w:pPr>
        <w:ind w:firstLine="480"/>
        <w:rPr>
          <w:color w:val="auto"/>
        </w:rPr>
      </w:pPr>
      <w:r>
        <w:rPr>
          <w:color w:val="auto"/>
        </w:rPr>
        <w:t>本项目在设备使用和维修过程中会产生一定量的废机油，这部分废物属于危险废物，对照《国家危险废物名录》（2021年），分类编号为HW08，代码为 900-249-08。根据建设方提供的资料数据，废机油产生量为0.</w:t>
      </w:r>
      <w:r>
        <w:rPr>
          <w:rFonts w:hint="eastAsia"/>
          <w:color w:val="auto"/>
        </w:rPr>
        <w:t>1</w:t>
      </w:r>
      <w:r>
        <w:rPr>
          <w:color w:val="auto"/>
        </w:rPr>
        <w:t>t/a，暂存于危废暂存间，定期交由资质公司处理。</w:t>
      </w:r>
    </w:p>
    <w:p>
      <w:pPr>
        <w:ind w:firstLine="480"/>
        <w:rPr>
          <w:color w:val="auto"/>
        </w:rPr>
      </w:pPr>
      <w:r>
        <w:rPr>
          <w:color w:val="auto"/>
        </w:rPr>
        <w:t>（</w:t>
      </w:r>
      <w:r>
        <w:rPr>
          <w:rFonts w:hint="eastAsia"/>
          <w:color w:val="auto"/>
        </w:rPr>
        <w:t>6</w:t>
      </w:r>
      <w:r>
        <w:rPr>
          <w:color w:val="auto"/>
        </w:rPr>
        <w:t>）生活垃圾</w:t>
      </w:r>
    </w:p>
    <w:p>
      <w:pPr>
        <w:ind w:firstLine="480"/>
        <w:rPr>
          <w:color w:val="auto"/>
        </w:rPr>
      </w:pPr>
      <w:r>
        <w:rPr>
          <w:bCs/>
          <w:color w:val="auto"/>
        </w:rPr>
        <w:t>项目劳动定员</w:t>
      </w:r>
      <w:r>
        <w:rPr>
          <w:rFonts w:hint="eastAsia"/>
          <w:bCs/>
          <w:color w:val="auto"/>
        </w:rPr>
        <w:t>30</w:t>
      </w:r>
      <w:r>
        <w:rPr>
          <w:bCs/>
          <w:color w:val="auto"/>
        </w:rPr>
        <w:t>人，年工作</w:t>
      </w:r>
      <w:r>
        <w:rPr>
          <w:rFonts w:hint="eastAsia"/>
          <w:bCs/>
          <w:color w:val="auto"/>
          <w:lang w:val="en-US" w:eastAsia="zh-CN"/>
        </w:rPr>
        <w:t>300</w:t>
      </w:r>
      <w:r>
        <w:rPr>
          <w:bCs/>
          <w:color w:val="auto"/>
        </w:rPr>
        <w:t>天，</w:t>
      </w:r>
      <w:r>
        <w:rPr>
          <w:rFonts w:hint="eastAsia"/>
          <w:bCs/>
          <w:color w:val="auto"/>
        </w:rPr>
        <w:t>不</w:t>
      </w:r>
      <w:r>
        <w:rPr>
          <w:bCs/>
          <w:color w:val="auto"/>
        </w:rPr>
        <w:t>在厂</w:t>
      </w:r>
      <w:r>
        <w:rPr>
          <w:rFonts w:hint="eastAsia"/>
          <w:bCs/>
          <w:color w:val="auto"/>
          <w:lang w:val="en-US" w:eastAsia="zh-CN"/>
        </w:rPr>
        <w:t>区内</w:t>
      </w:r>
      <w:r>
        <w:rPr>
          <w:bCs/>
          <w:color w:val="auto"/>
        </w:rPr>
        <w:t>食宿</w:t>
      </w:r>
      <w:r>
        <w:rPr>
          <w:rFonts w:hint="eastAsia"/>
          <w:bCs/>
          <w:color w:val="auto"/>
        </w:rPr>
        <w:t>，</w:t>
      </w:r>
      <w:r>
        <w:rPr>
          <w:bCs/>
          <w:color w:val="auto"/>
        </w:rPr>
        <w:t>人员生活垃圾产生量按</w:t>
      </w:r>
      <w:r>
        <w:rPr>
          <w:rFonts w:hint="eastAsia"/>
          <w:bCs/>
          <w:color w:val="auto"/>
        </w:rPr>
        <w:t xml:space="preserve">0.5 </w:t>
      </w:r>
      <w:r>
        <w:rPr>
          <w:bCs/>
          <w:color w:val="auto"/>
        </w:rPr>
        <w:t>kg/d·人计算，则运营期生活垃圾产生量为</w:t>
      </w:r>
      <w:r>
        <w:rPr>
          <w:rFonts w:hint="eastAsia"/>
          <w:bCs/>
          <w:color w:val="auto"/>
        </w:rPr>
        <w:t>4.</w:t>
      </w:r>
      <w:r>
        <w:rPr>
          <w:rFonts w:hint="eastAsia"/>
          <w:bCs/>
          <w:color w:val="auto"/>
          <w:lang w:val="en-US" w:eastAsia="zh-CN"/>
        </w:rPr>
        <w:t>5</w:t>
      </w:r>
      <w:r>
        <w:rPr>
          <w:rFonts w:hint="eastAsia"/>
          <w:bCs/>
          <w:color w:val="auto"/>
        </w:rPr>
        <w:t xml:space="preserve"> </w:t>
      </w:r>
      <w:r>
        <w:rPr>
          <w:bCs/>
          <w:color w:val="auto"/>
        </w:rPr>
        <w:t>t/a。</w:t>
      </w:r>
      <w:r>
        <w:rPr>
          <w:color w:val="auto"/>
        </w:rPr>
        <w:t>本项目生活垃圾收集后交由环卫部门统一清运处理</w:t>
      </w:r>
      <w:r>
        <w:rPr>
          <w:rFonts w:hint="eastAsia"/>
          <w:color w:val="auto"/>
        </w:rPr>
        <w:t>。</w:t>
      </w:r>
    </w:p>
    <w:p>
      <w:pPr>
        <w:ind w:firstLine="480"/>
        <w:rPr>
          <w:color w:val="auto"/>
        </w:rPr>
      </w:pPr>
      <w:r>
        <w:rPr>
          <w:rFonts w:hint="eastAsia"/>
          <w:color w:val="auto"/>
        </w:rPr>
        <w:t>采取上述措施后，严格按照国家有关固废，特别是危险废物要求管理、储存、处置的前提下，不会对周边环境产生不良影响。</w:t>
      </w:r>
    </w:p>
    <w:p>
      <w:pPr>
        <w:pStyle w:val="7"/>
        <w:rPr>
          <w:color w:val="auto"/>
        </w:rPr>
      </w:pPr>
      <w:r>
        <w:rPr>
          <w:rFonts w:hint="eastAsia"/>
          <w:color w:val="auto"/>
        </w:rPr>
        <w:t>5</w:t>
      </w:r>
      <w:r>
        <w:rPr>
          <w:color w:val="auto"/>
        </w:rPr>
        <w:t>.</w:t>
      </w:r>
      <w:r>
        <w:rPr>
          <w:rFonts w:hint="eastAsia"/>
          <w:color w:val="auto"/>
        </w:rPr>
        <w:t>6</w:t>
      </w:r>
      <w:r>
        <w:rPr>
          <w:color w:val="auto"/>
        </w:rPr>
        <w:t>.</w:t>
      </w:r>
      <w:r>
        <w:rPr>
          <w:rFonts w:hint="eastAsia"/>
          <w:color w:val="auto"/>
        </w:rPr>
        <w:t>2固体废物环境影响分析</w:t>
      </w:r>
    </w:p>
    <w:p>
      <w:pPr>
        <w:ind w:firstLine="480"/>
        <w:rPr>
          <w:color w:val="auto"/>
        </w:rPr>
      </w:pPr>
      <w:r>
        <w:rPr>
          <w:rFonts w:hint="eastAsia"/>
          <w:color w:val="auto"/>
        </w:rPr>
        <w:t>本项目</w:t>
      </w:r>
      <w:r>
        <w:rPr>
          <w:color w:val="auto"/>
        </w:rPr>
        <w:t>产生的固体废物</w:t>
      </w:r>
      <w:r>
        <w:rPr>
          <w:rFonts w:hint="eastAsia"/>
          <w:color w:val="auto"/>
        </w:rPr>
        <w:t>主要是</w:t>
      </w:r>
      <w:r>
        <w:rPr>
          <w:color w:val="auto"/>
        </w:rPr>
        <w:t>不合格成品及边角料、</w:t>
      </w:r>
      <w:r>
        <w:rPr>
          <w:rFonts w:hint="eastAsia"/>
          <w:color w:val="auto"/>
        </w:rPr>
        <w:t>回收</w:t>
      </w:r>
      <w:r>
        <w:rPr>
          <w:color w:val="auto"/>
        </w:rPr>
        <w:t>粉尘、</w:t>
      </w:r>
      <w:r>
        <w:rPr>
          <w:rFonts w:hint="eastAsia"/>
          <w:color w:val="auto"/>
        </w:rPr>
        <w:t>废包装材料、</w:t>
      </w:r>
      <w:r>
        <w:rPr>
          <w:color w:val="auto"/>
        </w:rPr>
        <w:t>废活性炭、</w:t>
      </w:r>
      <w:r>
        <w:rPr>
          <w:rFonts w:hint="eastAsia"/>
          <w:color w:val="auto"/>
        </w:rPr>
        <w:t>废机油、</w:t>
      </w:r>
      <w:r>
        <w:rPr>
          <w:color w:val="auto"/>
        </w:rPr>
        <w:t>生活垃圾。以上各类固废由于收集、贮放、运输、处置等环节的不严格或不妥善，会造成土壤、地下水污染</w:t>
      </w:r>
      <w:r>
        <w:rPr>
          <w:rFonts w:hint="eastAsia"/>
          <w:color w:val="auto"/>
        </w:rPr>
        <w:t>。</w:t>
      </w:r>
    </w:p>
    <w:p>
      <w:pPr>
        <w:ind w:firstLine="482"/>
        <w:rPr>
          <w:b/>
          <w:bCs/>
          <w:color w:val="auto"/>
        </w:rPr>
      </w:pPr>
      <w:r>
        <w:rPr>
          <w:rFonts w:hint="eastAsia"/>
          <w:b/>
          <w:bCs/>
          <w:color w:val="auto"/>
        </w:rPr>
        <w:t>1、一般工业固体废物影响分析</w:t>
      </w:r>
    </w:p>
    <w:p>
      <w:pPr>
        <w:ind w:firstLine="480"/>
        <w:rPr>
          <w:color w:val="auto"/>
        </w:rPr>
      </w:pPr>
      <w:r>
        <w:rPr>
          <w:rFonts w:hint="eastAsia"/>
          <w:color w:val="auto"/>
        </w:rPr>
        <w:t>不合格成品及边角料、回收粉尘作为原料综合利用；废包装材料收集后外售；厂内一般工业固体废物按《一般工业固体废物贮存和填埋污染控制标准》（GB18599-2020）设置一般固废暂存场所，对固废进行分类暂存，并由专人负责固体废物的收集、贮存，配合地方要求进行集中处置。按照《环境保护图形标志——固体废物贮存（处置）场》(GB15562.2)的要求设置环保图形标志。建设单位采取有效措施实现固废的减量化、无害化、资源化，对固废进行全过程管理，做到安全处置，不向外环境排放，不会对周围环境造成不良影响。</w:t>
      </w:r>
    </w:p>
    <w:p>
      <w:pPr>
        <w:ind w:firstLine="482"/>
        <w:rPr>
          <w:b/>
          <w:bCs/>
          <w:color w:val="auto"/>
        </w:rPr>
      </w:pPr>
      <w:r>
        <w:rPr>
          <w:rFonts w:hint="eastAsia"/>
          <w:b/>
          <w:bCs/>
          <w:color w:val="auto"/>
        </w:rPr>
        <w:t>2、危险废物影响分析</w:t>
      </w:r>
    </w:p>
    <w:p>
      <w:pPr>
        <w:ind w:firstLine="480"/>
        <w:rPr>
          <w:color w:val="auto"/>
        </w:rPr>
      </w:pPr>
      <w:r>
        <w:rPr>
          <w:rFonts w:hint="eastAsia"/>
          <w:color w:val="auto"/>
        </w:rPr>
        <w:t>本项目拟设置1个危险废物暂存间（10m</w:t>
      </w:r>
      <w:r>
        <w:rPr>
          <w:rFonts w:hint="eastAsia"/>
          <w:color w:val="auto"/>
          <w:vertAlign w:val="superscript"/>
        </w:rPr>
        <w:t>2</w:t>
      </w:r>
      <w:r>
        <w:rPr>
          <w:rFonts w:hint="eastAsia"/>
          <w:color w:val="auto"/>
        </w:rPr>
        <w:t>），应严格执行《危险废物贮存污染控制标准》（</w:t>
      </w:r>
      <w:r>
        <w:rPr>
          <w:rFonts w:hint="eastAsia"/>
          <w:color w:val="auto"/>
          <w:lang w:eastAsia="zh-CN"/>
        </w:rPr>
        <w:t>GB18597-2023</w:t>
      </w:r>
      <w:r>
        <w:rPr>
          <w:rFonts w:hint="eastAsia"/>
          <w:color w:val="auto"/>
        </w:rPr>
        <w:t>）及其修改单的有关规定，设置防风、防雨、防晒、防腐、防渗漏等措施和相关收集措施。可有效避免造成二次污染，在采取相应的防治措施后，项目危险废物不会对周围环境造成不良影响。</w:t>
      </w:r>
    </w:p>
    <w:p>
      <w:pPr>
        <w:ind w:firstLine="480"/>
        <w:rPr>
          <w:color w:val="auto"/>
          <w:u w:val="none"/>
        </w:rPr>
      </w:pPr>
      <w:r>
        <w:rPr>
          <w:rFonts w:hint="eastAsia"/>
          <w:color w:val="auto"/>
          <w:u w:val="none"/>
        </w:rPr>
        <w:t>项目危险废物在厂区运输过程中若管理不当，可能发生散落、泄露，直接进入环境，可能造成残留物污染水体、土壤、地下水，影响地表水水质、土壤环境、地下水质。项目危险废物在厂区内的运输距离较短，且运输道路均为水泥硬化地面，只要严格规范运输流程，把危险废物包装完好后再进行转移，危险废物的运输过程中采取防水、防扬尘、防泄漏等措施，避免雨天及恶劣天气运输转移危险废物，发生泄露的概率很小。</w:t>
      </w:r>
    </w:p>
    <w:p>
      <w:pPr>
        <w:ind w:firstLine="480"/>
        <w:rPr>
          <w:rFonts w:hint="eastAsia"/>
          <w:color w:val="auto"/>
          <w:u w:val="none"/>
        </w:rPr>
      </w:pPr>
      <w:r>
        <w:rPr>
          <w:rFonts w:hint="eastAsia"/>
          <w:color w:val="auto"/>
          <w:u w:val="none"/>
        </w:rPr>
        <w:t>危险废物在转运过程中须严格执行《危险废物转移管理办法》，危险废物产生单位在转移危险废物前，须按照国家有关规定报批危险废物转移计划；经批准后，产生单位应当向移出地环境保护行政主管部门申请领取联单。产生单位应当在危险废物转移前三日内报告移出地环境保护行政主管部门，并同时将预期到达时间报告接受地环境保护行政主管部门。危险废物转移运输由危险废物处置单位负责，危险废物处置单位在危险废物途中应采取相应的污染防范及事故应急措施，保证运输安全，防止非法转移和非法处置，保证危险废物的安全监控，防止危险废物污染事故发生。</w:t>
      </w:r>
    </w:p>
    <w:p>
      <w:pPr>
        <w:ind w:firstLine="480"/>
        <w:rPr>
          <w:color w:val="auto"/>
          <w:u w:val="none"/>
        </w:rPr>
      </w:pPr>
      <w:r>
        <w:rPr>
          <w:color w:val="auto"/>
          <w:u w:val="none"/>
        </w:rPr>
        <w:t>结合《建设项目危险废物环境影响评价指南》（环境保护部公告[2017]43号）、《危险废物贮存污染控制标准》（</w:t>
      </w:r>
      <w:r>
        <w:rPr>
          <w:rFonts w:hint="eastAsia"/>
          <w:color w:val="auto"/>
          <w:u w:val="none"/>
          <w:lang w:eastAsia="zh-CN"/>
        </w:rPr>
        <w:t>G</w:t>
      </w:r>
      <w:r>
        <w:rPr>
          <w:rFonts w:hint="eastAsia"/>
          <w:color w:val="auto"/>
          <w:u w:val="none"/>
          <w:lang w:val="en-US" w:eastAsia="zh-CN"/>
        </w:rPr>
        <w:t>B</w:t>
      </w:r>
      <w:r>
        <w:rPr>
          <w:rFonts w:hint="eastAsia"/>
          <w:color w:val="auto"/>
          <w:u w:val="none"/>
          <w:lang w:eastAsia="zh-CN"/>
        </w:rPr>
        <w:t>18597-2023</w:t>
      </w:r>
      <w:r>
        <w:rPr>
          <w:color w:val="auto"/>
          <w:u w:val="none"/>
        </w:rPr>
        <w:t>）和《危险废物转移管理办法》中的相关要求，本评价要求建设单位采取如下防护措施：</w:t>
      </w:r>
    </w:p>
    <w:p>
      <w:pPr>
        <w:ind w:firstLine="480"/>
        <w:rPr>
          <w:color w:val="auto"/>
          <w:u w:val="none"/>
        </w:rPr>
      </w:pPr>
      <w:r>
        <w:rPr>
          <w:rFonts w:hint="eastAsia" w:ascii="宋体" w:hAnsi="宋体" w:cs="宋体"/>
          <w:color w:val="auto"/>
          <w:u w:val="none"/>
        </w:rPr>
        <w:t>①</w:t>
      </w:r>
      <w:r>
        <w:rPr>
          <w:color w:val="auto"/>
          <w:u w:val="none"/>
        </w:rPr>
        <w:t>危险废物采用合适的相容容器存放；</w:t>
      </w:r>
    </w:p>
    <w:p>
      <w:pPr>
        <w:ind w:firstLine="480"/>
        <w:rPr>
          <w:color w:val="auto"/>
          <w:u w:val="none"/>
        </w:rPr>
      </w:pPr>
      <w:r>
        <w:rPr>
          <w:rFonts w:hint="eastAsia" w:ascii="宋体" w:hAnsi="宋体" w:cs="宋体"/>
          <w:color w:val="auto"/>
          <w:u w:val="none"/>
        </w:rPr>
        <w:t>②</w:t>
      </w:r>
      <w:r>
        <w:rPr>
          <w:color w:val="auto"/>
          <w:u w:val="none"/>
        </w:rPr>
        <w:t>危险废物须做好防渗漏、防风、防雨、防晒、防火等措施，地面须硬化、耐腐蚀、无裂隙，贮存区内须有泄漏液体收集装置，并配备相容的吸附材料等应急物资；</w:t>
      </w:r>
    </w:p>
    <w:p>
      <w:pPr>
        <w:ind w:firstLine="480"/>
        <w:rPr>
          <w:color w:val="auto"/>
          <w:u w:val="none"/>
        </w:rPr>
      </w:pPr>
      <w:r>
        <w:rPr>
          <w:rFonts w:hint="eastAsia" w:ascii="宋体" w:hAnsi="宋体" w:cs="宋体"/>
          <w:color w:val="auto"/>
          <w:u w:val="none"/>
        </w:rPr>
        <w:t>③</w:t>
      </w:r>
      <w:r>
        <w:rPr>
          <w:color w:val="auto"/>
          <w:u w:val="none"/>
        </w:rPr>
        <w:t>盛装危险废物的容器上必须粘贴符合标准的标签，危险废物堆放点设置警示标识；</w:t>
      </w:r>
    </w:p>
    <w:p>
      <w:pPr>
        <w:ind w:firstLine="480"/>
        <w:rPr>
          <w:color w:val="auto"/>
          <w:u w:val="none"/>
        </w:rPr>
      </w:pPr>
      <w:r>
        <w:rPr>
          <w:rFonts w:hint="eastAsia" w:ascii="宋体" w:hAnsi="宋体" w:cs="宋体"/>
          <w:color w:val="auto"/>
          <w:u w:val="none"/>
        </w:rPr>
        <w:t>④</w:t>
      </w:r>
      <w:r>
        <w:rPr>
          <w:color w:val="auto"/>
          <w:u w:val="none"/>
        </w:rPr>
        <w:t>必须定期对所贮存的危险废物包装容器及贮存设施进行检查，发现破损，应及时采取措施清理更换。</w:t>
      </w:r>
    </w:p>
    <w:p>
      <w:pPr>
        <w:ind w:firstLine="480"/>
        <w:rPr>
          <w:color w:val="auto"/>
          <w:u w:val="none"/>
        </w:rPr>
      </w:pPr>
      <w:r>
        <w:rPr>
          <w:rFonts w:hint="eastAsia" w:ascii="宋体" w:hAnsi="宋体" w:cs="宋体"/>
          <w:color w:val="auto"/>
          <w:u w:val="none"/>
        </w:rPr>
        <w:t>⑤</w:t>
      </w:r>
      <w:r>
        <w:rPr>
          <w:color w:val="auto"/>
          <w:u w:val="none"/>
        </w:rPr>
        <w:t xml:space="preserve">须作好危险废物情况的记录，记录上须注明危险废物的名称、来源、数量、特性和包装容器的类别、入库日期、存放位置、废物出库日期及接收单位名称； </w:t>
      </w:r>
    </w:p>
    <w:p>
      <w:pPr>
        <w:ind w:firstLine="480"/>
        <w:rPr>
          <w:color w:val="auto"/>
          <w:u w:val="none"/>
        </w:rPr>
      </w:pPr>
      <w:r>
        <w:rPr>
          <w:rFonts w:hint="eastAsia" w:ascii="宋体" w:hAnsi="宋体" w:cs="宋体"/>
          <w:color w:val="auto"/>
          <w:u w:val="none"/>
        </w:rPr>
        <w:t>⑥</w:t>
      </w:r>
      <w:r>
        <w:rPr>
          <w:color w:val="auto"/>
          <w:u w:val="none"/>
        </w:rPr>
        <w:t>严禁将危险废物混入非危险废物中贮存；</w:t>
      </w:r>
    </w:p>
    <w:p>
      <w:pPr>
        <w:ind w:firstLine="480"/>
        <w:rPr>
          <w:color w:val="auto"/>
          <w:u w:val="none"/>
        </w:rPr>
      </w:pPr>
      <w:r>
        <w:rPr>
          <w:rFonts w:hint="eastAsia" w:ascii="宋体" w:hAnsi="宋体" w:cs="宋体"/>
          <w:color w:val="auto"/>
          <w:u w:val="none"/>
        </w:rPr>
        <w:t>⑦</w:t>
      </w:r>
      <w:r>
        <w:rPr>
          <w:color w:val="auto"/>
          <w:u w:val="none"/>
        </w:rPr>
        <w:t>指定专人进行日常管理</w:t>
      </w:r>
    </w:p>
    <w:p>
      <w:pPr>
        <w:ind w:firstLine="482"/>
        <w:rPr>
          <w:b/>
          <w:bCs/>
          <w:color w:val="auto"/>
        </w:rPr>
      </w:pPr>
      <w:r>
        <w:rPr>
          <w:rFonts w:hint="eastAsia"/>
          <w:b/>
          <w:bCs/>
          <w:color w:val="auto"/>
        </w:rPr>
        <w:t>3、生活垃圾</w:t>
      </w:r>
    </w:p>
    <w:p>
      <w:pPr>
        <w:ind w:firstLine="480"/>
        <w:rPr>
          <w:color w:val="auto"/>
        </w:rPr>
      </w:pPr>
      <w:r>
        <w:rPr>
          <w:color w:val="auto"/>
        </w:rPr>
        <w:t>本项目</w:t>
      </w:r>
      <w:r>
        <w:rPr>
          <w:rFonts w:hint="eastAsia"/>
          <w:color w:val="auto"/>
        </w:rPr>
        <w:t>员工办公生活</w:t>
      </w:r>
      <w:r>
        <w:rPr>
          <w:color w:val="auto"/>
        </w:rPr>
        <w:t>产生的垃圾属于生活垃圾，建设单位在厂内设立垃圾收集箱，由环卫部门集中收集处理，对环境的影响很小。</w:t>
      </w:r>
    </w:p>
    <w:p>
      <w:pPr>
        <w:ind w:firstLine="480"/>
        <w:rPr>
          <w:color w:val="auto"/>
        </w:rPr>
      </w:pPr>
      <w:r>
        <w:rPr>
          <w:color w:val="auto"/>
        </w:rPr>
        <w:t>综上所述，在加强管理的情况下，项目运营期间产生的固体废物均可得到合理处置或综合利用，不会产生二次污染，对周围环境影响较小。</w:t>
      </w:r>
    </w:p>
    <w:p>
      <w:pPr>
        <w:pStyle w:val="6"/>
        <w:rPr>
          <w:color w:val="auto"/>
        </w:rPr>
      </w:pPr>
      <w:bookmarkStart w:id="160" w:name="_Toc16160"/>
      <w:bookmarkStart w:id="161" w:name="_Toc11992"/>
      <w:bookmarkStart w:id="162" w:name="_Toc28662"/>
      <w:r>
        <w:rPr>
          <w:rFonts w:hint="eastAsia"/>
          <w:color w:val="auto"/>
        </w:rPr>
        <w:t>5</w:t>
      </w:r>
      <w:r>
        <w:rPr>
          <w:color w:val="auto"/>
        </w:rPr>
        <w:t>.7土壤环境影响分析</w:t>
      </w:r>
      <w:bookmarkEnd w:id="160"/>
      <w:bookmarkEnd w:id="161"/>
      <w:bookmarkEnd w:id="162"/>
    </w:p>
    <w:p>
      <w:pPr>
        <w:ind w:firstLine="480"/>
        <w:rPr>
          <w:color w:val="auto"/>
        </w:rPr>
      </w:pPr>
      <w:r>
        <w:rPr>
          <w:rFonts w:hint="eastAsia"/>
          <w:color w:val="auto"/>
        </w:rPr>
        <w:t>根据工程分析，项目对土壤环境的影响主要是废水、危险废物泄露给土壤带来的环境影响。</w:t>
      </w:r>
    </w:p>
    <w:p>
      <w:pPr>
        <w:ind w:firstLine="480"/>
        <w:rPr>
          <w:color w:val="auto"/>
        </w:rPr>
      </w:pPr>
      <w:r>
        <w:rPr>
          <w:rFonts w:hint="eastAsia"/>
          <w:color w:val="auto"/>
        </w:rPr>
        <w:t>正常情况下，本项目生产废水经循环池后循环使用，不外排。危险废物均得到有效处置。生产厂房、循环水池、危废暂存间均采取了防渗措施。项目营运期间废水及危险废物对土壤的影响不大。</w:t>
      </w:r>
    </w:p>
    <w:p>
      <w:pPr>
        <w:ind w:firstLine="480"/>
        <w:rPr>
          <w:color w:val="auto"/>
        </w:rPr>
      </w:pPr>
      <w:r>
        <w:rPr>
          <w:color w:val="auto"/>
        </w:rPr>
        <w:t>事故状态下，主要是</w:t>
      </w:r>
      <w:r>
        <w:rPr>
          <w:rFonts w:hint="eastAsia"/>
          <w:color w:val="auto"/>
        </w:rPr>
        <w:t>循环水池</w:t>
      </w:r>
      <w:r>
        <w:rPr>
          <w:color w:val="auto"/>
        </w:rPr>
        <w:t>、危险废物暂存</w:t>
      </w:r>
      <w:r>
        <w:rPr>
          <w:rFonts w:hint="eastAsia"/>
          <w:color w:val="auto"/>
        </w:rPr>
        <w:t>间</w:t>
      </w:r>
      <w:r>
        <w:rPr>
          <w:color w:val="auto"/>
        </w:rPr>
        <w:t>等底部防渗层破裂，导致废水及其他物质污染地下水及厂区周边土壤环境，</w:t>
      </w:r>
      <w:r>
        <w:rPr>
          <w:rFonts w:hint="eastAsia"/>
          <w:color w:val="auto"/>
        </w:rPr>
        <w:t>本项目生产废水为冷却水，除SS外，不存在其他污染因子，不会对土壤环境造成不良影响，对土壤环境造成影响的主要是危险废物泄露。</w:t>
      </w:r>
      <w:r>
        <w:rPr>
          <w:color w:val="auto"/>
        </w:rPr>
        <w:t>由于地下水及土壤污染难以发现，也难以采取措施治理。因此评价要求建设单位做好厂区地面防渗工作，同时加强</w:t>
      </w:r>
      <w:r>
        <w:rPr>
          <w:rFonts w:hint="eastAsia"/>
          <w:color w:val="auto"/>
        </w:rPr>
        <w:t>危废间</w:t>
      </w:r>
      <w:r>
        <w:rPr>
          <w:color w:val="auto"/>
        </w:rPr>
        <w:t>及设备的日常检查和维护管理，避免</w:t>
      </w:r>
      <w:r>
        <w:rPr>
          <w:rFonts w:hint="eastAsia"/>
          <w:color w:val="auto"/>
        </w:rPr>
        <w:t>危废暂存间</w:t>
      </w:r>
      <w:r>
        <w:rPr>
          <w:color w:val="auto"/>
        </w:rPr>
        <w:t>及设备出现跑、冒、滴、漏等现象，防止或减轻事故状况下对土壤环境的影响。</w:t>
      </w:r>
    </w:p>
    <w:p>
      <w:pPr>
        <w:pStyle w:val="6"/>
        <w:rPr>
          <w:color w:val="auto"/>
        </w:rPr>
      </w:pPr>
      <w:bookmarkStart w:id="163" w:name="_Toc26967"/>
      <w:bookmarkStart w:id="164" w:name="_Toc31733"/>
      <w:bookmarkStart w:id="165" w:name="_Toc32245"/>
      <w:r>
        <w:rPr>
          <w:rFonts w:hint="eastAsia"/>
          <w:color w:val="auto"/>
        </w:rPr>
        <w:t>5</w:t>
      </w:r>
      <w:r>
        <w:rPr>
          <w:color w:val="auto"/>
        </w:rPr>
        <w:t>.8生态环境影响分析</w:t>
      </w:r>
      <w:bookmarkEnd w:id="163"/>
      <w:bookmarkEnd w:id="164"/>
      <w:bookmarkEnd w:id="165"/>
    </w:p>
    <w:p>
      <w:pPr>
        <w:ind w:firstLine="480"/>
        <w:rPr>
          <w:color w:val="auto"/>
        </w:rPr>
      </w:pPr>
      <w:r>
        <w:rPr>
          <w:color w:val="auto"/>
        </w:rPr>
        <w:t>本项目属于污染影响型项目，项目利用现有厂房生产，不会新增占地和对植被产生破坏，</w:t>
      </w:r>
      <w:r>
        <w:rPr>
          <w:rFonts w:hint="eastAsia"/>
          <w:color w:val="auto"/>
        </w:rPr>
        <w:t>厂区内及四周有一定的绿化</w:t>
      </w:r>
      <w:r>
        <w:rPr>
          <w:color w:val="auto"/>
        </w:rPr>
        <w:t>，可在一定程度上减缓项目建设期造成的生态破坏。项目营运期虽有一定污染排放，但经采取相应的防治措施后，污染物排放达标，排放量小，预测表明，其对区域地表水环境质量、声环境质量和大气环境质量均不会产生大的影响，因此，项目营运期不会产生大的不利生态环境影响。</w:t>
      </w:r>
    </w:p>
    <w:p>
      <w:pPr>
        <w:pStyle w:val="6"/>
        <w:rPr>
          <w:color w:val="auto"/>
        </w:rPr>
      </w:pPr>
      <w:bookmarkStart w:id="166" w:name="_Toc20750"/>
      <w:bookmarkStart w:id="167" w:name="_Toc7096"/>
      <w:bookmarkStart w:id="168" w:name="_Toc28997"/>
      <w:r>
        <w:rPr>
          <w:rFonts w:hint="eastAsia"/>
          <w:color w:val="auto"/>
        </w:rPr>
        <w:t>5</w:t>
      </w:r>
      <w:r>
        <w:rPr>
          <w:color w:val="auto"/>
        </w:rPr>
        <w:t>.9环境风险评价</w:t>
      </w:r>
      <w:bookmarkEnd w:id="166"/>
      <w:bookmarkEnd w:id="167"/>
      <w:bookmarkEnd w:id="168"/>
    </w:p>
    <w:p>
      <w:pPr>
        <w:ind w:firstLine="480"/>
        <w:rPr>
          <w:color w:val="auto"/>
        </w:rPr>
      </w:pPr>
      <w:r>
        <w:rPr>
          <w:color w:val="auto"/>
        </w:rPr>
        <w:t>环境风险是指突发性事故对环境(或健康)的危害程度。环境风险评价的目的是分析和预测建设项目潜在危险、有害因素，建设项目建设和运营期可能发生的突发性事件或事故（一般不包括人为破坏及自然灾害），引起有毒有害和易燃易爆等物质泄漏以及泄漏事故引起的火灾或爆炸事故，所造成的人身安全、环境影响和损害程度，提出合理可行的防范、应急与减缓措施，以使建设项目事故率、损失和环境影响达到可接受水平。</w:t>
      </w:r>
    </w:p>
    <w:p>
      <w:pPr>
        <w:ind w:firstLine="480"/>
        <w:rPr>
          <w:color w:val="auto"/>
        </w:rPr>
      </w:pPr>
      <w:r>
        <w:rPr>
          <w:color w:val="auto"/>
        </w:rPr>
        <w:t>根据国家环保部《关于进一步加强环境影响评价管理防范环境风险的通知》(环发[2012]77号)的要求：“新、改、技改相关建设项目环境影响评价应按照相应技术导则要求，科学预测评价突发性事件或事故可能引发的环境风险，提出环境风险防范和应急措施”。</w:t>
      </w:r>
    </w:p>
    <w:p>
      <w:pPr>
        <w:ind w:firstLine="480"/>
        <w:rPr>
          <w:color w:val="auto"/>
        </w:rPr>
      </w:pPr>
      <w:r>
        <w:rPr>
          <w:rFonts w:hint="eastAsia"/>
          <w:color w:val="auto"/>
        </w:rPr>
        <w:t>本项目涉及的有毒有害物质主要是废机油，无</w:t>
      </w:r>
      <w:r>
        <w:rPr>
          <w:color w:val="auto"/>
        </w:rPr>
        <w:t>易爆危险物质生产、使用</w:t>
      </w:r>
      <w:r>
        <w:rPr>
          <w:rFonts w:hint="eastAsia"/>
          <w:color w:val="auto"/>
        </w:rPr>
        <w:t>、储存。</w:t>
      </w:r>
      <w:r>
        <w:rPr>
          <w:color w:val="auto"/>
        </w:rPr>
        <w:t>本次评价以《建设项目环境风险评价技术导则》（HJ169-2018）为指导，通过对本项目进行风险识别和风险分析，提出减缓风险的防范措施和应急要求，为环境管理提供资料和依据，达到降低危险、减少危害的目的。</w:t>
      </w:r>
    </w:p>
    <w:p>
      <w:pPr>
        <w:pStyle w:val="7"/>
        <w:rPr>
          <w:color w:val="auto"/>
        </w:rPr>
      </w:pPr>
      <w:r>
        <w:rPr>
          <w:rFonts w:hint="eastAsia"/>
          <w:color w:val="auto"/>
        </w:rPr>
        <w:t>5</w:t>
      </w:r>
      <w:r>
        <w:rPr>
          <w:color w:val="auto"/>
        </w:rPr>
        <w:t>.9.1评价依据</w:t>
      </w:r>
    </w:p>
    <w:p>
      <w:pPr>
        <w:pStyle w:val="8"/>
      </w:pPr>
      <w:r>
        <w:rPr>
          <w:rFonts w:hint="eastAsia"/>
        </w:rPr>
        <w:t>5</w:t>
      </w:r>
      <w:r>
        <w:t>.9.1.1风险潜势初判</w:t>
      </w:r>
    </w:p>
    <w:p>
      <w:pPr>
        <w:ind w:firstLine="480"/>
        <w:rPr>
          <w:color w:val="auto"/>
        </w:rPr>
      </w:pPr>
      <w:r>
        <w:rPr>
          <w:color w:val="auto"/>
        </w:rPr>
        <w:t>根据建设项目涉及的物质和工艺系统的危险性及其所在地的环境敏感程度，结合事故情形下环境影响途径，对建设项目潜在环境危害程度进行概化分析，按照下表确定环境风险潜势。</w:t>
      </w:r>
    </w:p>
    <w:p>
      <w:pPr>
        <w:pStyle w:val="31"/>
        <w:rPr>
          <w:color w:val="auto"/>
        </w:rPr>
      </w:pPr>
      <w:r>
        <w:rPr>
          <w:color w:val="auto"/>
        </w:rPr>
        <w:t>表</w:t>
      </w:r>
      <w:r>
        <w:rPr>
          <w:rFonts w:hint="eastAsia"/>
          <w:color w:val="auto"/>
        </w:rPr>
        <w:t>5</w:t>
      </w:r>
      <w:r>
        <w:rPr>
          <w:color w:val="auto"/>
        </w:rPr>
        <w:t>.9-1   建设项目环境风险潜势划分</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2239"/>
        <w:gridCol w:w="1566"/>
        <w:gridCol w:w="1566"/>
        <w:gridCol w:w="1566"/>
        <w:gridCol w:w="156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39" w:type="dxa"/>
            <w:vMerge w:val="restart"/>
            <w:vAlign w:val="center"/>
          </w:tcPr>
          <w:p>
            <w:pPr>
              <w:pStyle w:val="30"/>
              <w:rPr>
                <w:b/>
                <w:bCs/>
                <w:color w:val="auto"/>
              </w:rPr>
            </w:pPr>
            <w:r>
              <w:rPr>
                <w:b/>
                <w:bCs/>
                <w:color w:val="auto"/>
              </w:rPr>
              <w:t>环境敏感程度（E）</w:t>
            </w:r>
          </w:p>
        </w:tc>
        <w:tc>
          <w:tcPr>
            <w:tcW w:w="6264" w:type="dxa"/>
            <w:gridSpan w:val="4"/>
            <w:vAlign w:val="center"/>
          </w:tcPr>
          <w:p>
            <w:pPr>
              <w:pStyle w:val="30"/>
              <w:rPr>
                <w:b/>
                <w:bCs/>
                <w:color w:val="auto"/>
              </w:rPr>
            </w:pPr>
            <w:r>
              <w:rPr>
                <w:b/>
                <w:bCs/>
                <w:color w:val="auto"/>
              </w:rPr>
              <w:t>危险物质及工艺系统危险性（P）</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39" w:type="dxa"/>
            <w:vMerge w:val="continue"/>
            <w:vAlign w:val="center"/>
          </w:tcPr>
          <w:p>
            <w:pPr>
              <w:pStyle w:val="30"/>
              <w:rPr>
                <w:b/>
                <w:bCs/>
                <w:color w:val="auto"/>
              </w:rPr>
            </w:pPr>
          </w:p>
        </w:tc>
        <w:tc>
          <w:tcPr>
            <w:tcW w:w="1566" w:type="dxa"/>
            <w:vAlign w:val="center"/>
          </w:tcPr>
          <w:p>
            <w:pPr>
              <w:pStyle w:val="30"/>
              <w:rPr>
                <w:b/>
                <w:bCs/>
                <w:color w:val="auto"/>
              </w:rPr>
            </w:pPr>
            <w:r>
              <w:rPr>
                <w:b/>
                <w:bCs/>
                <w:color w:val="auto"/>
              </w:rPr>
              <w:t>极高危害（P1）</w:t>
            </w:r>
          </w:p>
        </w:tc>
        <w:tc>
          <w:tcPr>
            <w:tcW w:w="1566" w:type="dxa"/>
            <w:vAlign w:val="center"/>
          </w:tcPr>
          <w:p>
            <w:pPr>
              <w:pStyle w:val="30"/>
              <w:rPr>
                <w:b/>
                <w:bCs/>
                <w:color w:val="auto"/>
              </w:rPr>
            </w:pPr>
            <w:r>
              <w:rPr>
                <w:b/>
                <w:bCs/>
                <w:color w:val="auto"/>
              </w:rPr>
              <w:t>高度危害（P2）</w:t>
            </w:r>
          </w:p>
        </w:tc>
        <w:tc>
          <w:tcPr>
            <w:tcW w:w="1566" w:type="dxa"/>
            <w:vAlign w:val="center"/>
          </w:tcPr>
          <w:p>
            <w:pPr>
              <w:pStyle w:val="30"/>
              <w:rPr>
                <w:b/>
                <w:bCs/>
                <w:color w:val="auto"/>
              </w:rPr>
            </w:pPr>
            <w:r>
              <w:rPr>
                <w:b/>
                <w:bCs/>
                <w:color w:val="auto"/>
              </w:rPr>
              <w:t>中度危害（P3）</w:t>
            </w:r>
          </w:p>
        </w:tc>
        <w:tc>
          <w:tcPr>
            <w:tcW w:w="1566" w:type="dxa"/>
            <w:vAlign w:val="center"/>
          </w:tcPr>
          <w:p>
            <w:pPr>
              <w:pStyle w:val="30"/>
              <w:rPr>
                <w:b/>
                <w:bCs/>
                <w:color w:val="auto"/>
              </w:rPr>
            </w:pPr>
            <w:r>
              <w:rPr>
                <w:b/>
                <w:bCs/>
                <w:color w:val="auto"/>
              </w:rPr>
              <w:t>轻度危害（P4）</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39" w:type="dxa"/>
            <w:vAlign w:val="center"/>
          </w:tcPr>
          <w:p>
            <w:pPr>
              <w:pStyle w:val="30"/>
              <w:rPr>
                <w:color w:val="auto"/>
              </w:rPr>
            </w:pPr>
            <w:r>
              <w:rPr>
                <w:color w:val="auto"/>
              </w:rPr>
              <w:t>环境高度敏感区（E1）</w:t>
            </w:r>
          </w:p>
        </w:tc>
        <w:tc>
          <w:tcPr>
            <w:tcW w:w="1566" w:type="dxa"/>
            <w:vAlign w:val="center"/>
          </w:tcPr>
          <w:p>
            <w:pPr>
              <w:pStyle w:val="30"/>
              <w:rPr>
                <w:color w:val="auto"/>
              </w:rPr>
            </w:pPr>
            <w:r>
              <w:rPr>
                <w:color w:val="auto"/>
              </w:rPr>
              <w:fldChar w:fldCharType="begin"/>
            </w:r>
            <w:r>
              <w:rPr>
                <w:color w:val="auto"/>
              </w:rPr>
              <w:instrText xml:space="preserve"> = 4 \* ROMAN \* MERGEFORMAT </w:instrText>
            </w:r>
            <w:r>
              <w:rPr>
                <w:color w:val="auto"/>
              </w:rPr>
              <w:fldChar w:fldCharType="separate"/>
            </w:r>
            <w:r>
              <w:rPr>
                <w:color w:val="auto"/>
              </w:rPr>
              <w:t>IV</w:t>
            </w:r>
            <w:r>
              <w:rPr>
                <w:color w:val="auto"/>
              </w:rPr>
              <w:fldChar w:fldCharType="end"/>
            </w:r>
            <w:r>
              <w:rPr>
                <w:color w:val="auto"/>
                <w:vertAlign w:val="superscript"/>
              </w:rPr>
              <w:t>+</w:t>
            </w:r>
          </w:p>
        </w:tc>
        <w:tc>
          <w:tcPr>
            <w:tcW w:w="1566" w:type="dxa"/>
            <w:vAlign w:val="center"/>
          </w:tcPr>
          <w:p>
            <w:pPr>
              <w:pStyle w:val="30"/>
              <w:rPr>
                <w:color w:val="auto"/>
              </w:rPr>
            </w:pPr>
            <w:r>
              <w:rPr>
                <w:color w:val="auto"/>
              </w:rPr>
              <w:fldChar w:fldCharType="begin"/>
            </w:r>
            <w:r>
              <w:rPr>
                <w:color w:val="auto"/>
              </w:rPr>
              <w:instrText xml:space="preserve"> = 4 \* ROMAN \* MERGEFORMAT </w:instrText>
            </w:r>
            <w:r>
              <w:rPr>
                <w:color w:val="auto"/>
              </w:rPr>
              <w:fldChar w:fldCharType="separate"/>
            </w:r>
            <w:r>
              <w:rPr>
                <w:color w:val="auto"/>
              </w:rPr>
              <w:t>IV</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39" w:type="dxa"/>
            <w:vAlign w:val="center"/>
          </w:tcPr>
          <w:p>
            <w:pPr>
              <w:pStyle w:val="30"/>
              <w:rPr>
                <w:color w:val="auto"/>
              </w:rPr>
            </w:pPr>
            <w:r>
              <w:rPr>
                <w:color w:val="auto"/>
              </w:rPr>
              <w:t>环境中度敏感区（E2）</w:t>
            </w:r>
          </w:p>
        </w:tc>
        <w:tc>
          <w:tcPr>
            <w:tcW w:w="1566" w:type="dxa"/>
            <w:vAlign w:val="center"/>
          </w:tcPr>
          <w:p>
            <w:pPr>
              <w:pStyle w:val="30"/>
              <w:rPr>
                <w:color w:val="auto"/>
              </w:rPr>
            </w:pPr>
            <w:r>
              <w:rPr>
                <w:color w:val="auto"/>
              </w:rPr>
              <w:fldChar w:fldCharType="begin"/>
            </w:r>
            <w:r>
              <w:rPr>
                <w:color w:val="auto"/>
              </w:rPr>
              <w:instrText xml:space="preserve"> = 4 \* ROMAN \* MERGEFORMAT </w:instrText>
            </w:r>
            <w:r>
              <w:rPr>
                <w:color w:val="auto"/>
              </w:rPr>
              <w:fldChar w:fldCharType="separate"/>
            </w:r>
            <w:r>
              <w:rPr>
                <w:color w:val="auto"/>
              </w:rPr>
              <w:t>IV</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2 \* ROMAN \* MERGEFORMAT </w:instrText>
            </w:r>
            <w:r>
              <w:rPr>
                <w:color w:val="auto"/>
              </w:rPr>
              <w:fldChar w:fldCharType="separate"/>
            </w:r>
            <w:r>
              <w:rPr>
                <w:color w:val="auto"/>
              </w:rPr>
              <w:t>II</w:t>
            </w:r>
            <w:r>
              <w:rPr>
                <w:color w:val="auto"/>
              </w:rPr>
              <w:fldChar w:fldCharType="end"/>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2239" w:type="dxa"/>
            <w:vAlign w:val="center"/>
          </w:tcPr>
          <w:p>
            <w:pPr>
              <w:pStyle w:val="30"/>
              <w:rPr>
                <w:color w:val="auto"/>
              </w:rPr>
            </w:pPr>
            <w:r>
              <w:rPr>
                <w:color w:val="auto"/>
              </w:rPr>
              <w:t>环境低度敏感区（E3）</w:t>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3 \* ROMAN \* MERGEFORMAT </w:instrText>
            </w:r>
            <w:r>
              <w:rPr>
                <w:color w:val="auto"/>
              </w:rPr>
              <w:fldChar w:fldCharType="separate"/>
            </w:r>
            <w:r>
              <w:rPr>
                <w:color w:val="auto"/>
              </w:rPr>
              <w:t>III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2 \* ROMAN \* MERGEFORMAT </w:instrText>
            </w:r>
            <w:r>
              <w:rPr>
                <w:color w:val="auto"/>
              </w:rPr>
              <w:fldChar w:fldCharType="separate"/>
            </w:r>
            <w:r>
              <w:rPr>
                <w:color w:val="auto"/>
              </w:rPr>
              <w:t>II</w:t>
            </w:r>
            <w:r>
              <w:rPr>
                <w:color w:val="auto"/>
              </w:rPr>
              <w:fldChar w:fldCharType="end"/>
            </w:r>
          </w:p>
        </w:tc>
        <w:tc>
          <w:tcPr>
            <w:tcW w:w="1566" w:type="dxa"/>
            <w:vAlign w:val="center"/>
          </w:tcPr>
          <w:p>
            <w:pPr>
              <w:pStyle w:val="30"/>
              <w:rPr>
                <w:color w:val="auto"/>
              </w:rPr>
            </w:pPr>
            <w:r>
              <w:rPr>
                <w:color w:val="auto"/>
              </w:rPr>
              <w:fldChar w:fldCharType="begin"/>
            </w:r>
            <w:r>
              <w:rPr>
                <w:color w:val="auto"/>
              </w:rPr>
              <w:instrText xml:space="preserve"> = 1 \* ROMAN \* MERGEFORMAT </w:instrText>
            </w:r>
            <w:r>
              <w:rPr>
                <w:color w:val="auto"/>
              </w:rPr>
              <w:fldChar w:fldCharType="separate"/>
            </w:r>
            <w:r>
              <w:rPr>
                <w:color w:val="auto"/>
              </w:rPr>
              <w:t>I</w:t>
            </w:r>
            <w:r>
              <w:rPr>
                <w:color w:val="auto"/>
              </w:rPr>
              <w:fldChar w:fldCharType="end"/>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3" w:hRule="atLeast"/>
          <w:jc w:val="center"/>
        </w:trPr>
        <w:tc>
          <w:tcPr>
            <w:tcW w:w="8503" w:type="dxa"/>
            <w:gridSpan w:val="5"/>
            <w:vAlign w:val="center"/>
          </w:tcPr>
          <w:p>
            <w:pPr>
              <w:pStyle w:val="30"/>
              <w:rPr>
                <w:color w:val="auto"/>
              </w:rPr>
            </w:pPr>
            <w:r>
              <w:rPr>
                <w:color w:val="auto"/>
              </w:rPr>
              <w:t>注：</w:t>
            </w:r>
            <w:r>
              <w:rPr>
                <w:color w:val="auto"/>
              </w:rPr>
              <w:fldChar w:fldCharType="begin"/>
            </w:r>
            <w:r>
              <w:rPr>
                <w:color w:val="auto"/>
              </w:rPr>
              <w:instrText xml:space="preserve"> = 4 \* ROMAN \* MERGEFORMAT </w:instrText>
            </w:r>
            <w:r>
              <w:rPr>
                <w:color w:val="auto"/>
              </w:rPr>
              <w:fldChar w:fldCharType="separate"/>
            </w:r>
            <w:r>
              <w:rPr>
                <w:color w:val="auto"/>
              </w:rPr>
              <w:t>IV</w:t>
            </w:r>
            <w:r>
              <w:rPr>
                <w:color w:val="auto"/>
              </w:rPr>
              <w:fldChar w:fldCharType="end"/>
            </w:r>
            <w:r>
              <w:rPr>
                <w:color w:val="auto"/>
                <w:vertAlign w:val="superscript"/>
              </w:rPr>
              <w:t>+</w:t>
            </w:r>
            <w:r>
              <w:rPr>
                <w:color w:val="auto"/>
              </w:rPr>
              <w:t>为极高环境风险。</w:t>
            </w:r>
          </w:p>
        </w:tc>
      </w:tr>
    </w:tbl>
    <w:p>
      <w:pPr>
        <w:ind w:firstLine="480"/>
        <w:rPr>
          <w:color w:val="auto"/>
        </w:rPr>
      </w:pPr>
      <w:r>
        <w:rPr>
          <w:color w:val="auto"/>
        </w:rPr>
        <w:t>由上表可知项目环境风险潜势判断需依据P值和E值来确定，本项目P的分级确定如下：</w:t>
      </w:r>
    </w:p>
    <w:p>
      <w:pPr>
        <w:ind w:firstLine="480"/>
        <w:rPr>
          <w:color w:val="auto"/>
        </w:rPr>
      </w:pPr>
      <w:r>
        <w:rPr>
          <w:color w:val="auto"/>
        </w:rPr>
        <w:t>计算所涉及的每种危险物质在厂界内的最大存在总量与其在附录B中对应临界量的比值Q：</w:t>
      </w:r>
    </w:p>
    <w:p>
      <w:pPr>
        <w:ind w:firstLine="480"/>
        <w:rPr>
          <w:color w:val="auto"/>
        </w:rPr>
      </w:pPr>
      <w:r>
        <w:rPr>
          <w:color w:val="auto"/>
        </w:rPr>
        <w:drawing>
          <wp:inline distT="0" distB="0" distL="0" distR="0">
            <wp:extent cx="1460500" cy="457200"/>
            <wp:effectExtent l="0" t="0" r="6350" b="0"/>
            <wp:docPr id="35" name="图片 35" descr="1553131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5531319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460500" cy="457200"/>
                    </a:xfrm>
                    <a:prstGeom prst="rect">
                      <a:avLst/>
                    </a:prstGeom>
                    <a:noFill/>
                    <a:ln>
                      <a:noFill/>
                    </a:ln>
                  </pic:spPr>
                </pic:pic>
              </a:graphicData>
            </a:graphic>
          </wp:inline>
        </w:drawing>
      </w:r>
    </w:p>
    <w:p>
      <w:pPr>
        <w:ind w:firstLine="480"/>
        <w:rPr>
          <w:color w:val="auto"/>
        </w:rPr>
      </w:pPr>
      <w:r>
        <w:rPr>
          <w:color w:val="auto"/>
        </w:rPr>
        <w:t>式中：q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—每种危险物质的最大存在总量，t；</w:t>
      </w:r>
    </w:p>
    <w:p>
      <w:pPr>
        <w:ind w:firstLine="480"/>
        <w:rPr>
          <w:color w:val="auto"/>
        </w:rPr>
      </w:pPr>
      <w:r>
        <w:rPr>
          <w:color w:val="auto"/>
        </w:rPr>
        <w:t>Q</w:t>
      </w:r>
      <w:r>
        <w:rPr>
          <w:color w:val="auto"/>
          <w:vertAlign w:val="subscript"/>
        </w:rPr>
        <w:t>1</w:t>
      </w:r>
      <w:r>
        <w:rPr>
          <w:color w:val="auto"/>
        </w:rPr>
        <w:t>，Q</w:t>
      </w:r>
      <w:r>
        <w:rPr>
          <w:color w:val="auto"/>
          <w:vertAlign w:val="subscript"/>
        </w:rPr>
        <w:t>2</w:t>
      </w:r>
      <w:r>
        <w:rPr>
          <w:color w:val="auto"/>
        </w:rPr>
        <w:t>，…，Q</w:t>
      </w:r>
      <w:r>
        <w:rPr>
          <w:color w:val="auto"/>
          <w:vertAlign w:val="subscript"/>
        </w:rPr>
        <w:t>n</w:t>
      </w:r>
      <w:r>
        <w:rPr>
          <w:color w:val="auto"/>
        </w:rPr>
        <w:t>—每种危险物质的临界量，t；</w:t>
      </w:r>
    </w:p>
    <w:p>
      <w:pPr>
        <w:ind w:firstLine="480"/>
        <w:rPr>
          <w:color w:val="auto"/>
        </w:rPr>
      </w:pPr>
      <w:r>
        <w:rPr>
          <w:color w:val="auto"/>
        </w:rPr>
        <w:t>当Q＜1时，该项目环境风险潜势为Ⅰ；</w:t>
      </w:r>
    </w:p>
    <w:p>
      <w:pPr>
        <w:ind w:firstLine="480"/>
        <w:rPr>
          <w:color w:val="auto"/>
        </w:rPr>
      </w:pPr>
      <w:r>
        <w:rPr>
          <w:color w:val="auto"/>
        </w:rPr>
        <w:t>当Q≥1时，将Q值划分为：（1）1≤Q＜10；（2）10≤Q＜100；（3）Q≥100。</w:t>
      </w:r>
    </w:p>
    <w:p>
      <w:pPr>
        <w:pStyle w:val="31"/>
        <w:rPr>
          <w:color w:val="auto"/>
        </w:rPr>
      </w:pPr>
      <w:r>
        <w:rPr>
          <w:color w:val="auto"/>
        </w:rPr>
        <w:t>表</w:t>
      </w:r>
      <w:r>
        <w:rPr>
          <w:rFonts w:hint="eastAsia"/>
          <w:color w:val="auto"/>
        </w:rPr>
        <w:t>5</w:t>
      </w:r>
      <w:r>
        <w:rPr>
          <w:color w:val="auto"/>
        </w:rPr>
        <w:t>.9-2  涉及的风险物质及Q值计算一览表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30" w:type="dxa"/>
          <w:bottom w:w="0" w:type="dxa"/>
          <w:right w:w="30" w:type="dxa"/>
        </w:tblCellMar>
      </w:tblPr>
      <w:tblGrid>
        <w:gridCol w:w="524"/>
        <w:gridCol w:w="1148"/>
        <w:gridCol w:w="1873"/>
        <w:gridCol w:w="1938"/>
        <w:gridCol w:w="1071"/>
        <w:gridCol w:w="900"/>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4" w:type="dxa"/>
            <w:vAlign w:val="center"/>
          </w:tcPr>
          <w:p>
            <w:pPr>
              <w:pStyle w:val="30"/>
              <w:rPr>
                <w:b/>
                <w:bCs/>
                <w:color w:val="auto"/>
              </w:rPr>
            </w:pPr>
            <w:r>
              <w:rPr>
                <w:b/>
                <w:bCs/>
                <w:color w:val="auto"/>
              </w:rPr>
              <w:t>序号</w:t>
            </w:r>
          </w:p>
        </w:tc>
        <w:tc>
          <w:tcPr>
            <w:tcW w:w="1148" w:type="dxa"/>
            <w:vAlign w:val="center"/>
          </w:tcPr>
          <w:p>
            <w:pPr>
              <w:pStyle w:val="30"/>
              <w:rPr>
                <w:b/>
                <w:bCs/>
                <w:color w:val="auto"/>
              </w:rPr>
            </w:pPr>
            <w:r>
              <w:rPr>
                <w:b/>
                <w:bCs/>
                <w:color w:val="auto"/>
              </w:rPr>
              <w:t>名称</w:t>
            </w:r>
          </w:p>
        </w:tc>
        <w:tc>
          <w:tcPr>
            <w:tcW w:w="1873" w:type="dxa"/>
            <w:vAlign w:val="center"/>
          </w:tcPr>
          <w:p>
            <w:pPr>
              <w:pStyle w:val="30"/>
              <w:rPr>
                <w:b/>
                <w:bCs/>
                <w:color w:val="auto"/>
              </w:rPr>
            </w:pPr>
            <w:r>
              <w:rPr>
                <w:b/>
                <w:bCs/>
                <w:color w:val="auto"/>
              </w:rPr>
              <w:t>危害特性</w:t>
            </w:r>
          </w:p>
        </w:tc>
        <w:tc>
          <w:tcPr>
            <w:tcW w:w="1938" w:type="dxa"/>
            <w:vAlign w:val="center"/>
          </w:tcPr>
          <w:p>
            <w:pPr>
              <w:pStyle w:val="30"/>
              <w:rPr>
                <w:b/>
                <w:bCs/>
                <w:color w:val="auto"/>
              </w:rPr>
            </w:pPr>
            <w:r>
              <w:rPr>
                <w:b/>
                <w:bCs/>
                <w:color w:val="auto"/>
              </w:rPr>
              <w:t>贮存方式</w:t>
            </w:r>
          </w:p>
        </w:tc>
        <w:tc>
          <w:tcPr>
            <w:tcW w:w="1071" w:type="dxa"/>
            <w:vAlign w:val="center"/>
          </w:tcPr>
          <w:p>
            <w:pPr>
              <w:pStyle w:val="30"/>
              <w:rPr>
                <w:b/>
                <w:bCs/>
                <w:color w:val="auto"/>
              </w:rPr>
            </w:pPr>
            <w:r>
              <w:rPr>
                <w:b/>
                <w:bCs/>
                <w:color w:val="auto"/>
              </w:rPr>
              <w:t>最大贮存量qi</w:t>
            </w:r>
          </w:p>
        </w:tc>
        <w:tc>
          <w:tcPr>
            <w:tcW w:w="900" w:type="dxa"/>
            <w:vAlign w:val="center"/>
          </w:tcPr>
          <w:p>
            <w:pPr>
              <w:pStyle w:val="30"/>
              <w:rPr>
                <w:b/>
                <w:bCs/>
                <w:color w:val="auto"/>
              </w:rPr>
            </w:pPr>
            <w:r>
              <w:rPr>
                <w:b/>
                <w:bCs/>
                <w:color w:val="auto"/>
              </w:rPr>
              <w:t>临界量Qi</w:t>
            </w:r>
          </w:p>
        </w:tc>
        <w:tc>
          <w:tcPr>
            <w:tcW w:w="1051" w:type="dxa"/>
            <w:vAlign w:val="center"/>
          </w:tcPr>
          <w:p>
            <w:pPr>
              <w:pStyle w:val="30"/>
              <w:rPr>
                <w:b/>
                <w:bCs/>
                <w:color w:val="auto"/>
              </w:rPr>
            </w:pPr>
            <w:r>
              <w:rPr>
                <w:b/>
                <w:bCs/>
                <w:color w:val="auto"/>
              </w:rPr>
              <w:t>qi/Qi</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4" w:type="dxa"/>
            <w:vAlign w:val="center"/>
          </w:tcPr>
          <w:p>
            <w:pPr>
              <w:pStyle w:val="30"/>
              <w:rPr>
                <w:color w:val="auto"/>
              </w:rPr>
            </w:pPr>
            <w:r>
              <w:rPr>
                <w:color w:val="auto"/>
              </w:rPr>
              <w:t>1</w:t>
            </w:r>
          </w:p>
        </w:tc>
        <w:tc>
          <w:tcPr>
            <w:tcW w:w="1148" w:type="dxa"/>
            <w:vAlign w:val="center"/>
          </w:tcPr>
          <w:p>
            <w:pPr>
              <w:pStyle w:val="30"/>
              <w:rPr>
                <w:color w:val="auto"/>
              </w:rPr>
            </w:pPr>
            <w:r>
              <w:rPr>
                <w:rFonts w:hint="eastAsia"/>
                <w:color w:val="auto"/>
              </w:rPr>
              <w:t>废机油</w:t>
            </w:r>
          </w:p>
        </w:tc>
        <w:tc>
          <w:tcPr>
            <w:tcW w:w="1873" w:type="dxa"/>
            <w:vAlign w:val="center"/>
          </w:tcPr>
          <w:p>
            <w:pPr>
              <w:pStyle w:val="30"/>
              <w:rPr>
                <w:color w:val="auto"/>
              </w:rPr>
            </w:pPr>
            <w:r>
              <w:rPr>
                <w:color w:val="auto"/>
              </w:rPr>
              <w:t>毒性</w:t>
            </w:r>
            <w:r>
              <w:rPr>
                <w:rFonts w:hint="eastAsia"/>
                <w:color w:val="auto"/>
              </w:rPr>
              <w:t>、易燃性</w:t>
            </w:r>
          </w:p>
        </w:tc>
        <w:tc>
          <w:tcPr>
            <w:tcW w:w="1938" w:type="dxa"/>
            <w:vAlign w:val="center"/>
          </w:tcPr>
          <w:p>
            <w:pPr>
              <w:pStyle w:val="30"/>
              <w:rPr>
                <w:color w:val="auto"/>
              </w:rPr>
            </w:pPr>
            <w:r>
              <w:rPr>
                <w:rFonts w:hint="eastAsia"/>
                <w:color w:val="auto"/>
              </w:rPr>
              <w:t>危废间暂存</w:t>
            </w:r>
          </w:p>
        </w:tc>
        <w:tc>
          <w:tcPr>
            <w:tcW w:w="1071" w:type="dxa"/>
            <w:vAlign w:val="center"/>
          </w:tcPr>
          <w:p>
            <w:pPr>
              <w:pStyle w:val="30"/>
              <w:rPr>
                <w:color w:val="auto"/>
              </w:rPr>
            </w:pPr>
            <w:r>
              <w:rPr>
                <w:rFonts w:hint="eastAsia"/>
                <w:color w:val="auto"/>
              </w:rPr>
              <w:t>0.1t</w:t>
            </w:r>
          </w:p>
        </w:tc>
        <w:tc>
          <w:tcPr>
            <w:tcW w:w="900" w:type="dxa"/>
            <w:vAlign w:val="center"/>
          </w:tcPr>
          <w:p>
            <w:pPr>
              <w:pStyle w:val="30"/>
              <w:rPr>
                <w:color w:val="auto"/>
              </w:rPr>
            </w:pPr>
            <w:r>
              <w:rPr>
                <w:rFonts w:hint="eastAsia"/>
                <w:color w:val="auto"/>
              </w:rPr>
              <w:t>2500t</w:t>
            </w:r>
          </w:p>
        </w:tc>
        <w:tc>
          <w:tcPr>
            <w:tcW w:w="1051" w:type="dxa"/>
            <w:vAlign w:val="center"/>
          </w:tcPr>
          <w:p>
            <w:pPr>
              <w:pStyle w:val="30"/>
              <w:rPr>
                <w:color w:val="auto"/>
              </w:rPr>
            </w:pPr>
            <w:r>
              <w:rPr>
                <w:rFonts w:hint="eastAsia"/>
                <w:color w:val="auto"/>
              </w:rPr>
              <w:t>0.00004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4" w:type="dxa"/>
            <w:vAlign w:val="center"/>
          </w:tcPr>
          <w:p>
            <w:pPr>
              <w:pStyle w:val="30"/>
              <w:rPr>
                <w:rFonts w:hint="eastAsia" w:eastAsia="宋体"/>
                <w:color w:val="auto"/>
                <w:lang w:val="en-US" w:eastAsia="zh-CN"/>
              </w:rPr>
            </w:pPr>
            <w:r>
              <w:rPr>
                <w:rFonts w:hint="eastAsia"/>
                <w:color w:val="auto"/>
                <w:lang w:val="en-US" w:eastAsia="zh-CN"/>
              </w:rPr>
              <w:t>2</w:t>
            </w:r>
          </w:p>
        </w:tc>
        <w:tc>
          <w:tcPr>
            <w:tcW w:w="1148" w:type="dxa"/>
            <w:vAlign w:val="center"/>
          </w:tcPr>
          <w:p>
            <w:pPr>
              <w:pStyle w:val="30"/>
              <w:rPr>
                <w:rFonts w:hint="default" w:eastAsia="宋体"/>
                <w:color w:val="auto"/>
                <w:lang w:val="en-US" w:eastAsia="zh-CN"/>
              </w:rPr>
            </w:pPr>
            <w:r>
              <w:rPr>
                <w:rFonts w:hint="eastAsia"/>
                <w:color w:val="auto"/>
                <w:lang w:val="en-US" w:eastAsia="zh-CN"/>
              </w:rPr>
              <w:t>废活性炭</w:t>
            </w:r>
          </w:p>
        </w:tc>
        <w:tc>
          <w:tcPr>
            <w:tcW w:w="1873" w:type="dxa"/>
            <w:vAlign w:val="center"/>
          </w:tcPr>
          <w:p>
            <w:pPr>
              <w:pStyle w:val="30"/>
              <w:ind w:firstLine="0" w:firstLineChars="0"/>
              <w:rPr>
                <w:rFonts w:ascii="Times New Roman" w:hAnsi="Times New Roman" w:eastAsia="宋体" w:cstheme="minorBidi"/>
                <w:color w:val="auto"/>
                <w:kern w:val="2"/>
                <w:sz w:val="21"/>
                <w:szCs w:val="22"/>
                <w:lang w:val="en-US" w:eastAsia="zh-CN" w:bidi="ar-SA"/>
              </w:rPr>
            </w:pPr>
            <w:r>
              <w:rPr>
                <w:color w:val="auto"/>
              </w:rPr>
              <w:t>毒性</w:t>
            </w:r>
            <w:r>
              <w:rPr>
                <w:rFonts w:hint="eastAsia"/>
                <w:color w:val="auto"/>
              </w:rPr>
              <w:t>、易燃性</w:t>
            </w:r>
          </w:p>
        </w:tc>
        <w:tc>
          <w:tcPr>
            <w:tcW w:w="1938" w:type="dxa"/>
            <w:vAlign w:val="center"/>
          </w:tcPr>
          <w:p>
            <w:pPr>
              <w:pStyle w:val="30"/>
              <w:ind w:firstLine="0" w:firstLineChars="0"/>
              <w:rPr>
                <w:rFonts w:hint="eastAsia" w:ascii="Times New Roman" w:hAnsi="Times New Roman" w:eastAsia="宋体" w:cstheme="minorBidi"/>
                <w:color w:val="auto"/>
                <w:kern w:val="2"/>
                <w:sz w:val="21"/>
                <w:szCs w:val="22"/>
                <w:lang w:val="en-US" w:eastAsia="zh-CN" w:bidi="ar-SA"/>
              </w:rPr>
            </w:pPr>
            <w:r>
              <w:rPr>
                <w:rFonts w:hint="eastAsia"/>
                <w:color w:val="auto"/>
              </w:rPr>
              <w:t>危废间暂存</w:t>
            </w:r>
          </w:p>
        </w:tc>
        <w:tc>
          <w:tcPr>
            <w:tcW w:w="1071" w:type="dxa"/>
            <w:vAlign w:val="center"/>
          </w:tcPr>
          <w:p>
            <w:pPr>
              <w:pStyle w:val="30"/>
              <w:ind w:firstLine="0" w:firstLineChars="0"/>
              <w:rPr>
                <w:rFonts w:hint="eastAsia" w:ascii="Times New Roman" w:hAnsi="Times New Roman" w:eastAsia="宋体" w:cstheme="minorBidi"/>
                <w:color w:val="auto"/>
                <w:kern w:val="2"/>
                <w:sz w:val="21"/>
                <w:szCs w:val="22"/>
                <w:lang w:val="en-US" w:eastAsia="zh-CN" w:bidi="ar-SA"/>
              </w:rPr>
            </w:pPr>
            <w:r>
              <w:rPr>
                <w:rFonts w:hint="eastAsia"/>
                <w:color w:val="auto"/>
                <w:lang w:val="en-US" w:eastAsia="zh-CN"/>
              </w:rPr>
              <w:t>1t</w:t>
            </w:r>
          </w:p>
        </w:tc>
        <w:tc>
          <w:tcPr>
            <w:tcW w:w="900" w:type="dxa"/>
            <w:vAlign w:val="center"/>
          </w:tcPr>
          <w:p>
            <w:pPr>
              <w:pStyle w:val="30"/>
              <w:ind w:firstLine="0" w:firstLineChars="0"/>
              <w:rPr>
                <w:rFonts w:hint="eastAsia" w:ascii="Times New Roman" w:hAnsi="Times New Roman" w:eastAsia="宋体" w:cstheme="minorBidi"/>
                <w:color w:val="auto"/>
                <w:kern w:val="2"/>
                <w:sz w:val="21"/>
                <w:szCs w:val="22"/>
                <w:lang w:val="en-US" w:eastAsia="zh-CN" w:bidi="ar-SA"/>
              </w:rPr>
            </w:pPr>
            <w:r>
              <w:rPr>
                <w:rFonts w:hint="eastAsia"/>
                <w:color w:val="auto"/>
                <w:lang w:val="en-US" w:eastAsia="zh-CN"/>
              </w:rPr>
              <w:t>50t</w:t>
            </w:r>
          </w:p>
        </w:tc>
        <w:tc>
          <w:tcPr>
            <w:tcW w:w="1051" w:type="dxa"/>
            <w:vAlign w:val="center"/>
          </w:tcPr>
          <w:p>
            <w:pPr>
              <w:pStyle w:val="30"/>
              <w:rPr>
                <w:rFonts w:hint="default" w:eastAsia="宋体"/>
                <w:color w:val="auto"/>
                <w:lang w:val="en-US" w:eastAsia="zh-CN"/>
              </w:rPr>
            </w:pPr>
            <w:r>
              <w:rPr>
                <w:rFonts w:hint="eastAsia"/>
                <w:color w:val="auto"/>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454" w:type="dxa"/>
            <w:gridSpan w:val="6"/>
            <w:vAlign w:val="center"/>
          </w:tcPr>
          <w:p>
            <w:pPr>
              <w:pStyle w:val="30"/>
              <w:rPr>
                <w:color w:val="auto"/>
              </w:rPr>
            </w:pPr>
            <w:r>
              <w:rPr>
                <w:color w:val="auto"/>
              </w:rPr>
              <w:t>合计</w:t>
            </w:r>
          </w:p>
        </w:tc>
        <w:tc>
          <w:tcPr>
            <w:tcW w:w="1051" w:type="dxa"/>
            <w:vAlign w:val="center"/>
          </w:tcPr>
          <w:p>
            <w:pPr>
              <w:pStyle w:val="30"/>
              <w:rPr>
                <w:color w:val="auto"/>
              </w:rPr>
            </w:pPr>
            <w:r>
              <w:rPr>
                <w:rFonts w:hint="eastAsia"/>
                <w:color w:val="auto"/>
              </w:rPr>
              <w:t>0.0</w:t>
            </w:r>
            <w:r>
              <w:rPr>
                <w:rFonts w:hint="eastAsia"/>
                <w:color w:val="auto"/>
                <w:lang w:val="en-US" w:eastAsia="zh-CN"/>
              </w:rPr>
              <w:t>2</w:t>
            </w:r>
            <w:r>
              <w:rPr>
                <w:rFonts w:hint="eastAsia"/>
                <w:color w:val="auto"/>
              </w:rPr>
              <w:t>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505" w:type="dxa"/>
            <w:gridSpan w:val="7"/>
            <w:vAlign w:val="center"/>
          </w:tcPr>
          <w:p>
            <w:pPr>
              <w:pStyle w:val="30"/>
              <w:rPr>
                <w:color w:val="auto"/>
              </w:rPr>
            </w:pPr>
            <w:r>
              <w:rPr>
                <w:rFonts w:hint="eastAsia"/>
                <w:color w:val="auto"/>
              </w:rPr>
              <w:t>注：临界量Qi参照《建设项目环境风险评价技术导则》（HJ169-2018）</w:t>
            </w:r>
          </w:p>
        </w:tc>
      </w:tr>
    </w:tbl>
    <w:p>
      <w:pPr>
        <w:ind w:firstLine="480"/>
        <w:rPr>
          <w:color w:val="auto"/>
        </w:rPr>
      </w:pPr>
      <w:r>
        <w:rPr>
          <w:color w:val="auto"/>
        </w:rPr>
        <w:t>对照《建设项目环境风险评价技术导则》（HJ169-2018）附录B，本项目涉及其中的风险物质</w:t>
      </w:r>
      <w:r>
        <w:rPr>
          <w:rFonts w:hint="eastAsia"/>
          <w:color w:val="auto"/>
        </w:rPr>
        <w:t>废机油</w:t>
      </w:r>
      <w:r>
        <w:rPr>
          <w:color w:val="auto"/>
        </w:rPr>
        <w:t>，Q＜1，风险潜势为</w:t>
      </w:r>
      <w:r>
        <w:rPr>
          <w:color w:val="auto"/>
        </w:rPr>
        <w:fldChar w:fldCharType="begin"/>
      </w:r>
      <w:r>
        <w:rPr>
          <w:color w:val="auto"/>
        </w:rPr>
        <w:instrText xml:space="preserve"> = 1 \* ROMAN \* MERGEFORMAT </w:instrText>
      </w:r>
      <w:r>
        <w:rPr>
          <w:color w:val="auto"/>
        </w:rPr>
        <w:fldChar w:fldCharType="separate"/>
      </w:r>
      <w:r>
        <w:rPr>
          <w:color w:val="auto"/>
        </w:rPr>
        <w:t>I</w:t>
      </w:r>
      <w:r>
        <w:rPr>
          <w:color w:val="auto"/>
        </w:rPr>
        <w:fldChar w:fldCharType="end"/>
      </w:r>
      <w:r>
        <w:rPr>
          <w:color w:val="auto"/>
        </w:rPr>
        <w:t>。</w:t>
      </w:r>
    </w:p>
    <w:p>
      <w:pPr>
        <w:pStyle w:val="8"/>
      </w:pPr>
      <w:r>
        <w:rPr>
          <w:rFonts w:hint="eastAsia"/>
        </w:rPr>
        <w:t>5</w:t>
      </w:r>
      <w:r>
        <w:t>.9.1.2评价等级</w:t>
      </w:r>
    </w:p>
    <w:p>
      <w:pPr>
        <w:ind w:firstLine="480"/>
        <w:rPr>
          <w:color w:val="auto"/>
        </w:rPr>
      </w:pPr>
      <w:r>
        <w:rPr>
          <w:color w:val="auto"/>
        </w:rPr>
        <w:t>本项目环境风险潜势为Ⅰ，故本项目环境风险评价可开展简单分析，具体见下表。</w:t>
      </w:r>
    </w:p>
    <w:p>
      <w:pPr>
        <w:pStyle w:val="31"/>
        <w:rPr>
          <w:color w:val="auto"/>
        </w:rPr>
      </w:pPr>
      <w:r>
        <w:rPr>
          <w:color w:val="auto"/>
        </w:rPr>
        <w:t>表</w:t>
      </w:r>
      <w:r>
        <w:rPr>
          <w:rFonts w:hint="eastAsia"/>
          <w:color w:val="auto"/>
        </w:rPr>
        <w:t>5</w:t>
      </w:r>
      <w:r>
        <w:rPr>
          <w:color w:val="auto"/>
        </w:rPr>
        <w:t>.9-3   风险评价工作等级划分</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799"/>
        <w:gridCol w:w="1801"/>
        <w:gridCol w:w="1801"/>
        <w:gridCol w:w="1801"/>
        <w:gridCol w:w="1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9" w:type="dxa"/>
            <w:vAlign w:val="center"/>
          </w:tcPr>
          <w:p>
            <w:pPr>
              <w:pStyle w:val="30"/>
              <w:rPr>
                <w:b/>
                <w:bCs/>
                <w:color w:val="auto"/>
              </w:rPr>
            </w:pPr>
            <w:r>
              <w:rPr>
                <w:b/>
                <w:bCs/>
                <w:color w:val="auto"/>
              </w:rPr>
              <w:t>环境风险潜势</w:t>
            </w:r>
          </w:p>
        </w:tc>
        <w:tc>
          <w:tcPr>
            <w:tcW w:w="1801" w:type="dxa"/>
            <w:vAlign w:val="center"/>
          </w:tcPr>
          <w:p>
            <w:pPr>
              <w:pStyle w:val="30"/>
              <w:rPr>
                <w:b/>
                <w:bCs/>
                <w:color w:val="auto"/>
              </w:rPr>
            </w:pPr>
            <w:r>
              <w:rPr>
                <w:b/>
                <w:bCs/>
                <w:color w:val="auto"/>
              </w:rPr>
              <w:fldChar w:fldCharType="begin"/>
            </w:r>
            <w:r>
              <w:rPr>
                <w:b/>
                <w:bCs/>
                <w:color w:val="auto"/>
              </w:rPr>
              <w:instrText xml:space="preserve"> = 4 \* ROMAN \* MERGEFORMAT </w:instrText>
            </w:r>
            <w:r>
              <w:rPr>
                <w:b/>
                <w:bCs/>
                <w:color w:val="auto"/>
              </w:rPr>
              <w:fldChar w:fldCharType="separate"/>
            </w:r>
            <w:r>
              <w:rPr>
                <w:b/>
                <w:bCs/>
                <w:color w:val="auto"/>
              </w:rPr>
              <w:t>IV</w:t>
            </w:r>
            <w:r>
              <w:rPr>
                <w:b/>
                <w:bCs/>
                <w:color w:val="auto"/>
              </w:rPr>
              <w:fldChar w:fldCharType="end"/>
            </w:r>
            <w:r>
              <w:rPr>
                <w:b/>
                <w:bCs/>
                <w:color w:val="auto"/>
              </w:rPr>
              <w:t>、</w:t>
            </w:r>
            <w:r>
              <w:rPr>
                <w:b/>
                <w:bCs/>
                <w:color w:val="auto"/>
              </w:rPr>
              <w:fldChar w:fldCharType="begin"/>
            </w:r>
            <w:r>
              <w:rPr>
                <w:b/>
                <w:bCs/>
                <w:color w:val="auto"/>
              </w:rPr>
              <w:instrText xml:space="preserve"> = 4 \* ROMAN \* MERGEFORMAT </w:instrText>
            </w:r>
            <w:r>
              <w:rPr>
                <w:b/>
                <w:bCs/>
                <w:color w:val="auto"/>
              </w:rPr>
              <w:fldChar w:fldCharType="separate"/>
            </w:r>
            <w:r>
              <w:rPr>
                <w:b/>
                <w:bCs/>
                <w:color w:val="auto"/>
              </w:rPr>
              <w:t>IV</w:t>
            </w:r>
            <w:r>
              <w:rPr>
                <w:b/>
                <w:bCs/>
                <w:color w:val="auto"/>
              </w:rPr>
              <w:fldChar w:fldCharType="end"/>
            </w:r>
            <w:r>
              <w:rPr>
                <w:b/>
                <w:bCs/>
                <w:color w:val="auto"/>
                <w:vertAlign w:val="superscript"/>
              </w:rPr>
              <w:t>+</w:t>
            </w:r>
          </w:p>
        </w:tc>
        <w:tc>
          <w:tcPr>
            <w:tcW w:w="1801" w:type="dxa"/>
            <w:vAlign w:val="center"/>
          </w:tcPr>
          <w:p>
            <w:pPr>
              <w:pStyle w:val="30"/>
              <w:rPr>
                <w:b/>
                <w:bCs/>
                <w:color w:val="auto"/>
              </w:rPr>
            </w:pPr>
            <w:r>
              <w:rPr>
                <w:b/>
                <w:bCs/>
                <w:color w:val="auto"/>
              </w:rPr>
              <w:fldChar w:fldCharType="begin"/>
            </w:r>
            <w:r>
              <w:rPr>
                <w:b/>
                <w:bCs/>
                <w:color w:val="auto"/>
              </w:rPr>
              <w:instrText xml:space="preserve"> = 3 \* ROMAN \* MERGEFORMAT </w:instrText>
            </w:r>
            <w:r>
              <w:rPr>
                <w:b/>
                <w:bCs/>
                <w:color w:val="auto"/>
              </w:rPr>
              <w:fldChar w:fldCharType="separate"/>
            </w:r>
            <w:r>
              <w:rPr>
                <w:b/>
                <w:bCs/>
                <w:color w:val="auto"/>
              </w:rPr>
              <w:t>III</w:t>
            </w:r>
            <w:r>
              <w:rPr>
                <w:b/>
                <w:bCs/>
                <w:color w:val="auto"/>
              </w:rPr>
              <w:fldChar w:fldCharType="end"/>
            </w:r>
          </w:p>
        </w:tc>
        <w:tc>
          <w:tcPr>
            <w:tcW w:w="1801" w:type="dxa"/>
            <w:vAlign w:val="center"/>
          </w:tcPr>
          <w:p>
            <w:pPr>
              <w:pStyle w:val="30"/>
              <w:rPr>
                <w:b/>
                <w:bCs/>
                <w:color w:val="auto"/>
              </w:rPr>
            </w:pPr>
            <w:r>
              <w:rPr>
                <w:b/>
                <w:bCs/>
                <w:color w:val="auto"/>
              </w:rPr>
              <w:fldChar w:fldCharType="begin"/>
            </w:r>
            <w:r>
              <w:rPr>
                <w:b/>
                <w:bCs/>
                <w:color w:val="auto"/>
              </w:rPr>
              <w:instrText xml:space="preserve"> = 2 \* ROMAN \* MERGEFORMAT </w:instrText>
            </w:r>
            <w:r>
              <w:rPr>
                <w:b/>
                <w:bCs/>
                <w:color w:val="auto"/>
              </w:rPr>
              <w:fldChar w:fldCharType="separate"/>
            </w:r>
            <w:r>
              <w:rPr>
                <w:b/>
                <w:bCs/>
                <w:color w:val="auto"/>
              </w:rPr>
              <w:t>II</w:t>
            </w:r>
            <w:r>
              <w:rPr>
                <w:b/>
                <w:bCs/>
                <w:color w:val="auto"/>
              </w:rPr>
              <w:fldChar w:fldCharType="end"/>
            </w:r>
          </w:p>
        </w:tc>
        <w:tc>
          <w:tcPr>
            <w:tcW w:w="1802" w:type="dxa"/>
            <w:vAlign w:val="center"/>
          </w:tcPr>
          <w:p>
            <w:pPr>
              <w:pStyle w:val="30"/>
              <w:rPr>
                <w:b/>
                <w:bCs/>
                <w:color w:val="auto"/>
              </w:rPr>
            </w:pPr>
            <w:r>
              <w:rPr>
                <w:b/>
                <w:bCs/>
                <w:color w:val="auto"/>
              </w:rPr>
              <w:fldChar w:fldCharType="begin"/>
            </w:r>
            <w:r>
              <w:rPr>
                <w:b/>
                <w:bCs/>
                <w:color w:val="auto"/>
              </w:rPr>
              <w:instrText xml:space="preserve"> = 1 \* ROMAN \* MERGEFORMAT </w:instrText>
            </w:r>
            <w:r>
              <w:rPr>
                <w:b/>
                <w:bCs/>
                <w:color w:val="auto"/>
              </w:rPr>
              <w:fldChar w:fldCharType="separate"/>
            </w:r>
            <w:r>
              <w:rPr>
                <w:b/>
                <w:bCs/>
                <w:color w:val="auto"/>
              </w:rPr>
              <w:t>I</w:t>
            </w:r>
            <w:r>
              <w:rPr>
                <w:b/>
                <w:bCs/>
                <w:color w:val="auto"/>
              </w:rPr>
              <w:fldChar w:fldCharType="end"/>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99" w:type="dxa"/>
            <w:vAlign w:val="center"/>
          </w:tcPr>
          <w:p>
            <w:pPr>
              <w:pStyle w:val="30"/>
              <w:rPr>
                <w:color w:val="auto"/>
              </w:rPr>
            </w:pPr>
            <w:r>
              <w:rPr>
                <w:color w:val="auto"/>
              </w:rPr>
              <w:t>评价工作等级</w:t>
            </w:r>
          </w:p>
        </w:tc>
        <w:tc>
          <w:tcPr>
            <w:tcW w:w="1801" w:type="dxa"/>
            <w:vAlign w:val="center"/>
          </w:tcPr>
          <w:p>
            <w:pPr>
              <w:pStyle w:val="30"/>
              <w:rPr>
                <w:color w:val="auto"/>
              </w:rPr>
            </w:pPr>
            <w:r>
              <w:rPr>
                <w:color w:val="auto"/>
              </w:rPr>
              <w:t>一</w:t>
            </w:r>
          </w:p>
        </w:tc>
        <w:tc>
          <w:tcPr>
            <w:tcW w:w="1801" w:type="dxa"/>
            <w:vAlign w:val="center"/>
          </w:tcPr>
          <w:p>
            <w:pPr>
              <w:pStyle w:val="30"/>
              <w:rPr>
                <w:color w:val="auto"/>
              </w:rPr>
            </w:pPr>
            <w:r>
              <w:rPr>
                <w:color w:val="auto"/>
              </w:rPr>
              <w:t>二</w:t>
            </w:r>
          </w:p>
        </w:tc>
        <w:tc>
          <w:tcPr>
            <w:tcW w:w="1801" w:type="dxa"/>
            <w:vAlign w:val="center"/>
          </w:tcPr>
          <w:p>
            <w:pPr>
              <w:pStyle w:val="30"/>
              <w:rPr>
                <w:color w:val="auto"/>
              </w:rPr>
            </w:pPr>
            <w:r>
              <w:rPr>
                <w:color w:val="auto"/>
              </w:rPr>
              <w:t>三</w:t>
            </w:r>
          </w:p>
        </w:tc>
        <w:tc>
          <w:tcPr>
            <w:tcW w:w="1802" w:type="dxa"/>
            <w:vAlign w:val="center"/>
          </w:tcPr>
          <w:p>
            <w:pPr>
              <w:pStyle w:val="30"/>
              <w:rPr>
                <w:color w:val="auto"/>
              </w:rPr>
            </w:pPr>
            <w:r>
              <w:rPr>
                <w:color w:val="auto"/>
              </w:rPr>
              <w:t>简单分析</w:t>
            </w:r>
          </w:p>
        </w:tc>
      </w:tr>
    </w:tbl>
    <w:p>
      <w:pPr>
        <w:pStyle w:val="8"/>
      </w:pPr>
      <w:r>
        <w:rPr>
          <w:rFonts w:hint="eastAsia"/>
        </w:rPr>
        <w:t>5</w:t>
      </w:r>
      <w:r>
        <w:t>.9.1.3风险识别</w:t>
      </w:r>
    </w:p>
    <w:p>
      <w:pPr>
        <w:ind w:firstLine="480"/>
        <w:rPr>
          <w:color w:val="auto"/>
        </w:rPr>
      </w:pPr>
      <w:r>
        <w:rPr>
          <w:color w:val="auto"/>
        </w:rPr>
        <w:t>通过对本项目生产过程中的主要物料、产品等按物质危险性、毒理指标和毒性等级进行分析，并考虑其燃烧危险爆炸性，对照《建设项目环境风险评价技术导则》（HJ169-2018）附录B中重点关注的危险物质及临界量，并通过查询MSDS可知，本项目涉及到的</w:t>
      </w:r>
      <w:r>
        <w:rPr>
          <w:rFonts w:hint="eastAsia"/>
          <w:color w:val="auto"/>
        </w:rPr>
        <w:t>再生塑料颗粒</w:t>
      </w:r>
      <w:r>
        <w:rPr>
          <w:color w:val="auto"/>
        </w:rPr>
        <w:t>不属于剧毒、易燃和爆炸性物质。</w:t>
      </w:r>
      <w:r>
        <w:rPr>
          <w:rFonts w:hint="eastAsia"/>
          <w:color w:val="auto"/>
        </w:rPr>
        <w:t>废机油暂存于危险废物暂存间，发生泄露时会对外环境造成影响。</w:t>
      </w:r>
    </w:p>
    <w:p>
      <w:pPr>
        <w:ind w:firstLine="480"/>
        <w:rPr>
          <w:color w:val="auto"/>
        </w:rPr>
      </w:pPr>
      <w:r>
        <w:rPr>
          <w:rFonts w:hint="eastAsia"/>
          <w:color w:val="auto"/>
        </w:rPr>
        <w:t>在生产、储存过程中，原料区与成品区发生火灾，塑料燃烧后释放有害废气，将产生一定的环境风险。塑料在生产和储存过程中潜在的危险主要为火灾风险及火灾次生环境风险，塑料燃烧伴随大量CO及有毒有害的塑料分解产物产生，将威胁作业人员的生命安全，造成重大生命、财产损失，并对周围环境空气产生影响。</w:t>
      </w:r>
    </w:p>
    <w:p>
      <w:pPr>
        <w:pStyle w:val="7"/>
        <w:rPr>
          <w:color w:val="auto"/>
        </w:rPr>
      </w:pPr>
      <w:r>
        <w:rPr>
          <w:rFonts w:hint="eastAsia"/>
          <w:color w:val="auto"/>
        </w:rPr>
        <w:t>5</w:t>
      </w:r>
      <w:r>
        <w:rPr>
          <w:color w:val="auto"/>
        </w:rPr>
        <w:t>.9.2环境风险分析</w:t>
      </w:r>
    </w:p>
    <w:p>
      <w:pPr>
        <w:pStyle w:val="8"/>
      </w:pPr>
      <w:r>
        <w:rPr>
          <w:rFonts w:hint="eastAsia"/>
        </w:rPr>
        <w:t>5</w:t>
      </w:r>
      <w:r>
        <w:t>.9.2.1危险废物环境风险事故分析</w:t>
      </w:r>
    </w:p>
    <w:p>
      <w:pPr>
        <w:ind w:firstLine="480"/>
        <w:rPr>
          <w:color w:val="auto"/>
        </w:rPr>
      </w:pPr>
      <w:r>
        <w:rPr>
          <w:color w:val="auto"/>
        </w:rPr>
        <w:t>本项目危险废物主要为</w:t>
      </w:r>
      <w:r>
        <w:rPr>
          <w:rFonts w:hint="eastAsia"/>
          <w:color w:val="auto"/>
        </w:rPr>
        <w:t>废机油及废活性炭</w:t>
      </w:r>
      <w:r>
        <w:rPr>
          <w:color w:val="auto"/>
        </w:rPr>
        <w:t>，危险废物存放于危废暂存间，正常存放情况下，不会对周边环境产生不良影响。若随意丢弃，不按规范摆放和贮存，可能造成危险废物中含有的有毒有害物质的泄漏、流失，若直接进入环境，可能造成残留物污染水体、土壤、地下水，影响地表水水质、土壤土质、地下水水质，对周边环境将造成较大影响。</w:t>
      </w:r>
    </w:p>
    <w:p>
      <w:pPr>
        <w:pStyle w:val="8"/>
      </w:pPr>
      <w:r>
        <w:rPr>
          <w:rFonts w:hint="eastAsia"/>
        </w:rPr>
        <w:t>5</w:t>
      </w:r>
      <w:r>
        <w:t>.9.2.2环境设施发生故障导致的环境风险分析</w:t>
      </w:r>
    </w:p>
    <w:p>
      <w:pPr>
        <w:ind w:firstLine="480"/>
        <w:rPr>
          <w:color w:val="auto"/>
        </w:rPr>
      </w:pPr>
      <w:r>
        <w:rPr>
          <w:color w:val="auto"/>
        </w:rPr>
        <w:t>废气非正常排放的环境风险事故分析</w:t>
      </w:r>
    </w:p>
    <w:p>
      <w:pPr>
        <w:ind w:firstLine="480"/>
        <w:rPr>
          <w:color w:val="auto"/>
        </w:rPr>
      </w:pPr>
      <w:r>
        <w:rPr>
          <w:rFonts w:hint="eastAsia"/>
          <w:color w:val="auto"/>
        </w:rPr>
        <w:t>项目废气主要为破碎工段、混料工段产生得到粉尘和熔融挤出工段产生的非甲烷总烃、颗粒物。建设单位拟在挤出机废气产生口安装集气罩收集废气，废气经两级活性炭吸附处理后，经DA001排气筒（</w:t>
      </w:r>
      <w:r>
        <w:rPr>
          <w:rFonts w:hint="eastAsia"/>
          <w:color w:val="auto"/>
          <w:lang w:val="en-US" w:eastAsia="zh-CN"/>
        </w:rPr>
        <w:t>18</w:t>
      </w:r>
      <w:r>
        <w:rPr>
          <w:rFonts w:hint="eastAsia"/>
          <w:color w:val="auto"/>
        </w:rPr>
        <w:t>m高）排放</w:t>
      </w:r>
      <w:r>
        <w:rPr>
          <w:rFonts w:hint="eastAsia"/>
          <w:color w:val="auto"/>
          <w:lang w:eastAsia="zh-CN"/>
        </w:rPr>
        <w:t>；</w:t>
      </w:r>
      <w:r>
        <w:rPr>
          <w:rFonts w:hint="eastAsia"/>
          <w:color w:val="auto"/>
          <w:lang w:val="en-US" w:eastAsia="zh-CN"/>
        </w:rPr>
        <w:t>在破碎机废气产生口安装集气罩收集通过布袋除尘器处理后经过DA002排气筒（15m高）排放</w:t>
      </w:r>
      <w:r>
        <w:rPr>
          <w:rFonts w:hint="eastAsia"/>
          <w:color w:val="auto"/>
        </w:rPr>
        <w:t>。当废气处理设施发生故障时，将导致废气事故排放，将对周围空气质量造成不利影响</w:t>
      </w:r>
      <w:r>
        <w:rPr>
          <w:color w:val="auto"/>
        </w:rPr>
        <w:t>，且不符合环保要求，项目应采取措施杜绝非正常排放。</w:t>
      </w:r>
    </w:p>
    <w:p>
      <w:pPr>
        <w:pStyle w:val="8"/>
      </w:pPr>
      <w:r>
        <w:rPr>
          <w:rFonts w:hint="eastAsia"/>
        </w:rPr>
        <w:t>5</w:t>
      </w:r>
      <w:r>
        <w:t>.9.2.</w:t>
      </w:r>
      <w:r>
        <w:rPr>
          <w:rFonts w:hint="eastAsia"/>
        </w:rPr>
        <w:t>3火灾风险影响分析</w:t>
      </w:r>
    </w:p>
    <w:p>
      <w:pPr>
        <w:ind w:firstLine="480"/>
        <w:rPr>
          <w:color w:val="auto"/>
        </w:rPr>
      </w:pPr>
      <w:r>
        <w:rPr>
          <w:rFonts w:hint="eastAsia"/>
          <w:color w:val="auto"/>
        </w:rPr>
        <w:t>1、产品存储环境因素分析</w:t>
      </w:r>
    </w:p>
    <w:p>
      <w:pPr>
        <w:ind w:firstLine="480"/>
        <w:rPr>
          <w:color w:val="auto"/>
        </w:rPr>
      </w:pPr>
      <w:r>
        <w:rPr>
          <w:rFonts w:hint="eastAsia"/>
          <w:color w:val="auto"/>
        </w:rPr>
        <w:t>项目原料及产品储存过程中存在的环境风险为火灾风险。诱发火灾的因素主要有：违章吸烟、动火；使用气焊、电焊进行设备维修时，未采取有效防护措施；电器线路和电气设施在开关断开、接触不良、短路、漏电时产生火花，以及静电放电火花；未采取有效避雷措施，或者避雷措施失效而导致雷击失火等。</w:t>
      </w:r>
    </w:p>
    <w:p>
      <w:pPr>
        <w:ind w:firstLine="480"/>
        <w:rPr>
          <w:color w:val="auto"/>
        </w:rPr>
      </w:pPr>
      <w:r>
        <w:rPr>
          <w:rFonts w:hint="eastAsia"/>
          <w:color w:val="auto"/>
        </w:rPr>
        <w:t>2、事故次生/伴生污染影响分析</w:t>
      </w:r>
    </w:p>
    <w:p>
      <w:pPr>
        <w:ind w:firstLine="480"/>
        <w:rPr>
          <w:color w:val="auto"/>
        </w:rPr>
      </w:pPr>
      <w:r>
        <w:rPr>
          <w:rFonts w:hint="eastAsia"/>
          <w:color w:val="auto"/>
        </w:rPr>
        <w:t>（1）大气环境影响</w:t>
      </w:r>
    </w:p>
    <w:p>
      <w:pPr>
        <w:ind w:firstLine="480"/>
        <w:rPr>
          <w:color w:val="auto"/>
        </w:rPr>
      </w:pPr>
      <w:r>
        <w:rPr>
          <w:rFonts w:hint="eastAsia"/>
          <w:color w:val="auto"/>
        </w:rPr>
        <w:t>发生火灾对环境的污染影响主要来自物料燃烧释放的大量 CO 等有害气体。在正常情况下，空气的组成有氮气、氧气、二氧化碳及氢、氖、臭氧、氪、氙和尘等，而物料燃烧所产生浓烟和恶臭；另外还有一氧化碳、硫化物、氮氧化物、VOCs及烟尘等，对环境和人体健康产生较大危害是 CO、NO</w:t>
      </w:r>
      <w:r>
        <w:rPr>
          <w:rFonts w:hint="eastAsia"/>
          <w:color w:val="auto"/>
          <w:vertAlign w:val="subscript"/>
        </w:rPr>
        <w:t>X</w:t>
      </w:r>
      <w:r>
        <w:rPr>
          <w:rFonts w:hint="eastAsia"/>
          <w:color w:val="auto"/>
        </w:rPr>
        <w:t>、硫氧化物、烟尘等有害物质。</w:t>
      </w:r>
    </w:p>
    <w:p>
      <w:pPr>
        <w:ind w:firstLine="480"/>
        <w:rPr>
          <w:color w:val="auto"/>
        </w:rPr>
      </w:pPr>
      <w:r>
        <w:rPr>
          <w:rFonts w:hint="eastAsia"/>
          <w:color w:val="auto"/>
        </w:rPr>
        <w:t>一氧化碳产生量相对较大，危害也较大，一氧化碳的浓度过高或持续时间过长都会使人窒息或死亡。一般情况下，火场附近的一氧化碳的浓度较高（浓度可达0.02%），而距火场30m处，一氧化碳的浓度逐渐降低（0.001%）。因此，近距离靠近火场会造成一氧化碳中毒的危险。据以往报道，在火灾而造成的人员死亡中，3/4的人死于有害气体，而且有害气体中一氧化碳是主要的有毒物质。空气中含有大量的氮气，无论对植物还是人类均没有危害作用。但当空气中的氮被转化成氮氧化物和氮氢化物（如二氧化氮、一氧化氮、氨气等）时，其危害作用显著增加。二氧化氮具有强烈的刺激性，能引起哮喘、支气管炎、肺水肿等多种疾病。当空气中二氧化氮浓度达到 0.05%时，就会使人致死。在火场之外的开阔的空间内，由于烟雾扩散，二氧化氮的浓度被迅速稀释，不会对人体健康造成危害。</w:t>
      </w:r>
    </w:p>
    <w:p>
      <w:pPr>
        <w:ind w:firstLine="480"/>
        <w:rPr>
          <w:color w:val="auto"/>
        </w:rPr>
      </w:pPr>
      <w:r>
        <w:rPr>
          <w:rFonts w:hint="eastAsia"/>
          <w:color w:val="auto"/>
        </w:rPr>
        <w:t>火灾发生时虽不可避免的对厂区内人员安全与生产设施产生较大的不利影响，但火灾发生时有害气体对周围敏感点环境空气质量只产生暂时性影响，短时内会造成周围敏感点环境空气质量一定成程度的恶化，但不会对人体健康造成损害。</w:t>
      </w:r>
    </w:p>
    <w:p>
      <w:pPr>
        <w:ind w:firstLine="480"/>
        <w:rPr>
          <w:color w:val="auto"/>
        </w:rPr>
      </w:pPr>
      <w:r>
        <w:rPr>
          <w:rFonts w:hint="eastAsia"/>
          <w:color w:val="auto"/>
        </w:rPr>
        <w:t>（2）水环境影响</w:t>
      </w:r>
    </w:p>
    <w:p>
      <w:pPr>
        <w:ind w:firstLine="480"/>
        <w:rPr>
          <w:color w:val="auto"/>
        </w:rPr>
      </w:pPr>
      <w:r>
        <w:rPr>
          <w:rFonts w:hint="eastAsia"/>
          <w:color w:val="auto"/>
        </w:rPr>
        <w:t>发生火灾事故后，会产生大量消防污水，如果下渗或者外排则会影响区域地下水和地表水环境，造成地下水和地表水污染。</w:t>
      </w:r>
    </w:p>
    <w:p>
      <w:pPr>
        <w:pStyle w:val="7"/>
        <w:rPr>
          <w:color w:val="auto"/>
        </w:rPr>
      </w:pPr>
      <w:r>
        <w:rPr>
          <w:rFonts w:hint="eastAsia"/>
          <w:color w:val="auto"/>
        </w:rPr>
        <w:t>5</w:t>
      </w:r>
      <w:r>
        <w:rPr>
          <w:color w:val="auto"/>
        </w:rPr>
        <w:t>.9.3环境风险防范措施及应急要求</w:t>
      </w:r>
    </w:p>
    <w:p>
      <w:pPr>
        <w:pStyle w:val="8"/>
      </w:pPr>
      <w:r>
        <w:rPr>
          <w:rFonts w:hint="eastAsia"/>
        </w:rPr>
        <w:t>5</w:t>
      </w:r>
      <w:r>
        <w:t>.9.3.1危险废物泄漏事故防范措施</w:t>
      </w:r>
    </w:p>
    <w:p>
      <w:pPr>
        <w:ind w:firstLine="480"/>
        <w:rPr>
          <w:color w:val="auto"/>
        </w:rPr>
      </w:pPr>
      <w:r>
        <w:rPr>
          <w:color w:val="auto"/>
        </w:rPr>
        <w:t>1、危险废物贮存满足《危险废物贮存污染控制标准》（</w:t>
      </w:r>
      <w:r>
        <w:rPr>
          <w:rFonts w:hint="eastAsia"/>
          <w:color w:val="auto"/>
          <w:lang w:eastAsia="zh-CN"/>
        </w:rPr>
        <w:t>GB18597-2023</w:t>
      </w:r>
      <w:r>
        <w:rPr>
          <w:color w:val="auto"/>
        </w:rPr>
        <w:t>）及其2013年修改单要求。</w:t>
      </w:r>
    </w:p>
    <w:p>
      <w:pPr>
        <w:ind w:firstLine="480"/>
        <w:rPr>
          <w:color w:val="auto"/>
        </w:rPr>
      </w:pPr>
      <w:r>
        <w:rPr>
          <w:color w:val="auto"/>
        </w:rPr>
        <w:t>2、设置危废暂存间并使用醒目的标识，并定期由专门技术人员对标识进行检查，每月一次。如果标识破碎或其他原因导致其无法识别，立即更换。</w:t>
      </w:r>
    </w:p>
    <w:p>
      <w:pPr>
        <w:ind w:firstLine="480"/>
        <w:rPr>
          <w:color w:val="auto"/>
        </w:rPr>
      </w:pPr>
      <w:r>
        <w:rPr>
          <w:color w:val="auto"/>
        </w:rPr>
        <w:t>3、危险废物的存放和转移派专门负责人进行记录登记，其中包括存放和转移的量以及日期等，及时联系有资质的单位进行处置。</w:t>
      </w:r>
    </w:p>
    <w:p>
      <w:pPr>
        <w:pStyle w:val="8"/>
      </w:pPr>
      <w:r>
        <w:rPr>
          <w:rFonts w:hint="eastAsia"/>
        </w:rPr>
        <w:t>5</w:t>
      </w:r>
      <w:r>
        <w:t>.9.3.2</w:t>
      </w:r>
      <w:r>
        <w:rPr>
          <w:rFonts w:hint="eastAsia"/>
        </w:rPr>
        <w:t>原辅材料及产品运输安全防范措施</w:t>
      </w:r>
    </w:p>
    <w:p>
      <w:pPr>
        <w:ind w:firstLine="480"/>
        <w:rPr>
          <w:color w:val="auto"/>
        </w:rPr>
      </w:pPr>
      <w:r>
        <w:rPr>
          <w:rFonts w:hint="eastAsia"/>
          <w:color w:val="auto"/>
        </w:rPr>
        <w:t>本项目涉及的原料、产品易燃，物料在起运时包装要完整，装载应稳妥。运输过程中严禁与易燃物或可燃物、使用化学品等混装混运。运输途中应防止暴晒、雨淋，防高温。</w:t>
      </w:r>
    </w:p>
    <w:p>
      <w:pPr>
        <w:pStyle w:val="8"/>
      </w:pPr>
      <w:r>
        <w:rPr>
          <w:rFonts w:hint="eastAsia"/>
        </w:rPr>
        <w:t>5</w:t>
      </w:r>
      <w:r>
        <w:t>.9.3.3废气事故防范措施</w:t>
      </w:r>
    </w:p>
    <w:p>
      <w:pPr>
        <w:ind w:firstLine="480"/>
        <w:rPr>
          <w:color w:val="auto"/>
        </w:rPr>
      </w:pPr>
      <w:r>
        <w:rPr>
          <w:color w:val="auto"/>
        </w:rPr>
        <w:t>1、废气处理设备制定严格的操作规程，严格按操作规程进行运行控制，防止误操作导致废气事故排放，操作规程上墙，并在各危险区域张贴应急联系电话。</w:t>
      </w:r>
    </w:p>
    <w:p>
      <w:pPr>
        <w:ind w:firstLine="480"/>
        <w:rPr>
          <w:color w:val="auto"/>
        </w:rPr>
      </w:pPr>
      <w:r>
        <w:rPr>
          <w:color w:val="auto"/>
        </w:rPr>
        <w:t>2、废气处理设备定期检查，以保证废气的处理效果符合排放标准。</w:t>
      </w:r>
    </w:p>
    <w:p>
      <w:pPr>
        <w:ind w:firstLine="480"/>
        <w:rPr>
          <w:color w:val="auto"/>
        </w:rPr>
      </w:pPr>
      <w:r>
        <w:rPr>
          <w:color w:val="auto"/>
        </w:rPr>
        <w:t>3、管理人员每天对各废气处理设施巡检一次，查看废气处理设施运转是否正常，运行控制是否到位，不定时对各记录表进行检查。</w:t>
      </w:r>
    </w:p>
    <w:p>
      <w:pPr>
        <w:ind w:firstLine="480"/>
        <w:rPr>
          <w:color w:val="auto"/>
        </w:rPr>
      </w:pPr>
      <w:r>
        <w:rPr>
          <w:color w:val="auto"/>
        </w:rPr>
        <w:t>4、生产车间空气中有害物质的允许浓度按《工业设计卫生制度》执行，由区职业健康监护所每年对全厂尘、噪音进行监测，每年不少于一次，并在监测牌上登记公布，并建立台账。</w:t>
      </w:r>
    </w:p>
    <w:p>
      <w:pPr>
        <w:pStyle w:val="8"/>
      </w:pPr>
      <w:r>
        <w:rPr>
          <w:rFonts w:hint="eastAsia"/>
        </w:rPr>
        <w:t>5</w:t>
      </w:r>
      <w:r>
        <w:t>.9.3.4建立健全的安全环境管理制度</w:t>
      </w:r>
    </w:p>
    <w:p>
      <w:pPr>
        <w:ind w:firstLine="480"/>
        <w:rPr>
          <w:color w:val="auto"/>
        </w:rPr>
      </w:pPr>
      <w:r>
        <w:rPr>
          <w:color w:val="auto"/>
        </w:rPr>
        <w:t>1、制定和强化健康/安全/环境管理制度，并严格予以执行。</w:t>
      </w:r>
    </w:p>
    <w:p>
      <w:pPr>
        <w:ind w:firstLine="480"/>
        <w:rPr>
          <w:color w:val="auto"/>
        </w:rPr>
      </w:pPr>
      <w:r>
        <w:rPr>
          <w:color w:val="auto"/>
        </w:rPr>
        <w:t>2、严格执行我国有关劳动安全、环保与卫生的规范和标准，在设计、施工和运行过程中必须针对可能存在的不安全、不卫生因素采取相应的安全防卫措施，消除事故隐患，一旦发生事故应采取有效措施，降低因事故引起的损失和对环境的污染。</w:t>
      </w:r>
    </w:p>
    <w:p>
      <w:pPr>
        <w:ind w:firstLine="480"/>
        <w:rPr>
          <w:color w:val="auto"/>
        </w:rPr>
      </w:pPr>
      <w:r>
        <w:rPr>
          <w:color w:val="auto"/>
        </w:rPr>
        <w:t>3、加强原料区及成品存放区的安全环保管理，对公司职工进行安全环保的教育和培训，做到持证上岗，减少人为风险事故（如误操作）的发生。</w:t>
      </w:r>
    </w:p>
    <w:p>
      <w:pPr>
        <w:ind w:firstLine="480"/>
        <w:rPr>
          <w:color w:val="auto"/>
        </w:rPr>
      </w:pPr>
      <w:r>
        <w:rPr>
          <w:color w:val="auto"/>
        </w:rPr>
        <w:t>4、建立应急预案，并与当地的应急预案衔接，一旦出现事故可借助社会救援，使损失和对环境的污染降到最低。</w:t>
      </w:r>
    </w:p>
    <w:p>
      <w:pPr>
        <w:ind w:firstLine="480"/>
        <w:rPr>
          <w:color w:val="auto"/>
        </w:rPr>
      </w:pPr>
      <w:r>
        <w:rPr>
          <w:color w:val="auto"/>
        </w:rPr>
        <w:t>5、加强设备、仪表的维修、保养，定期检查各种设备，杜绝事故隐患，降低事故发生概率。定期检查和更换危险化学品的储存输送设备，杜绝由于设备劳损、折旧带来的事故隐患。</w:t>
      </w:r>
    </w:p>
    <w:p>
      <w:pPr>
        <w:pStyle w:val="8"/>
      </w:pPr>
      <w:r>
        <w:rPr>
          <w:rFonts w:hint="eastAsia"/>
        </w:rPr>
        <w:t>5</w:t>
      </w:r>
      <w:r>
        <w:t>.9.3.5环境风险应急预案</w:t>
      </w:r>
    </w:p>
    <w:p>
      <w:pPr>
        <w:ind w:firstLine="480"/>
        <w:rPr>
          <w:color w:val="auto"/>
        </w:rPr>
      </w:pPr>
      <w:r>
        <w:rPr>
          <w:color w:val="auto"/>
        </w:rPr>
        <w:t>应急预案是为应对可能发生的紧急事件所做的预先准备，其目的是限制紧急事件的影响范围，尽可能减少事件造成的人、财产和环境的损失。制定环境风险应急预案的目的是为了发生环境风险事故时能以最快的速度发挥最大的效能，有组织、有秩序的实施救援行动，达到尽快控制事态发展，降低事故造成的环境危害，减少事故损失。</w:t>
      </w:r>
    </w:p>
    <w:p>
      <w:pPr>
        <w:ind w:firstLine="480"/>
        <w:rPr>
          <w:color w:val="auto"/>
        </w:rPr>
      </w:pPr>
      <w:r>
        <w:rPr>
          <w:color w:val="auto"/>
        </w:rPr>
        <w:t>按照《环境风险评价技术导则》、《国家突发环境事件应急预案》中规定的“环境风险应急预案原则”要求，本次评价提出拟建项目《环境风险事件应急预案》的原则和总体要求、主要管理内容和重大危险源的风险控制和应急措施。总体上按公司级和装置级两级进行管理，分别制定“公司级应急预案”和“装置级应急预案”。拟建项目环境风险事件应急预案的主要内容见下表。</w:t>
      </w:r>
    </w:p>
    <w:p>
      <w:pPr>
        <w:pStyle w:val="31"/>
        <w:rPr>
          <w:color w:val="auto"/>
        </w:rPr>
      </w:pPr>
      <w:r>
        <w:rPr>
          <w:color w:val="auto"/>
        </w:rPr>
        <w:t>表</w:t>
      </w:r>
      <w:r>
        <w:rPr>
          <w:rFonts w:hint="eastAsia"/>
          <w:color w:val="auto"/>
        </w:rPr>
        <w:t>5</w:t>
      </w:r>
      <w:r>
        <w:rPr>
          <w:color w:val="auto"/>
        </w:rPr>
        <w:t>.9-4   本项目各级应急预案的主要内容</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700"/>
        <w:gridCol w:w="2220"/>
        <w:gridCol w:w="55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b/>
                <w:bCs/>
                <w:color w:val="auto"/>
              </w:rPr>
            </w:pPr>
            <w:r>
              <w:rPr>
                <w:b/>
                <w:bCs/>
                <w:color w:val="auto"/>
              </w:rPr>
              <w:t>序号</w:t>
            </w:r>
          </w:p>
        </w:tc>
        <w:tc>
          <w:tcPr>
            <w:tcW w:w="2220" w:type="dxa"/>
            <w:vAlign w:val="center"/>
          </w:tcPr>
          <w:p>
            <w:pPr>
              <w:pStyle w:val="30"/>
              <w:rPr>
                <w:b/>
                <w:bCs/>
                <w:color w:val="auto"/>
              </w:rPr>
            </w:pPr>
            <w:r>
              <w:rPr>
                <w:b/>
                <w:bCs/>
                <w:color w:val="auto"/>
              </w:rPr>
              <w:t>项目</w:t>
            </w:r>
          </w:p>
        </w:tc>
        <w:tc>
          <w:tcPr>
            <w:tcW w:w="5589" w:type="dxa"/>
            <w:vAlign w:val="center"/>
          </w:tcPr>
          <w:p>
            <w:pPr>
              <w:pStyle w:val="30"/>
              <w:rPr>
                <w:b/>
                <w:bCs/>
                <w:color w:val="auto"/>
              </w:rPr>
            </w:pPr>
            <w:r>
              <w:rPr>
                <w:b/>
                <w:bCs/>
                <w:color w:val="auto"/>
              </w:rPr>
              <w:t>内容及要求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1</w:t>
            </w:r>
          </w:p>
        </w:tc>
        <w:tc>
          <w:tcPr>
            <w:tcW w:w="2220" w:type="dxa"/>
            <w:vAlign w:val="center"/>
          </w:tcPr>
          <w:p>
            <w:pPr>
              <w:pStyle w:val="30"/>
              <w:rPr>
                <w:color w:val="auto"/>
              </w:rPr>
            </w:pPr>
            <w:r>
              <w:rPr>
                <w:color w:val="auto"/>
              </w:rPr>
              <w:t>应急计划区</w:t>
            </w:r>
          </w:p>
        </w:tc>
        <w:tc>
          <w:tcPr>
            <w:tcW w:w="5589" w:type="dxa"/>
            <w:vAlign w:val="center"/>
          </w:tcPr>
          <w:p>
            <w:pPr>
              <w:pStyle w:val="30"/>
              <w:rPr>
                <w:color w:val="auto"/>
              </w:rPr>
            </w:pPr>
            <w:r>
              <w:rPr>
                <w:color w:val="auto"/>
              </w:rPr>
              <w:t>确定原料区、生产区为重点防护单元。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2</w:t>
            </w:r>
          </w:p>
        </w:tc>
        <w:tc>
          <w:tcPr>
            <w:tcW w:w="2220" w:type="dxa"/>
            <w:vAlign w:val="center"/>
          </w:tcPr>
          <w:p>
            <w:pPr>
              <w:pStyle w:val="30"/>
              <w:rPr>
                <w:color w:val="auto"/>
              </w:rPr>
            </w:pPr>
            <w:r>
              <w:rPr>
                <w:color w:val="auto"/>
              </w:rPr>
              <w:t>应急组织机构、人员</w:t>
            </w:r>
          </w:p>
        </w:tc>
        <w:tc>
          <w:tcPr>
            <w:tcW w:w="5589" w:type="dxa"/>
            <w:vAlign w:val="center"/>
          </w:tcPr>
          <w:p>
            <w:pPr>
              <w:pStyle w:val="30"/>
              <w:rPr>
                <w:color w:val="auto"/>
              </w:rPr>
            </w:pPr>
            <w:r>
              <w:rPr>
                <w:color w:val="auto"/>
              </w:rPr>
              <w:t>设立应急救援指挥部，并明确职责。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3</w:t>
            </w:r>
          </w:p>
        </w:tc>
        <w:tc>
          <w:tcPr>
            <w:tcW w:w="2220" w:type="dxa"/>
            <w:vAlign w:val="center"/>
          </w:tcPr>
          <w:p>
            <w:pPr>
              <w:pStyle w:val="30"/>
              <w:rPr>
                <w:color w:val="auto"/>
              </w:rPr>
            </w:pPr>
            <w:r>
              <w:rPr>
                <w:color w:val="auto"/>
              </w:rPr>
              <w:t>预案分级影响条件</w:t>
            </w:r>
          </w:p>
        </w:tc>
        <w:tc>
          <w:tcPr>
            <w:tcW w:w="5589" w:type="dxa"/>
            <w:vAlign w:val="center"/>
          </w:tcPr>
          <w:p>
            <w:pPr>
              <w:pStyle w:val="30"/>
              <w:rPr>
                <w:color w:val="auto"/>
              </w:rPr>
            </w:pPr>
            <w:r>
              <w:rPr>
                <w:color w:val="auto"/>
              </w:rPr>
              <w:t>可分为生产装置区突发事故处理预案、全厂紧急停车事故处理预案等。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4</w:t>
            </w:r>
          </w:p>
        </w:tc>
        <w:tc>
          <w:tcPr>
            <w:tcW w:w="2220" w:type="dxa"/>
            <w:vAlign w:val="center"/>
          </w:tcPr>
          <w:p>
            <w:pPr>
              <w:pStyle w:val="30"/>
              <w:rPr>
                <w:color w:val="auto"/>
              </w:rPr>
            </w:pPr>
            <w:r>
              <w:rPr>
                <w:color w:val="auto"/>
              </w:rPr>
              <w:t>应急救援保障</w:t>
            </w:r>
          </w:p>
        </w:tc>
        <w:tc>
          <w:tcPr>
            <w:tcW w:w="5589" w:type="dxa"/>
            <w:vAlign w:val="center"/>
          </w:tcPr>
          <w:p>
            <w:pPr>
              <w:pStyle w:val="30"/>
              <w:rPr>
                <w:color w:val="auto"/>
              </w:rPr>
            </w:pPr>
            <w:r>
              <w:rPr>
                <w:color w:val="auto"/>
              </w:rPr>
              <w:t>备有干粉灭火器、手推式灭火器、防毒面具等，分别布置在各岗位。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5</w:t>
            </w:r>
          </w:p>
        </w:tc>
        <w:tc>
          <w:tcPr>
            <w:tcW w:w="2220" w:type="dxa"/>
            <w:vAlign w:val="center"/>
          </w:tcPr>
          <w:p>
            <w:pPr>
              <w:pStyle w:val="30"/>
              <w:rPr>
                <w:color w:val="auto"/>
              </w:rPr>
            </w:pPr>
            <w:r>
              <w:rPr>
                <w:color w:val="auto"/>
              </w:rPr>
              <w:t>报警、通讯联络方式</w:t>
            </w:r>
          </w:p>
        </w:tc>
        <w:tc>
          <w:tcPr>
            <w:tcW w:w="5589" w:type="dxa"/>
            <w:vAlign w:val="center"/>
          </w:tcPr>
          <w:p>
            <w:pPr>
              <w:pStyle w:val="30"/>
              <w:rPr>
                <w:color w:val="auto"/>
              </w:rPr>
            </w:pPr>
            <w:r>
              <w:rPr>
                <w:color w:val="auto"/>
              </w:rPr>
              <w:t>常用应急电话号码：急救中心：120，消防大队：119。由生产部负责事故现场的联络和对外联系，以及人员疏散和道路管制等工作。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6</w:t>
            </w:r>
          </w:p>
        </w:tc>
        <w:tc>
          <w:tcPr>
            <w:tcW w:w="2220" w:type="dxa"/>
            <w:vAlign w:val="center"/>
          </w:tcPr>
          <w:p>
            <w:pPr>
              <w:pStyle w:val="30"/>
              <w:rPr>
                <w:color w:val="auto"/>
              </w:rPr>
            </w:pPr>
            <w:r>
              <w:rPr>
                <w:color w:val="auto"/>
              </w:rPr>
              <w:t>应急环境监测、抢救、救援及控制措施</w:t>
            </w:r>
          </w:p>
        </w:tc>
        <w:tc>
          <w:tcPr>
            <w:tcW w:w="5589" w:type="dxa"/>
            <w:vAlign w:val="center"/>
          </w:tcPr>
          <w:p>
            <w:pPr>
              <w:pStyle w:val="30"/>
              <w:rPr>
                <w:color w:val="auto"/>
              </w:rPr>
            </w:pPr>
            <w:r>
              <w:rPr>
                <w:color w:val="auto"/>
              </w:rPr>
              <w:t>委托当地环保监测站进行应急环境监测，化验室主任负责协助进行物料的清洗、消毒等工作。设立事故应急抢险队。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7</w:t>
            </w:r>
          </w:p>
        </w:tc>
        <w:tc>
          <w:tcPr>
            <w:tcW w:w="2220" w:type="dxa"/>
            <w:vAlign w:val="center"/>
          </w:tcPr>
          <w:p>
            <w:pPr>
              <w:pStyle w:val="30"/>
              <w:rPr>
                <w:color w:val="auto"/>
              </w:rPr>
            </w:pPr>
            <w:r>
              <w:rPr>
                <w:color w:val="auto"/>
              </w:rPr>
              <w:t>应急检测、防护措施、清除泄漏措施和器材</w:t>
            </w:r>
          </w:p>
        </w:tc>
        <w:tc>
          <w:tcPr>
            <w:tcW w:w="5589" w:type="dxa"/>
            <w:vAlign w:val="center"/>
          </w:tcPr>
          <w:p>
            <w:pPr>
              <w:pStyle w:val="30"/>
              <w:rPr>
                <w:color w:val="auto"/>
              </w:rPr>
            </w:pPr>
            <w:r>
              <w:rPr>
                <w:color w:val="auto"/>
              </w:rPr>
              <w:t>设置消防器材。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8</w:t>
            </w:r>
          </w:p>
        </w:tc>
        <w:tc>
          <w:tcPr>
            <w:tcW w:w="2220" w:type="dxa"/>
            <w:vAlign w:val="center"/>
          </w:tcPr>
          <w:p>
            <w:pPr>
              <w:pStyle w:val="30"/>
              <w:rPr>
                <w:color w:val="auto"/>
              </w:rPr>
            </w:pPr>
            <w:r>
              <w:rPr>
                <w:color w:val="auto"/>
              </w:rPr>
              <w:t>人员紧急撤离、疏散、撤离组织计划</w:t>
            </w:r>
          </w:p>
        </w:tc>
        <w:tc>
          <w:tcPr>
            <w:tcW w:w="5589" w:type="dxa"/>
            <w:vAlign w:val="center"/>
          </w:tcPr>
          <w:p>
            <w:pPr>
              <w:pStyle w:val="30"/>
              <w:rPr>
                <w:color w:val="auto"/>
              </w:rPr>
            </w:pPr>
            <w:r>
              <w:rPr>
                <w:color w:val="auto"/>
              </w:rPr>
              <w:t>设立医疗救护队，对事故中受伤人员实施医疗救助、转移，同时负责救援行动中人员、器材、物资的运输工作。由办公室主任负责，各部门抽调人员组成。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9</w:t>
            </w:r>
          </w:p>
        </w:tc>
        <w:tc>
          <w:tcPr>
            <w:tcW w:w="2220" w:type="dxa"/>
            <w:vAlign w:val="center"/>
          </w:tcPr>
          <w:p>
            <w:pPr>
              <w:pStyle w:val="30"/>
              <w:rPr>
                <w:color w:val="auto"/>
              </w:rPr>
            </w:pPr>
            <w:r>
              <w:rPr>
                <w:color w:val="auto"/>
              </w:rPr>
              <w:t>事故应急救援关闭程序与恢复措施</w:t>
            </w:r>
          </w:p>
        </w:tc>
        <w:tc>
          <w:tcPr>
            <w:tcW w:w="5589" w:type="dxa"/>
            <w:vAlign w:val="center"/>
          </w:tcPr>
          <w:p>
            <w:pPr>
              <w:pStyle w:val="30"/>
              <w:rPr>
                <w:color w:val="auto"/>
              </w:rPr>
            </w:pPr>
            <w:r>
              <w:rPr>
                <w:color w:val="auto"/>
              </w:rPr>
              <w:t>当事故无法控制和处理时，生产部门应采取果断措施，实施全厂紧急停车，待事故消除后恢复生产。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10</w:t>
            </w:r>
          </w:p>
        </w:tc>
        <w:tc>
          <w:tcPr>
            <w:tcW w:w="2220" w:type="dxa"/>
            <w:vAlign w:val="center"/>
          </w:tcPr>
          <w:p>
            <w:pPr>
              <w:pStyle w:val="30"/>
              <w:rPr>
                <w:color w:val="auto"/>
              </w:rPr>
            </w:pPr>
            <w:r>
              <w:rPr>
                <w:color w:val="auto"/>
              </w:rPr>
              <w:t>应急培训计划</w:t>
            </w:r>
          </w:p>
        </w:tc>
        <w:tc>
          <w:tcPr>
            <w:tcW w:w="5589" w:type="dxa"/>
            <w:vAlign w:val="center"/>
          </w:tcPr>
          <w:p>
            <w:pPr>
              <w:pStyle w:val="30"/>
              <w:rPr>
                <w:color w:val="auto"/>
              </w:rPr>
            </w:pPr>
            <w:r>
              <w:rPr>
                <w:color w:val="auto"/>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2" w:hRule="atLeast"/>
          <w:jc w:val="center"/>
        </w:trPr>
        <w:tc>
          <w:tcPr>
            <w:tcW w:w="700" w:type="dxa"/>
            <w:vAlign w:val="center"/>
          </w:tcPr>
          <w:p>
            <w:pPr>
              <w:pStyle w:val="30"/>
              <w:rPr>
                <w:color w:val="auto"/>
              </w:rPr>
            </w:pPr>
            <w:r>
              <w:rPr>
                <w:color w:val="auto"/>
              </w:rPr>
              <w:t>11</w:t>
            </w:r>
          </w:p>
        </w:tc>
        <w:tc>
          <w:tcPr>
            <w:tcW w:w="2220" w:type="dxa"/>
            <w:vAlign w:val="center"/>
          </w:tcPr>
          <w:p>
            <w:pPr>
              <w:pStyle w:val="30"/>
              <w:rPr>
                <w:color w:val="auto"/>
              </w:rPr>
            </w:pPr>
            <w:r>
              <w:rPr>
                <w:color w:val="auto"/>
              </w:rPr>
              <w:t>公众教育和信息</w:t>
            </w:r>
          </w:p>
        </w:tc>
        <w:tc>
          <w:tcPr>
            <w:tcW w:w="5589" w:type="dxa"/>
            <w:vAlign w:val="center"/>
          </w:tcPr>
          <w:p>
            <w:pPr>
              <w:pStyle w:val="30"/>
              <w:rPr>
                <w:color w:val="auto"/>
              </w:rPr>
            </w:pPr>
            <w:r>
              <w:rPr>
                <w:color w:val="auto"/>
              </w:rPr>
              <w:t>对工厂邻近地区开展公众教育、培训和发布有关信息。</w:t>
            </w:r>
          </w:p>
        </w:tc>
      </w:tr>
    </w:tbl>
    <w:p>
      <w:pPr>
        <w:pStyle w:val="7"/>
        <w:rPr>
          <w:color w:val="auto"/>
        </w:rPr>
      </w:pPr>
      <w:r>
        <w:rPr>
          <w:rFonts w:hint="eastAsia"/>
          <w:color w:val="auto"/>
        </w:rPr>
        <w:t>5</w:t>
      </w:r>
      <w:r>
        <w:rPr>
          <w:color w:val="auto"/>
        </w:rPr>
        <w:t>.7.5分析结论</w:t>
      </w:r>
    </w:p>
    <w:p>
      <w:pPr>
        <w:ind w:firstLine="480"/>
        <w:rPr>
          <w:color w:val="auto"/>
        </w:rPr>
      </w:pPr>
      <w:r>
        <w:rPr>
          <w:color w:val="auto"/>
        </w:rPr>
        <w:t>本项目环境风险主要是</w:t>
      </w:r>
      <w:r>
        <w:rPr>
          <w:rFonts w:hint="eastAsia"/>
          <w:color w:val="auto"/>
        </w:rPr>
        <w:t>废气处理设施</w:t>
      </w:r>
      <w:r>
        <w:rPr>
          <w:color w:val="auto"/>
        </w:rPr>
        <w:t>故障造成的非正常排放风险事故、</w:t>
      </w:r>
      <w:r>
        <w:rPr>
          <w:rFonts w:hint="eastAsia"/>
          <w:color w:val="auto"/>
        </w:rPr>
        <w:t>危险废物</w:t>
      </w:r>
      <w:r>
        <w:rPr>
          <w:color w:val="auto"/>
        </w:rPr>
        <w:t>泄漏风险事故</w:t>
      </w:r>
      <w:r>
        <w:rPr>
          <w:rFonts w:hint="eastAsia"/>
          <w:color w:val="auto"/>
        </w:rPr>
        <w:t>、火灾风险事故</w:t>
      </w:r>
      <w:r>
        <w:rPr>
          <w:color w:val="auto"/>
        </w:rPr>
        <w:t>。在风险事故条件下，不会造成重大损失和人员伤亡，但会对周围大气环境、水环境造成一定的影响。从风险控制的角度来评价，建设单位在严格各项规章制度管理和工序操作外，制定详细的环境风险防范措施和应急预案，能大大减小事故发生概率。事故发生后能及时采取有利措施，减小对环境污染。本项目在严格实施各项规章制度，确保环境风险防范措施落实的基础上，其潜在的环境风险是可控的。</w:t>
      </w:r>
    </w:p>
    <w:p>
      <w:pPr>
        <w:pStyle w:val="31"/>
        <w:rPr>
          <w:color w:val="auto"/>
        </w:rPr>
      </w:pPr>
      <w:r>
        <w:rPr>
          <w:color w:val="auto"/>
        </w:rPr>
        <w:t>表</w:t>
      </w:r>
      <w:r>
        <w:rPr>
          <w:rFonts w:hint="eastAsia"/>
          <w:color w:val="auto"/>
        </w:rPr>
        <w:t>5</w:t>
      </w:r>
      <w:r>
        <w:rPr>
          <w:color w:val="auto"/>
        </w:rPr>
        <w:t xml:space="preserve">.9-4 </w:t>
      </w:r>
      <w:r>
        <w:rPr>
          <w:rFonts w:hint="eastAsia"/>
          <w:color w:val="auto"/>
        </w:rPr>
        <w:t>建设项目环境风险简单分析内容表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00"/>
        <w:gridCol w:w="1188"/>
        <w:gridCol w:w="2550"/>
        <w:gridCol w:w="1110"/>
        <w:gridCol w:w="1020"/>
        <w:gridCol w:w="16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b/>
                <w:bCs/>
                <w:color w:val="auto"/>
              </w:rPr>
            </w:pPr>
            <w:r>
              <w:rPr>
                <w:rFonts w:hint="eastAsia"/>
                <w:b/>
                <w:bCs/>
                <w:color w:val="auto"/>
              </w:rPr>
              <w:t>建设项目名称</w:t>
            </w:r>
          </w:p>
        </w:tc>
        <w:tc>
          <w:tcPr>
            <w:tcW w:w="7504" w:type="dxa"/>
            <w:gridSpan w:val="5"/>
            <w:vAlign w:val="center"/>
          </w:tcPr>
          <w:p>
            <w:pPr>
              <w:pStyle w:val="30"/>
              <w:rPr>
                <w:rFonts w:hint="eastAsia" w:eastAsia="宋体"/>
                <w:b/>
                <w:bCs/>
                <w:color w:val="auto"/>
                <w:lang w:eastAsia="zh-CN"/>
              </w:rPr>
            </w:pPr>
            <w:r>
              <w:rPr>
                <w:rFonts w:hint="eastAsia"/>
                <w:b/>
                <w:bCs/>
                <w:color w:val="auto"/>
                <w:lang w:eastAsia="zh-CN"/>
              </w:rPr>
              <w:t>年产3万吨高分子材料精深制品建设项目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rFonts w:hint="eastAsia"/>
                <w:color w:val="auto"/>
              </w:rPr>
              <w:t>建设地点</w:t>
            </w:r>
          </w:p>
        </w:tc>
        <w:tc>
          <w:tcPr>
            <w:tcW w:w="1188" w:type="dxa"/>
            <w:vAlign w:val="center"/>
          </w:tcPr>
          <w:p>
            <w:pPr>
              <w:pStyle w:val="30"/>
              <w:rPr>
                <w:color w:val="auto"/>
              </w:rPr>
            </w:pPr>
            <w:r>
              <w:rPr>
                <w:rFonts w:hint="eastAsia"/>
                <w:color w:val="auto"/>
              </w:rPr>
              <w:t>湖南省</w:t>
            </w:r>
          </w:p>
        </w:tc>
        <w:tc>
          <w:tcPr>
            <w:tcW w:w="2550" w:type="dxa"/>
            <w:vAlign w:val="center"/>
          </w:tcPr>
          <w:p>
            <w:pPr>
              <w:pStyle w:val="30"/>
              <w:rPr>
                <w:color w:val="auto"/>
              </w:rPr>
            </w:pPr>
            <w:r>
              <w:rPr>
                <w:rFonts w:hint="eastAsia"/>
                <w:color w:val="auto"/>
              </w:rPr>
              <w:t>岳阳市</w:t>
            </w:r>
          </w:p>
        </w:tc>
        <w:tc>
          <w:tcPr>
            <w:tcW w:w="1110" w:type="dxa"/>
            <w:vAlign w:val="center"/>
          </w:tcPr>
          <w:p>
            <w:pPr>
              <w:pStyle w:val="30"/>
              <w:rPr>
                <w:color w:val="auto"/>
              </w:rPr>
            </w:pPr>
            <w:r>
              <w:rPr>
                <w:rFonts w:hint="eastAsia"/>
                <w:color w:val="auto"/>
              </w:rPr>
              <w:t>汨罗市</w:t>
            </w:r>
          </w:p>
        </w:tc>
        <w:tc>
          <w:tcPr>
            <w:tcW w:w="1020" w:type="dxa"/>
            <w:vAlign w:val="center"/>
          </w:tcPr>
          <w:p>
            <w:pPr>
              <w:pStyle w:val="30"/>
              <w:rPr>
                <w:color w:val="auto"/>
              </w:rPr>
            </w:pPr>
            <w:r>
              <w:rPr>
                <w:rFonts w:hint="eastAsia"/>
                <w:color w:val="auto"/>
              </w:rPr>
              <w:t>（/）县</w:t>
            </w:r>
          </w:p>
        </w:tc>
        <w:tc>
          <w:tcPr>
            <w:tcW w:w="1636" w:type="dxa"/>
            <w:vAlign w:val="center"/>
          </w:tcPr>
          <w:p>
            <w:pPr>
              <w:pStyle w:val="30"/>
              <w:rPr>
                <w:color w:val="auto"/>
              </w:rPr>
            </w:pPr>
            <w:r>
              <w:rPr>
                <w:rFonts w:hint="eastAsia"/>
                <w:color w:val="auto"/>
              </w:rPr>
              <w:t>（新市镇）乡镇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rFonts w:hint="eastAsia"/>
                <w:color w:val="auto"/>
              </w:rPr>
              <w:t>地理坐标</w:t>
            </w:r>
          </w:p>
        </w:tc>
        <w:tc>
          <w:tcPr>
            <w:tcW w:w="1188" w:type="dxa"/>
            <w:vAlign w:val="center"/>
          </w:tcPr>
          <w:p>
            <w:pPr>
              <w:pStyle w:val="30"/>
              <w:rPr>
                <w:color w:val="auto"/>
              </w:rPr>
            </w:pPr>
            <w:r>
              <w:rPr>
                <w:rFonts w:hint="eastAsia"/>
                <w:color w:val="auto"/>
              </w:rPr>
              <w:t>经度</w:t>
            </w:r>
          </w:p>
        </w:tc>
        <w:tc>
          <w:tcPr>
            <w:tcW w:w="2550" w:type="dxa"/>
            <w:vAlign w:val="center"/>
          </w:tcPr>
          <w:p>
            <w:pPr>
              <w:pStyle w:val="30"/>
              <w:rPr>
                <w:color w:val="auto"/>
              </w:rPr>
            </w:pPr>
            <w:r>
              <w:rPr>
                <w:color w:val="auto"/>
              </w:rPr>
              <w:t>东经113°</w:t>
            </w:r>
            <w:r>
              <w:rPr>
                <w:rFonts w:hint="eastAsia"/>
                <w:color w:val="auto"/>
              </w:rPr>
              <w:t>10</w:t>
            </w:r>
            <w:r>
              <w:rPr>
                <w:color w:val="auto"/>
              </w:rPr>
              <w:t>′</w:t>
            </w:r>
            <w:r>
              <w:rPr>
                <w:rFonts w:hint="eastAsia"/>
                <w:color w:val="auto"/>
              </w:rPr>
              <w:t>15.121</w:t>
            </w:r>
            <w:r>
              <w:rPr>
                <w:color w:val="auto"/>
              </w:rPr>
              <w:t>″</w:t>
            </w:r>
          </w:p>
        </w:tc>
        <w:tc>
          <w:tcPr>
            <w:tcW w:w="1110" w:type="dxa"/>
            <w:vAlign w:val="center"/>
          </w:tcPr>
          <w:p>
            <w:pPr>
              <w:pStyle w:val="30"/>
              <w:rPr>
                <w:color w:val="auto"/>
              </w:rPr>
            </w:pPr>
            <w:r>
              <w:rPr>
                <w:rFonts w:hint="eastAsia"/>
                <w:color w:val="auto"/>
              </w:rPr>
              <w:t>纬度</w:t>
            </w:r>
          </w:p>
        </w:tc>
        <w:tc>
          <w:tcPr>
            <w:tcW w:w="2656" w:type="dxa"/>
            <w:gridSpan w:val="2"/>
            <w:vAlign w:val="center"/>
          </w:tcPr>
          <w:p>
            <w:pPr>
              <w:pStyle w:val="30"/>
              <w:rPr>
                <w:color w:val="auto"/>
              </w:rPr>
            </w:pPr>
            <w:r>
              <w:rPr>
                <w:color w:val="auto"/>
              </w:rPr>
              <w:t>北纬28°</w:t>
            </w:r>
            <w:r>
              <w:rPr>
                <w:rFonts w:hint="eastAsia"/>
                <w:color w:val="auto"/>
              </w:rPr>
              <w:t>45</w:t>
            </w:r>
            <w:r>
              <w:rPr>
                <w:color w:val="auto"/>
              </w:rPr>
              <w:t>′</w:t>
            </w:r>
            <w:r>
              <w:rPr>
                <w:rFonts w:hint="eastAsia"/>
                <w:color w:val="auto"/>
              </w:rPr>
              <w:t>45.547</w:t>
            </w:r>
            <w:r>
              <w:rPr>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rFonts w:hint="eastAsia"/>
                <w:color w:val="auto"/>
              </w:rPr>
              <w:t>主要危险物质及分布</w:t>
            </w:r>
          </w:p>
        </w:tc>
        <w:tc>
          <w:tcPr>
            <w:tcW w:w="7504" w:type="dxa"/>
            <w:gridSpan w:val="5"/>
            <w:vAlign w:val="center"/>
          </w:tcPr>
          <w:p>
            <w:pPr>
              <w:pStyle w:val="30"/>
              <w:rPr>
                <w:color w:val="auto"/>
              </w:rPr>
            </w:pPr>
            <w:r>
              <w:rPr>
                <w:rFonts w:hint="eastAsia"/>
                <w:color w:val="auto"/>
              </w:rPr>
              <w:t>本项目涉及到的危险物质主要是废机油，暂存于危险废物暂存间；涉及的原料及产品不属于有毒有害及爆炸性危险物质，项目原料在生产和储存过程中潜在的危险主要是火灾风险及火灾次生环境风险，主要在厂区南侧的原料及成品暂存场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color w:val="auto"/>
              </w:rPr>
              <w:t>环境影响途径及危害后果（大气、地表水、地下水等）</w:t>
            </w:r>
          </w:p>
        </w:tc>
        <w:tc>
          <w:tcPr>
            <w:tcW w:w="7504" w:type="dxa"/>
            <w:gridSpan w:val="5"/>
            <w:vAlign w:val="center"/>
          </w:tcPr>
          <w:p>
            <w:pPr>
              <w:pStyle w:val="30"/>
              <w:rPr>
                <w:color w:val="auto"/>
              </w:rPr>
            </w:pPr>
            <w:r>
              <w:rPr>
                <w:color w:val="auto"/>
              </w:rPr>
              <w:t>（1）火灾、爆炸事故会污染周边大气环境、地表水环境及土壤环境。</w:t>
            </w:r>
          </w:p>
          <w:p>
            <w:pPr>
              <w:pStyle w:val="30"/>
              <w:rPr>
                <w:color w:val="auto"/>
              </w:rPr>
            </w:pPr>
            <w:r>
              <w:rPr>
                <w:rFonts w:hint="eastAsia"/>
                <w:color w:val="auto"/>
              </w:rPr>
              <w:t>（2）</w:t>
            </w:r>
            <w:r>
              <w:rPr>
                <w:color w:val="auto"/>
              </w:rPr>
              <w:t>危险废物泄露事故会污染周边土壤、地表水体。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color w:val="auto"/>
              </w:rPr>
              <w:t>风险防范措施要求</w:t>
            </w:r>
          </w:p>
        </w:tc>
        <w:tc>
          <w:tcPr>
            <w:tcW w:w="7504" w:type="dxa"/>
            <w:gridSpan w:val="5"/>
            <w:vAlign w:val="center"/>
          </w:tcPr>
          <w:p>
            <w:pPr>
              <w:pStyle w:val="30"/>
              <w:rPr>
                <w:color w:val="auto"/>
              </w:rPr>
            </w:pPr>
            <w:r>
              <w:rPr>
                <w:rFonts w:hint="eastAsia"/>
                <w:color w:val="auto"/>
              </w:rPr>
              <w:t>消除和控制明火源：在生产区及原料区及成品区设置严禁烟火标志，严禁携带火柴、打火机等；在各厂房配灭火器、消防栓、消防沙等消防物资，以便及时扑灭初期火灾。</w:t>
            </w:r>
          </w:p>
          <w:p>
            <w:pPr>
              <w:pStyle w:val="30"/>
              <w:rPr>
                <w:color w:val="auto"/>
              </w:rPr>
            </w:pPr>
            <w:r>
              <w:rPr>
                <w:rFonts w:hint="eastAsia"/>
                <w:color w:val="auto"/>
              </w:rPr>
              <w:t>防止电气火花：采取有效措施防止电气线路和电气设施在开关断开、接触不良、短路、漏电时产生火花，防止静电放电火花；采取防雷接地措施，防止雷电放电火花。</w:t>
            </w:r>
          </w:p>
          <w:p>
            <w:pPr>
              <w:pStyle w:val="30"/>
              <w:rPr>
                <w:color w:val="auto"/>
              </w:rPr>
            </w:pPr>
            <w:r>
              <w:rPr>
                <w:rFonts w:hint="eastAsia"/>
                <w:color w:val="auto"/>
              </w:rPr>
              <w:t>原料、成品储存于阴凉、通风处。</w:t>
            </w:r>
          </w:p>
          <w:p>
            <w:pPr>
              <w:pStyle w:val="30"/>
              <w:rPr>
                <w:color w:val="auto"/>
              </w:rPr>
            </w:pPr>
            <w:r>
              <w:rPr>
                <w:rFonts w:hint="eastAsia"/>
                <w:color w:val="auto"/>
              </w:rPr>
              <w:t>定期对原料使用过程中的相关人员，如联络员、仓管员、直接使用人员那进行过程监察，定期对上述人员进行相关知识教育和岗位职责培训。</w:t>
            </w:r>
          </w:p>
          <w:p>
            <w:pPr>
              <w:pStyle w:val="30"/>
              <w:rPr>
                <w:color w:val="auto"/>
              </w:rPr>
            </w:pPr>
            <w:r>
              <w:rPr>
                <w:rFonts w:hint="eastAsia"/>
                <w:color w:val="auto"/>
              </w:rPr>
              <w:t>严格控制原料品质，做到从源头防控风险事故，严禁收购医疗废物及危险废物类废塑料。</w:t>
            </w:r>
          </w:p>
          <w:p>
            <w:pPr>
              <w:pStyle w:val="30"/>
              <w:rPr>
                <w:color w:val="auto"/>
              </w:rPr>
            </w:pPr>
            <w:r>
              <w:rPr>
                <w:rFonts w:hint="eastAsia"/>
                <w:color w:val="auto"/>
              </w:rPr>
              <w:t>危险废物暂存间设置防渗层，安排专人危废暂存间定期巡检。</w:t>
            </w:r>
          </w:p>
          <w:p>
            <w:pPr>
              <w:pStyle w:val="30"/>
              <w:rPr>
                <w:color w:val="auto"/>
              </w:rPr>
            </w:pPr>
            <w:r>
              <w:rPr>
                <w:color w:val="auto"/>
              </w:rPr>
              <w:t>危险废物分类贮存，容器必须完整、密封、有盖；运输时应当采取密闭、遮盖等措施防止漏洒</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500" w:type="dxa"/>
            <w:vAlign w:val="center"/>
          </w:tcPr>
          <w:p>
            <w:pPr>
              <w:pStyle w:val="30"/>
              <w:rPr>
                <w:color w:val="auto"/>
              </w:rPr>
            </w:pPr>
            <w:r>
              <w:rPr>
                <w:color w:val="auto"/>
              </w:rPr>
              <w:t>填表说明（列出项目相关信息及评价说明）</w:t>
            </w:r>
          </w:p>
        </w:tc>
        <w:tc>
          <w:tcPr>
            <w:tcW w:w="7504" w:type="dxa"/>
            <w:gridSpan w:val="5"/>
            <w:vAlign w:val="center"/>
          </w:tcPr>
          <w:p>
            <w:pPr>
              <w:pStyle w:val="30"/>
              <w:rPr>
                <w:color w:val="auto"/>
              </w:rPr>
            </w:pPr>
            <w:r>
              <w:rPr>
                <w:color w:val="auto"/>
              </w:rPr>
              <w:t>本项目环境风险潜势为I，通过采取相应的风险防范措施，项目的环境风险可控。一旦发生事故，建设单位应立即执行事故应急预案，采取合理的事故应急处理措施，将事故影响降到最低限度。</w:t>
            </w:r>
          </w:p>
        </w:tc>
      </w:tr>
    </w:tbl>
    <w:p>
      <w:pPr>
        <w:pStyle w:val="5"/>
        <w:rPr>
          <w:color w:val="auto"/>
        </w:rPr>
      </w:pPr>
      <w:r>
        <w:rPr>
          <w:rFonts w:hint="eastAsia"/>
          <w:color w:val="auto"/>
        </w:rPr>
        <w:br w:type="page"/>
      </w:r>
      <w:bookmarkStart w:id="169" w:name="_Toc27377"/>
      <w:bookmarkStart w:id="170" w:name="_Toc24043"/>
      <w:bookmarkStart w:id="171" w:name="_Toc15259"/>
      <w:r>
        <w:rPr>
          <w:rFonts w:hint="eastAsia"/>
          <w:color w:val="auto"/>
        </w:rPr>
        <w:t xml:space="preserve">第6章 </w:t>
      </w:r>
      <w:r>
        <w:rPr>
          <w:color w:val="auto"/>
        </w:rPr>
        <w:t xml:space="preserve"> 环境保护措施及其可行性论证</w:t>
      </w:r>
      <w:bookmarkEnd w:id="169"/>
      <w:bookmarkEnd w:id="170"/>
      <w:bookmarkEnd w:id="171"/>
    </w:p>
    <w:p>
      <w:pPr>
        <w:pStyle w:val="6"/>
        <w:rPr>
          <w:color w:val="auto"/>
        </w:rPr>
      </w:pPr>
      <w:bookmarkStart w:id="172" w:name="_Toc1138"/>
      <w:bookmarkStart w:id="173" w:name="_Toc6300"/>
      <w:bookmarkStart w:id="174" w:name="_Toc19097"/>
      <w:r>
        <w:rPr>
          <w:rFonts w:hint="eastAsia"/>
          <w:color w:val="auto"/>
        </w:rPr>
        <w:t>6</w:t>
      </w:r>
      <w:r>
        <w:rPr>
          <w:color w:val="auto"/>
        </w:rPr>
        <w:t>.1</w:t>
      </w:r>
      <w:r>
        <w:rPr>
          <w:rFonts w:hint="eastAsia"/>
          <w:color w:val="auto"/>
        </w:rPr>
        <w:t>施工期污染防治措施</w:t>
      </w:r>
      <w:bookmarkEnd w:id="172"/>
      <w:bookmarkEnd w:id="173"/>
      <w:bookmarkEnd w:id="174"/>
    </w:p>
    <w:p>
      <w:pPr>
        <w:ind w:firstLine="480"/>
        <w:rPr>
          <w:color w:val="auto"/>
        </w:rPr>
      </w:pPr>
      <w:r>
        <w:rPr>
          <w:color w:val="auto"/>
        </w:rPr>
        <w:t>本项目施工期建设内容主要有：设备安装和调试，主要污染有施工人员生活污水、车辆运输扬尘、施工噪声和施工人员生活垃圾等。只要落实洒水抑尘，合理安排施工时间，施工人员生活污水、生活垃圾与员工生活污水、生活垃圾一并处理，施工期对环境影响不大，污防措施可行。</w:t>
      </w:r>
    </w:p>
    <w:p>
      <w:pPr>
        <w:pStyle w:val="6"/>
        <w:rPr>
          <w:color w:val="auto"/>
        </w:rPr>
      </w:pPr>
      <w:bookmarkStart w:id="175" w:name="_Toc4873"/>
      <w:bookmarkStart w:id="176" w:name="_Toc27865"/>
      <w:bookmarkStart w:id="177" w:name="_Toc10852"/>
      <w:r>
        <w:rPr>
          <w:rFonts w:hint="eastAsia"/>
          <w:color w:val="auto"/>
        </w:rPr>
        <w:t>6</w:t>
      </w:r>
      <w:r>
        <w:rPr>
          <w:color w:val="auto"/>
        </w:rPr>
        <w:t>.</w:t>
      </w:r>
      <w:r>
        <w:rPr>
          <w:rFonts w:hint="eastAsia"/>
          <w:color w:val="auto"/>
        </w:rPr>
        <w:t>2</w:t>
      </w:r>
      <w:r>
        <w:rPr>
          <w:color w:val="auto"/>
        </w:rPr>
        <w:t>运营期大气污染防治措施及可行性分析</w:t>
      </w:r>
      <w:bookmarkEnd w:id="175"/>
      <w:bookmarkEnd w:id="176"/>
      <w:bookmarkEnd w:id="177"/>
    </w:p>
    <w:p>
      <w:pPr>
        <w:pStyle w:val="7"/>
        <w:rPr>
          <w:color w:val="auto"/>
        </w:rPr>
      </w:pPr>
      <w:r>
        <w:rPr>
          <w:rFonts w:hint="eastAsia"/>
          <w:color w:val="auto"/>
        </w:rPr>
        <w:t>6</w:t>
      </w:r>
      <w:r>
        <w:rPr>
          <w:color w:val="auto"/>
        </w:rPr>
        <w:t>.</w:t>
      </w:r>
      <w:r>
        <w:rPr>
          <w:rFonts w:hint="eastAsia"/>
          <w:color w:val="auto"/>
        </w:rPr>
        <w:t>2</w:t>
      </w:r>
      <w:r>
        <w:rPr>
          <w:color w:val="auto"/>
        </w:rPr>
        <w:t>.1项目拟采取的环境污染防治措施</w:t>
      </w:r>
    </w:p>
    <w:p>
      <w:pPr>
        <w:ind w:firstLine="480"/>
        <w:rPr>
          <w:color w:val="auto"/>
        </w:rPr>
      </w:pPr>
      <w:r>
        <w:rPr>
          <w:rFonts w:hint="eastAsia"/>
          <w:color w:val="auto"/>
        </w:rPr>
        <w:t>本项目主要产生的废气为破碎工序产生的粉尘及熔融挤出产生的非甲烷总烃。主要废气污染防治措施如下。</w:t>
      </w:r>
    </w:p>
    <w:p>
      <w:pPr>
        <w:pStyle w:val="31"/>
        <w:rPr>
          <w:color w:val="auto"/>
        </w:rPr>
      </w:pPr>
      <w:r>
        <w:rPr>
          <w:color w:val="auto"/>
        </w:rPr>
        <w:t>表</w:t>
      </w:r>
      <w:r>
        <w:rPr>
          <w:rFonts w:hint="eastAsia"/>
          <w:color w:val="auto"/>
        </w:rPr>
        <w:t>6</w:t>
      </w:r>
      <w:r>
        <w:rPr>
          <w:color w:val="auto"/>
        </w:rPr>
        <w:t>.1-1  项目废气污染防治措施表</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1121"/>
        <w:gridCol w:w="1252"/>
        <w:gridCol w:w="1084"/>
        <w:gridCol w:w="1349"/>
        <w:gridCol w:w="414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tblHeader/>
          <w:jc w:val="center"/>
        </w:trPr>
        <w:tc>
          <w:tcPr>
            <w:tcW w:w="1121" w:type="dxa"/>
            <w:tcMar>
              <w:top w:w="0" w:type="dxa"/>
              <w:left w:w="85" w:type="dxa"/>
              <w:bottom w:w="0" w:type="dxa"/>
              <w:right w:w="85" w:type="dxa"/>
            </w:tcMar>
            <w:vAlign w:val="center"/>
          </w:tcPr>
          <w:p>
            <w:pPr>
              <w:pStyle w:val="30"/>
              <w:rPr>
                <w:b/>
                <w:bCs/>
                <w:color w:val="auto"/>
              </w:rPr>
            </w:pPr>
            <w:r>
              <w:rPr>
                <w:b/>
                <w:bCs/>
                <w:color w:val="auto"/>
              </w:rPr>
              <w:t>污染源</w:t>
            </w:r>
          </w:p>
        </w:tc>
        <w:tc>
          <w:tcPr>
            <w:tcW w:w="1252" w:type="dxa"/>
            <w:tcMar>
              <w:top w:w="0" w:type="dxa"/>
              <w:left w:w="85" w:type="dxa"/>
              <w:bottom w:w="0" w:type="dxa"/>
              <w:right w:w="85" w:type="dxa"/>
            </w:tcMar>
            <w:vAlign w:val="center"/>
          </w:tcPr>
          <w:p>
            <w:pPr>
              <w:pStyle w:val="30"/>
              <w:rPr>
                <w:b/>
                <w:bCs/>
                <w:color w:val="auto"/>
              </w:rPr>
            </w:pPr>
            <w:r>
              <w:rPr>
                <w:b/>
                <w:bCs/>
                <w:color w:val="auto"/>
              </w:rPr>
              <w:t>污染物</w:t>
            </w:r>
          </w:p>
        </w:tc>
        <w:tc>
          <w:tcPr>
            <w:tcW w:w="1084" w:type="dxa"/>
            <w:tcMar>
              <w:top w:w="0" w:type="dxa"/>
              <w:left w:w="85" w:type="dxa"/>
              <w:bottom w:w="0" w:type="dxa"/>
              <w:right w:w="85" w:type="dxa"/>
            </w:tcMar>
            <w:vAlign w:val="center"/>
          </w:tcPr>
          <w:p>
            <w:pPr>
              <w:pStyle w:val="30"/>
              <w:rPr>
                <w:b/>
                <w:bCs/>
                <w:color w:val="auto"/>
              </w:rPr>
            </w:pPr>
            <w:r>
              <w:rPr>
                <w:b/>
                <w:bCs/>
                <w:color w:val="auto"/>
              </w:rPr>
              <w:t>收集方式</w:t>
            </w:r>
          </w:p>
        </w:tc>
        <w:tc>
          <w:tcPr>
            <w:tcW w:w="1349" w:type="dxa"/>
            <w:tcMar>
              <w:top w:w="0" w:type="dxa"/>
              <w:left w:w="85" w:type="dxa"/>
              <w:bottom w:w="0" w:type="dxa"/>
              <w:right w:w="85" w:type="dxa"/>
            </w:tcMar>
            <w:vAlign w:val="center"/>
          </w:tcPr>
          <w:p>
            <w:pPr>
              <w:pStyle w:val="30"/>
              <w:rPr>
                <w:b/>
                <w:bCs/>
                <w:color w:val="auto"/>
              </w:rPr>
            </w:pPr>
            <w:r>
              <w:rPr>
                <w:b/>
                <w:bCs/>
                <w:color w:val="auto"/>
              </w:rPr>
              <w:t>废气量</w:t>
            </w:r>
          </w:p>
        </w:tc>
        <w:tc>
          <w:tcPr>
            <w:tcW w:w="4147" w:type="dxa"/>
            <w:tcMar>
              <w:top w:w="0" w:type="dxa"/>
              <w:left w:w="85" w:type="dxa"/>
              <w:bottom w:w="0" w:type="dxa"/>
              <w:right w:w="85" w:type="dxa"/>
            </w:tcMar>
            <w:vAlign w:val="center"/>
          </w:tcPr>
          <w:p>
            <w:pPr>
              <w:pStyle w:val="30"/>
              <w:rPr>
                <w:b/>
                <w:bCs/>
                <w:color w:val="auto"/>
              </w:rPr>
            </w:pPr>
            <w:r>
              <w:rPr>
                <w:b/>
                <w:bCs/>
                <w:color w:val="auto"/>
              </w:rPr>
              <w:t>处理排放方式</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121" w:type="dxa"/>
            <w:tcMar>
              <w:top w:w="0" w:type="dxa"/>
              <w:left w:w="85" w:type="dxa"/>
              <w:bottom w:w="0" w:type="dxa"/>
              <w:right w:w="85" w:type="dxa"/>
            </w:tcMar>
            <w:vAlign w:val="center"/>
          </w:tcPr>
          <w:p>
            <w:pPr>
              <w:pStyle w:val="30"/>
              <w:rPr>
                <w:color w:val="auto"/>
                <w:lang w:val="zh-CN"/>
              </w:rPr>
            </w:pPr>
            <w:r>
              <w:rPr>
                <w:rFonts w:hint="eastAsia"/>
                <w:color w:val="auto"/>
                <w:lang w:val="zh-CN"/>
              </w:rPr>
              <w:t>破碎工段</w:t>
            </w:r>
          </w:p>
        </w:tc>
        <w:tc>
          <w:tcPr>
            <w:tcW w:w="1252" w:type="dxa"/>
            <w:tcMar>
              <w:top w:w="0" w:type="dxa"/>
              <w:left w:w="85" w:type="dxa"/>
              <w:bottom w:w="0" w:type="dxa"/>
              <w:right w:w="85" w:type="dxa"/>
            </w:tcMar>
            <w:vAlign w:val="center"/>
          </w:tcPr>
          <w:p>
            <w:pPr>
              <w:pStyle w:val="30"/>
              <w:rPr>
                <w:color w:val="auto"/>
              </w:rPr>
            </w:pPr>
            <w:r>
              <w:rPr>
                <w:rFonts w:hint="eastAsia"/>
                <w:color w:val="auto"/>
              </w:rPr>
              <w:t>颗粒物</w:t>
            </w:r>
          </w:p>
        </w:tc>
        <w:tc>
          <w:tcPr>
            <w:tcW w:w="1084" w:type="dxa"/>
            <w:tcMar>
              <w:top w:w="0" w:type="dxa"/>
              <w:left w:w="85" w:type="dxa"/>
              <w:bottom w:w="0" w:type="dxa"/>
              <w:right w:w="85" w:type="dxa"/>
            </w:tcMar>
            <w:vAlign w:val="center"/>
          </w:tcPr>
          <w:p>
            <w:pPr>
              <w:pStyle w:val="30"/>
              <w:rPr>
                <w:rFonts w:hint="default" w:eastAsia="宋体"/>
                <w:color w:val="auto"/>
                <w:lang w:val="en-US" w:eastAsia="zh-CN"/>
              </w:rPr>
            </w:pPr>
            <w:r>
              <w:rPr>
                <w:rFonts w:hint="eastAsia"/>
                <w:color w:val="auto"/>
                <w:lang w:val="en-US" w:eastAsia="zh-CN"/>
              </w:rPr>
              <w:t>集气罩收集</w:t>
            </w:r>
          </w:p>
        </w:tc>
        <w:tc>
          <w:tcPr>
            <w:tcW w:w="1349" w:type="dxa"/>
            <w:tcMar>
              <w:top w:w="0" w:type="dxa"/>
              <w:left w:w="85" w:type="dxa"/>
              <w:bottom w:w="0" w:type="dxa"/>
              <w:right w:w="85" w:type="dxa"/>
            </w:tcMar>
            <w:vAlign w:val="center"/>
          </w:tcPr>
          <w:p>
            <w:pPr>
              <w:pStyle w:val="30"/>
              <w:rPr>
                <w:rFonts w:hint="default" w:eastAsia="宋体"/>
                <w:color w:val="auto"/>
                <w:lang w:val="en-US" w:eastAsia="zh-CN"/>
              </w:rPr>
            </w:pPr>
            <w:r>
              <w:rPr>
                <w:rFonts w:hint="eastAsia"/>
                <w:color w:val="auto"/>
                <w:lang w:val="en-US" w:eastAsia="zh-CN"/>
              </w:rPr>
              <w:t>2000</w:t>
            </w:r>
            <w:r>
              <w:rPr>
                <w:rFonts w:hint="eastAsia"/>
                <w:color w:val="auto"/>
              </w:rPr>
              <w:t>m</w:t>
            </w:r>
            <w:r>
              <w:rPr>
                <w:rFonts w:hint="eastAsia"/>
                <w:color w:val="auto"/>
                <w:vertAlign w:val="superscript"/>
              </w:rPr>
              <w:t>3</w:t>
            </w:r>
            <w:r>
              <w:rPr>
                <w:rFonts w:hint="eastAsia"/>
                <w:color w:val="auto"/>
              </w:rPr>
              <w:t>/h</w:t>
            </w:r>
          </w:p>
        </w:tc>
        <w:tc>
          <w:tcPr>
            <w:tcW w:w="4147" w:type="dxa"/>
            <w:tcMar>
              <w:top w:w="0" w:type="dxa"/>
              <w:left w:w="85" w:type="dxa"/>
              <w:bottom w:w="0" w:type="dxa"/>
              <w:right w:w="85" w:type="dxa"/>
            </w:tcMar>
            <w:vAlign w:val="center"/>
          </w:tcPr>
          <w:p>
            <w:pPr>
              <w:pStyle w:val="30"/>
              <w:rPr>
                <w:rFonts w:hint="default"/>
                <w:color w:val="auto"/>
                <w:lang w:val="en-US" w:eastAsia="zh-CN"/>
              </w:rPr>
            </w:pPr>
            <w:r>
              <w:rPr>
                <w:rFonts w:hint="eastAsia"/>
                <w:color w:val="auto"/>
                <w:lang w:val="en-US" w:eastAsia="zh-CN"/>
              </w:rPr>
              <w:t>破碎机废气产生口安装集气罩收集废气，废气经过布袋除尘器处理后通过18m高排气筒（DA002）排放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121" w:type="dxa"/>
            <w:tcMar>
              <w:top w:w="0" w:type="dxa"/>
              <w:left w:w="85" w:type="dxa"/>
              <w:bottom w:w="0" w:type="dxa"/>
              <w:right w:w="85" w:type="dxa"/>
            </w:tcMar>
            <w:vAlign w:val="center"/>
          </w:tcPr>
          <w:p>
            <w:pPr>
              <w:pStyle w:val="30"/>
              <w:rPr>
                <w:color w:val="auto"/>
                <w:lang w:val="zh-CN"/>
              </w:rPr>
            </w:pPr>
            <w:r>
              <w:rPr>
                <w:rFonts w:hint="eastAsia"/>
                <w:color w:val="auto"/>
                <w:lang w:val="zh-CN"/>
              </w:rPr>
              <w:t>熔融挤出、</w:t>
            </w:r>
            <w:r>
              <w:rPr>
                <w:rFonts w:hint="eastAsia"/>
                <w:color w:val="auto"/>
                <w:lang w:val="en-US" w:eastAsia="zh-CN"/>
              </w:rPr>
              <w:t>造粒</w:t>
            </w:r>
            <w:r>
              <w:rPr>
                <w:rFonts w:hint="eastAsia"/>
                <w:color w:val="auto"/>
                <w:lang w:val="zh-CN"/>
              </w:rPr>
              <w:t>工段</w:t>
            </w:r>
          </w:p>
        </w:tc>
        <w:tc>
          <w:tcPr>
            <w:tcW w:w="1252" w:type="dxa"/>
            <w:tcMar>
              <w:top w:w="0" w:type="dxa"/>
              <w:left w:w="85" w:type="dxa"/>
              <w:bottom w:w="0" w:type="dxa"/>
              <w:right w:w="85" w:type="dxa"/>
            </w:tcMar>
            <w:vAlign w:val="center"/>
          </w:tcPr>
          <w:p>
            <w:pPr>
              <w:pStyle w:val="30"/>
              <w:rPr>
                <w:color w:val="auto"/>
                <w:u w:val="single"/>
              </w:rPr>
            </w:pPr>
            <w:r>
              <w:rPr>
                <w:rFonts w:hint="eastAsia"/>
                <w:color w:val="auto"/>
              </w:rPr>
              <w:t>非甲烷总烃</w:t>
            </w:r>
          </w:p>
        </w:tc>
        <w:tc>
          <w:tcPr>
            <w:tcW w:w="1084" w:type="dxa"/>
            <w:tcMar>
              <w:top w:w="0" w:type="dxa"/>
              <w:left w:w="85" w:type="dxa"/>
              <w:bottom w:w="0" w:type="dxa"/>
              <w:right w:w="85" w:type="dxa"/>
            </w:tcMar>
            <w:vAlign w:val="center"/>
          </w:tcPr>
          <w:p>
            <w:pPr>
              <w:pStyle w:val="30"/>
              <w:rPr>
                <w:color w:val="auto"/>
              </w:rPr>
            </w:pPr>
            <w:r>
              <w:rPr>
                <w:rFonts w:hint="eastAsia"/>
                <w:color w:val="auto"/>
              </w:rPr>
              <w:t>集气罩收集</w:t>
            </w:r>
          </w:p>
        </w:tc>
        <w:tc>
          <w:tcPr>
            <w:tcW w:w="1349" w:type="dxa"/>
            <w:tcMar>
              <w:top w:w="0" w:type="dxa"/>
              <w:left w:w="85" w:type="dxa"/>
              <w:bottom w:w="0" w:type="dxa"/>
              <w:right w:w="85" w:type="dxa"/>
            </w:tcMar>
            <w:vAlign w:val="center"/>
          </w:tcPr>
          <w:p>
            <w:pPr>
              <w:pStyle w:val="30"/>
              <w:rPr>
                <w:color w:val="auto"/>
              </w:rPr>
            </w:pPr>
            <w:r>
              <w:rPr>
                <w:rFonts w:hint="eastAsia"/>
                <w:color w:val="auto"/>
                <w:lang w:val="en-US" w:eastAsia="zh-CN"/>
              </w:rPr>
              <w:t>32000</w:t>
            </w:r>
            <w:r>
              <w:rPr>
                <w:rFonts w:hint="eastAsia"/>
                <w:color w:val="auto"/>
              </w:rPr>
              <w:t>m</w:t>
            </w:r>
            <w:r>
              <w:rPr>
                <w:rFonts w:hint="eastAsia"/>
                <w:color w:val="auto"/>
                <w:vertAlign w:val="superscript"/>
              </w:rPr>
              <w:t>3</w:t>
            </w:r>
            <w:r>
              <w:rPr>
                <w:rFonts w:hint="eastAsia"/>
                <w:color w:val="auto"/>
              </w:rPr>
              <w:t>/h</w:t>
            </w:r>
          </w:p>
        </w:tc>
        <w:tc>
          <w:tcPr>
            <w:tcW w:w="4147" w:type="dxa"/>
            <w:tcMar>
              <w:top w:w="0" w:type="dxa"/>
              <w:left w:w="85" w:type="dxa"/>
              <w:bottom w:w="0" w:type="dxa"/>
              <w:right w:w="85" w:type="dxa"/>
            </w:tcMar>
            <w:vAlign w:val="center"/>
          </w:tcPr>
          <w:p>
            <w:pPr>
              <w:pStyle w:val="30"/>
              <w:rPr>
                <w:color w:val="auto"/>
              </w:rPr>
            </w:pPr>
            <w:r>
              <w:rPr>
                <w:rFonts w:hint="eastAsia"/>
                <w:color w:val="auto"/>
              </w:rPr>
              <w:t>挤出机废气产生口安装集气罩收集废气，废气经两级活性炭吸附处理后，经</w:t>
            </w:r>
            <w:r>
              <w:rPr>
                <w:rFonts w:hint="eastAsia"/>
                <w:color w:val="auto"/>
                <w:lang w:val="en-US" w:eastAsia="zh-CN"/>
              </w:rPr>
              <w:t>一根</w:t>
            </w:r>
            <w:r>
              <w:rPr>
                <w:rFonts w:hint="eastAsia"/>
                <w:color w:val="auto"/>
                <w:lang w:eastAsia="zh-CN"/>
              </w:rPr>
              <w:t>18m高排气筒</w:t>
            </w:r>
            <w:r>
              <w:rPr>
                <w:rFonts w:hint="eastAsia"/>
                <w:color w:val="auto"/>
              </w:rPr>
              <w:t>（DA001）排放</w:t>
            </w:r>
          </w:p>
        </w:tc>
      </w:tr>
    </w:tbl>
    <w:p>
      <w:pPr>
        <w:ind w:firstLine="480"/>
        <w:rPr>
          <w:color w:val="auto"/>
        </w:rPr>
      </w:pPr>
      <w:r>
        <w:rPr>
          <w:rFonts w:hint="eastAsia"/>
          <w:color w:val="auto"/>
        </w:rPr>
        <w:t>为了更好的控制大气污染物，防止对周围环境造成影响，需加强对大气污染的管理。本环评建议建设单位做到如下要求。</w:t>
      </w:r>
    </w:p>
    <w:p>
      <w:pPr>
        <w:ind w:firstLine="482"/>
        <w:rPr>
          <w:b/>
          <w:bCs/>
          <w:color w:val="auto"/>
        </w:rPr>
      </w:pPr>
      <w:r>
        <w:rPr>
          <w:b/>
          <w:bCs/>
          <w:color w:val="auto"/>
        </w:rPr>
        <w:t>（1）有组织排放治理要求</w:t>
      </w:r>
    </w:p>
    <w:p>
      <w:pPr>
        <w:ind w:firstLine="480"/>
        <w:rPr>
          <w:color w:val="auto"/>
        </w:rPr>
      </w:pPr>
      <w:r>
        <w:rPr>
          <w:color w:val="auto"/>
        </w:rPr>
        <w:t>a、企业应考虑生产工艺、操作方式、废气性质、处理方法等因素，对工艺废气进行分类收集、分类处理或预处理，严禁经污染控制设施处理后的废气与其他未经处理的废气混合后直接排放，严禁经污染控制设施处理后的废气与空气混合后稀释排放。</w:t>
      </w:r>
    </w:p>
    <w:p>
      <w:pPr>
        <w:ind w:firstLine="480"/>
        <w:rPr>
          <w:color w:val="auto"/>
        </w:rPr>
      </w:pPr>
      <w:r>
        <w:rPr>
          <w:color w:val="auto"/>
        </w:rPr>
        <w:t>b、环保设施应先于其对应的生产设施运转，后于对应设施关闭，保证在生产设施运行波动情况下仍能正常运转，实现达标排放。产生大气污染物的生产工艺和装置需设立局部或整体气体收集系统和净化处理装置，集气方向应与污染气流运动方向一致。</w:t>
      </w:r>
    </w:p>
    <w:p>
      <w:pPr>
        <w:ind w:firstLine="480"/>
        <w:rPr>
          <w:color w:val="auto"/>
        </w:rPr>
      </w:pPr>
      <w:r>
        <w:rPr>
          <w:color w:val="auto"/>
        </w:rPr>
        <w:t>c、废气收集系统的输送管道应密闭，在负压下运行。废气收集系统排风罩（集气罩）的设置应符合GB/T16758的规定。采用外部排风罩的，应按GB/T16758、AQ/T 4274规定的方法测量控制风速。</w:t>
      </w:r>
    </w:p>
    <w:p>
      <w:pPr>
        <w:ind w:firstLine="480"/>
        <w:rPr>
          <w:color w:val="auto"/>
        </w:rPr>
      </w:pPr>
      <w:r>
        <w:rPr>
          <w:color w:val="auto"/>
        </w:rPr>
        <w:t>d、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pPr>
        <w:ind w:firstLine="480"/>
        <w:rPr>
          <w:color w:val="auto"/>
        </w:rPr>
      </w:pPr>
      <w:r>
        <w:rPr>
          <w:color w:val="auto"/>
        </w:rPr>
        <w:t>e、所有治理设施应制定操作规程，明确各项运行参数，实际运行参数应与操作规程一致。使用吸附技术治理挥发性有机物时，应记录吸附剂的使用/更换量、更换/再生周期，操作温度应满足设计参数的要求，更换的吸附材料按危险废物处置；采用废气燃烧设施治理挥发性有机物时，应按设计温度运行，并安装燃烧温度连续监控系统；使用催化氧化设施治理挥发性有机物时，应记录催化氧化温度、催化剂用量、催化剂种类、更换周期。</w:t>
      </w:r>
    </w:p>
    <w:p>
      <w:pPr>
        <w:ind w:firstLine="482"/>
        <w:rPr>
          <w:b/>
          <w:bCs/>
          <w:color w:val="auto"/>
        </w:rPr>
      </w:pPr>
      <w:r>
        <w:rPr>
          <w:rFonts w:hint="eastAsia"/>
          <w:b/>
          <w:bCs/>
          <w:color w:val="auto"/>
        </w:rPr>
        <w:t>（2）无组织排放治理要求：</w:t>
      </w:r>
    </w:p>
    <w:p>
      <w:pPr>
        <w:ind w:firstLine="480"/>
        <w:rPr>
          <w:color w:val="auto"/>
        </w:rPr>
      </w:pPr>
      <w:r>
        <w:rPr>
          <w:color w:val="auto"/>
        </w:rPr>
        <w:t>a、本项目使用</w:t>
      </w:r>
      <w:r>
        <w:rPr>
          <w:rFonts w:hint="eastAsia"/>
          <w:color w:val="auto"/>
        </w:rPr>
        <w:t>的</w:t>
      </w:r>
      <w:r>
        <w:rPr>
          <w:color w:val="auto"/>
        </w:rPr>
        <w:t>原料采用包装袋进行储存。</w:t>
      </w:r>
    </w:p>
    <w:p>
      <w:pPr>
        <w:ind w:firstLine="480"/>
        <w:rPr>
          <w:color w:val="auto"/>
        </w:rPr>
      </w:pPr>
      <w:r>
        <w:rPr>
          <w:color w:val="auto"/>
        </w:rPr>
        <w:t>b、本项目原辅料均储存在室内，不露天堆放，且在非取用状态时加盖、封口、保持密闭。</w:t>
      </w:r>
    </w:p>
    <w:p>
      <w:pPr>
        <w:ind w:firstLine="480"/>
        <w:rPr>
          <w:color w:val="auto"/>
        </w:rPr>
      </w:pPr>
      <w:r>
        <w:rPr>
          <w:color w:val="auto"/>
        </w:rPr>
        <w:t>c、本项目投料过程采取</w:t>
      </w:r>
      <w:r>
        <w:rPr>
          <w:rFonts w:hint="eastAsia"/>
          <w:color w:val="auto"/>
          <w:lang w:val="en-US" w:eastAsia="zh-CN"/>
        </w:rPr>
        <w:t>喂料机机械</w:t>
      </w:r>
      <w:r>
        <w:rPr>
          <w:color w:val="auto"/>
        </w:rPr>
        <w:t>投料，建设单位拟将投料口设置为半封闭空间，对挤出过程产生的有机废气采取集气罩收集后进入废气处理系统处置（活性炭吸附装置）。</w:t>
      </w:r>
    </w:p>
    <w:p>
      <w:pPr>
        <w:ind w:firstLine="480"/>
        <w:rPr>
          <w:color w:val="auto"/>
        </w:rPr>
      </w:pPr>
      <w:r>
        <w:rPr>
          <w:color w:val="auto"/>
        </w:rPr>
        <w:t>d、VOCs物料挤出工序均在封闭设备进行，出口无法密闭处采用集气罩进行局部收集，后进入废气处理系统处置。</w:t>
      </w:r>
    </w:p>
    <w:p>
      <w:pPr>
        <w:ind w:firstLine="480"/>
        <w:rPr>
          <w:color w:val="auto"/>
        </w:rPr>
      </w:pPr>
      <w:r>
        <w:rPr>
          <w:color w:val="auto"/>
        </w:rPr>
        <w:t>本项目在物料的配料、搬运、加工等过程中产生粉尘，排放量与物料的粒径、物料转运的距离和落差、操作管理有关，为了有效地控制各个扬尘点的粉尘，工艺设计中原辅材料应尽量采用密闭设备，降低物料转运的距离和落差，车间内配备集尘设备，减少粉尘的产生，并在厂房的周围及道路两旁等凡能绿化的地带尽量种植乔木、灌木和草坪，加强厂区周围环境的绿化，减少无组织粉尘对外环境的影响。</w:t>
      </w:r>
    </w:p>
    <w:p>
      <w:pPr>
        <w:ind w:firstLine="480"/>
        <w:rPr>
          <w:color w:val="auto"/>
        </w:rPr>
      </w:pPr>
      <w:r>
        <w:rPr>
          <w:color w:val="auto"/>
        </w:rPr>
        <w:t>为了进一步减小项目粉尘对周围环境的影响，建议建设单位采取以下措施进行控制：</w:t>
      </w:r>
    </w:p>
    <w:p>
      <w:pPr>
        <w:ind w:firstLine="480"/>
        <w:rPr>
          <w:color w:val="auto"/>
        </w:rPr>
      </w:pPr>
      <w:r>
        <w:rPr>
          <w:color w:val="auto"/>
        </w:rPr>
        <w:t>a、对原料、成品采取室内包装堆存、严禁露天堆放。</w:t>
      </w:r>
    </w:p>
    <w:p>
      <w:pPr>
        <w:ind w:firstLine="480"/>
        <w:rPr>
          <w:color w:val="auto"/>
        </w:rPr>
      </w:pPr>
      <w:r>
        <w:rPr>
          <w:color w:val="auto"/>
        </w:rPr>
        <w:t>b、由于粉尘排放受人为操作因素影响较大，要求厂家加强对操作人员的管理，保持除尘设施正常运转，将粉尘影响降低到可接受的范围内。</w:t>
      </w:r>
    </w:p>
    <w:p>
      <w:pPr>
        <w:ind w:firstLine="480"/>
        <w:rPr>
          <w:color w:val="auto"/>
        </w:rPr>
      </w:pPr>
      <w:r>
        <w:rPr>
          <w:color w:val="auto"/>
        </w:rPr>
        <w:t>粉尘非正常排放的原因主要是原料在加料以及配套的除尘系统或者输送设备发生故障，造成粉尘大量外溢，当粉尘发生非正常排放时，应立即停止进料，并立即更换备件，同时组织人员疏通除尘系统及相关链接的管道；立即停止与之相关的风机，防止风力将造成扬尘污染环境，确保故障隐患的消除。在故障消除之后进料时，应组织人员把现场的粉尘清理干净，收集后存放到指定位置。</w:t>
      </w:r>
    </w:p>
    <w:p>
      <w:pPr>
        <w:ind w:firstLine="480"/>
        <w:rPr>
          <w:color w:val="auto"/>
        </w:rPr>
      </w:pPr>
      <w:r>
        <w:rPr>
          <w:color w:val="auto"/>
        </w:rPr>
        <w:t>项目应选用稳定成熟的设备、加强操作人员的责任心以减少非正常排放。环评要求建设单位落实各项环保措施，保证设备的正常运转，防止人为或设备故障导致事故排放，实现废气达标排放。同时设备的制造和安装应严格进行调试。</w:t>
      </w:r>
    </w:p>
    <w:p>
      <w:pPr>
        <w:ind w:firstLine="480"/>
        <w:rPr>
          <w:color w:val="auto"/>
        </w:rPr>
      </w:pPr>
      <w:r>
        <w:rPr>
          <w:color w:val="auto"/>
        </w:rPr>
        <w:t>综上所述，本项目废气对周边空气环境的影响较小，不会对周边的居民生活的空气环境造成明显影响。故建设方应加强环保措施的维护，确保设施的正常运行，减少事故的发生。</w:t>
      </w:r>
    </w:p>
    <w:p>
      <w:pPr>
        <w:pStyle w:val="7"/>
        <w:rPr>
          <w:color w:val="auto"/>
        </w:rPr>
      </w:pPr>
      <w:r>
        <w:rPr>
          <w:rFonts w:hint="eastAsia"/>
          <w:color w:val="auto"/>
        </w:rPr>
        <w:t>6</w:t>
      </w:r>
      <w:r>
        <w:rPr>
          <w:color w:val="auto"/>
        </w:rPr>
        <w:t>.</w:t>
      </w:r>
      <w:r>
        <w:rPr>
          <w:rFonts w:hint="eastAsia"/>
          <w:color w:val="auto"/>
        </w:rPr>
        <w:t>2</w:t>
      </w:r>
      <w:r>
        <w:rPr>
          <w:color w:val="auto"/>
        </w:rPr>
        <w:t>.</w:t>
      </w:r>
      <w:r>
        <w:rPr>
          <w:rFonts w:hint="eastAsia"/>
          <w:color w:val="auto"/>
        </w:rPr>
        <w:t>2废气污染防治措施的可行性</w:t>
      </w:r>
    </w:p>
    <w:p>
      <w:pPr>
        <w:widowControl w:val="0"/>
        <w:spacing w:line="360" w:lineRule="auto"/>
        <w:ind w:firstLine="482" w:firstLineChars="200"/>
        <w:jc w:val="left"/>
        <w:rPr>
          <w:rFonts w:hint="default" w:ascii="Times New Roman" w:hAnsi="Times New Roman" w:eastAsia="宋体" w:cs="Times New Roman"/>
          <w:b/>
          <w:bCs/>
          <w:u w:val="none"/>
          <w:lang w:val="en-US" w:eastAsia="zh-CN"/>
        </w:rPr>
      </w:pPr>
      <w:r>
        <w:rPr>
          <w:rFonts w:hint="eastAsia" w:ascii="Times New Roman" w:hAnsi="Times New Roman" w:cs="Times New Roman"/>
          <w:b/>
          <w:bCs/>
          <w:u w:val="none"/>
          <w:lang w:val="en-US" w:eastAsia="zh-CN"/>
        </w:rPr>
        <w:t>1、粉尘治理措施可行性分析</w:t>
      </w:r>
    </w:p>
    <w:p>
      <w:pPr>
        <w:widowControl w:val="0"/>
        <w:spacing w:line="360" w:lineRule="auto"/>
        <w:ind w:firstLine="480" w:firstLineChars="200"/>
        <w:jc w:val="left"/>
        <w:rPr>
          <w:rFonts w:hint="eastAsia" w:ascii="Times New Roman" w:hAnsi="Times New Roman" w:eastAsia="宋体" w:cs="Times New Roman"/>
          <w:u w:val="none"/>
          <w:lang w:eastAsia="zh-CN"/>
        </w:rPr>
      </w:pPr>
      <w:r>
        <w:rPr>
          <w:rFonts w:hint="eastAsia" w:ascii="Times New Roman" w:hAnsi="Times New Roman" w:cs="Times New Roman"/>
          <w:u w:val="none"/>
          <w:lang w:eastAsia="zh-CN"/>
        </w:rPr>
        <w:t>（</w:t>
      </w:r>
      <w:r>
        <w:rPr>
          <w:rFonts w:hint="eastAsia" w:ascii="Times New Roman" w:hAnsi="Times New Roman" w:cs="Times New Roman"/>
          <w:u w:val="none"/>
          <w:lang w:val="en-US" w:eastAsia="zh-CN"/>
        </w:rPr>
        <w:t>1</w:t>
      </w:r>
      <w:r>
        <w:rPr>
          <w:rFonts w:hint="eastAsia" w:ascii="Times New Roman" w:hAnsi="Times New Roman" w:cs="Times New Roman"/>
          <w:u w:val="none"/>
          <w:lang w:eastAsia="zh-CN"/>
        </w:rPr>
        <w:t>）集气罩对粉尘进行收集的可行性分析</w:t>
      </w:r>
    </w:p>
    <w:p>
      <w:pPr>
        <w:widowControl w:val="0"/>
        <w:spacing w:line="360" w:lineRule="auto"/>
        <w:ind w:firstLine="480" w:firstLineChars="200"/>
        <w:jc w:val="left"/>
        <w:rPr>
          <w:rFonts w:hint="eastAsia" w:ascii="Times New Roman" w:hAnsi="Times New Roman" w:eastAsia="宋体" w:cs="Times New Roman"/>
          <w:u w:val="none"/>
          <w:lang w:eastAsia="zh-CN"/>
        </w:rPr>
      </w:pPr>
      <w:r>
        <w:rPr>
          <w:rFonts w:hint="default" w:ascii="Times New Roman" w:hAnsi="Times New Roman" w:cs="Times New Roman"/>
          <w:u w:val="none"/>
        </w:rPr>
        <w:t>集气罩，是粉尘净化系统污染源的收集装置，可将粉尘及气体污染源导入净化系统，同时防止其向生产车间及大气扩散，造成污染。其性能对净化系统的技术经济指标有直接的影响。由于污染源设备结构和生产操作工艺的不同，集气罩的形式是多种多样的。按集气罩与污染源的相对位置及适用范围，集气罩分为：密闭罩、排气柜、外部集气罩、接受式集气罩等。本项目采用外部集气罩。常见形式：顶吸罩、侧面吸罩、底吸罩、槽边吸气罩。集气罩工作原理：当除尘器集气罩吸气时，在集气罩附近形成负压，周围空气从四面八方流向集气罩，形成吸入气流或汇流，粉尘在空气中一同被吸入集气罩中。</w:t>
      </w:r>
      <w:r>
        <w:rPr>
          <w:rFonts w:hint="eastAsia" w:ascii="Times New Roman" w:hAnsi="Times New Roman" w:cs="Times New Roman"/>
          <w:u w:val="none"/>
          <w:lang w:eastAsia="zh-CN"/>
        </w:rPr>
        <w:t>能够有效的将粉尘吸入后续处理设施，是可行的。</w:t>
      </w:r>
    </w:p>
    <w:p>
      <w:pPr>
        <w:widowControl w:val="0"/>
        <w:spacing w:line="360" w:lineRule="auto"/>
        <w:ind w:firstLine="48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本项目排风罩均采用上部伞形集气罩，根据《环境工程设计手册》中的有关公示：</w:t>
      </w:r>
    </w:p>
    <w:p>
      <w:pPr>
        <w:widowControl w:val="0"/>
        <w:spacing w:line="360" w:lineRule="auto"/>
        <w:ind w:firstLine="480" w:firstLineChars="200"/>
        <w:jc w:val="center"/>
        <w:rPr>
          <w:rFonts w:hint="default"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Q=1.4×P×H×V×3600</w:t>
      </w:r>
    </w:p>
    <w:p>
      <w:pPr>
        <w:widowControl w:val="0"/>
        <w:spacing w:line="360" w:lineRule="auto"/>
        <w:ind w:firstLine="48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式中 Q 为排气量，m</w:t>
      </w:r>
      <w:r>
        <w:rPr>
          <w:rFonts w:hint="eastAsia" w:ascii="Times New Roman" w:hAnsi="Times New Roman" w:cs="Times New Roman"/>
          <w:b w:val="0"/>
          <w:bCs w:val="0"/>
          <w:u w:val="none"/>
          <w:vertAlign w:val="superscript"/>
          <w:lang w:val="en-US" w:eastAsia="zh-CN"/>
        </w:rPr>
        <w:t>3</w:t>
      </w:r>
      <w:r>
        <w:rPr>
          <w:rFonts w:hint="eastAsia" w:ascii="Times New Roman" w:hAnsi="Times New Roman" w:cs="Times New Roman"/>
          <w:b w:val="0"/>
          <w:bCs w:val="0"/>
          <w:u w:val="none"/>
          <w:lang w:val="en-US" w:eastAsia="zh-CN"/>
        </w:rPr>
        <w:t>/h；1.4位伞形集气罩吸风系数；P为罩口周长，m；H 为罩口距污染源距离，m；V为风速，m/s。</w:t>
      </w:r>
    </w:p>
    <w:p>
      <w:pPr>
        <w:widowControl w:val="0"/>
        <w:spacing w:line="360" w:lineRule="auto"/>
        <w:ind w:firstLine="480" w:firstLineChars="200"/>
        <w:jc w:val="left"/>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为了使集气罩能够有效收集粉尘，同时又不会粉尘处理效率，本项目设计的风速为0.5m/s，根据集气罩尺寸，计算得到的风量见下表：</w:t>
      </w:r>
    </w:p>
    <w:p>
      <w:pPr>
        <w:widowControl w:val="0"/>
        <w:spacing w:line="360" w:lineRule="auto"/>
        <w:ind w:firstLine="422" w:firstLineChars="200"/>
        <w:jc w:val="center"/>
        <w:rPr>
          <w:rFonts w:hint="eastAsia" w:ascii="Times New Roman" w:hAnsi="Times New Roman" w:cs="Times New Roman"/>
          <w:b/>
          <w:bCs/>
          <w:sz w:val="21"/>
          <w:szCs w:val="21"/>
          <w:u w:val="none"/>
          <w:lang w:val="en-US" w:eastAsia="zh-CN"/>
        </w:rPr>
      </w:pPr>
      <w:r>
        <w:rPr>
          <w:rFonts w:hint="eastAsia" w:ascii="Times New Roman" w:hAnsi="Times New Roman" w:cs="Times New Roman"/>
          <w:b/>
          <w:bCs/>
          <w:sz w:val="21"/>
          <w:szCs w:val="21"/>
          <w:u w:val="none"/>
          <w:lang w:val="en-US" w:eastAsia="zh-CN"/>
        </w:rPr>
        <w:t>表 6.2-1 项目集气罩及计算风量一览表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125"/>
        <w:gridCol w:w="1125"/>
        <w:gridCol w:w="1125"/>
        <w:gridCol w:w="1126"/>
        <w:gridCol w:w="1126"/>
        <w:gridCol w:w="1126"/>
        <w:gridCol w:w="1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125" w:type="dxa"/>
            <w:vAlign w:val="center"/>
          </w:tcPr>
          <w:p>
            <w:pPr>
              <w:pStyle w:val="30"/>
              <w:rPr>
                <w:b/>
                <w:bCs/>
                <w:color w:val="auto"/>
                <w:u w:val="none"/>
              </w:rPr>
            </w:pPr>
            <w:r>
              <w:rPr>
                <w:rFonts w:hint="eastAsia"/>
                <w:b/>
                <w:bCs/>
                <w:color w:val="auto"/>
                <w:u w:val="none"/>
              </w:rPr>
              <w:t>设备名称</w:t>
            </w:r>
          </w:p>
        </w:tc>
        <w:tc>
          <w:tcPr>
            <w:tcW w:w="1125" w:type="dxa"/>
            <w:vAlign w:val="center"/>
          </w:tcPr>
          <w:p>
            <w:pPr>
              <w:pStyle w:val="30"/>
              <w:rPr>
                <w:b/>
                <w:bCs/>
                <w:color w:val="auto"/>
                <w:u w:val="none"/>
              </w:rPr>
            </w:pPr>
            <w:r>
              <w:rPr>
                <w:rFonts w:hint="eastAsia"/>
                <w:b/>
                <w:bCs/>
                <w:color w:val="auto"/>
                <w:u w:val="none"/>
              </w:rPr>
              <w:t>罩口长度</w:t>
            </w:r>
          </w:p>
        </w:tc>
        <w:tc>
          <w:tcPr>
            <w:tcW w:w="1125" w:type="dxa"/>
            <w:vAlign w:val="center"/>
          </w:tcPr>
          <w:p>
            <w:pPr>
              <w:pStyle w:val="30"/>
              <w:rPr>
                <w:b/>
                <w:bCs/>
                <w:color w:val="auto"/>
                <w:u w:val="none"/>
              </w:rPr>
            </w:pPr>
            <w:r>
              <w:rPr>
                <w:rFonts w:hint="eastAsia"/>
                <w:b/>
                <w:bCs/>
                <w:color w:val="auto"/>
                <w:u w:val="none"/>
              </w:rPr>
              <w:t>罩口宽度</w:t>
            </w:r>
          </w:p>
        </w:tc>
        <w:tc>
          <w:tcPr>
            <w:tcW w:w="1125" w:type="dxa"/>
            <w:vAlign w:val="center"/>
          </w:tcPr>
          <w:p>
            <w:pPr>
              <w:pStyle w:val="30"/>
              <w:rPr>
                <w:b/>
                <w:bCs/>
                <w:color w:val="auto"/>
                <w:u w:val="none"/>
              </w:rPr>
            </w:pPr>
            <w:r>
              <w:rPr>
                <w:rFonts w:hint="eastAsia"/>
                <w:b/>
                <w:bCs/>
                <w:color w:val="auto"/>
                <w:u w:val="none"/>
              </w:rPr>
              <w:t>与污染源</w:t>
            </w:r>
          </w:p>
          <w:p>
            <w:pPr>
              <w:pStyle w:val="30"/>
              <w:rPr>
                <w:b/>
                <w:bCs/>
                <w:color w:val="auto"/>
                <w:u w:val="none"/>
              </w:rPr>
            </w:pPr>
            <w:r>
              <w:rPr>
                <w:rFonts w:hint="eastAsia"/>
                <w:b/>
                <w:bCs/>
                <w:color w:val="auto"/>
                <w:u w:val="none"/>
              </w:rPr>
              <w:t>距离(m)</w:t>
            </w:r>
          </w:p>
        </w:tc>
        <w:tc>
          <w:tcPr>
            <w:tcW w:w="1126" w:type="dxa"/>
            <w:vAlign w:val="center"/>
          </w:tcPr>
          <w:p>
            <w:pPr>
              <w:pStyle w:val="30"/>
              <w:rPr>
                <w:b/>
                <w:bCs/>
                <w:color w:val="auto"/>
                <w:u w:val="none"/>
              </w:rPr>
            </w:pPr>
            <w:r>
              <w:rPr>
                <w:rFonts w:hint="eastAsia"/>
                <w:b/>
                <w:bCs/>
                <w:color w:val="auto"/>
                <w:u w:val="none"/>
              </w:rPr>
              <w:t>吸入速度</w:t>
            </w:r>
          </w:p>
          <w:p>
            <w:pPr>
              <w:pStyle w:val="30"/>
              <w:rPr>
                <w:b/>
                <w:bCs/>
                <w:color w:val="auto"/>
                <w:u w:val="none"/>
              </w:rPr>
            </w:pPr>
            <w:r>
              <w:rPr>
                <w:rFonts w:hint="eastAsia"/>
                <w:b/>
                <w:bCs/>
                <w:color w:val="auto"/>
                <w:u w:val="none"/>
              </w:rPr>
              <w:t>(m/s)</w:t>
            </w:r>
          </w:p>
        </w:tc>
        <w:tc>
          <w:tcPr>
            <w:tcW w:w="1126" w:type="dxa"/>
            <w:vAlign w:val="center"/>
          </w:tcPr>
          <w:p>
            <w:pPr>
              <w:pStyle w:val="30"/>
              <w:rPr>
                <w:b/>
                <w:bCs/>
                <w:color w:val="auto"/>
                <w:u w:val="none"/>
              </w:rPr>
            </w:pPr>
            <w:r>
              <w:rPr>
                <w:rFonts w:hint="eastAsia"/>
                <w:b/>
                <w:bCs/>
                <w:color w:val="auto"/>
                <w:u w:val="none"/>
              </w:rPr>
              <w:t>计算风量</w:t>
            </w:r>
          </w:p>
          <w:p>
            <w:pPr>
              <w:pStyle w:val="30"/>
              <w:rPr>
                <w:b/>
                <w:bCs/>
                <w:color w:val="auto"/>
                <w:u w:val="none"/>
              </w:rPr>
            </w:pPr>
            <w:r>
              <w:rPr>
                <w:rFonts w:hint="eastAsia"/>
                <w:b/>
                <w:bCs/>
                <w:color w:val="auto"/>
                <w:u w:val="none"/>
              </w:rPr>
              <w:t>(m</w:t>
            </w:r>
            <w:r>
              <w:rPr>
                <w:rFonts w:hint="eastAsia"/>
                <w:b/>
                <w:bCs/>
                <w:color w:val="auto"/>
                <w:u w:val="none"/>
                <w:vertAlign w:val="superscript"/>
              </w:rPr>
              <w:t>3</w:t>
            </w:r>
            <w:r>
              <w:rPr>
                <w:rFonts w:hint="eastAsia"/>
                <w:b/>
                <w:bCs/>
                <w:color w:val="auto"/>
                <w:u w:val="none"/>
              </w:rPr>
              <w:t>/h)</w:t>
            </w:r>
          </w:p>
        </w:tc>
        <w:tc>
          <w:tcPr>
            <w:tcW w:w="1126" w:type="dxa"/>
            <w:vAlign w:val="center"/>
          </w:tcPr>
          <w:p>
            <w:pPr>
              <w:pStyle w:val="30"/>
              <w:rPr>
                <w:b/>
                <w:bCs/>
                <w:color w:val="auto"/>
                <w:u w:val="none"/>
              </w:rPr>
            </w:pPr>
            <w:r>
              <w:rPr>
                <w:rFonts w:hint="eastAsia"/>
                <w:b/>
                <w:bCs/>
                <w:color w:val="auto"/>
                <w:u w:val="none"/>
              </w:rPr>
              <w:t>设备台</w:t>
            </w:r>
          </w:p>
          <w:p>
            <w:pPr>
              <w:pStyle w:val="30"/>
              <w:rPr>
                <w:b/>
                <w:bCs/>
                <w:color w:val="auto"/>
                <w:u w:val="none"/>
              </w:rPr>
            </w:pPr>
            <w:r>
              <w:rPr>
                <w:rFonts w:hint="eastAsia"/>
                <w:b/>
                <w:bCs/>
                <w:color w:val="auto"/>
                <w:u w:val="none"/>
              </w:rPr>
              <w:t>数（台）</w:t>
            </w:r>
          </w:p>
        </w:tc>
        <w:tc>
          <w:tcPr>
            <w:tcW w:w="1126" w:type="dxa"/>
            <w:vAlign w:val="center"/>
          </w:tcPr>
          <w:p>
            <w:pPr>
              <w:pStyle w:val="30"/>
              <w:rPr>
                <w:b/>
                <w:bCs/>
                <w:color w:val="auto"/>
                <w:u w:val="none"/>
              </w:rPr>
            </w:pPr>
            <w:r>
              <w:rPr>
                <w:rFonts w:hint="eastAsia"/>
                <w:b/>
                <w:bCs/>
                <w:color w:val="auto"/>
                <w:u w:val="none"/>
              </w:rPr>
              <w:t>总风量</w:t>
            </w:r>
          </w:p>
          <w:p>
            <w:pPr>
              <w:pStyle w:val="30"/>
              <w:rPr>
                <w:b/>
                <w:bCs/>
                <w:color w:val="auto"/>
                <w:u w:val="none"/>
              </w:rPr>
            </w:pPr>
            <w:r>
              <w:rPr>
                <w:rFonts w:hint="eastAsia"/>
                <w:b/>
                <w:bCs/>
                <w:color w:val="auto"/>
                <w:u w:val="none"/>
              </w:rPr>
              <w:t>（m</w:t>
            </w:r>
            <w:r>
              <w:rPr>
                <w:rFonts w:hint="eastAsia"/>
                <w:b/>
                <w:bCs/>
                <w:color w:val="auto"/>
                <w:u w:val="none"/>
                <w:vertAlign w:val="superscript"/>
              </w:rPr>
              <w:t>3</w:t>
            </w:r>
            <w:r>
              <w:rPr>
                <w:rFonts w:hint="eastAsia"/>
                <w:b/>
                <w:bCs/>
                <w:color w:val="auto"/>
                <w:u w:val="none"/>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125" w:type="dxa"/>
            <w:vAlign w:val="center"/>
          </w:tcPr>
          <w:p>
            <w:pPr>
              <w:pStyle w:val="30"/>
              <w:rPr>
                <w:color w:val="auto"/>
                <w:u w:val="none"/>
              </w:rPr>
            </w:pPr>
            <w:r>
              <w:rPr>
                <w:rFonts w:hint="eastAsia"/>
                <w:color w:val="auto"/>
                <w:u w:val="none"/>
                <w:lang w:val="en-US" w:eastAsia="zh-CN"/>
              </w:rPr>
              <w:t>破碎</w:t>
            </w:r>
            <w:r>
              <w:rPr>
                <w:rFonts w:hint="eastAsia"/>
                <w:color w:val="auto"/>
                <w:u w:val="none"/>
              </w:rPr>
              <w:t>机</w:t>
            </w:r>
          </w:p>
        </w:tc>
        <w:tc>
          <w:tcPr>
            <w:tcW w:w="1125" w:type="dxa"/>
            <w:vAlign w:val="center"/>
          </w:tcPr>
          <w:p>
            <w:pPr>
              <w:pStyle w:val="30"/>
              <w:rPr>
                <w:rFonts w:hint="default" w:eastAsia="宋体"/>
                <w:color w:val="auto"/>
                <w:u w:val="none"/>
                <w:lang w:val="en-US" w:eastAsia="zh-CN"/>
              </w:rPr>
            </w:pPr>
            <w:r>
              <w:rPr>
                <w:rFonts w:hint="eastAsia"/>
                <w:color w:val="auto"/>
                <w:u w:val="none"/>
                <w:lang w:val="en-US" w:eastAsia="zh-CN"/>
              </w:rPr>
              <w:t>0.5</w:t>
            </w:r>
          </w:p>
        </w:tc>
        <w:tc>
          <w:tcPr>
            <w:tcW w:w="1125" w:type="dxa"/>
            <w:vAlign w:val="center"/>
          </w:tcPr>
          <w:p>
            <w:pPr>
              <w:pStyle w:val="30"/>
              <w:rPr>
                <w:rFonts w:hint="default" w:eastAsia="宋体"/>
                <w:color w:val="auto"/>
                <w:u w:val="none"/>
                <w:lang w:val="en-US" w:eastAsia="zh-CN"/>
              </w:rPr>
            </w:pPr>
            <w:r>
              <w:rPr>
                <w:rFonts w:hint="eastAsia"/>
                <w:color w:val="auto"/>
                <w:u w:val="none"/>
                <w:lang w:val="en-US" w:eastAsia="zh-CN"/>
              </w:rPr>
              <w:t>0.5</w:t>
            </w:r>
          </w:p>
        </w:tc>
        <w:tc>
          <w:tcPr>
            <w:tcW w:w="1125" w:type="dxa"/>
            <w:vAlign w:val="center"/>
          </w:tcPr>
          <w:p>
            <w:pPr>
              <w:pStyle w:val="30"/>
              <w:rPr>
                <w:color w:val="auto"/>
                <w:u w:val="none"/>
              </w:rPr>
            </w:pPr>
            <w:r>
              <w:rPr>
                <w:rFonts w:hint="eastAsia"/>
                <w:color w:val="auto"/>
                <w:u w:val="none"/>
              </w:rPr>
              <w:t>0.3</w:t>
            </w:r>
          </w:p>
        </w:tc>
        <w:tc>
          <w:tcPr>
            <w:tcW w:w="1126" w:type="dxa"/>
            <w:vAlign w:val="center"/>
          </w:tcPr>
          <w:p>
            <w:pPr>
              <w:pStyle w:val="30"/>
              <w:rPr>
                <w:color w:val="auto"/>
                <w:u w:val="none"/>
              </w:rPr>
            </w:pPr>
            <w:r>
              <w:rPr>
                <w:rFonts w:hint="eastAsia"/>
                <w:color w:val="auto"/>
                <w:u w:val="none"/>
              </w:rPr>
              <w:t>0.5</w:t>
            </w:r>
          </w:p>
        </w:tc>
        <w:tc>
          <w:tcPr>
            <w:tcW w:w="1126" w:type="dxa"/>
            <w:vAlign w:val="center"/>
          </w:tcPr>
          <w:p>
            <w:pPr>
              <w:pStyle w:val="30"/>
              <w:rPr>
                <w:rFonts w:hint="default" w:eastAsia="宋体"/>
                <w:color w:val="auto"/>
                <w:u w:val="none"/>
                <w:lang w:val="en-US" w:eastAsia="zh-CN"/>
              </w:rPr>
            </w:pPr>
            <w:r>
              <w:rPr>
                <w:rFonts w:hint="eastAsia"/>
                <w:color w:val="auto"/>
                <w:u w:val="none"/>
                <w:lang w:val="en-US" w:eastAsia="zh-CN"/>
              </w:rPr>
              <w:t>1512</w:t>
            </w:r>
          </w:p>
        </w:tc>
        <w:tc>
          <w:tcPr>
            <w:tcW w:w="1126" w:type="dxa"/>
            <w:vAlign w:val="center"/>
          </w:tcPr>
          <w:p>
            <w:pPr>
              <w:pStyle w:val="30"/>
              <w:rPr>
                <w:color w:val="auto"/>
                <w:u w:val="none"/>
              </w:rPr>
            </w:pPr>
            <w:r>
              <w:rPr>
                <w:rFonts w:hint="eastAsia"/>
                <w:color w:val="auto"/>
                <w:u w:val="none"/>
              </w:rPr>
              <w:t>1</w:t>
            </w:r>
          </w:p>
        </w:tc>
        <w:tc>
          <w:tcPr>
            <w:tcW w:w="1126" w:type="dxa"/>
            <w:vAlign w:val="center"/>
          </w:tcPr>
          <w:p>
            <w:pPr>
              <w:pStyle w:val="30"/>
              <w:rPr>
                <w:rFonts w:hint="default" w:eastAsia="宋体"/>
                <w:color w:val="auto"/>
                <w:u w:val="none"/>
                <w:lang w:val="en-US" w:eastAsia="zh-CN"/>
              </w:rPr>
            </w:pPr>
            <w:r>
              <w:rPr>
                <w:rFonts w:hint="eastAsia"/>
                <w:color w:val="auto"/>
                <w:u w:val="none"/>
                <w:lang w:val="en-US" w:eastAsia="zh-CN"/>
              </w:rPr>
              <w:t>1512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7878" w:type="dxa"/>
            <w:gridSpan w:val="7"/>
            <w:vAlign w:val="center"/>
          </w:tcPr>
          <w:p>
            <w:pPr>
              <w:pStyle w:val="30"/>
              <w:rPr>
                <w:color w:val="auto"/>
                <w:u w:val="none"/>
              </w:rPr>
            </w:pPr>
            <w:r>
              <w:rPr>
                <w:rFonts w:hint="eastAsia"/>
                <w:color w:val="auto"/>
                <w:u w:val="none"/>
              </w:rPr>
              <w:t>合计风量</w:t>
            </w:r>
          </w:p>
        </w:tc>
        <w:tc>
          <w:tcPr>
            <w:tcW w:w="1126" w:type="dxa"/>
            <w:vAlign w:val="center"/>
          </w:tcPr>
          <w:p>
            <w:pPr>
              <w:pStyle w:val="30"/>
              <w:rPr>
                <w:rFonts w:hint="default" w:eastAsia="宋体"/>
                <w:color w:val="auto"/>
                <w:u w:val="none"/>
                <w:lang w:val="en-US" w:eastAsia="zh-CN"/>
              </w:rPr>
            </w:pPr>
            <w:r>
              <w:rPr>
                <w:rFonts w:hint="eastAsia"/>
                <w:color w:val="auto"/>
                <w:u w:val="none"/>
                <w:lang w:val="en-US" w:eastAsia="zh-CN"/>
              </w:rPr>
              <w:t>1512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b w:val="0"/>
          <w:bCs w:val="0"/>
          <w:u w:val="none"/>
          <w:lang w:val="en-US" w:eastAsia="zh-CN"/>
        </w:rPr>
      </w:pPr>
      <w:r>
        <w:rPr>
          <w:rFonts w:hint="eastAsia" w:ascii="Times New Roman" w:hAnsi="Times New Roman" w:cs="Times New Roman"/>
          <w:b w:val="0"/>
          <w:bCs w:val="0"/>
          <w:u w:val="none"/>
          <w:lang w:val="en-US" w:eastAsia="zh-CN"/>
        </w:rPr>
        <w:t>根据上表计算得到最小风量为</w:t>
      </w:r>
      <w:r>
        <w:rPr>
          <w:rFonts w:hint="eastAsia" w:cs="Times New Roman"/>
          <w:b w:val="0"/>
          <w:bCs w:val="0"/>
          <w:u w:val="none"/>
          <w:lang w:val="en-US" w:eastAsia="zh-CN"/>
        </w:rPr>
        <w:t>1512</w:t>
      </w:r>
      <w:r>
        <w:rPr>
          <w:rFonts w:hint="eastAsia" w:ascii="Times New Roman" w:hAnsi="Times New Roman" w:cs="Times New Roman"/>
          <w:b w:val="0"/>
          <w:bCs w:val="0"/>
          <w:u w:val="none"/>
          <w:lang w:val="en-US" w:eastAsia="zh-CN"/>
        </w:rPr>
        <w:t>m</w:t>
      </w:r>
      <w:r>
        <w:rPr>
          <w:rFonts w:hint="eastAsia" w:ascii="Times New Roman" w:hAnsi="Times New Roman" w:cs="Times New Roman"/>
          <w:b w:val="0"/>
          <w:bCs w:val="0"/>
          <w:u w:val="none"/>
          <w:vertAlign w:val="superscript"/>
          <w:lang w:val="en-US" w:eastAsia="zh-CN"/>
        </w:rPr>
        <w:t>3</w:t>
      </w:r>
      <w:r>
        <w:rPr>
          <w:rFonts w:hint="eastAsia" w:ascii="Times New Roman" w:hAnsi="Times New Roman" w:cs="Times New Roman"/>
          <w:b w:val="0"/>
          <w:bCs w:val="0"/>
          <w:u w:val="none"/>
          <w:lang w:val="en-US" w:eastAsia="zh-CN"/>
        </w:rPr>
        <w:t>/h，本项目最终确定的设计风量为2000m</w:t>
      </w:r>
      <w:r>
        <w:rPr>
          <w:rFonts w:hint="eastAsia" w:ascii="Times New Roman" w:hAnsi="Times New Roman" w:cs="Times New Roman"/>
          <w:b w:val="0"/>
          <w:bCs w:val="0"/>
          <w:u w:val="none"/>
          <w:vertAlign w:val="superscript"/>
          <w:lang w:val="en-US" w:eastAsia="zh-CN"/>
        </w:rPr>
        <w:t>3</w:t>
      </w:r>
      <w:r>
        <w:rPr>
          <w:rFonts w:hint="eastAsia" w:ascii="Times New Roman" w:hAnsi="Times New Roman" w:cs="Times New Roman"/>
          <w:b w:val="0"/>
          <w:bCs w:val="0"/>
          <w:u w:val="none"/>
          <w:lang w:val="en-US" w:eastAsia="zh-CN"/>
        </w:rPr>
        <w:t>/h。</w:t>
      </w:r>
    </w:p>
    <w:p>
      <w:pPr>
        <w:widowControl w:val="0"/>
        <w:spacing w:line="360" w:lineRule="auto"/>
        <w:ind w:firstLine="480" w:firstLineChars="200"/>
        <w:jc w:val="left"/>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根据《袋式除尘工程通用技术规范》（HJ 2020-2012），对产生烟（粉）尘的生产设备和部位，应优先考虑采用密闭罩或排气柜，并保持一定的负压，当不能或不变采用密闭罩时，可根据生产操作要求选择半密闭罩或外部集气罩，并尽可能包围或者靠近污染源，必要时，采取增设软帘围挡，以防止粉尘外溢。本项目采取外部集气罩，为提高集气效率，建议尽可能使集气罩靠近污染源，增设软帘围挡，收集效率能达到</w:t>
      </w:r>
      <w:r>
        <w:rPr>
          <w:rFonts w:hint="eastAsia" w:cs="Times New Roman"/>
          <w:u w:val="none"/>
          <w:lang w:val="en-US" w:eastAsia="zh-CN"/>
        </w:rPr>
        <w:t>9</w:t>
      </w:r>
      <w:r>
        <w:rPr>
          <w:rFonts w:hint="eastAsia" w:ascii="Times New Roman" w:hAnsi="Times New Roman" w:cs="Times New Roman"/>
          <w:u w:val="none"/>
          <w:lang w:val="en-US" w:eastAsia="zh-CN"/>
        </w:rPr>
        <w:t>0%左右。</w:t>
      </w:r>
    </w:p>
    <w:p>
      <w:pPr>
        <w:widowControl w:val="0"/>
        <w:spacing w:line="360" w:lineRule="auto"/>
        <w:ind w:firstLine="480" w:firstLineChars="20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（2）布袋除尘器对粉尘进行处理的可行性分析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①工作原理：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含尘气体通过滤袋（简称布袋）时，滤去其中粉尘粒子的分离捕集装置，是一种干式高效过滤式除尘器。布袋除尘器适宜于要求除尘效率较高、排气量变化较大的场合，最适宜处理有回收价值的、粒径比较细小的颗粒物。</w:t>
      </w:r>
    </w:p>
    <w:p>
      <w:pPr>
        <w:widowControl w:val="0"/>
        <w:spacing w:line="360" w:lineRule="auto"/>
        <w:ind w:firstLine="480" w:firstLineChars="20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项目工艺粉尘进入布袋除尘器内部，气流扩散后，均匀分布在布袋除尘器内部整个进气通道内，使气流流速大大降低，大多数粉尘沉降在灰斗中，经过初级除尘分离后的废气经过气体导流均布板，均匀分不到各个袋室及每个袋室的整个区域，整个气流组织分布相当均匀，且气体流速控制在合理的范围之内，这个过程实现了粉尘的二次沉降。经过二次粉尘沉降后的废气含尘量大大降低，在除尘器内部的负压作用下均匀缓慢穿过滤袋，粉尘被滤袋捕集，并在滤袋表面形成尘饼，净化后的较结晶废气经净气室及通道排出布袋除尘器。</w:t>
      </w:r>
    </w:p>
    <w:p>
      <w:pPr>
        <w:widowControl w:val="0"/>
        <w:spacing w:line="360" w:lineRule="auto"/>
        <w:ind w:firstLine="480" w:firstLineChars="20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由于布袋的截流、扩散、吸附等作用，使粉尘滞留在布袋及其缝隙中，除尘后的废气再经排气筒排出。随着滤袋表面积尘增多，滤袋两侧压差也随之增加，当压差达到清灰设定值时，脉冲阀打开，储气罐中的压缩空气通过清灰风管及其喷嘴将压缩空气均匀喷入滤袋内完成一次清灰。清灰的脉冲时间和脉冲间隔时间可以根据废气负荷的情况自动进行调整，从而保证了布袋除尘器的持续、正常运行。</w:t>
      </w:r>
    </w:p>
    <w:p>
      <w:pPr>
        <w:widowControl w:val="0"/>
        <w:spacing w:line="360" w:lineRule="auto"/>
        <w:ind w:firstLine="480" w:firstLineChars="200"/>
        <w:jc w:val="left"/>
        <w:rPr>
          <w:rFonts w:hint="eastAsia" w:ascii="Times New Roman" w:hAnsi="Times New Roman" w:cs="Times New Roman"/>
          <w:u w:val="none"/>
          <w:lang w:val="en-US" w:eastAsia="zh-CN"/>
        </w:rPr>
      </w:pPr>
      <w:r>
        <w:rPr>
          <w:rFonts w:hint="eastAsia" w:ascii="Times New Roman" w:hAnsi="Times New Roman" w:cs="Times New Roman"/>
          <w:u w:val="none"/>
          <w:lang w:val="en-US" w:eastAsia="zh-CN"/>
        </w:rPr>
        <w:t>②布袋除尘器特点：</w:t>
      </w:r>
    </w:p>
    <w:p>
      <w:pPr>
        <w:widowControl w:val="0"/>
        <w:spacing w:line="360" w:lineRule="auto"/>
        <w:ind w:firstLine="480" w:firstLineChars="200"/>
        <w:jc w:val="left"/>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a.除尘效率高。特别是对微小粉尘有较高的除尘效率，袋式除尘器对粒径小于15微米的粉尘除尘效率大于99%，排放粉尘浓度可达到30mg/m</w:t>
      </w:r>
      <w:r>
        <w:rPr>
          <w:rFonts w:hint="eastAsia" w:ascii="Times New Roman" w:hAnsi="Times New Roman" w:cs="Times New Roman"/>
          <w:u w:val="none"/>
          <w:vertAlign w:val="superscript"/>
          <w:lang w:val="en-US" w:eastAsia="zh-CN"/>
        </w:rPr>
        <w:t>3</w:t>
      </w:r>
      <w:r>
        <w:rPr>
          <w:rFonts w:hint="eastAsia" w:ascii="Times New Roman" w:hAnsi="Times New Roman" w:cs="Times New Roman"/>
          <w:u w:val="none"/>
          <w:lang w:val="en-US" w:eastAsia="zh-CN"/>
        </w:rPr>
        <w:t>以下，往往比电除尘器效果还要好。</w:t>
      </w:r>
    </w:p>
    <w:p>
      <w:pPr>
        <w:widowControl w:val="0"/>
        <w:spacing w:line="360" w:lineRule="auto"/>
        <w:ind w:firstLine="480" w:firstLineChars="200"/>
        <w:jc w:val="left"/>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b.适应性广。可以捕集不同性质的粉尘，不受废气含尘浓度、颗粒物分散度、比电阻等粉尘性质影响，粉尘性质对除尘效率和阻力影响不大。</w:t>
      </w:r>
    </w:p>
    <w:p>
      <w:pPr>
        <w:widowControl w:val="0"/>
        <w:spacing w:line="360" w:lineRule="auto"/>
        <w:ind w:firstLine="480" w:firstLineChars="200"/>
        <w:jc w:val="left"/>
        <w:rPr>
          <w:rFonts w:hint="default" w:ascii="Times New Roman" w:hAnsi="Times New Roman" w:cs="Times New Roman"/>
          <w:u w:val="none"/>
          <w:lang w:val="en-US" w:eastAsia="zh-CN"/>
        </w:rPr>
      </w:pPr>
      <w:r>
        <w:rPr>
          <w:rFonts w:hint="eastAsia" w:ascii="Times New Roman" w:hAnsi="Times New Roman" w:cs="Times New Roman"/>
          <w:u w:val="none"/>
          <w:lang w:val="en-US" w:eastAsia="zh-CN"/>
        </w:rPr>
        <w:t>c.处理风量范围大。烟气量的波动对带式除尘器的影响很小，可由每小时数百立方米到数百万立方米。</w:t>
      </w:r>
    </w:p>
    <w:p>
      <w:pPr>
        <w:widowControl w:val="0"/>
        <w:spacing w:line="360" w:lineRule="auto"/>
        <w:ind w:firstLine="480" w:firstLineChars="200"/>
        <w:jc w:val="left"/>
        <w:rPr>
          <w:rFonts w:hint="eastAsia"/>
          <w:b/>
          <w:bCs/>
          <w:color w:val="auto"/>
        </w:rPr>
      </w:pPr>
      <w:r>
        <w:rPr>
          <w:rFonts w:hint="eastAsia" w:ascii="Times New Roman" w:hAnsi="Times New Roman" w:cs="Times New Roman"/>
          <w:u w:val="none"/>
          <w:lang w:val="en-US" w:eastAsia="zh-CN"/>
        </w:rPr>
        <w:t>d.袋式除尘器是一种经济有效的除尘技术，结构灵活，便于回收干料，具有客观经济效益。</w:t>
      </w:r>
    </w:p>
    <w:p>
      <w:pPr>
        <w:ind w:firstLine="482"/>
        <w:rPr>
          <w:b/>
          <w:bCs/>
          <w:color w:val="auto"/>
        </w:rPr>
      </w:pPr>
      <w:r>
        <w:rPr>
          <w:rFonts w:hint="eastAsia"/>
          <w:b/>
          <w:bCs/>
          <w:color w:val="auto"/>
        </w:rPr>
        <w:t>2、有机废气处理措施可行性分析</w:t>
      </w:r>
    </w:p>
    <w:p>
      <w:pPr>
        <w:ind w:firstLine="482"/>
        <w:rPr>
          <w:b/>
          <w:bCs/>
          <w:color w:val="auto"/>
        </w:rPr>
      </w:pPr>
      <w:r>
        <w:rPr>
          <w:rFonts w:hint="eastAsia"/>
          <w:b/>
          <w:bCs/>
          <w:color w:val="auto"/>
        </w:rPr>
        <w:t>（1）有机废气收集系统设置的合理性分析</w:t>
      </w:r>
    </w:p>
    <w:p>
      <w:pPr>
        <w:ind w:firstLine="480"/>
        <w:rPr>
          <w:color w:val="auto"/>
        </w:rPr>
      </w:pPr>
      <w:r>
        <w:rPr>
          <w:rFonts w:hint="eastAsia"/>
          <w:color w:val="auto"/>
        </w:rPr>
        <w:t>①废气收集系统要求</w:t>
      </w:r>
    </w:p>
    <w:p>
      <w:pPr>
        <w:ind w:firstLine="480"/>
        <w:rPr>
          <w:color w:val="auto"/>
        </w:rPr>
      </w:pPr>
      <w:r>
        <w:rPr>
          <w:rFonts w:hint="eastAsia"/>
          <w:color w:val="auto"/>
        </w:rPr>
        <w:t>根据《挥发性有机物无组织排放控制标准》（GB 37822-2019）要求：企业应考虑生产工艺、操作方式、废气性质、处理方法等因素，对VOCs废气进行分类收集。废气收集系统排风罩(集气罩)的设置应符合 GBT16758的规定。采用外部排风罩的，应按 GBT16758、AQT4274-2016规定的方法测量控制风速，测量点应选取在距排风罩开口面最远处的VOCs无组织排放位置，控制风速不应低于0.3m/s(行业相关规范有具体规定的，按相关规定执行)。废气收集系统的输送管道应密闭。废气收集系统应在负压下运行，若处于正压状态，应对输送管道组件的密封点进行泄漏检测，泄漏检值不应超过500umol/mol，亦不应有感官可察觉泄漏。</w:t>
      </w:r>
    </w:p>
    <w:p>
      <w:pPr>
        <w:ind w:firstLine="480"/>
        <w:rPr>
          <w:color w:val="auto"/>
        </w:rPr>
      </w:pPr>
      <w:r>
        <w:rPr>
          <w:rFonts w:hint="eastAsia"/>
          <w:color w:val="auto"/>
        </w:rPr>
        <w:t>②集气罩风量计算</w:t>
      </w:r>
    </w:p>
    <w:p>
      <w:pPr>
        <w:ind w:firstLine="480"/>
        <w:rPr>
          <w:color w:val="auto"/>
        </w:rPr>
      </w:pPr>
      <w:r>
        <w:rPr>
          <w:rFonts w:hint="eastAsia"/>
          <w:color w:val="auto"/>
        </w:rPr>
        <w:t>本项目拟在挤出机（</w:t>
      </w:r>
      <w:r>
        <w:rPr>
          <w:rFonts w:hint="eastAsia"/>
          <w:color w:val="auto"/>
          <w:lang w:val="en-US" w:eastAsia="zh-CN"/>
        </w:rPr>
        <w:t>15</w:t>
      </w:r>
      <w:r>
        <w:rPr>
          <w:rFonts w:hint="eastAsia"/>
          <w:color w:val="auto"/>
        </w:rPr>
        <w:t>台）上方设置伞形罩（上吸罩）对有机废气进行收集。《挥发性有机物无组织排放控制标准》（GB37822-2019）要求“采用外部排风罩的，控制风速不应低于0.3 m/s”，根据《局部排风设施控制风速检测与评估技术规范》（AQ/T 4274-2016 ），本项目排风罩的控制点为下图黑点所在位置。</w:t>
      </w:r>
    </w:p>
    <w:p>
      <w:pPr>
        <w:pStyle w:val="31"/>
        <w:rPr>
          <w:color w:val="auto"/>
        </w:rPr>
      </w:pPr>
      <w:r>
        <w:rPr>
          <w:color w:val="auto"/>
        </w:rPr>
        <mc:AlternateContent>
          <mc:Choice Requires="wpg">
            <w:drawing>
              <wp:inline distT="0" distB="0" distL="0" distR="0">
                <wp:extent cx="5486400" cy="2453005"/>
                <wp:effectExtent l="0" t="0" r="0" b="4445"/>
                <wp:docPr id="36" name="组合 36"/>
                <wp:cNvGraphicFramePr/>
                <a:graphic xmlns:a="http://schemas.openxmlformats.org/drawingml/2006/main">
                  <a:graphicData uri="http://schemas.microsoft.com/office/word/2010/wordprocessingGroup">
                    <wpg:wgp>
                      <wpg:cNvGrpSpPr/>
                      <wpg:grpSpPr>
                        <a:xfrm>
                          <a:off x="0" y="0"/>
                          <a:ext cx="5486400" cy="2453005"/>
                          <a:chOff x="0" y="0"/>
                          <a:chExt cx="5486400" cy="2453004"/>
                        </a:xfrm>
                      </wpg:grpSpPr>
                      <wps:wsp>
                        <wps:cNvPr id="37" name="Picture 1178"/>
                        <wps:cNvSpPr>
                          <a:spLocks noChangeArrowheads="1"/>
                        </wps:cNvSpPr>
                        <wps:spPr bwMode="auto">
                          <a:xfrm>
                            <a:off x="0" y="0"/>
                            <a:ext cx="5486400" cy="2453004"/>
                          </a:xfrm>
                          <a:prstGeom prst="rect">
                            <a:avLst/>
                          </a:prstGeom>
                          <a:noFill/>
                          <a:ln>
                            <a:noFill/>
                          </a:ln>
                        </wps:spPr>
                        <wps:bodyPr rot="0" vert="horz" wrap="square" lIns="91440" tIns="45720" rIns="91440" bIns="45720" anchor="t" anchorCtr="0" upright="1">
                          <a:noAutofit/>
                        </wps:bodyPr>
                      </wps:wsp>
                      <pic:pic xmlns:pic="http://schemas.openxmlformats.org/drawingml/2006/picture">
                        <pic:nvPicPr>
                          <pic:cNvPr id="38" name="图片 156" descr="捕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486400" cy="2428875"/>
                          </a:xfrm>
                          <a:prstGeom prst="rect">
                            <a:avLst/>
                          </a:prstGeom>
                          <a:noFill/>
                          <a:ln>
                            <a:noFill/>
                          </a:ln>
                        </pic:spPr>
                      </pic:pic>
                    </wpg:wgp>
                  </a:graphicData>
                </a:graphic>
              </wp:inline>
            </w:drawing>
          </mc:Choice>
          <mc:Fallback>
            <w:pict>
              <v:group id="_x0000_s1026" o:spid="_x0000_s1026" o:spt="203" style="height:193.15pt;width:432pt;" coordsize="5486400,2453004" o:gfxdata="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WRtaW5pc3RyYXRvcgAABZADAAIA&#10;AAAUAAAQppAEAAIAAAAUAAAQupKRAAIAAAADNDMAAJKSAAIAAAADNDMAAOocAAcAAAgMAAAImg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wMjM6MDE6MDMgMTY6NDA6MzMAMjAyMzowMTowMyAxNjo0MDozMwAAAEEAZABt&#10;AGkAbgBpAHMAdAByAGEAdABvAHIAAAD/4Qsg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yMy0wMS0wM1QxNjo0MDozMy40MjU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QWRtaW5pc3RyYXRvcj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C2Aa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WGCzG7QAAAAiAQAAGQAAAGRycy9fcmVs&#10;cy9lMm9Eb2MueG1sLnJlbHOFj8sKwjAQRfeC/xBmb9O6EJGmbkRwK/UDhmSaRpsHSRT79wbcKAgu&#10;517uOUy7f9qJPSgm452ApqqBkZNeGacFXPrjagssZXQKJ+9IwEwJ9t1y0Z5pwlxGaTQhsUJxScCY&#10;c9hxnuRIFlPlA7nSDD5azOWMmgeUN9TE13W94fGTAd0Xk52UgHhSDbB+DsX8n+2HwUg6eHm35PIP&#10;BTe2uAsQo6YswJIy+A6b6hpIA+9a/vVZ9wJ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">
                <o:lock v:ext="edit" aspectratio="f"/>
                <v:rect id="Picture 1178" o:spid="_x0000_s1026" o:spt="1" style="position:absolute;left:0;top:0;height:2453004;width:5486400;" filled="f" stroked="f" coordsize="21600,21600" o:gfxdata="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NgBL4A&#10;AADbAAAADwAAAAAAAAABACAAAAAiAAAAZHJzL2Rvd25yZXYueG1sUEsBAhQAFAAAAAgAh07iQDMv&#10;BZ47AAAAOQAAABAAAAAAAAAAAQAgAAAADQEAAGRycy9zaGFwZXhtbC54bWxQSwUGAAAAAAYABgBb&#10;AQAAtwMAAAAA&#10;">
                  <v:fill on="f" focussize="0,0"/>
                  <v:stroke on="f"/>
                  <v:imagedata o:title=""/>
                  <o:lock v:ext="edit" aspectratio="f"/>
                </v:rect>
                <v:shape id="图片 156" o:spid="_x0000_s1026" o:spt="75" alt="捕获" type="#_x0000_t75" style="position:absolute;left:0;top:0;height:2428875;width:5486400;" filled="f" o:preferrelative="t" stroked="f" coordsize="21600,21600" o:gfxdata="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xWy7gAAADbAAAA&#10;DwAAAAAAAAABACAAAAAiAAAAZHJzL2Rvd25yZXYueG1sUEsBAhQAFAAAAAgAh07iQDMvBZ47AAAA&#10;OQAAABAAAAAAAAAAAQAgAAAABwEAAGRycy9zaGFwZXhtbC54bWxQSwUGAAAAAAYABgBbAQAAsQMA&#10;AAAA&#10;">
                  <v:fill on="f" focussize="0,0"/>
                  <v:stroke on="f"/>
                  <v:imagedata r:id="rId38" o:title=""/>
                  <o:lock v:ext="edit" aspectratio="t"/>
                </v:shape>
                <w10:wrap type="none"/>
                <w10:anchorlock/>
              </v:group>
            </w:pict>
          </mc:Fallback>
        </mc:AlternateContent>
      </w:r>
    </w:p>
    <w:p>
      <w:pPr>
        <w:pStyle w:val="31"/>
        <w:rPr>
          <w:bCs/>
          <w:color w:val="auto"/>
        </w:rPr>
      </w:pPr>
      <w:r>
        <w:rPr>
          <w:rFonts w:hint="eastAsia"/>
          <w:bCs/>
          <w:color w:val="auto"/>
        </w:rPr>
        <w:t>图 6.2-1 项目排风罩控制点位置示意图</w:t>
      </w:r>
    </w:p>
    <w:p>
      <w:pPr>
        <w:ind w:firstLine="480"/>
        <w:rPr>
          <w:color w:val="auto"/>
        </w:rPr>
      </w:pPr>
      <w:r>
        <w:rPr>
          <w:rFonts w:hint="eastAsia"/>
          <w:color w:val="auto"/>
        </w:rPr>
        <w:t>本项目排风罩均采用上部伞形集气罩，对于外部排风罩，使用软帘、软罩、挡板，使排风罩延长无限接近VOCs散发源，可提高废气收集效果。为了增强本项目的废气的收集效果，建议对集气罩增加软帘进行围挡。</w:t>
      </w:r>
    </w:p>
    <w:p>
      <w:pPr>
        <w:ind w:firstLine="480"/>
        <w:rPr>
          <w:color w:val="auto"/>
        </w:rPr>
      </w:pPr>
      <w:r>
        <w:rPr>
          <w:rFonts w:hint="eastAsia"/>
          <w:color w:val="auto"/>
        </w:rPr>
        <w:t>本项目排风罩均采用上部伞形集气罩，根据《环境工程设计手册》中的有关公示：</w:t>
      </w:r>
    </w:p>
    <w:p>
      <w:pPr>
        <w:ind w:firstLine="480"/>
        <w:rPr>
          <w:color w:val="auto"/>
        </w:rPr>
      </w:pPr>
      <w:r>
        <w:rPr>
          <w:rFonts w:hint="eastAsia"/>
          <w:color w:val="auto"/>
        </w:rPr>
        <w:t>Q=1.4×P×H×V×3600</w:t>
      </w:r>
    </w:p>
    <w:p>
      <w:pPr>
        <w:ind w:firstLine="480"/>
        <w:rPr>
          <w:color w:val="auto"/>
        </w:rPr>
      </w:pPr>
      <w:r>
        <w:rPr>
          <w:rFonts w:hint="eastAsia"/>
          <w:color w:val="auto"/>
        </w:rPr>
        <w:t>式中Q为排气量，m</w:t>
      </w:r>
      <w:r>
        <w:rPr>
          <w:rFonts w:hint="eastAsia"/>
          <w:color w:val="auto"/>
          <w:vertAlign w:val="superscript"/>
        </w:rPr>
        <w:t>3</w:t>
      </w:r>
      <w:r>
        <w:rPr>
          <w:rFonts w:hint="eastAsia"/>
          <w:color w:val="auto"/>
        </w:rPr>
        <w:t>/h；1.4位伞形集气罩吸风系数；P为罩口周长，m；H 为罩口距污染源距离，m；V为风速，m/s。</w:t>
      </w:r>
    </w:p>
    <w:p>
      <w:pPr>
        <w:ind w:firstLine="480"/>
        <w:rPr>
          <w:color w:val="auto"/>
        </w:rPr>
      </w:pPr>
      <w:r>
        <w:rPr>
          <w:rFonts w:hint="eastAsia"/>
          <w:color w:val="auto"/>
        </w:rPr>
        <w:t>本项目设计的吸入速度为 0.5m/s，根据集气罩尺寸，计算得到的风量见下表：</w:t>
      </w:r>
    </w:p>
    <w:p>
      <w:pPr>
        <w:pStyle w:val="31"/>
        <w:rPr>
          <w:color w:val="auto"/>
        </w:rPr>
      </w:pPr>
      <w:r>
        <w:rPr>
          <w:rFonts w:hint="eastAsia"/>
          <w:color w:val="auto"/>
        </w:rPr>
        <w:t>表 6.2-1 项目集气罩及计算风量一览表</w:t>
      </w:r>
    </w:p>
    <w:tbl>
      <w:tblPr>
        <w:tblStyle w:val="21"/>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5"/>
        <w:gridCol w:w="1125"/>
        <w:gridCol w:w="1125"/>
        <w:gridCol w:w="1125"/>
        <w:gridCol w:w="1126"/>
        <w:gridCol w:w="1126"/>
        <w:gridCol w:w="1126"/>
        <w:gridCol w:w="112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125" w:type="dxa"/>
            <w:vAlign w:val="center"/>
          </w:tcPr>
          <w:p>
            <w:pPr>
              <w:pStyle w:val="30"/>
              <w:rPr>
                <w:b/>
                <w:bCs/>
                <w:color w:val="auto"/>
              </w:rPr>
            </w:pPr>
            <w:r>
              <w:rPr>
                <w:rFonts w:hint="eastAsia"/>
                <w:b/>
                <w:bCs/>
                <w:color w:val="auto"/>
              </w:rPr>
              <w:t>设备名称</w:t>
            </w:r>
          </w:p>
        </w:tc>
        <w:tc>
          <w:tcPr>
            <w:tcW w:w="1125" w:type="dxa"/>
            <w:vAlign w:val="center"/>
          </w:tcPr>
          <w:p>
            <w:pPr>
              <w:pStyle w:val="30"/>
              <w:rPr>
                <w:b/>
                <w:bCs/>
                <w:color w:val="auto"/>
              </w:rPr>
            </w:pPr>
            <w:r>
              <w:rPr>
                <w:rFonts w:hint="eastAsia"/>
                <w:b/>
                <w:bCs/>
                <w:color w:val="auto"/>
              </w:rPr>
              <w:t>罩口长度</w:t>
            </w:r>
          </w:p>
        </w:tc>
        <w:tc>
          <w:tcPr>
            <w:tcW w:w="1125" w:type="dxa"/>
            <w:vAlign w:val="center"/>
          </w:tcPr>
          <w:p>
            <w:pPr>
              <w:pStyle w:val="30"/>
              <w:rPr>
                <w:b/>
                <w:bCs/>
                <w:color w:val="auto"/>
              </w:rPr>
            </w:pPr>
            <w:r>
              <w:rPr>
                <w:rFonts w:hint="eastAsia"/>
                <w:b/>
                <w:bCs/>
                <w:color w:val="auto"/>
              </w:rPr>
              <w:t>罩口宽度</w:t>
            </w:r>
          </w:p>
        </w:tc>
        <w:tc>
          <w:tcPr>
            <w:tcW w:w="1125" w:type="dxa"/>
            <w:vAlign w:val="center"/>
          </w:tcPr>
          <w:p>
            <w:pPr>
              <w:pStyle w:val="30"/>
              <w:rPr>
                <w:b/>
                <w:bCs/>
                <w:color w:val="auto"/>
              </w:rPr>
            </w:pPr>
            <w:r>
              <w:rPr>
                <w:rFonts w:hint="eastAsia"/>
                <w:b/>
                <w:bCs/>
                <w:color w:val="auto"/>
              </w:rPr>
              <w:t>与污染源</w:t>
            </w:r>
          </w:p>
          <w:p>
            <w:pPr>
              <w:pStyle w:val="30"/>
              <w:rPr>
                <w:b/>
                <w:bCs/>
                <w:color w:val="auto"/>
              </w:rPr>
            </w:pPr>
            <w:r>
              <w:rPr>
                <w:rFonts w:hint="eastAsia"/>
                <w:b/>
                <w:bCs/>
                <w:color w:val="auto"/>
              </w:rPr>
              <w:t>距离(m)</w:t>
            </w:r>
          </w:p>
        </w:tc>
        <w:tc>
          <w:tcPr>
            <w:tcW w:w="1126" w:type="dxa"/>
            <w:vAlign w:val="center"/>
          </w:tcPr>
          <w:p>
            <w:pPr>
              <w:pStyle w:val="30"/>
              <w:rPr>
                <w:b/>
                <w:bCs/>
                <w:color w:val="auto"/>
              </w:rPr>
            </w:pPr>
            <w:r>
              <w:rPr>
                <w:rFonts w:hint="eastAsia"/>
                <w:b/>
                <w:bCs/>
                <w:color w:val="auto"/>
              </w:rPr>
              <w:t>吸入速度</w:t>
            </w:r>
          </w:p>
          <w:p>
            <w:pPr>
              <w:pStyle w:val="30"/>
              <w:rPr>
                <w:b/>
                <w:bCs/>
                <w:color w:val="auto"/>
              </w:rPr>
            </w:pPr>
            <w:r>
              <w:rPr>
                <w:rFonts w:hint="eastAsia"/>
                <w:b/>
                <w:bCs/>
                <w:color w:val="auto"/>
              </w:rPr>
              <w:t>(m/s)</w:t>
            </w:r>
          </w:p>
        </w:tc>
        <w:tc>
          <w:tcPr>
            <w:tcW w:w="1126" w:type="dxa"/>
            <w:vAlign w:val="center"/>
          </w:tcPr>
          <w:p>
            <w:pPr>
              <w:pStyle w:val="30"/>
              <w:rPr>
                <w:b/>
                <w:bCs/>
                <w:color w:val="auto"/>
              </w:rPr>
            </w:pPr>
            <w:r>
              <w:rPr>
                <w:rFonts w:hint="eastAsia"/>
                <w:b/>
                <w:bCs/>
                <w:color w:val="auto"/>
              </w:rPr>
              <w:t>计算风量</w:t>
            </w:r>
          </w:p>
          <w:p>
            <w:pPr>
              <w:pStyle w:val="30"/>
              <w:rPr>
                <w:b/>
                <w:bCs/>
                <w:color w:val="auto"/>
              </w:rPr>
            </w:pPr>
            <w:r>
              <w:rPr>
                <w:rFonts w:hint="eastAsia"/>
                <w:b/>
                <w:bCs/>
                <w:color w:val="auto"/>
              </w:rPr>
              <w:t>(m</w:t>
            </w:r>
            <w:r>
              <w:rPr>
                <w:rFonts w:hint="eastAsia"/>
                <w:b/>
                <w:bCs/>
                <w:color w:val="auto"/>
                <w:vertAlign w:val="superscript"/>
              </w:rPr>
              <w:t>3</w:t>
            </w:r>
            <w:r>
              <w:rPr>
                <w:rFonts w:hint="eastAsia"/>
                <w:b/>
                <w:bCs/>
                <w:color w:val="auto"/>
              </w:rPr>
              <w:t>/h)</w:t>
            </w:r>
          </w:p>
        </w:tc>
        <w:tc>
          <w:tcPr>
            <w:tcW w:w="1126" w:type="dxa"/>
            <w:vAlign w:val="center"/>
          </w:tcPr>
          <w:p>
            <w:pPr>
              <w:pStyle w:val="30"/>
              <w:rPr>
                <w:b/>
                <w:bCs/>
                <w:color w:val="auto"/>
              </w:rPr>
            </w:pPr>
            <w:r>
              <w:rPr>
                <w:rFonts w:hint="eastAsia"/>
                <w:b/>
                <w:bCs/>
                <w:color w:val="auto"/>
              </w:rPr>
              <w:t>设备台</w:t>
            </w:r>
          </w:p>
          <w:p>
            <w:pPr>
              <w:pStyle w:val="30"/>
              <w:rPr>
                <w:b/>
                <w:bCs/>
                <w:color w:val="auto"/>
              </w:rPr>
            </w:pPr>
            <w:r>
              <w:rPr>
                <w:rFonts w:hint="eastAsia"/>
                <w:b/>
                <w:bCs/>
                <w:color w:val="auto"/>
              </w:rPr>
              <w:t>数（台）</w:t>
            </w:r>
          </w:p>
        </w:tc>
        <w:tc>
          <w:tcPr>
            <w:tcW w:w="1126" w:type="dxa"/>
            <w:vAlign w:val="center"/>
          </w:tcPr>
          <w:p>
            <w:pPr>
              <w:pStyle w:val="30"/>
              <w:rPr>
                <w:b/>
                <w:bCs/>
                <w:color w:val="auto"/>
              </w:rPr>
            </w:pPr>
            <w:r>
              <w:rPr>
                <w:rFonts w:hint="eastAsia"/>
                <w:b/>
                <w:bCs/>
                <w:color w:val="auto"/>
              </w:rPr>
              <w:t>总风量</w:t>
            </w:r>
          </w:p>
          <w:p>
            <w:pPr>
              <w:pStyle w:val="30"/>
              <w:rPr>
                <w:b/>
                <w:bCs/>
                <w:color w:val="auto"/>
              </w:rPr>
            </w:pPr>
            <w:r>
              <w:rPr>
                <w:rFonts w:hint="eastAsia"/>
                <w:b/>
                <w:bCs/>
                <w:color w:val="auto"/>
              </w:rPr>
              <w:t>（m</w:t>
            </w:r>
            <w:r>
              <w:rPr>
                <w:rFonts w:hint="eastAsia"/>
                <w:b/>
                <w:bCs/>
                <w:color w:val="auto"/>
                <w:vertAlign w:val="superscript"/>
              </w:rPr>
              <w:t>3</w:t>
            </w:r>
            <w:r>
              <w:rPr>
                <w:rFonts w:hint="eastAsia"/>
                <w:b/>
                <w:bCs/>
                <w:color w:val="auto"/>
              </w:rPr>
              <w:t>/h）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1125" w:type="dxa"/>
            <w:vAlign w:val="center"/>
          </w:tcPr>
          <w:p>
            <w:pPr>
              <w:pStyle w:val="30"/>
              <w:rPr>
                <w:color w:val="auto"/>
              </w:rPr>
            </w:pPr>
            <w:r>
              <w:rPr>
                <w:rFonts w:hint="eastAsia"/>
                <w:color w:val="auto"/>
              </w:rPr>
              <w:t>挤出机</w:t>
            </w:r>
          </w:p>
        </w:tc>
        <w:tc>
          <w:tcPr>
            <w:tcW w:w="1125" w:type="dxa"/>
            <w:vAlign w:val="center"/>
          </w:tcPr>
          <w:p>
            <w:pPr>
              <w:pStyle w:val="30"/>
              <w:rPr>
                <w:rFonts w:hint="default" w:eastAsia="宋体"/>
                <w:color w:val="auto"/>
                <w:lang w:val="en-US" w:eastAsia="zh-CN"/>
              </w:rPr>
            </w:pPr>
            <w:r>
              <w:rPr>
                <w:rFonts w:hint="eastAsia"/>
                <w:color w:val="auto"/>
                <w:lang w:val="en-US" w:eastAsia="zh-CN"/>
              </w:rPr>
              <w:t>0.5</w:t>
            </w:r>
          </w:p>
        </w:tc>
        <w:tc>
          <w:tcPr>
            <w:tcW w:w="1125" w:type="dxa"/>
            <w:vAlign w:val="center"/>
          </w:tcPr>
          <w:p>
            <w:pPr>
              <w:pStyle w:val="30"/>
              <w:rPr>
                <w:rFonts w:hint="default" w:eastAsia="宋体"/>
                <w:color w:val="auto"/>
                <w:lang w:val="en-US" w:eastAsia="zh-CN"/>
              </w:rPr>
            </w:pPr>
            <w:r>
              <w:rPr>
                <w:rFonts w:hint="eastAsia"/>
                <w:color w:val="auto"/>
                <w:lang w:val="en-US" w:eastAsia="zh-CN"/>
              </w:rPr>
              <w:t>0.5</w:t>
            </w:r>
          </w:p>
        </w:tc>
        <w:tc>
          <w:tcPr>
            <w:tcW w:w="1125" w:type="dxa"/>
            <w:vAlign w:val="center"/>
          </w:tcPr>
          <w:p>
            <w:pPr>
              <w:pStyle w:val="30"/>
              <w:rPr>
                <w:color w:val="auto"/>
              </w:rPr>
            </w:pPr>
            <w:r>
              <w:rPr>
                <w:rFonts w:hint="eastAsia"/>
                <w:color w:val="auto"/>
              </w:rPr>
              <w:t>0.3</w:t>
            </w:r>
          </w:p>
        </w:tc>
        <w:tc>
          <w:tcPr>
            <w:tcW w:w="1126" w:type="dxa"/>
            <w:vAlign w:val="center"/>
          </w:tcPr>
          <w:p>
            <w:pPr>
              <w:pStyle w:val="30"/>
              <w:rPr>
                <w:color w:val="auto"/>
              </w:rPr>
            </w:pPr>
            <w:r>
              <w:rPr>
                <w:rFonts w:hint="eastAsia"/>
                <w:color w:val="auto"/>
              </w:rPr>
              <w:t>0.5</w:t>
            </w:r>
          </w:p>
        </w:tc>
        <w:tc>
          <w:tcPr>
            <w:tcW w:w="1126" w:type="dxa"/>
            <w:vAlign w:val="center"/>
          </w:tcPr>
          <w:p>
            <w:pPr>
              <w:pStyle w:val="30"/>
              <w:rPr>
                <w:rFonts w:hint="default" w:eastAsia="宋体"/>
                <w:color w:val="auto"/>
                <w:lang w:val="en-US" w:eastAsia="zh-CN"/>
              </w:rPr>
            </w:pPr>
            <w:r>
              <w:rPr>
                <w:rFonts w:hint="eastAsia" w:cs="Times New Roman"/>
                <w:b w:val="0"/>
                <w:bCs w:val="0"/>
                <w:sz w:val="21"/>
                <w:szCs w:val="21"/>
                <w:u w:val="none"/>
                <w:vertAlign w:val="baseline"/>
                <w:lang w:val="en-US" w:eastAsia="zh-CN"/>
              </w:rPr>
              <w:t>1512</w:t>
            </w:r>
          </w:p>
        </w:tc>
        <w:tc>
          <w:tcPr>
            <w:tcW w:w="1126" w:type="dxa"/>
            <w:vAlign w:val="center"/>
          </w:tcPr>
          <w:p>
            <w:pPr>
              <w:pStyle w:val="30"/>
              <w:rPr>
                <w:rFonts w:hint="default" w:eastAsia="宋体"/>
                <w:color w:val="auto"/>
                <w:lang w:val="en-US" w:eastAsia="zh-CN"/>
              </w:rPr>
            </w:pPr>
            <w:r>
              <w:rPr>
                <w:rFonts w:hint="eastAsia"/>
                <w:color w:val="auto"/>
                <w:lang w:val="en-US" w:eastAsia="zh-CN"/>
              </w:rPr>
              <w:t>16</w:t>
            </w:r>
          </w:p>
        </w:tc>
        <w:tc>
          <w:tcPr>
            <w:tcW w:w="1126" w:type="dxa"/>
            <w:vAlign w:val="center"/>
          </w:tcPr>
          <w:p>
            <w:pPr>
              <w:pStyle w:val="30"/>
              <w:rPr>
                <w:rFonts w:hint="default" w:eastAsia="宋体"/>
                <w:color w:val="auto"/>
                <w:lang w:val="en-US" w:eastAsia="zh-CN"/>
              </w:rPr>
            </w:pPr>
            <w:r>
              <w:rPr>
                <w:rFonts w:hint="eastAsia"/>
                <w:color w:val="auto"/>
                <w:lang w:val="en-US" w:eastAsia="zh-CN"/>
              </w:rPr>
              <w:t>24192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rPr>
        <w:tc>
          <w:tcPr>
            <w:tcW w:w="7878" w:type="dxa"/>
            <w:gridSpan w:val="7"/>
            <w:vAlign w:val="center"/>
          </w:tcPr>
          <w:p>
            <w:pPr>
              <w:pStyle w:val="30"/>
              <w:rPr>
                <w:color w:val="auto"/>
              </w:rPr>
            </w:pPr>
            <w:r>
              <w:rPr>
                <w:rFonts w:hint="eastAsia"/>
                <w:color w:val="auto"/>
              </w:rPr>
              <w:t>合计风量</w:t>
            </w:r>
          </w:p>
        </w:tc>
        <w:tc>
          <w:tcPr>
            <w:tcW w:w="1126" w:type="dxa"/>
            <w:vAlign w:val="center"/>
          </w:tcPr>
          <w:p>
            <w:pPr>
              <w:pStyle w:val="30"/>
              <w:rPr>
                <w:rFonts w:hint="default" w:eastAsia="宋体"/>
                <w:color w:val="auto"/>
                <w:lang w:val="en-US" w:eastAsia="zh-CN"/>
              </w:rPr>
            </w:pPr>
            <w:r>
              <w:rPr>
                <w:rFonts w:hint="eastAsia"/>
                <w:color w:val="auto"/>
                <w:lang w:val="en-US" w:eastAsia="zh-CN"/>
              </w:rPr>
              <w:t>24192</w:t>
            </w:r>
          </w:p>
        </w:tc>
      </w:tr>
    </w:tbl>
    <w:p>
      <w:pPr>
        <w:ind w:firstLine="480"/>
        <w:rPr>
          <w:color w:val="auto"/>
        </w:rPr>
      </w:pPr>
      <w:r>
        <w:rPr>
          <w:rFonts w:hint="eastAsia"/>
          <w:color w:val="auto"/>
        </w:rPr>
        <w:t>根据上表计算得到</w:t>
      </w:r>
      <w:r>
        <w:rPr>
          <w:rFonts w:hint="eastAsia"/>
          <w:color w:val="auto"/>
          <w:lang w:val="en-US" w:eastAsia="zh-CN"/>
        </w:rPr>
        <w:t>熔融挤出工序</w:t>
      </w:r>
      <w:r>
        <w:rPr>
          <w:rFonts w:hint="eastAsia"/>
          <w:color w:val="auto"/>
        </w:rPr>
        <w:t>最小风量为</w:t>
      </w:r>
      <w:r>
        <w:rPr>
          <w:rFonts w:hint="eastAsia"/>
          <w:color w:val="auto"/>
          <w:lang w:val="en-US" w:eastAsia="zh-CN"/>
        </w:rPr>
        <w:t>24192</w:t>
      </w:r>
      <w:r>
        <w:rPr>
          <w:rFonts w:hint="eastAsia"/>
          <w:color w:val="auto"/>
        </w:rPr>
        <w:t>m</w:t>
      </w:r>
      <w:r>
        <w:rPr>
          <w:rFonts w:hint="eastAsia"/>
          <w:color w:val="auto"/>
          <w:vertAlign w:val="superscript"/>
        </w:rPr>
        <w:t>3</w:t>
      </w:r>
      <w:r>
        <w:rPr>
          <w:rFonts w:hint="eastAsia"/>
          <w:color w:val="auto"/>
        </w:rPr>
        <w:t>/h</w:t>
      </w:r>
      <w:r>
        <w:rPr>
          <w:rFonts w:hint="eastAsia"/>
          <w:color w:val="auto"/>
          <w:lang w:eastAsia="zh-CN"/>
        </w:rPr>
        <w:t>，</w:t>
      </w:r>
      <w:r>
        <w:rPr>
          <w:rFonts w:hint="eastAsia"/>
          <w:color w:val="auto"/>
        </w:rPr>
        <w:t>本项目最终确定的</w:t>
      </w:r>
      <w:r>
        <w:rPr>
          <w:rFonts w:hint="eastAsia"/>
          <w:color w:val="auto"/>
          <w:lang w:val="en-US" w:eastAsia="zh-CN"/>
        </w:rPr>
        <w:t>挤出工序</w:t>
      </w:r>
      <w:r>
        <w:rPr>
          <w:rFonts w:hint="eastAsia"/>
          <w:color w:val="auto"/>
        </w:rPr>
        <w:t>设计</w:t>
      </w:r>
      <w:r>
        <w:rPr>
          <w:rFonts w:hint="eastAsia"/>
          <w:color w:val="auto"/>
          <w:lang w:val="en-US" w:eastAsia="zh-CN"/>
        </w:rPr>
        <w:t>总</w:t>
      </w:r>
      <w:r>
        <w:rPr>
          <w:rFonts w:hint="eastAsia"/>
          <w:color w:val="auto"/>
        </w:rPr>
        <w:t>风量为</w:t>
      </w:r>
      <w:r>
        <w:rPr>
          <w:rFonts w:hint="eastAsia"/>
          <w:color w:val="auto"/>
          <w:lang w:val="en-US" w:eastAsia="zh-CN"/>
        </w:rPr>
        <w:t>32000</w:t>
      </w:r>
      <w:r>
        <w:rPr>
          <w:rFonts w:hint="eastAsia"/>
          <w:color w:val="auto"/>
        </w:rPr>
        <w:t>m</w:t>
      </w:r>
      <w:r>
        <w:rPr>
          <w:rFonts w:hint="eastAsia"/>
          <w:color w:val="auto"/>
          <w:vertAlign w:val="superscript"/>
        </w:rPr>
        <w:t>3</w:t>
      </w:r>
      <w:r>
        <w:rPr>
          <w:rFonts w:hint="eastAsia"/>
          <w:color w:val="auto"/>
        </w:rPr>
        <w:t>/h。因此本项目有机废气的收集系统满足《挥发性有机物无组织排放控制标准》（GB 37822—2019）要求。</w:t>
      </w:r>
    </w:p>
    <w:p>
      <w:pPr>
        <w:ind w:firstLine="480"/>
        <w:rPr>
          <w:color w:val="auto"/>
        </w:rPr>
      </w:pPr>
      <w:r>
        <w:rPr>
          <w:rFonts w:hint="eastAsia"/>
          <w:color w:val="auto"/>
        </w:rPr>
        <w:t>②集气罩收集效率合理性分析</w:t>
      </w:r>
    </w:p>
    <w:p>
      <w:pPr>
        <w:ind w:firstLine="480"/>
        <w:rPr>
          <w:color w:val="auto"/>
        </w:rPr>
      </w:pPr>
      <w:r>
        <w:rPr>
          <w:rFonts w:hint="eastAsia"/>
          <w:color w:val="auto"/>
        </w:rPr>
        <w:t>本项目集气罩收集效率参照《关于指导大气污染治理项目入库工作的通知》粤环办〔2021〕92号—</w:t>
      </w:r>
      <w:r>
        <w:rPr>
          <w:color w:val="auto"/>
        </w:rPr>
        <w:t>广东省工业源挥发性有机物减排量核算方法（试行）</w:t>
      </w:r>
      <w:r>
        <w:rPr>
          <w:rFonts w:hint="eastAsia"/>
          <w:color w:val="auto"/>
        </w:rPr>
        <w:t>中废气收集集气效率的参考值，采用外部型集气设备（顶式集气罩、槽边抽风、侧式集气罩等），设置软质垂帘四周围挡的，</w:t>
      </w:r>
      <w:r>
        <w:rPr>
          <w:color w:val="auto"/>
        </w:rPr>
        <w:t>控制风速不小于0.5m/s</w:t>
      </w:r>
      <w:r>
        <w:rPr>
          <w:rFonts w:hint="eastAsia"/>
          <w:color w:val="auto"/>
        </w:rPr>
        <w:t>，集气效率为</w:t>
      </w:r>
      <w:r>
        <w:rPr>
          <w:rFonts w:hint="eastAsia"/>
          <w:color w:val="auto"/>
          <w:lang w:val="en-US" w:eastAsia="zh-CN"/>
        </w:rPr>
        <w:t>9</w:t>
      </w:r>
      <w:r>
        <w:rPr>
          <w:rFonts w:hint="eastAsia"/>
          <w:color w:val="auto"/>
        </w:rPr>
        <w:t>0%。本项目采用伞形罩（上吸罩）对有机废气进行收集，设置软帘进行围挡，</w:t>
      </w:r>
      <w:r>
        <w:rPr>
          <w:color w:val="auto"/>
        </w:rPr>
        <w:t>逸散点控制风速</w:t>
      </w:r>
      <w:r>
        <w:rPr>
          <w:rFonts w:hint="eastAsia"/>
          <w:color w:val="auto"/>
        </w:rPr>
        <w:t>为</w:t>
      </w:r>
      <w:r>
        <w:rPr>
          <w:color w:val="auto"/>
        </w:rPr>
        <w:t>0.5m/s</w:t>
      </w:r>
      <w:r>
        <w:rPr>
          <w:rFonts w:hint="eastAsia"/>
          <w:color w:val="auto"/>
        </w:rPr>
        <w:t>，集气罩集气效率取</w:t>
      </w:r>
      <w:r>
        <w:rPr>
          <w:rFonts w:hint="eastAsia"/>
          <w:color w:val="auto"/>
          <w:lang w:val="en-US" w:eastAsia="zh-CN"/>
        </w:rPr>
        <w:t>9</w:t>
      </w:r>
      <w:r>
        <w:rPr>
          <w:rFonts w:hint="eastAsia"/>
          <w:color w:val="auto"/>
        </w:rPr>
        <w:t>0%合理。</w:t>
      </w:r>
    </w:p>
    <w:p>
      <w:pPr>
        <w:ind w:firstLine="480"/>
        <w:rPr>
          <w:color w:val="auto"/>
        </w:rPr>
      </w:pPr>
      <w:r>
        <w:rPr>
          <w:rFonts w:hint="eastAsia"/>
          <w:color w:val="auto"/>
        </w:rPr>
        <w:t>（2）活性炭吸附原理</w:t>
      </w:r>
    </w:p>
    <w:p>
      <w:pPr>
        <w:ind w:firstLine="480"/>
        <w:rPr>
          <w:color w:val="auto"/>
        </w:rPr>
      </w:pPr>
      <w:r>
        <w:rPr>
          <w:rFonts w:hint="eastAsia"/>
          <w:color w:val="auto"/>
        </w:rPr>
        <w:t>活性炭是一种黑色多孔的固体炭质。早期由木材、硬果壳或兽骨等经炭化、活化制得，后改用煤通过粉碎、成型或用均匀的煤粒经炭化、活化生产。主要成分为碳，并含少量氧、氢、硫、氮、氯等元素。普通活性炭的比表面积在500～1700m</w:t>
      </w:r>
      <w:r>
        <w:rPr>
          <w:rFonts w:hint="eastAsia"/>
          <w:color w:val="auto"/>
          <w:vertAlign w:val="superscript"/>
        </w:rPr>
        <w:t>2</w:t>
      </w:r>
      <w:r>
        <w:rPr>
          <w:rFonts w:hint="eastAsia"/>
          <w:color w:val="auto"/>
        </w:rPr>
        <w:t>/g间，具有很强的吸附性能，吸附速度快，吸附容量高，易于再生，经久耐用，为用途极广的一种工业吸附剂。</w:t>
      </w:r>
    </w:p>
    <w:p>
      <w:pPr>
        <w:ind w:firstLine="480"/>
        <w:rPr>
          <w:color w:val="auto"/>
        </w:rPr>
      </w:pPr>
      <w:r>
        <w:rPr>
          <w:rFonts w:hint="eastAsia"/>
          <w:color w:val="auto"/>
        </w:rPr>
        <w:t>活性炭吸附装置可处理苯类、酮类、醇类、烷类及其混合物类有机废气，主要用于电子原件生产、电池生产、酸洗作业、实验室排气、冶金、化工、医药、涂装、食品、酿造等废气治理，尤为适合低浓度大风量或高浓度间歇排放废气的作业环境。而本项目的废气也具有低浓度的特征。</w:t>
      </w:r>
    </w:p>
    <w:p>
      <w:pPr>
        <w:ind w:firstLine="480"/>
        <w:rPr>
          <w:rFonts w:hint="default" w:ascii="Times New Roman" w:hAnsi="Times New Roman" w:eastAsia="宋体" w:cs="Times New Roman"/>
          <w:u w:val="single"/>
          <w:lang w:val="en-US" w:eastAsia="zh-CN"/>
        </w:rPr>
      </w:pPr>
      <w:r>
        <w:rPr>
          <w:rFonts w:hint="eastAsia"/>
          <w:color w:val="auto"/>
        </w:rPr>
        <w:t>进入吸附塔的有机废气在流经活性炭层时被比表面积很大的活性炭截留，在其颗粒表面形成一层平衡的表面浓度，并将有机物等吸附到活性炭的细孔，使用初期的吸附效果很高。但时间一长，活性炭的吸附能力会有不同程度地减弱，吸附效果也随之下降。活性炭颗粒的大小对吸附能力也有影响。一般来说，活性炭颗粒越小，过滤面积就越大，但过小的颗粒将会使有机气体流过碳层的气流阻力过大，造成气流不通畅。《吸附法工业有机废气治理工程技术规范》（HJ2026-2013）指出，进入吸附装置的废气温度宜低于 40℃，采用颗粒状吸附剂时的气流流速宜低于 0.6m/s。本项目的有机废气经过抽风后温度为常温，故适合采用颗粒活性炭作吸附剂。本环评建议吸附装置样式可选用为垂直固定床式，该样式构造简单，适合600~42000m</w:t>
      </w:r>
      <w:r>
        <w:rPr>
          <w:rFonts w:hint="eastAsia"/>
          <w:color w:val="auto"/>
          <w:vertAlign w:val="superscript"/>
        </w:rPr>
        <w:t>3</w:t>
      </w:r>
      <w:r>
        <w:rPr>
          <w:rFonts w:hint="eastAsia"/>
          <w:color w:val="auto"/>
        </w:rPr>
        <w:t>/h 的处理风量，要求空塔速度不高于0.5m/s，活性炭和废气的接触时间维持在1~2秒，吸附层压力损失应小于1kPa。</w:t>
      </w:r>
    </w:p>
    <w:p>
      <w:pPr>
        <w:ind w:firstLine="482"/>
        <w:rPr>
          <w:color w:val="auto"/>
          <w:u w:val="single"/>
        </w:rPr>
      </w:pPr>
      <w:r>
        <w:rPr>
          <w:rFonts w:hint="eastAsia"/>
          <w:b/>
          <w:bCs/>
          <w:color w:val="auto"/>
          <w:u w:val="single"/>
          <w:lang w:val="en-US" w:eastAsia="zh-CN"/>
        </w:rPr>
        <w:t>2</w:t>
      </w:r>
      <w:r>
        <w:rPr>
          <w:rFonts w:hint="eastAsia"/>
          <w:b/>
          <w:bCs/>
          <w:color w:val="auto"/>
          <w:u w:val="single"/>
        </w:rPr>
        <w:t>、排气筒高度可行性分析</w:t>
      </w:r>
    </w:p>
    <w:p>
      <w:pPr>
        <w:ind w:firstLine="480"/>
        <w:rPr>
          <w:color w:val="auto"/>
          <w:u w:val="single"/>
        </w:rPr>
      </w:pPr>
      <w:r>
        <w:rPr>
          <w:rFonts w:hint="eastAsia"/>
          <w:color w:val="auto"/>
          <w:u w:val="single"/>
        </w:rPr>
        <w:t>根据《合成树脂工业污染物排放标准》（GB31572-2015），合成树脂企业产生大气污染物的生产工艺和装置需设立局部或整体气体收集系统和净化处理装置，达标排放。排气筒高度应按环境影响评价要求确定，且至少不低于15m。且根据《大气污染物综合排放标准》（GB16297-1996），新污染源的排气筒一般不应低于15m，排气筒高度应高于周边200m半径范围的建筑5m以上。本项目设置废气处理设施，项目周边200m半径范围内最高建筑物</w:t>
      </w:r>
      <w:r>
        <w:rPr>
          <w:rFonts w:hint="eastAsia"/>
          <w:color w:val="auto"/>
          <w:u w:val="single"/>
          <w:lang w:val="en-US" w:eastAsia="zh-CN"/>
        </w:rPr>
        <w:t>为本厂房，本厂房高度约为12m</w:t>
      </w:r>
      <w:r>
        <w:rPr>
          <w:rFonts w:hint="eastAsia"/>
          <w:color w:val="auto"/>
          <w:u w:val="single"/>
        </w:rPr>
        <w:t>。故本项目排气筒高度设置为</w:t>
      </w:r>
      <w:r>
        <w:rPr>
          <w:rFonts w:hint="eastAsia"/>
          <w:color w:val="auto"/>
          <w:u w:val="single"/>
          <w:lang w:val="en-US" w:eastAsia="zh-CN"/>
        </w:rPr>
        <w:t>18</w:t>
      </w:r>
      <w:r>
        <w:rPr>
          <w:rFonts w:hint="eastAsia"/>
          <w:color w:val="auto"/>
          <w:u w:val="single"/>
        </w:rPr>
        <w:t>m满足相关标准要求。</w:t>
      </w:r>
    </w:p>
    <w:p>
      <w:pPr>
        <w:pStyle w:val="7"/>
        <w:rPr>
          <w:color w:val="auto"/>
          <w:u w:val="single"/>
        </w:rPr>
      </w:pPr>
      <w:bookmarkStart w:id="178" w:name="_Toc22820"/>
      <w:r>
        <w:rPr>
          <w:rFonts w:hint="eastAsia"/>
          <w:color w:val="auto"/>
        </w:rPr>
        <w:t>6</w:t>
      </w:r>
      <w:r>
        <w:rPr>
          <w:color w:val="auto"/>
        </w:rPr>
        <w:t>.</w:t>
      </w:r>
      <w:r>
        <w:rPr>
          <w:rFonts w:hint="eastAsia"/>
          <w:color w:val="auto"/>
        </w:rPr>
        <w:t>3</w:t>
      </w:r>
      <w:r>
        <w:rPr>
          <w:color w:val="auto"/>
        </w:rPr>
        <w:t>运营期地表水污染防治措施及可行性分析</w:t>
      </w:r>
      <w:bookmarkEnd w:id="178"/>
    </w:p>
    <w:p>
      <w:pPr>
        <w:ind w:firstLine="480"/>
        <w:rPr>
          <w:color w:val="auto"/>
          <w:u w:val="single"/>
        </w:rPr>
      </w:pPr>
      <w:r>
        <w:rPr>
          <w:rFonts w:hint="eastAsia"/>
          <w:color w:val="auto"/>
          <w:u w:val="single"/>
        </w:rPr>
        <w:t>本项目冷却水循环使用，不外排。</w:t>
      </w:r>
      <w:r>
        <w:rPr>
          <w:color w:val="auto"/>
          <w:u w:val="single"/>
        </w:rPr>
        <w:t>生活污水经</w:t>
      </w:r>
      <w:r>
        <w:rPr>
          <w:rFonts w:hint="eastAsia"/>
          <w:color w:val="auto"/>
          <w:u w:val="single"/>
        </w:rPr>
        <w:t>园区</w:t>
      </w:r>
      <w:r>
        <w:rPr>
          <w:color w:val="auto"/>
          <w:u w:val="single"/>
        </w:rPr>
        <w:t>化粪池预处理后进入汨罗市城市污水处理厂处理，最终排入汨罗江。</w:t>
      </w:r>
      <w:r>
        <w:rPr>
          <w:rFonts w:hint="eastAsia"/>
          <w:color w:val="auto"/>
          <w:u w:val="single"/>
        </w:rPr>
        <w:t>本项目设置一个</w:t>
      </w:r>
      <w:r>
        <w:rPr>
          <w:rFonts w:hint="eastAsia"/>
          <w:color w:val="auto"/>
          <w:u w:val="single"/>
          <w:lang w:eastAsia="zh-CN"/>
        </w:rPr>
        <w:t>128m</w:t>
      </w:r>
      <w:r>
        <w:rPr>
          <w:rFonts w:hint="eastAsia"/>
          <w:color w:val="auto"/>
          <w:u w:val="single"/>
          <w:vertAlign w:val="superscript"/>
        </w:rPr>
        <w:t>3</w:t>
      </w:r>
      <w:r>
        <w:rPr>
          <w:rFonts w:hint="eastAsia"/>
          <w:color w:val="auto"/>
          <w:u w:val="single"/>
        </w:rPr>
        <w:t>的循环水池，</w:t>
      </w:r>
      <w:r>
        <w:rPr>
          <w:rFonts w:hint="eastAsia"/>
          <w:color w:val="auto"/>
          <w:u w:val="single"/>
          <w:lang w:val="en-US" w:eastAsia="zh-CN"/>
        </w:rPr>
        <w:t>项目冷却水为间接冷却水，</w:t>
      </w:r>
      <w:r>
        <w:rPr>
          <w:rFonts w:hint="eastAsia"/>
          <w:color w:val="auto"/>
          <w:u w:val="single"/>
        </w:rPr>
        <w:t>冷却水对水质要求不高，</w:t>
      </w:r>
      <w:r>
        <w:rPr>
          <w:rFonts w:hint="eastAsia"/>
          <w:color w:val="auto"/>
          <w:u w:val="single"/>
          <w:lang w:val="en-US" w:eastAsia="zh-CN"/>
        </w:rPr>
        <w:t>且通过循环水池循环使用，定期清理循环水池，</w:t>
      </w:r>
      <w:r>
        <w:rPr>
          <w:rFonts w:hint="eastAsia"/>
          <w:color w:val="auto"/>
          <w:u w:val="single"/>
        </w:rPr>
        <w:t>循环使用是可行的。</w:t>
      </w:r>
    </w:p>
    <w:p>
      <w:pPr>
        <w:pStyle w:val="6"/>
        <w:rPr>
          <w:color w:val="auto"/>
        </w:rPr>
      </w:pPr>
      <w:bookmarkStart w:id="179" w:name="_Toc10592"/>
      <w:bookmarkStart w:id="180" w:name="_Toc27032"/>
      <w:bookmarkStart w:id="181" w:name="_Toc3247"/>
      <w:r>
        <w:rPr>
          <w:rFonts w:hint="eastAsia"/>
          <w:color w:val="auto"/>
        </w:rPr>
        <w:t>6</w:t>
      </w:r>
      <w:r>
        <w:rPr>
          <w:color w:val="auto"/>
        </w:rPr>
        <w:t>.</w:t>
      </w:r>
      <w:r>
        <w:rPr>
          <w:rFonts w:hint="eastAsia"/>
          <w:color w:val="auto"/>
        </w:rPr>
        <w:t>4</w:t>
      </w:r>
      <w:r>
        <w:rPr>
          <w:color w:val="auto"/>
        </w:rPr>
        <w:t>地下水污染防治措施</w:t>
      </w:r>
      <w:bookmarkEnd w:id="179"/>
      <w:bookmarkEnd w:id="180"/>
      <w:bookmarkEnd w:id="181"/>
    </w:p>
    <w:p>
      <w:pPr>
        <w:ind w:firstLine="480"/>
        <w:rPr>
          <w:color w:val="auto"/>
        </w:rPr>
      </w:pPr>
      <w:r>
        <w:rPr>
          <w:color w:val="auto"/>
        </w:rPr>
        <w:t>根据《中华人民共和国水污染防治法》、《中华人民共和国环境影响评价法》、《环境影响评价技术导则地下水环境》（HJ610-2016）、《关于印发地下水污染防治实施方案的通知》（环土壤[2019]25号）的相关规定以及本项目实际建设项</w:t>
      </w:r>
      <w:r>
        <w:rPr>
          <w:rFonts w:hint="eastAsia"/>
          <w:color w:val="auto"/>
        </w:rPr>
        <w:t>目</w:t>
      </w:r>
      <w:r>
        <w:rPr>
          <w:color w:val="auto"/>
        </w:rPr>
        <w:t>，按照“源头控制、分区防控、污染监控、应急响应”的要求提出项</w:t>
      </w:r>
      <w:r>
        <w:rPr>
          <w:rFonts w:hint="eastAsia"/>
          <w:color w:val="auto"/>
        </w:rPr>
        <w:t>目</w:t>
      </w:r>
      <w:r>
        <w:rPr>
          <w:color w:val="auto"/>
        </w:rPr>
        <w:t>地下水污染防治措施。</w:t>
      </w:r>
    </w:p>
    <w:p>
      <w:pPr>
        <w:pStyle w:val="7"/>
        <w:rPr>
          <w:color w:val="auto"/>
        </w:rPr>
      </w:pPr>
      <w:r>
        <w:rPr>
          <w:rFonts w:hint="eastAsia"/>
          <w:color w:val="auto"/>
        </w:rPr>
        <w:t>6</w:t>
      </w:r>
      <w:r>
        <w:rPr>
          <w:color w:val="auto"/>
        </w:rPr>
        <w:t>.</w:t>
      </w:r>
      <w:r>
        <w:rPr>
          <w:rFonts w:hint="eastAsia"/>
          <w:color w:val="auto"/>
        </w:rPr>
        <w:t>4</w:t>
      </w:r>
      <w:r>
        <w:rPr>
          <w:color w:val="auto"/>
        </w:rPr>
        <w:t>.1源头控制措施</w:t>
      </w:r>
    </w:p>
    <w:p>
      <w:pPr>
        <w:ind w:firstLine="480"/>
        <w:rPr>
          <w:color w:val="auto"/>
        </w:rPr>
      </w:pPr>
      <w:r>
        <w:rPr>
          <w:color w:val="auto"/>
        </w:rPr>
        <w:t>项目应积极采用节能减排及清洁生产技术，不断改进生产工艺，降低污染物产生量和排放量，尽可能从源头上减少污染物的产生，防止环境污染；严格按照国家相关规范要求，对工艺、管道、设备、污水储存及处理构建物采取相应的措施，以防止和降低可能污染物的跑、冒、滴、漏，将废水泄漏的环境风险事故降低到最低程度。</w:t>
      </w:r>
    </w:p>
    <w:p>
      <w:pPr>
        <w:ind w:firstLine="480"/>
        <w:rPr>
          <w:color w:val="auto"/>
        </w:rPr>
      </w:pPr>
      <w:r>
        <w:rPr>
          <w:rFonts w:hint="eastAsia"/>
          <w:color w:val="auto"/>
        </w:rPr>
        <w:t>本项目危险废物暂存间需严格按照《危险废物贮存污染控制标准》（GB18597）及其2013年修改单的要求进行设计、建设和管理，做好防雨、防风、防渗措施。在日常运行过程中严格危险废物堆存管理，加强危废的运转和厂房内贮存过程控制，避免沿途撒落，禁止露天堆放，确保危废在厂内临时贮存过程中对地下水环境产生影响很小。</w:t>
      </w:r>
    </w:p>
    <w:p>
      <w:pPr>
        <w:pStyle w:val="7"/>
        <w:rPr>
          <w:color w:val="auto"/>
        </w:rPr>
      </w:pPr>
      <w:r>
        <w:rPr>
          <w:rFonts w:hint="eastAsia"/>
          <w:color w:val="auto"/>
        </w:rPr>
        <w:t>6</w:t>
      </w:r>
      <w:r>
        <w:rPr>
          <w:color w:val="auto"/>
        </w:rPr>
        <w:t>.</w:t>
      </w:r>
      <w:r>
        <w:rPr>
          <w:rFonts w:hint="eastAsia"/>
          <w:color w:val="auto"/>
        </w:rPr>
        <w:t>4</w:t>
      </w:r>
      <w:r>
        <w:rPr>
          <w:color w:val="auto"/>
        </w:rPr>
        <w:t>.2分区防护措施</w:t>
      </w:r>
    </w:p>
    <w:p>
      <w:pPr>
        <w:ind w:firstLine="480"/>
        <w:rPr>
          <w:color w:val="auto"/>
        </w:rPr>
      </w:pPr>
      <w:r>
        <w:rPr>
          <w:color w:val="auto"/>
        </w:rPr>
        <w:t>防渗是控制污染物进一步下渗的重要措施，可以大大降低地下水被污染的风险。参照地下水导则将建设场地划分为重点污染防治区、一般污染防治区和非污染防治区。</w:t>
      </w:r>
    </w:p>
    <w:p>
      <w:pPr>
        <w:ind w:firstLine="480"/>
        <w:rPr>
          <w:color w:val="auto"/>
        </w:rPr>
      </w:pPr>
      <w:r>
        <w:rPr>
          <w:color w:val="auto"/>
        </w:rPr>
        <w:t>1、重点污染防治区</w:t>
      </w:r>
    </w:p>
    <w:p>
      <w:pPr>
        <w:ind w:firstLine="480"/>
        <w:rPr>
          <w:color w:val="auto"/>
        </w:rPr>
      </w:pPr>
      <w:r>
        <w:rPr>
          <w:color w:val="auto"/>
        </w:rPr>
        <w:t>对于位于地下或者半地下的生产功能单元，发生物料泄漏后不容易及时发现和处理的区域或部位，将其划分为重点污染防治区，包括地下管道等区域或部位。本项目废水处理设施区、危废暂存间等为区域为重点污染防治区，其渗透性能应不低于6m厚渗透系数为1.0×10</w:t>
      </w:r>
      <w:r>
        <w:rPr>
          <w:color w:val="auto"/>
          <w:vertAlign w:val="superscript"/>
        </w:rPr>
        <w:t>-7</w:t>
      </w:r>
      <w:r>
        <w:rPr>
          <w:color w:val="auto"/>
        </w:rPr>
        <w:t>cm/s的黏土层防渗性能。</w:t>
      </w:r>
    </w:p>
    <w:p>
      <w:pPr>
        <w:ind w:firstLine="480"/>
        <w:rPr>
          <w:color w:val="auto"/>
        </w:rPr>
      </w:pPr>
      <w:r>
        <w:rPr>
          <w:color w:val="auto"/>
        </w:rPr>
        <w:t>2、一般污染防治区</w:t>
      </w:r>
    </w:p>
    <w:p>
      <w:pPr>
        <w:ind w:firstLine="480"/>
        <w:rPr>
          <w:color w:val="auto"/>
        </w:rPr>
      </w:pPr>
      <w:r>
        <w:rPr>
          <w:color w:val="auto"/>
        </w:rPr>
        <w:t>一般污染防治区主要是指位于地面以上的生产功能单元，污染地下水环境的物料或污染物泄漏后，可及时发现和处理的区域或部位。本项目一般固废暂存间为一般污染防治区。其渗透性能应不低于1.5m厚渗透系数为1.0×10</w:t>
      </w:r>
      <w:r>
        <w:rPr>
          <w:color w:val="auto"/>
          <w:vertAlign w:val="superscript"/>
        </w:rPr>
        <w:t>-7</w:t>
      </w:r>
      <w:r>
        <w:rPr>
          <w:color w:val="auto"/>
        </w:rPr>
        <w:t>cm/s的黏土层防渗性能，已采用防渗的混凝土铺砌，防渗层采用抗渗钢筋混凝土和防水涂料。混凝土的强度等级不低于C25，抗渗等级不低于P6，厚度不小于150mm。</w:t>
      </w:r>
    </w:p>
    <w:p>
      <w:pPr>
        <w:ind w:firstLine="480"/>
        <w:rPr>
          <w:color w:val="auto"/>
        </w:rPr>
      </w:pPr>
      <w:r>
        <w:rPr>
          <w:color w:val="auto"/>
        </w:rPr>
        <w:t>3、非污染防治区</w:t>
      </w:r>
    </w:p>
    <w:p>
      <w:pPr>
        <w:ind w:firstLine="480"/>
        <w:rPr>
          <w:color w:val="auto"/>
        </w:rPr>
      </w:pPr>
      <w:r>
        <w:rPr>
          <w:color w:val="auto"/>
        </w:rPr>
        <w:t>非污染防治区主要是指没有污染物泄漏的区域或部位，不会对地下水环境造成污染。本项目的非污染防治区主要为</w:t>
      </w:r>
      <w:r>
        <w:rPr>
          <w:rFonts w:hint="eastAsia"/>
          <w:color w:val="auto"/>
        </w:rPr>
        <w:t>成品堆放区、办公用房等</w:t>
      </w:r>
      <w:r>
        <w:rPr>
          <w:color w:val="auto"/>
        </w:rPr>
        <w:t>。对于非污染区，地面进行水泥硬化可以满足该区域装置区防渗的要求。</w:t>
      </w:r>
    </w:p>
    <w:p>
      <w:pPr>
        <w:pStyle w:val="6"/>
        <w:rPr>
          <w:color w:val="auto"/>
        </w:rPr>
      </w:pPr>
      <w:bookmarkStart w:id="182" w:name="_Toc16740"/>
      <w:bookmarkStart w:id="183" w:name="_Toc6942"/>
      <w:bookmarkStart w:id="184" w:name="_Toc18210"/>
      <w:r>
        <w:rPr>
          <w:rFonts w:hint="eastAsia"/>
          <w:color w:val="auto"/>
        </w:rPr>
        <w:t>6</w:t>
      </w:r>
      <w:r>
        <w:rPr>
          <w:color w:val="auto"/>
        </w:rPr>
        <w:t>.</w:t>
      </w:r>
      <w:r>
        <w:rPr>
          <w:rFonts w:hint="eastAsia"/>
          <w:color w:val="auto"/>
        </w:rPr>
        <w:t>5</w:t>
      </w:r>
      <w:r>
        <w:rPr>
          <w:color w:val="auto"/>
        </w:rPr>
        <w:t>噪声污染防治措施及可行性分析</w:t>
      </w:r>
      <w:bookmarkEnd w:id="182"/>
      <w:bookmarkEnd w:id="183"/>
      <w:bookmarkEnd w:id="184"/>
    </w:p>
    <w:p>
      <w:pPr>
        <w:ind w:firstLine="480"/>
        <w:rPr>
          <w:color w:val="auto"/>
        </w:rPr>
      </w:pPr>
      <w:r>
        <w:rPr>
          <w:color w:val="auto"/>
        </w:rPr>
        <w:t>本项目噪声主要来自</w:t>
      </w:r>
      <w:r>
        <w:rPr>
          <w:rFonts w:hint="eastAsia"/>
          <w:color w:val="auto"/>
        </w:rPr>
        <w:t>破碎机、挤出机、喂料机</w:t>
      </w:r>
      <w:r>
        <w:rPr>
          <w:color w:val="auto"/>
        </w:rPr>
        <w:t>等，经减振、消声、厂房隔声后，厂房外噪声级得到较好控制。本项目应从以下几个方面进一步做好项目噪声防治工作。</w:t>
      </w:r>
    </w:p>
    <w:p>
      <w:pPr>
        <w:ind w:firstLine="480"/>
        <w:rPr>
          <w:color w:val="auto"/>
        </w:rPr>
      </w:pPr>
      <w:r>
        <w:rPr>
          <w:color w:val="auto"/>
        </w:rPr>
        <w:t>（1）在平面布置上优化设计。采用“闹静分开”和合理布局的设施原则，尽量将高噪声源远离项目居民点及四周厂界。</w:t>
      </w:r>
    </w:p>
    <w:p>
      <w:pPr>
        <w:ind w:firstLine="480"/>
        <w:rPr>
          <w:color w:val="auto"/>
        </w:rPr>
      </w:pPr>
      <w:r>
        <w:rPr>
          <w:color w:val="auto"/>
        </w:rPr>
        <w:t>（2）机械噪声控制：选择低噪声设备，在订购时应提出相应的噪声控制指标。按照需要选择风机设计参数，在满足设计指标的前提下，使风机尽可能工作在最高效率上，以有利于降低风机噪声；对设备进行定期检查，防止由于设备不正常运转而产生的噪声。</w:t>
      </w:r>
    </w:p>
    <w:p>
      <w:pPr>
        <w:ind w:firstLine="480"/>
        <w:rPr>
          <w:color w:val="auto"/>
        </w:rPr>
      </w:pPr>
      <w:r>
        <w:rPr>
          <w:color w:val="auto"/>
        </w:rPr>
        <w:t>（3）减振措施：设备安装定位时注意减振设计，在定位装置设备与地面之间安装减振垫，设备基础与墙体、地面之间适当设置减振沟，减少振动噪声的传播。</w:t>
      </w:r>
    </w:p>
    <w:p>
      <w:pPr>
        <w:ind w:firstLine="480"/>
        <w:rPr>
          <w:color w:val="auto"/>
        </w:rPr>
      </w:pPr>
      <w:r>
        <w:rPr>
          <w:color w:val="auto"/>
        </w:rPr>
        <w:t>通过采取上述降噪措施后，噪声对周围环境的影响有限，项目拟采取的噪声控制措施具有较好的降噪效果，可减轻项目噪声源对厂界环境的影响。根据预测结果，项目厂界噪声可满足《工业企业厂界环境噪声排放标准》(GB12348-2008)中</w:t>
      </w:r>
      <w:r>
        <w:rPr>
          <w:rFonts w:hint="eastAsia"/>
          <w:color w:val="auto"/>
        </w:rPr>
        <w:t>3</w:t>
      </w:r>
      <w:r>
        <w:rPr>
          <w:color w:val="auto"/>
        </w:rPr>
        <w:t>类标准的要求。以上处理措施在各行业噪声防治中广泛应用，处理效果较好，对于本工程是可行的。</w:t>
      </w:r>
    </w:p>
    <w:p>
      <w:pPr>
        <w:pStyle w:val="6"/>
        <w:rPr>
          <w:color w:val="auto"/>
          <w:u w:val="single"/>
        </w:rPr>
      </w:pPr>
      <w:bookmarkStart w:id="185" w:name="_Toc17444"/>
      <w:bookmarkStart w:id="186" w:name="_Toc7240"/>
      <w:bookmarkStart w:id="187" w:name="_Toc24812"/>
      <w:r>
        <w:rPr>
          <w:rFonts w:hint="eastAsia"/>
          <w:color w:val="auto"/>
        </w:rPr>
        <w:t>6</w:t>
      </w:r>
      <w:r>
        <w:rPr>
          <w:color w:val="auto"/>
        </w:rPr>
        <w:t>.</w:t>
      </w:r>
      <w:r>
        <w:rPr>
          <w:rFonts w:hint="eastAsia"/>
          <w:color w:val="auto"/>
        </w:rPr>
        <w:t>6</w:t>
      </w:r>
      <w:r>
        <w:rPr>
          <w:color w:val="auto"/>
        </w:rPr>
        <w:t>固废处理处置措施及可行性分析</w:t>
      </w:r>
      <w:bookmarkEnd w:id="185"/>
      <w:bookmarkEnd w:id="186"/>
      <w:bookmarkEnd w:id="187"/>
    </w:p>
    <w:p>
      <w:pPr>
        <w:ind w:firstLine="482"/>
        <w:rPr>
          <w:b/>
          <w:bCs/>
          <w:color w:val="auto"/>
        </w:rPr>
      </w:pPr>
      <w:r>
        <w:rPr>
          <w:rFonts w:hint="eastAsia"/>
          <w:b/>
          <w:bCs/>
          <w:color w:val="auto"/>
        </w:rPr>
        <w:t>一、固体废物处置措施</w:t>
      </w:r>
    </w:p>
    <w:p>
      <w:pPr>
        <w:ind w:firstLine="480"/>
        <w:rPr>
          <w:color w:val="auto"/>
        </w:rPr>
      </w:pPr>
      <w:r>
        <w:rPr>
          <w:rFonts w:hint="eastAsia"/>
          <w:color w:val="auto"/>
        </w:rPr>
        <w:t>1、处置方式</w:t>
      </w:r>
    </w:p>
    <w:p>
      <w:pPr>
        <w:ind w:firstLine="480"/>
        <w:rPr>
          <w:color w:val="auto"/>
        </w:rPr>
      </w:pPr>
      <w:r>
        <w:rPr>
          <w:rFonts w:hint="eastAsia"/>
          <w:color w:val="auto"/>
        </w:rPr>
        <w:t>本项目拟在厂房设置一个一般固体废物暂存间和一个危险废物暂存间，一般固体废物暂存间需作好防风、防雨措施，地面进行硬化处理，危险废物暂存间需作好防风、防雨、防晒，防渗防漏处理。项目一般固体废物的种类较多，收集的固废可分类暂存于暂存区。</w:t>
      </w:r>
    </w:p>
    <w:p>
      <w:pPr>
        <w:ind w:firstLine="480"/>
        <w:rPr>
          <w:color w:val="auto"/>
        </w:rPr>
      </w:pPr>
      <w:r>
        <w:rPr>
          <w:rFonts w:hint="eastAsia"/>
          <w:color w:val="auto"/>
        </w:rPr>
        <w:t>不合格产品及边角料、回收的粉尘回用于生产，废包装材料收集后外售，生活垃圾一起交由环卫部门处理。项目一般固体废物的暂存需按照《一般工业固体废物贮存和填埋污染控制标准》（GB18599-2020）的相关要求建设、管理规范暂存库，通过加强管理，不与危险废物和生活垃圾相混。</w:t>
      </w:r>
    </w:p>
    <w:p>
      <w:pPr>
        <w:ind w:firstLine="480"/>
        <w:rPr>
          <w:color w:val="auto"/>
        </w:rPr>
      </w:pPr>
      <w:r>
        <w:rPr>
          <w:rFonts w:hint="eastAsia"/>
          <w:color w:val="auto"/>
        </w:rPr>
        <w:t>废活性炭、废机油属于危险废物，定期交由有资质的单位处置。危险废物储存、运输、处置必须严格按《中华人民共和国固体废物污染环境防治法》、国家环保总局《关于发布〈危险废物污染防治技术政策〉的通知》[环发 2001（199）号]及《危险固废贮存污染控制标准（</w:t>
      </w:r>
      <w:r>
        <w:rPr>
          <w:rFonts w:hint="eastAsia"/>
          <w:color w:val="auto"/>
          <w:lang w:eastAsia="zh-CN"/>
        </w:rPr>
        <w:t>GB18597-2023</w:t>
      </w:r>
      <w:r>
        <w:rPr>
          <w:rFonts w:hint="eastAsia"/>
          <w:color w:val="auto"/>
        </w:rPr>
        <w:t>）》及其修改单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因项目产生危废种类较多，建设方需做好危废的分类暂存。同时应严格履行国家与地方政府关于危险废物转移的规定，危险废物送至具有危险固废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pPr>
        <w:ind w:firstLine="480"/>
        <w:rPr>
          <w:color w:val="auto"/>
        </w:rPr>
      </w:pPr>
      <w:r>
        <w:rPr>
          <w:rFonts w:hint="eastAsia"/>
          <w:color w:val="auto"/>
        </w:rPr>
        <w:t>生活垃圾：本项目职工办公产生的垃圾属于生活垃圾，建设单位在厂内设立垃圾收集箱，由环卫部门集中收集处理，对环境的影响很小。</w:t>
      </w:r>
    </w:p>
    <w:p>
      <w:pPr>
        <w:ind w:firstLine="480"/>
        <w:rPr>
          <w:color w:val="auto"/>
        </w:rPr>
      </w:pPr>
      <w:r>
        <w:rPr>
          <w:rFonts w:hint="eastAsia"/>
          <w:color w:val="auto"/>
        </w:rPr>
        <w:t>2、暂存要求</w:t>
      </w:r>
    </w:p>
    <w:p>
      <w:pPr>
        <w:ind w:firstLine="480"/>
        <w:rPr>
          <w:color w:val="auto"/>
          <w:u w:val="single"/>
        </w:rPr>
      </w:pPr>
      <w:r>
        <w:rPr>
          <w:rFonts w:hint="eastAsia"/>
          <w:color w:val="auto"/>
          <w:u w:val="single"/>
        </w:rPr>
        <w:t>（1）危险废物暂存间相关建设要求</w:t>
      </w:r>
    </w:p>
    <w:p>
      <w:pPr>
        <w:ind w:firstLine="480"/>
        <w:rPr>
          <w:color w:val="auto"/>
          <w:u w:val="single"/>
        </w:rPr>
      </w:pPr>
      <w:r>
        <w:rPr>
          <w:rFonts w:hint="eastAsia"/>
          <w:color w:val="auto"/>
          <w:u w:val="single"/>
        </w:rPr>
        <w:t>危险废物暂存间需按照《危险废物贮存污染控制标准》（</w:t>
      </w:r>
      <w:r>
        <w:rPr>
          <w:rFonts w:hint="eastAsia"/>
          <w:color w:val="auto"/>
          <w:u w:val="single"/>
          <w:lang w:eastAsia="zh-CN"/>
        </w:rPr>
        <w:t>GB18597-2023</w:t>
      </w:r>
      <w:r>
        <w:rPr>
          <w:rFonts w:hint="eastAsia"/>
          <w:color w:val="auto"/>
          <w:u w:val="single"/>
        </w:rPr>
        <w:t>）及其修改单的要求采取相应措施。危险废物暂存间内设置围堰和分区，各类危险废物按照相关要求，分区暂存于危险废物暂存间内。</w:t>
      </w:r>
    </w:p>
    <w:p>
      <w:pPr>
        <w:ind w:firstLine="480"/>
        <w:rPr>
          <w:color w:val="auto"/>
          <w:u w:val="single"/>
        </w:rPr>
      </w:pPr>
      <w:r>
        <w:rPr>
          <w:rFonts w:hint="eastAsia"/>
          <w:color w:val="auto"/>
          <w:u w:val="single"/>
        </w:rPr>
        <w:t>①危险废物暂存间基础以仓库式的形式建设，库内地面与裙角要用坚固、防渗的材料建造，建筑材料必须与危险废物相容。基础和裙角必须防渗，防渗层为至少1米厚粘土层透系数≤10</w:t>
      </w:r>
      <w:r>
        <w:rPr>
          <w:rFonts w:hint="eastAsia"/>
          <w:color w:val="auto"/>
          <w:u w:val="single"/>
          <w:vertAlign w:val="superscript"/>
        </w:rPr>
        <w:t>-7</w:t>
      </w:r>
      <w:r>
        <w:rPr>
          <w:rFonts w:hint="eastAsia"/>
          <w:color w:val="auto"/>
          <w:u w:val="single"/>
        </w:rPr>
        <w:t>cm/s，或2毫米厚高密度聚乙烯，或至少2毫米厚的其他人工材料，渗透系数≤10</w:t>
      </w:r>
      <w:r>
        <w:rPr>
          <w:rFonts w:hint="eastAsia"/>
          <w:color w:val="auto"/>
          <w:u w:val="single"/>
          <w:vertAlign w:val="superscript"/>
        </w:rPr>
        <w:t>-10</w:t>
      </w:r>
      <w:r>
        <w:rPr>
          <w:rFonts w:hint="eastAsia"/>
          <w:color w:val="auto"/>
          <w:u w:val="single"/>
        </w:rPr>
        <w:t>cm/s。</w:t>
      </w:r>
    </w:p>
    <w:p>
      <w:pPr>
        <w:ind w:firstLine="480"/>
        <w:rPr>
          <w:color w:val="auto"/>
          <w:u w:val="single"/>
        </w:rPr>
      </w:pPr>
      <w:r>
        <w:rPr>
          <w:rFonts w:hint="eastAsia"/>
          <w:color w:val="auto"/>
          <w:u w:val="single"/>
        </w:rPr>
        <w:t>②危废暂存间周边应设计建造径流疏导系统，保证能防止50年一遇的暴雨不会进入库内。</w:t>
      </w:r>
    </w:p>
    <w:p>
      <w:pPr>
        <w:ind w:firstLine="480"/>
        <w:rPr>
          <w:color w:val="auto"/>
          <w:u w:val="single"/>
        </w:rPr>
      </w:pPr>
      <w:r>
        <w:rPr>
          <w:rFonts w:hint="eastAsia"/>
          <w:color w:val="auto"/>
          <w:u w:val="single"/>
        </w:rPr>
        <w:t>③设施内要有安全照明设施和观察窗口。</w:t>
      </w:r>
    </w:p>
    <w:p>
      <w:pPr>
        <w:ind w:firstLine="480"/>
        <w:rPr>
          <w:color w:val="auto"/>
          <w:u w:val="single"/>
        </w:rPr>
      </w:pPr>
      <w:r>
        <w:rPr>
          <w:rFonts w:hint="eastAsia"/>
          <w:color w:val="auto"/>
          <w:u w:val="single"/>
        </w:rPr>
        <w:t>④用以存放危废的地方，必须由耐腐蚀的硬化地面，且表面无裂隙。</w:t>
      </w:r>
    </w:p>
    <w:p>
      <w:pPr>
        <w:ind w:firstLine="480"/>
        <w:rPr>
          <w:color w:val="auto"/>
          <w:u w:val="single"/>
        </w:rPr>
      </w:pPr>
      <w:r>
        <w:rPr>
          <w:rFonts w:hint="eastAsia"/>
          <w:color w:val="auto"/>
          <w:u w:val="single"/>
        </w:rPr>
        <w:t>⑤应设计堵截泄露的裙角，地面与裙角所围建的容积不低于堵截最大容器的最大储量或总储量的五分之一。</w:t>
      </w:r>
    </w:p>
    <w:p>
      <w:pPr>
        <w:ind w:firstLine="480"/>
        <w:rPr>
          <w:color w:val="auto"/>
          <w:u w:val="single"/>
        </w:rPr>
      </w:pPr>
      <w:r>
        <w:rPr>
          <w:rFonts w:hint="eastAsia"/>
          <w:color w:val="auto"/>
          <w:u w:val="single"/>
        </w:rPr>
        <w:t>⑥危险废物暂存间应具有防风、防雨、防晒、防渗漏措施。</w:t>
      </w:r>
    </w:p>
    <w:p>
      <w:pPr>
        <w:ind w:firstLine="480"/>
        <w:rPr>
          <w:color w:val="auto"/>
          <w:u w:val="single"/>
        </w:rPr>
      </w:pPr>
      <w:r>
        <w:rPr>
          <w:rFonts w:hint="eastAsia"/>
          <w:color w:val="auto"/>
          <w:u w:val="single"/>
        </w:rPr>
        <w:t>⑦按GB15562.2《环境保护图形标识—固体废物贮存（处置）场》设置警示标志。</w:t>
      </w:r>
    </w:p>
    <w:p>
      <w:pPr>
        <w:ind w:firstLine="480"/>
        <w:rPr>
          <w:color w:val="auto"/>
        </w:rPr>
      </w:pPr>
      <w:r>
        <w:rPr>
          <w:rFonts w:hint="eastAsia"/>
          <w:color w:val="auto"/>
        </w:rPr>
        <w:t>（2）固废日常管理要求</w:t>
      </w:r>
    </w:p>
    <w:p>
      <w:pPr>
        <w:ind w:firstLine="480"/>
        <w:rPr>
          <w:color w:val="auto"/>
        </w:rPr>
      </w:pPr>
      <w:r>
        <w:rPr>
          <w:rFonts w:hint="eastAsia"/>
          <w:color w:val="auto"/>
        </w:rPr>
        <w:t>①必须做好危险废物情况的记录，记录上须注明危险废物的名称、来源、数量、特性和包装容器的类别、入库日期、堆放库位、废物出库日期及接收单位名称，并对各类固废分类堆存，</w:t>
      </w:r>
    </w:p>
    <w:p>
      <w:pPr>
        <w:ind w:firstLine="480"/>
        <w:rPr>
          <w:color w:val="auto"/>
        </w:rPr>
      </w:pPr>
      <w:r>
        <w:rPr>
          <w:rFonts w:hint="eastAsia"/>
          <w:color w:val="auto"/>
        </w:rPr>
        <w:t>②本项目投入运营前，按照湖南省和岳阳市危险废物管理要求，填报湖南省危险废物登记表、岳阳市固体（危险）废物申报登记备案表等相关表格。</w:t>
      </w:r>
    </w:p>
    <w:p>
      <w:pPr>
        <w:ind w:firstLine="480"/>
        <w:rPr>
          <w:color w:val="auto"/>
        </w:rPr>
      </w:pPr>
      <w:r>
        <w:rPr>
          <w:rFonts w:hint="eastAsia"/>
          <w:color w:val="auto"/>
        </w:rPr>
        <w:t>③加强固废在厂内和厂外的运转管理，严格废渣转运通道，尽量减少固废撒落，对撒落的固废进行及时清扫，避免二次污染。</w:t>
      </w:r>
    </w:p>
    <w:p>
      <w:pPr>
        <w:ind w:firstLine="480"/>
        <w:rPr>
          <w:color w:val="auto"/>
        </w:rPr>
      </w:pPr>
      <w:r>
        <w:rPr>
          <w:rFonts w:hint="eastAsia"/>
          <w:color w:val="auto"/>
        </w:rPr>
        <w:t>④定期对危险废物暂存间进行检查，发现破损，应及时进行修理。</w:t>
      </w:r>
    </w:p>
    <w:p>
      <w:pPr>
        <w:ind w:firstLine="480"/>
        <w:rPr>
          <w:color w:val="auto"/>
        </w:rPr>
      </w:pPr>
      <w:r>
        <w:rPr>
          <w:rFonts w:hint="eastAsia"/>
          <w:color w:val="auto"/>
        </w:rPr>
        <w:t>⑤收集、贮存、运输、利用、处置危险废物的设施、场所、危险废物的容器和包装物必须按照《危险废物贮存污染控制标准》（</w:t>
      </w:r>
      <w:r>
        <w:rPr>
          <w:rFonts w:hint="eastAsia"/>
          <w:color w:val="auto"/>
          <w:lang w:eastAsia="zh-CN"/>
        </w:rPr>
        <w:t>GB18597-2023</w:t>
      </w:r>
      <w:r>
        <w:rPr>
          <w:rFonts w:hint="eastAsia"/>
          <w:color w:val="auto"/>
        </w:rPr>
        <w:t>）附录A和《环境保护图形标志—固体废物贮存（处置）场》（GB15562.2-1995）要求设置危险废物标识标志。</w:t>
      </w:r>
    </w:p>
    <w:p>
      <w:pPr>
        <w:ind w:firstLine="480"/>
        <w:rPr>
          <w:color w:val="auto"/>
        </w:rPr>
      </w:pPr>
      <w:r>
        <w:rPr>
          <w:rFonts w:hint="eastAsia"/>
          <w:color w:val="auto"/>
        </w:rPr>
        <w:t>⑥按照危险废物特性进行分类收集、贮存，危险废物包装容器上标识明确；危险废物按种类分别存放，切不同类废物间有明显的间隔。</w:t>
      </w:r>
    </w:p>
    <w:p>
      <w:pPr>
        <w:ind w:firstLine="480"/>
        <w:rPr>
          <w:color w:val="auto"/>
        </w:rPr>
      </w:pPr>
      <w:r>
        <w:rPr>
          <w:rFonts w:hint="eastAsia"/>
          <w:color w:val="auto"/>
        </w:rPr>
        <w:t>⑦危险废物库内清理出来的泄漏物，一律按危险废物处理。</w:t>
      </w:r>
    </w:p>
    <w:p>
      <w:pPr>
        <w:ind w:firstLine="480"/>
        <w:rPr>
          <w:color w:val="auto"/>
        </w:rPr>
      </w:pPr>
      <w:r>
        <w:rPr>
          <w:rFonts w:hint="eastAsia"/>
          <w:color w:val="auto"/>
        </w:rPr>
        <w:t>⑧加强对危险废物的日常管理，并按国家有关危险废物管理办法，办理好危险废物的贮存、转移手续。</w:t>
      </w:r>
    </w:p>
    <w:p>
      <w:pPr>
        <w:ind w:firstLine="480"/>
        <w:rPr>
          <w:color w:val="auto"/>
        </w:rPr>
      </w:pPr>
      <w:r>
        <w:rPr>
          <w:rFonts w:hint="eastAsia"/>
          <w:color w:val="auto"/>
        </w:rPr>
        <w:t>⑨在转移危险废物前，向环保部门报批危险废物转移计划，并得到批准。</w:t>
      </w:r>
    </w:p>
    <w:p>
      <w:pPr>
        <w:ind w:firstLine="480"/>
        <w:rPr>
          <w:color w:val="auto"/>
        </w:rPr>
      </w:pPr>
      <w:r>
        <w:rPr>
          <w:rFonts w:hint="eastAsia"/>
          <w:color w:val="auto"/>
        </w:rPr>
        <w:t>⑩转移危险废物的，按照《危险废物转移联单管理办法》有关规定，如实填写转移联单中产生单位栏目，并加盖公章。</w:t>
      </w:r>
    </w:p>
    <w:p>
      <w:pPr>
        <w:ind w:firstLine="480"/>
        <w:rPr>
          <w:color w:val="auto"/>
        </w:rPr>
      </w:pPr>
      <w:r>
        <w:rPr>
          <w:rFonts w:ascii="Cambria Math" w:hAnsi="Cambria Math" w:cs="Cambria Math"/>
          <w:color w:val="auto"/>
        </w:rPr>
        <w:t>⑪</w:t>
      </w:r>
      <w:r>
        <w:rPr>
          <w:rFonts w:hint="eastAsia" w:ascii="宋体" w:hAnsi="宋体" w:cs="宋体"/>
          <w:color w:val="auto"/>
        </w:rPr>
        <w:t>建立危险废物贮存台账，并如实记录危险废物贮存情况。</w:t>
      </w:r>
    </w:p>
    <w:p>
      <w:pPr>
        <w:ind w:firstLine="480"/>
        <w:rPr>
          <w:color w:val="auto"/>
        </w:rPr>
      </w:pPr>
      <w:r>
        <w:rPr>
          <w:rFonts w:ascii="Cambria Math" w:hAnsi="Cambria Math" w:cs="Cambria Math"/>
          <w:color w:val="auto"/>
        </w:rPr>
        <w:t>⑫</w:t>
      </w:r>
      <w:r>
        <w:rPr>
          <w:rFonts w:hint="eastAsia" w:ascii="宋体" w:hAnsi="宋体" w:cs="宋体"/>
          <w:color w:val="auto"/>
        </w:rPr>
        <w:t>与危险废物处理单位签订委托利用、处置合同。</w:t>
      </w:r>
    </w:p>
    <w:p>
      <w:pPr>
        <w:ind w:firstLine="480"/>
        <w:rPr>
          <w:color w:val="auto"/>
        </w:rPr>
      </w:pPr>
      <w:r>
        <w:rPr>
          <w:rFonts w:ascii="Cambria Math" w:hAnsi="Cambria Math" w:cs="Cambria Math"/>
          <w:color w:val="auto"/>
        </w:rPr>
        <w:t>⑬</w:t>
      </w:r>
      <w:r>
        <w:rPr>
          <w:rFonts w:hint="eastAsia" w:ascii="宋体" w:hAnsi="宋体" w:cs="宋体"/>
          <w:color w:val="auto"/>
        </w:rPr>
        <w:t>贮存期限不超过一年；</w:t>
      </w:r>
      <w:r>
        <w:rPr>
          <w:rFonts w:hint="eastAsia"/>
          <w:color w:val="auto"/>
        </w:rPr>
        <w:t>延长贮存期限的，报经环保部门批准。</w:t>
      </w:r>
    </w:p>
    <w:p>
      <w:pPr>
        <w:ind w:firstLine="480"/>
        <w:rPr>
          <w:color w:val="auto"/>
        </w:rPr>
      </w:pPr>
      <w:r>
        <w:rPr>
          <w:rFonts w:ascii="Cambria Math" w:hAnsi="Cambria Math" w:cs="Cambria Math"/>
          <w:color w:val="auto"/>
        </w:rPr>
        <w:t>⑭</w:t>
      </w:r>
      <w:r>
        <w:rPr>
          <w:rFonts w:hint="eastAsia" w:ascii="宋体" w:hAnsi="宋体" w:cs="宋体"/>
          <w:color w:val="auto"/>
        </w:rPr>
        <w:t>相关管理人员和从事危险废物收集、运送、暂存、利用和处置等工作人员掌握国家相关法律法规、规章和油罐规范性文件的规定；熟悉本单位指定的危险废物管理规章制度、工作流程和应急</w:t>
      </w:r>
      <w:r>
        <w:rPr>
          <w:rFonts w:hint="eastAsia"/>
          <w:color w:val="auto"/>
        </w:rPr>
        <w:t>预案等各项要求；掌握危险废物分类收集、运送、暂存的正确方法和操作程序。</w:t>
      </w:r>
    </w:p>
    <w:p>
      <w:pPr>
        <w:ind w:firstLine="480"/>
        <w:rPr>
          <w:color w:val="auto"/>
        </w:rPr>
      </w:pPr>
      <w:r>
        <w:rPr>
          <w:rFonts w:hint="eastAsia"/>
          <w:color w:val="auto"/>
        </w:rPr>
        <w:t>3、运输要求</w:t>
      </w:r>
    </w:p>
    <w:p>
      <w:pPr>
        <w:ind w:firstLine="480"/>
        <w:rPr>
          <w:color w:val="auto"/>
        </w:rPr>
      </w:pPr>
      <w:r>
        <w:rPr>
          <w:rFonts w:hint="eastAsia"/>
          <w:color w:val="auto"/>
        </w:rPr>
        <w:t>（1）运输车辆必须有塑料内衬和帆布盖顶，废渣需袋装，运输过程要防渗漏、防扬撒、不得超载；配备发生事故的应急工具、药剂或其他辅助材料，以便于消除或减轻对环境的污染危害。</w:t>
      </w:r>
    </w:p>
    <w:p>
      <w:pPr>
        <w:ind w:firstLine="480"/>
        <w:rPr>
          <w:color w:val="auto"/>
        </w:rPr>
      </w:pPr>
      <w:r>
        <w:rPr>
          <w:rFonts w:hint="eastAsia"/>
          <w:color w:val="auto"/>
        </w:rPr>
        <w:t>（2）不同类型的废渣不宜混装运输，运输工具未经消除污染不得装载其他物品。</w:t>
      </w:r>
    </w:p>
    <w:p>
      <w:pPr>
        <w:ind w:firstLine="480"/>
        <w:rPr>
          <w:color w:val="auto"/>
        </w:rPr>
      </w:pPr>
      <w:r>
        <w:rPr>
          <w:rFonts w:hint="eastAsia"/>
          <w:color w:val="auto"/>
        </w:rPr>
        <w:t>（3）运输车辆应设置明显的标志并经常维护保养，保证车况良好和行车安全。</w:t>
      </w:r>
    </w:p>
    <w:p>
      <w:pPr>
        <w:ind w:firstLine="480"/>
        <w:rPr>
          <w:color w:val="auto"/>
        </w:rPr>
      </w:pPr>
      <w:r>
        <w:rPr>
          <w:rFonts w:hint="eastAsia"/>
          <w:color w:val="auto"/>
        </w:rPr>
        <w:t>（4）从事运输的人员，应接受专门安全培训后方可上岗。</w:t>
      </w:r>
    </w:p>
    <w:p>
      <w:pPr>
        <w:pStyle w:val="6"/>
        <w:rPr>
          <w:color w:val="auto"/>
          <w:u w:val="single"/>
        </w:rPr>
      </w:pPr>
      <w:bookmarkStart w:id="188" w:name="_Toc19299"/>
      <w:bookmarkStart w:id="189" w:name="_Toc17463"/>
      <w:bookmarkStart w:id="190" w:name="_Toc32367"/>
      <w:r>
        <w:rPr>
          <w:rFonts w:hint="eastAsia"/>
          <w:color w:val="auto"/>
        </w:rPr>
        <w:t>6</w:t>
      </w:r>
      <w:r>
        <w:rPr>
          <w:color w:val="auto"/>
        </w:rPr>
        <w:t>.</w:t>
      </w:r>
      <w:r>
        <w:rPr>
          <w:rFonts w:hint="eastAsia"/>
          <w:color w:val="auto"/>
        </w:rPr>
        <w:t>7土壤防治措施</w:t>
      </w:r>
      <w:r>
        <w:rPr>
          <w:color w:val="auto"/>
        </w:rPr>
        <w:t>及可行性分析</w:t>
      </w:r>
      <w:bookmarkEnd w:id="188"/>
      <w:bookmarkEnd w:id="189"/>
      <w:bookmarkEnd w:id="190"/>
    </w:p>
    <w:p>
      <w:pPr>
        <w:ind w:firstLine="480"/>
        <w:rPr>
          <w:color w:val="auto"/>
        </w:rPr>
      </w:pPr>
      <w:r>
        <w:rPr>
          <w:rFonts w:hint="eastAsia"/>
          <w:color w:val="auto"/>
        </w:rPr>
        <w:t>根据现场调查，项目厂界周边有部分居民点，区域内地面大部分实现硬化和绿化，对区域土壤环境影响极小。本项目废气经采取相应的措施后，外排废气各因子均能达到规定排放限值要求。生产过程未使用有毒有害化学药剂。项目对土壤环境的影响主要是循环水池、危废暂存间等。企业应加强管理，保证企业固废尤其是危险固废，在暂存和存贮过程中注意防雨、防渗，以避免固废渗滤液污染土壤环境，对企业重点防渗区域严格按相关标准要求实施与管理，采取上述措施后，项目对土壤环境影响较小。</w:t>
      </w:r>
    </w:p>
    <w:p>
      <w:pPr>
        <w:ind w:firstLine="480"/>
        <w:rPr>
          <w:color w:val="auto"/>
        </w:rPr>
      </w:pPr>
    </w:p>
    <w:p>
      <w:pPr>
        <w:ind w:firstLine="480"/>
        <w:rPr>
          <w:color w:val="auto"/>
        </w:rPr>
      </w:pPr>
    </w:p>
    <w:p>
      <w:pPr>
        <w:ind w:firstLine="480"/>
        <w:rPr>
          <w:color w:val="auto"/>
        </w:rPr>
      </w:pPr>
    </w:p>
    <w:p>
      <w:pPr>
        <w:ind w:firstLine="480"/>
        <w:rPr>
          <w:color w:val="auto"/>
          <w:u w:val="single"/>
        </w:rPr>
      </w:pPr>
    </w:p>
    <w:p>
      <w:pPr>
        <w:ind w:firstLine="480"/>
        <w:rPr>
          <w:color w:val="auto"/>
        </w:rPr>
        <w:sectPr>
          <w:footerReference r:id="rId18" w:type="default"/>
          <w:pgSz w:w="11907" w:h="16840"/>
          <w:pgMar w:top="1418" w:right="1418" w:bottom="1418" w:left="1701" w:header="851" w:footer="1134" w:gutter="0"/>
          <w:pgBorders>
            <w:top w:val="none" w:sz="0" w:space="0"/>
            <w:left w:val="none" w:sz="0" w:space="0"/>
            <w:bottom w:val="none" w:sz="0" w:space="0"/>
            <w:right w:val="none" w:sz="0" w:space="0"/>
          </w:pgBorders>
          <w:cols w:space="720" w:num="1"/>
          <w:docGrid w:linePitch="312" w:charSpace="0"/>
        </w:sectPr>
      </w:pPr>
    </w:p>
    <w:p>
      <w:pPr>
        <w:pStyle w:val="5"/>
        <w:rPr>
          <w:color w:val="auto"/>
        </w:rPr>
      </w:pPr>
      <w:bookmarkStart w:id="191" w:name="_Toc17458"/>
      <w:bookmarkStart w:id="192" w:name="_Toc24345"/>
      <w:bookmarkStart w:id="193" w:name="_Toc27338"/>
      <w:r>
        <w:rPr>
          <w:rFonts w:hint="eastAsia"/>
          <w:color w:val="auto"/>
        </w:rPr>
        <w:t xml:space="preserve">第7章 </w:t>
      </w:r>
      <w:r>
        <w:rPr>
          <w:color w:val="auto"/>
        </w:rPr>
        <w:t xml:space="preserve"> 环境经济损益分析及总量控制</w:t>
      </w:r>
      <w:bookmarkEnd w:id="191"/>
      <w:bookmarkEnd w:id="192"/>
      <w:bookmarkEnd w:id="193"/>
    </w:p>
    <w:p>
      <w:pPr>
        <w:ind w:firstLine="480"/>
        <w:rPr>
          <w:color w:val="auto"/>
        </w:rPr>
      </w:pPr>
      <w:r>
        <w:rPr>
          <w:color w:val="auto"/>
        </w:rPr>
        <w:t>环境影响经济损益分析主要是根据项目的特性、总投资及生产规模，分析评价建设项目实施后对环境造成的损失和采用各种环保治理措施带来的社会、经济和环境效益。并进一步估算项目的环保投资，分析环保投入所能产生的经济效益。从经济效益、社会效益和环境效益协调统一的角度来讨论项目建设的意义。</w:t>
      </w:r>
    </w:p>
    <w:p>
      <w:pPr>
        <w:pStyle w:val="6"/>
        <w:rPr>
          <w:color w:val="auto"/>
        </w:rPr>
      </w:pPr>
      <w:bookmarkStart w:id="194" w:name="_Toc30949"/>
      <w:bookmarkStart w:id="195" w:name="_Toc18664"/>
      <w:bookmarkStart w:id="196" w:name="_Toc521305589"/>
      <w:bookmarkStart w:id="197" w:name="_Toc21273"/>
      <w:r>
        <w:rPr>
          <w:rFonts w:hint="eastAsia"/>
          <w:color w:val="auto"/>
        </w:rPr>
        <w:t>7</w:t>
      </w:r>
      <w:r>
        <w:rPr>
          <w:color w:val="auto"/>
        </w:rPr>
        <w:t>.1环境效益分析</w:t>
      </w:r>
      <w:bookmarkEnd w:id="194"/>
      <w:bookmarkEnd w:id="195"/>
      <w:bookmarkEnd w:id="196"/>
      <w:bookmarkEnd w:id="197"/>
    </w:p>
    <w:p>
      <w:pPr>
        <w:pStyle w:val="7"/>
        <w:rPr>
          <w:color w:val="auto"/>
        </w:rPr>
      </w:pPr>
      <w:r>
        <w:rPr>
          <w:rFonts w:hint="eastAsia"/>
          <w:color w:val="auto"/>
        </w:rPr>
        <w:t>7</w:t>
      </w:r>
      <w:r>
        <w:rPr>
          <w:color w:val="auto"/>
        </w:rPr>
        <w:t>.1.1环保投资估算</w:t>
      </w:r>
    </w:p>
    <w:p>
      <w:pPr>
        <w:ind w:firstLine="480"/>
        <w:rPr>
          <w:color w:val="auto"/>
          <w:highlight w:val="none"/>
        </w:rPr>
      </w:pPr>
      <w:r>
        <w:rPr>
          <w:rFonts w:hint="eastAsia"/>
          <w:color w:val="auto"/>
          <w:highlight w:val="none"/>
        </w:rPr>
        <w:t>本项目总投资为</w:t>
      </w:r>
      <w:r>
        <w:rPr>
          <w:rFonts w:hint="eastAsia"/>
          <w:color w:val="auto"/>
          <w:highlight w:val="none"/>
          <w:lang w:val="en-US" w:eastAsia="zh-CN"/>
        </w:rPr>
        <w:t>6000</w:t>
      </w:r>
      <w:r>
        <w:rPr>
          <w:rFonts w:hint="eastAsia"/>
          <w:color w:val="auto"/>
          <w:highlight w:val="none"/>
        </w:rPr>
        <w:t>万，环保方面的投资约为</w:t>
      </w:r>
      <w:r>
        <w:rPr>
          <w:rFonts w:hint="eastAsia"/>
          <w:color w:val="auto"/>
          <w:highlight w:val="none"/>
          <w:lang w:val="en-US" w:eastAsia="zh-CN"/>
        </w:rPr>
        <w:t>120</w:t>
      </w:r>
      <w:r>
        <w:rPr>
          <w:rFonts w:hint="eastAsia"/>
          <w:color w:val="auto"/>
          <w:highlight w:val="none"/>
        </w:rPr>
        <w:t>万，环保投资占工程总投资的</w:t>
      </w:r>
      <w:r>
        <w:rPr>
          <w:rFonts w:hint="eastAsia"/>
          <w:color w:val="auto"/>
          <w:highlight w:val="none"/>
          <w:lang w:val="en-US" w:eastAsia="zh-CN"/>
        </w:rPr>
        <w:t>2</w:t>
      </w:r>
      <w:r>
        <w:rPr>
          <w:rFonts w:hint="eastAsia"/>
          <w:color w:val="auto"/>
          <w:highlight w:val="none"/>
        </w:rPr>
        <w:t>%。</w:t>
      </w:r>
    </w:p>
    <w:p>
      <w:pPr>
        <w:pStyle w:val="31"/>
        <w:rPr>
          <w:color w:val="auto"/>
          <w:highlight w:val="none"/>
        </w:rPr>
      </w:pPr>
      <w:r>
        <w:rPr>
          <w:color w:val="auto"/>
          <w:highlight w:val="none"/>
        </w:rPr>
        <w:t>表</w:t>
      </w:r>
      <w:r>
        <w:rPr>
          <w:rFonts w:hint="eastAsia"/>
          <w:color w:val="auto"/>
          <w:highlight w:val="none"/>
        </w:rPr>
        <w:t>7.1</w:t>
      </w:r>
      <w:r>
        <w:rPr>
          <w:color w:val="auto"/>
          <w:highlight w:val="none"/>
        </w:rPr>
        <w:t>-</w:t>
      </w:r>
      <w:r>
        <w:rPr>
          <w:rFonts w:hint="eastAsia"/>
          <w:color w:val="auto"/>
          <w:highlight w:val="none"/>
        </w:rPr>
        <w:t>1</w:t>
      </w:r>
      <w:r>
        <w:rPr>
          <w:color w:val="auto"/>
          <w:highlight w:val="none"/>
        </w:rPr>
        <w:t xml:space="preserve"> 建设项目环保投资一览表</w:t>
      </w:r>
    </w:p>
    <w:tbl>
      <w:tblPr>
        <w:tblStyle w:val="2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21"/>
        <w:gridCol w:w="1417"/>
        <w:gridCol w:w="4045"/>
        <w:gridCol w:w="16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507" w:hRule="atLeast"/>
          <w:jc w:val="center"/>
        </w:trPr>
        <w:tc>
          <w:tcPr>
            <w:tcW w:w="1067" w:type="pct"/>
            <w:vAlign w:val="center"/>
          </w:tcPr>
          <w:p>
            <w:pPr>
              <w:pStyle w:val="30"/>
              <w:rPr>
                <w:b/>
                <w:bCs/>
                <w:color w:val="auto"/>
                <w:highlight w:val="none"/>
              </w:rPr>
            </w:pPr>
            <w:r>
              <w:rPr>
                <w:b/>
                <w:bCs/>
                <w:color w:val="auto"/>
                <w:highlight w:val="none"/>
              </w:rPr>
              <w:t>污染控制类型</w:t>
            </w:r>
          </w:p>
        </w:tc>
        <w:tc>
          <w:tcPr>
            <w:tcW w:w="3033" w:type="pct"/>
            <w:gridSpan w:val="2"/>
            <w:vAlign w:val="center"/>
          </w:tcPr>
          <w:p>
            <w:pPr>
              <w:pStyle w:val="30"/>
              <w:rPr>
                <w:b/>
                <w:bCs/>
                <w:color w:val="auto"/>
                <w:highlight w:val="none"/>
              </w:rPr>
            </w:pPr>
            <w:r>
              <w:rPr>
                <w:b/>
                <w:bCs/>
                <w:color w:val="auto"/>
                <w:highlight w:val="none"/>
              </w:rPr>
              <w:t>控制措施</w:t>
            </w:r>
          </w:p>
        </w:tc>
        <w:tc>
          <w:tcPr>
            <w:tcW w:w="901" w:type="pct"/>
            <w:vAlign w:val="center"/>
          </w:tcPr>
          <w:p>
            <w:pPr>
              <w:pStyle w:val="30"/>
              <w:rPr>
                <w:b/>
                <w:bCs/>
                <w:color w:val="auto"/>
                <w:highlight w:val="none"/>
              </w:rPr>
            </w:pPr>
            <w:r>
              <w:rPr>
                <w:b/>
                <w:bCs/>
                <w:color w:val="auto"/>
                <w:highlight w:val="none"/>
              </w:rPr>
              <w:t>投资额</w:t>
            </w:r>
            <w:r>
              <w:rPr>
                <w:rFonts w:hint="eastAsia"/>
                <w:b/>
                <w:bCs/>
                <w:color w:val="auto"/>
                <w:highlight w:val="none"/>
              </w:rPr>
              <w:t>（万元）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3" w:hRule="atLeast"/>
          <w:jc w:val="center"/>
        </w:trPr>
        <w:tc>
          <w:tcPr>
            <w:tcW w:w="1067" w:type="pct"/>
            <w:vAlign w:val="center"/>
          </w:tcPr>
          <w:p>
            <w:pPr>
              <w:pStyle w:val="30"/>
              <w:rPr>
                <w:color w:val="auto"/>
                <w:highlight w:val="none"/>
              </w:rPr>
            </w:pPr>
            <w:r>
              <w:rPr>
                <w:color w:val="auto"/>
                <w:highlight w:val="none"/>
              </w:rPr>
              <w:t>废气污染控制</w:t>
            </w:r>
          </w:p>
        </w:tc>
        <w:tc>
          <w:tcPr>
            <w:tcW w:w="787" w:type="pct"/>
            <w:vAlign w:val="center"/>
          </w:tcPr>
          <w:p>
            <w:pPr>
              <w:pStyle w:val="30"/>
              <w:rPr>
                <w:rFonts w:hint="default" w:eastAsia="宋体"/>
                <w:color w:val="auto"/>
                <w:highlight w:val="none"/>
                <w:lang w:val="en-US" w:eastAsia="zh-CN"/>
              </w:rPr>
            </w:pPr>
            <w:r>
              <w:rPr>
                <w:rFonts w:hint="eastAsia"/>
                <w:color w:val="auto"/>
                <w:highlight w:val="none"/>
              </w:rPr>
              <w:t>挤出废气</w:t>
            </w:r>
            <w:r>
              <w:rPr>
                <w:rFonts w:hint="eastAsia"/>
                <w:color w:val="auto"/>
                <w:highlight w:val="none"/>
                <w:lang w:eastAsia="zh-CN"/>
              </w:rPr>
              <w:t>、</w:t>
            </w:r>
            <w:r>
              <w:rPr>
                <w:rFonts w:hint="eastAsia"/>
                <w:color w:val="auto"/>
                <w:highlight w:val="none"/>
                <w:lang w:val="en-US" w:eastAsia="zh-CN"/>
              </w:rPr>
              <w:t>破碎废气</w:t>
            </w:r>
          </w:p>
        </w:tc>
        <w:tc>
          <w:tcPr>
            <w:tcW w:w="2246" w:type="pct"/>
            <w:vAlign w:val="center"/>
          </w:tcPr>
          <w:p>
            <w:pPr>
              <w:pStyle w:val="30"/>
              <w:rPr>
                <w:rFonts w:hint="default" w:eastAsia="宋体"/>
                <w:color w:val="auto"/>
                <w:highlight w:val="none"/>
                <w:lang w:val="en-US" w:eastAsia="zh-CN"/>
              </w:rPr>
            </w:pPr>
            <w:r>
              <w:rPr>
                <w:rFonts w:hint="eastAsia"/>
                <w:color w:val="auto"/>
                <w:highlight w:val="none"/>
              </w:rPr>
              <w:t>集气罩+两级活性炭吸附装置处理+</w:t>
            </w:r>
            <w:r>
              <w:rPr>
                <w:rFonts w:hint="eastAsia"/>
                <w:color w:val="auto"/>
                <w:highlight w:val="none"/>
                <w:lang w:val="en-US" w:eastAsia="zh-CN"/>
              </w:rPr>
              <w:t>一根18m高排气筒</w:t>
            </w:r>
            <w:r>
              <w:rPr>
                <w:rFonts w:hint="eastAsia"/>
                <w:color w:val="auto"/>
                <w:highlight w:val="none"/>
              </w:rPr>
              <w:t>（DA001）</w:t>
            </w:r>
            <w:r>
              <w:rPr>
                <w:rFonts w:hint="eastAsia"/>
                <w:color w:val="auto"/>
                <w:highlight w:val="none"/>
                <w:lang w:eastAsia="zh-CN"/>
              </w:rPr>
              <w:t>；</w:t>
            </w:r>
            <w:r>
              <w:rPr>
                <w:rFonts w:hint="eastAsia"/>
                <w:color w:val="auto"/>
                <w:highlight w:val="none"/>
                <w:lang w:val="en-US" w:eastAsia="zh-CN"/>
              </w:rPr>
              <w:t>破碎粉尘通过布袋除尘器处理+一根18m高排气筒（DA002）</w:t>
            </w:r>
          </w:p>
        </w:tc>
        <w:tc>
          <w:tcPr>
            <w:tcW w:w="901" w:type="pct"/>
            <w:vAlign w:val="center"/>
          </w:tcPr>
          <w:p>
            <w:pPr>
              <w:pStyle w:val="30"/>
              <w:rPr>
                <w:rFonts w:hint="default" w:eastAsia="宋体"/>
                <w:color w:val="auto"/>
                <w:highlight w:val="none"/>
                <w:lang w:val="en-US" w:eastAsia="zh-CN"/>
              </w:rPr>
            </w:pPr>
            <w:r>
              <w:rPr>
                <w:rFonts w:hint="eastAsia"/>
                <w:color w:val="auto"/>
                <w:highlight w:val="none"/>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1067" w:type="pct"/>
            <w:vMerge w:val="restart"/>
            <w:vAlign w:val="center"/>
          </w:tcPr>
          <w:p>
            <w:pPr>
              <w:pStyle w:val="30"/>
              <w:rPr>
                <w:color w:val="auto"/>
                <w:highlight w:val="none"/>
              </w:rPr>
            </w:pPr>
            <w:r>
              <w:rPr>
                <w:color w:val="auto"/>
                <w:highlight w:val="none"/>
              </w:rPr>
              <w:t>废水防治措施</w:t>
            </w:r>
          </w:p>
        </w:tc>
        <w:tc>
          <w:tcPr>
            <w:tcW w:w="787" w:type="pct"/>
            <w:vAlign w:val="center"/>
          </w:tcPr>
          <w:p>
            <w:pPr>
              <w:pStyle w:val="30"/>
              <w:rPr>
                <w:color w:val="auto"/>
                <w:highlight w:val="none"/>
              </w:rPr>
            </w:pPr>
            <w:r>
              <w:rPr>
                <w:rFonts w:hint="eastAsia"/>
                <w:color w:val="auto"/>
                <w:highlight w:val="none"/>
              </w:rPr>
              <w:t>生活污水</w:t>
            </w:r>
          </w:p>
        </w:tc>
        <w:tc>
          <w:tcPr>
            <w:tcW w:w="2246" w:type="pct"/>
            <w:vAlign w:val="center"/>
          </w:tcPr>
          <w:p>
            <w:pPr>
              <w:pStyle w:val="30"/>
              <w:rPr>
                <w:color w:val="auto"/>
                <w:highlight w:val="none"/>
              </w:rPr>
            </w:pPr>
            <w:r>
              <w:rPr>
                <w:rFonts w:hint="eastAsia"/>
                <w:color w:val="auto"/>
                <w:highlight w:val="none"/>
              </w:rPr>
              <w:t>化粪池（依托）</w:t>
            </w:r>
          </w:p>
        </w:tc>
        <w:tc>
          <w:tcPr>
            <w:tcW w:w="901" w:type="pct"/>
            <w:vAlign w:val="center"/>
          </w:tcPr>
          <w:p>
            <w:pPr>
              <w:pStyle w:val="30"/>
              <w:rPr>
                <w:color w:val="auto"/>
                <w:highlight w:val="none"/>
              </w:rPr>
            </w:pPr>
            <w:r>
              <w:rPr>
                <w:rFonts w:hint="eastAsia"/>
                <w:color w:val="auto"/>
                <w:highlight w:val="none"/>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1067" w:type="pct"/>
            <w:vMerge w:val="continue"/>
            <w:vAlign w:val="center"/>
          </w:tcPr>
          <w:p>
            <w:pPr>
              <w:pStyle w:val="30"/>
              <w:rPr>
                <w:color w:val="auto"/>
                <w:highlight w:val="none"/>
              </w:rPr>
            </w:pPr>
          </w:p>
        </w:tc>
        <w:tc>
          <w:tcPr>
            <w:tcW w:w="787" w:type="pct"/>
            <w:vAlign w:val="center"/>
          </w:tcPr>
          <w:p>
            <w:pPr>
              <w:pStyle w:val="30"/>
              <w:rPr>
                <w:color w:val="auto"/>
                <w:highlight w:val="none"/>
              </w:rPr>
            </w:pPr>
            <w:r>
              <w:rPr>
                <w:rFonts w:hint="eastAsia"/>
                <w:color w:val="auto"/>
                <w:highlight w:val="none"/>
              </w:rPr>
              <w:t>生产废水</w:t>
            </w:r>
          </w:p>
        </w:tc>
        <w:tc>
          <w:tcPr>
            <w:tcW w:w="2246" w:type="pct"/>
            <w:vAlign w:val="center"/>
          </w:tcPr>
          <w:p>
            <w:pPr>
              <w:pStyle w:val="30"/>
              <w:rPr>
                <w:color w:val="auto"/>
                <w:highlight w:val="none"/>
              </w:rPr>
            </w:pPr>
            <w:r>
              <w:rPr>
                <w:rFonts w:hint="eastAsia"/>
                <w:color w:val="auto"/>
                <w:highlight w:val="none"/>
              </w:rPr>
              <w:t>循环池</w:t>
            </w:r>
          </w:p>
        </w:tc>
        <w:tc>
          <w:tcPr>
            <w:tcW w:w="901" w:type="pct"/>
            <w:vAlign w:val="center"/>
          </w:tcPr>
          <w:p>
            <w:pPr>
              <w:pStyle w:val="30"/>
              <w:rPr>
                <w:rFonts w:hint="eastAsia" w:eastAsia="宋体"/>
                <w:color w:val="auto"/>
                <w:highlight w:val="none"/>
                <w:lang w:eastAsia="zh-CN"/>
              </w:rPr>
            </w:pPr>
            <w:r>
              <w:rPr>
                <w:rFonts w:hint="eastAsia"/>
                <w:color w:val="auto"/>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067" w:type="pct"/>
            <w:vAlign w:val="center"/>
          </w:tcPr>
          <w:p>
            <w:pPr>
              <w:pStyle w:val="30"/>
              <w:rPr>
                <w:color w:val="auto"/>
                <w:highlight w:val="none"/>
              </w:rPr>
            </w:pPr>
            <w:r>
              <w:rPr>
                <w:color w:val="auto"/>
                <w:highlight w:val="none"/>
              </w:rPr>
              <w:t>噪声控制</w:t>
            </w:r>
          </w:p>
        </w:tc>
        <w:tc>
          <w:tcPr>
            <w:tcW w:w="3033" w:type="pct"/>
            <w:gridSpan w:val="2"/>
            <w:vAlign w:val="center"/>
          </w:tcPr>
          <w:p>
            <w:pPr>
              <w:pStyle w:val="30"/>
              <w:rPr>
                <w:color w:val="auto"/>
                <w:highlight w:val="none"/>
              </w:rPr>
            </w:pPr>
            <w:r>
              <w:rPr>
                <w:color w:val="auto"/>
                <w:highlight w:val="none"/>
              </w:rPr>
              <w:t>结构隔声、基础减振、消声等措施</w:t>
            </w:r>
          </w:p>
        </w:tc>
        <w:tc>
          <w:tcPr>
            <w:tcW w:w="901" w:type="pct"/>
            <w:vAlign w:val="center"/>
          </w:tcPr>
          <w:p>
            <w:pPr>
              <w:pStyle w:val="30"/>
              <w:rPr>
                <w:color w:val="auto"/>
                <w:highlight w:val="none"/>
              </w:rPr>
            </w:pPr>
            <w:r>
              <w:rPr>
                <w:rFonts w:hint="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1" w:hRule="atLeast"/>
          <w:jc w:val="center"/>
        </w:trPr>
        <w:tc>
          <w:tcPr>
            <w:tcW w:w="1067" w:type="pct"/>
            <w:vMerge w:val="restart"/>
            <w:vAlign w:val="center"/>
          </w:tcPr>
          <w:p>
            <w:pPr>
              <w:pStyle w:val="30"/>
              <w:rPr>
                <w:color w:val="auto"/>
                <w:highlight w:val="none"/>
              </w:rPr>
            </w:pPr>
            <w:r>
              <w:rPr>
                <w:color w:val="auto"/>
                <w:highlight w:val="none"/>
              </w:rPr>
              <w:t>固体废物处置</w:t>
            </w:r>
          </w:p>
        </w:tc>
        <w:tc>
          <w:tcPr>
            <w:tcW w:w="787" w:type="pct"/>
            <w:vAlign w:val="center"/>
          </w:tcPr>
          <w:p>
            <w:pPr>
              <w:pStyle w:val="30"/>
              <w:rPr>
                <w:color w:val="auto"/>
                <w:highlight w:val="none"/>
              </w:rPr>
            </w:pPr>
            <w:r>
              <w:rPr>
                <w:color w:val="auto"/>
                <w:highlight w:val="none"/>
              </w:rPr>
              <w:t>生活垃圾</w:t>
            </w:r>
          </w:p>
        </w:tc>
        <w:tc>
          <w:tcPr>
            <w:tcW w:w="2246" w:type="pct"/>
            <w:vAlign w:val="center"/>
          </w:tcPr>
          <w:p>
            <w:pPr>
              <w:pStyle w:val="30"/>
              <w:rPr>
                <w:color w:val="auto"/>
                <w:highlight w:val="none"/>
              </w:rPr>
            </w:pPr>
            <w:r>
              <w:rPr>
                <w:color w:val="auto"/>
                <w:highlight w:val="none"/>
              </w:rPr>
              <w:t>垃圾桶</w:t>
            </w:r>
          </w:p>
        </w:tc>
        <w:tc>
          <w:tcPr>
            <w:tcW w:w="901" w:type="pct"/>
            <w:vAlign w:val="center"/>
          </w:tcPr>
          <w:p>
            <w:pPr>
              <w:pStyle w:val="30"/>
              <w:rPr>
                <w:rFonts w:hint="eastAsia" w:eastAsia="宋体"/>
                <w:color w:val="auto"/>
                <w:highlight w:val="none"/>
                <w:lang w:eastAsia="zh-CN"/>
              </w:rPr>
            </w:pPr>
            <w:r>
              <w:rPr>
                <w:rFonts w:hint="eastAsia"/>
                <w:color w:val="auto"/>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067" w:type="pct"/>
            <w:vMerge w:val="continue"/>
            <w:vAlign w:val="center"/>
          </w:tcPr>
          <w:p>
            <w:pPr>
              <w:pStyle w:val="30"/>
              <w:rPr>
                <w:color w:val="auto"/>
                <w:highlight w:val="none"/>
              </w:rPr>
            </w:pPr>
          </w:p>
        </w:tc>
        <w:tc>
          <w:tcPr>
            <w:tcW w:w="787" w:type="pct"/>
            <w:vAlign w:val="center"/>
          </w:tcPr>
          <w:p>
            <w:pPr>
              <w:pStyle w:val="30"/>
              <w:rPr>
                <w:color w:val="auto"/>
                <w:highlight w:val="none"/>
              </w:rPr>
            </w:pPr>
            <w:r>
              <w:rPr>
                <w:rFonts w:hint="eastAsia"/>
                <w:color w:val="auto"/>
                <w:highlight w:val="none"/>
              </w:rPr>
              <w:t>一般固废</w:t>
            </w:r>
          </w:p>
        </w:tc>
        <w:tc>
          <w:tcPr>
            <w:tcW w:w="2246" w:type="pct"/>
            <w:vAlign w:val="center"/>
          </w:tcPr>
          <w:p>
            <w:pPr>
              <w:pStyle w:val="30"/>
              <w:rPr>
                <w:color w:val="auto"/>
                <w:highlight w:val="none"/>
              </w:rPr>
            </w:pPr>
            <w:r>
              <w:rPr>
                <w:rFonts w:hint="eastAsia"/>
                <w:color w:val="auto"/>
                <w:highlight w:val="none"/>
              </w:rPr>
              <w:t>一般固废暂存间</w:t>
            </w:r>
          </w:p>
        </w:tc>
        <w:tc>
          <w:tcPr>
            <w:tcW w:w="901" w:type="pct"/>
            <w:vAlign w:val="center"/>
          </w:tcPr>
          <w:p>
            <w:pPr>
              <w:pStyle w:val="30"/>
              <w:rPr>
                <w:color w:val="auto"/>
                <w:highlight w:val="none"/>
              </w:rPr>
            </w:pPr>
            <w:r>
              <w:rPr>
                <w:rFonts w:hint="eastAsia"/>
                <w:color w:val="auto"/>
                <w:highlight w:val="none"/>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1067" w:type="pct"/>
            <w:vMerge w:val="continue"/>
            <w:vAlign w:val="center"/>
          </w:tcPr>
          <w:p>
            <w:pPr>
              <w:pStyle w:val="30"/>
              <w:rPr>
                <w:color w:val="auto"/>
                <w:highlight w:val="none"/>
              </w:rPr>
            </w:pPr>
          </w:p>
        </w:tc>
        <w:tc>
          <w:tcPr>
            <w:tcW w:w="787" w:type="pct"/>
            <w:vAlign w:val="center"/>
          </w:tcPr>
          <w:p>
            <w:pPr>
              <w:pStyle w:val="30"/>
              <w:rPr>
                <w:color w:val="auto"/>
                <w:highlight w:val="none"/>
              </w:rPr>
            </w:pPr>
            <w:r>
              <w:rPr>
                <w:rFonts w:hint="eastAsia"/>
                <w:color w:val="auto"/>
                <w:highlight w:val="none"/>
              </w:rPr>
              <w:t>危险废物</w:t>
            </w:r>
          </w:p>
        </w:tc>
        <w:tc>
          <w:tcPr>
            <w:tcW w:w="2246" w:type="pct"/>
            <w:vAlign w:val="center"/>
          </w:tcPr>
          <w:p>
            <w:pPr>
              <w:pStyle w:val="30"/>
              <w:rPr>
                <w:color w:val="auto"/>
                <w:highlight w:val="none"/>
              </w:rPr>
            </w:pPr>
            <w:r>
              <w:rPr>
                <w:rFonts w:hint="eastAsia"/>
                <w:color w:val="auto"/>
                <w:highlight w:val="none"/>
              </w:rPr>
              <w:t>危废暂存间、危废委托处理</w:t>
            </w:r>
          </w:p>
        </w:tc>
        <w:tc>
          <w:tcPr>
            <w:tcW w:w="901" w:type="pct"/>
            <w:vAlign w:val="center"/>
          </w:tcPr>
          <w:p>
            <w:pPr>
              <w:pStyle w:val="30"/>
              <w:rPr>
                <w:rFonts w:hint="default" w:eastAsia="宋体"/>
                <w:color w:val="auto"/>
                <w:highlight w:val="none"/>
                <w:lang w:val="en-US" w:eastAsia="zh-CN"/>
              </w:rPr>
            </w:pPr>
            <w:r>
              <w:rPr>
                <w:rFonts w:hint="eastAsia"/>
                <w:color w:val="auto"/>
                <w:highlight w:val="no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2" w:hRule="atLeast"/>
          <w:jc w:val="center"/>
        </w:trPr>
        <w:tc>
          <w:tcPr>
            <w:tcW w:w="4099" w:type="pct"/>
            <w:gridSpan w:val="3"/>
            <w:vAlign w:val="center"/>
          </w:tcPr>
          <w:p>
            <w:pPr>
              <w:pStyle w:val="30"/>
              <w:rPr>
                <w:color w:val="auto"/>
                <w:highlight w:val="none"/>
              </w:rPr>
            </w:pPr>
            <w:r>
              <w:rPr>
                <w:color w:val="auto"/>
                <w:highlight w:val="none"/>
              </w:rPr>
              <w:t>合计</w:t>
            </w:r>
          </w:p>
        </w:tc>
        <w:tc>
          <w:tcPr>
            <w:tcW w:w="901" w:type="pct"/>
            <w:vAlign w:val="center"/>
          </w:tcPr>
          <w:p>
            <w:pPr>
              <w:pStyle w:val="30"/>
              <w:rPr>
                <w:rFonts w:hint="default" w:eastAsia="宋体"/>
                <w:color w:val="auto"/>
                <w:highlight w:val="none"/>
                <w:lang w:val="en-US" w:eastAsia="zh-CN"/>
              </w:rPr>
            </w:pPr>
            <w:r>
              <w:rPr>
                <w:rFonts w:hint="eastAsia"/>
                <w:color w:val="auto"/>
                <w:highlight w:val="none"/>
                <w:lang w:val="en-US" w:eastAsia="zh-CN"/>
              </w:rPr>
              <w:t>120</w:t>
            </w:r>
          </w:p>
        </w:tc>
      </w:tr>
    </w:tbl>
    <w:p>
      <w:pPr>
        <w:pStyle w:val="7"/>
        <w:rPr>
          <w:color w:val="auto"/>
        </w:rPr>
      </w:pPr>
      <w:r>
        <w:rPr>
          <w:rFonts w:hint="eastAsia"/>
          <w:color w:val="auto"/>
        </w:rPr>
        <w:t>7</w:t>
      </w:r>
      <w:r>
        <w:rPr>
          <w:color w:val="auto"/>
        </w:rPr>
        <w:t>.1.2环境保护效益分析</w:t>
      </w:r>
    </w:p>
    <w:p>
      <w:pPr>
        <w:ind w:firstLine="480"/>
        <w:rPr>
          <w:color w:val="auto"/>
        </w:rPr>
      </w:pPr>
      <w:r>
        <w:rPr>
          <w:color w:val="auto"/>
        </w:rPr>
        <w:t>本项目环保治理环境效益主要表现在废水、废气、噪声等能够达标排放，固废能得到有效暂存，环境风险得到控制。本项目排放废气采取相应的环保措施后能够实现达标排放；</w:t>
      </w:r>
      <w:r>
        <w:rPr>
          <w:rFonts w:hint="eastAsia"/>
          <w:color w:val="auto"/>
        </w:rPr>
        <w:t>本项目冷却水循环使用，不外排；生活污水依托园区化粪池预处理后排入汨罗市城市污水处理厂处理后，最终排入汨罗江。不合格成品及边角料收集后作为原料用于生产，除尘器收集粉尘作为原回用于生产；废活性炭及废机油暂存于危险废物暂存间，定期交由有资质的单位进行处置；生活垃圾由环卫部门定期清运。项目固废不会对环境产生明显影响。项目设备噪声通过隔声、减振及消声等措施，不会对周围环境造成影响。通过防渗等控制环境风险。</w:t>
      </w:r>
      <w:r>
        <w:rPr>
          <w:color w:val="auto"/>
        </w:rPr>
        <w:t>工程对废气、废水、固体废弃物以及噪声采取的污染防治措施减少了污染物排放对环境的危害，体现了较好的环境效益。</w:t>
      </w:r>
    </w:p>
    <w:p>
      <w:pPr>
        <w:pStyle w:val="6"/>
        <w:rPr>
          <w:color w:val="auto"/>
        </w:rPr>
      </w:pPr>
      <w:bookmarkStart w:id="198" w:name="_Toc12176"/>
      <w:bookmarkStart w:id="199" w:name="_Toc22347"/>
      <w:bookmarkStart w:id="200" w:name="_Toc30918"/>
      <w:r>
        <w:rPr>
          <w:rFonts w:hint="eastAsia"/>
          <w:color w:val="auto"/>
        </w:rPr>
        <w:t>7</w:t>
      </w:r>
      <w:r>
        <w:rPr>
          <w:color w:val="auto"/>
        </w:rPr>
        <w:t>.2工程经济效益与社会效益分析</w:t>
      </w:r>
      <w:bookmarkEnd w:id="198"/>
      <w:bookmarkEnd w:id="199"/>
      <w:bookmarkEnd w:id="200"/>
    </w:p>
    <w:p>
      <w:pPr>
        <w:ind w:firstLine="480"/>
        <w:rPr>
          <w:color w:val="auto"/>
        </w:rPr>
      </w:pPr>
      <w:r>
        <w:rPr>
          <w:color w:val="auto"/>
        </w:rPr>
        <w:t>本项目投产后能带动当地经济发展，增加地方财政收入，解决部分城镇居民、农村剩余劳动力就业，对增加当地居民的收入，提高生活水平有着积极的促进作用；另一方面带动了当地各行业生产的发展，例如服务业、运输业，繁荣了当地经济，促进了当地工农商业的发展。</w:t>
      </w:r>
    </w:p>
    <w:p>
      <w:pPr>
        <w:ind w:firstLine="480"/>
        <w:rPr>
          <w:color w:val="auto"/>
        </w:rPr>
      </w:pPr>
      <w:r>
        <w:rPr>
          <w:color w:val="auto"/>
        </w:rPr>
        <w:t>综上所述，本项目的建设对稳定当地社会环境、促进经济发展具有一定作用。因此，本项目的建设具有一定的社会效益。</w:t>
      </w:r>
    </w:p>
    <w:p>
      <w:pPr>
        <w:pStyle w:val="6"/>
        <w:rPr>
          <w:color w:val="auto"/>
        </w:rPr>
      </w:pPr>
      <w:bookmarkStart w:id="201" w:name="_Toc12092"/>
      <w:bookmarkStart w:id="202" w:name="_Toc24499"/>
      <w:bookmarkStart w:id="203" w:name="_Toc14022"/>
      <w:r>
        <w:rPr>
          <w:rFonts w:hint="eastAsia"/>
          <w:color w:val="auto"/>
        </w:rPr>
        <w:t>7</w:t>
      </w:r>
      <w:r>
        <w:rPr>
          <w:color w:val="auto"/>
        </w:rPr>
        <w:t>.3总量控制分析</w:t>
      </w:r>
      <w:bookmarkEnd w:id="201"/>
      <w:bookmarkEnd w:id="202"/>
      <w:bookmarkEnd w:id="203"/>
    </w:p>
    <w:p>
      <w:pPr>
        <w:pStyle w:val="7"/>
        <w:rPr>
          <w:color w:val="auto"/>
        </w:rPr>
      </w:pPr>
      <w:r>
        <w:rPr>
          <w:rFonts w:hint="eastAsia"/>
          <w:color w:val="auto"/>
        </w:rPr>
        <w:t>7</w:t>
      </w:r>
      <w:r>
        <w:rPr>
          <w:color w:val="auto"/>
        </w:rPr>
        <w:t>.3.1总量控制</w:t>
      </w:r>
      <w:r>
        <w:rPr>
          <w:rFonts w:hint="eastAsia"/>
          <w:color w:val="auto"/>
        </w:rPr>
        <w:t>指标的确定</w:t>
      </w:r>
    </w:p>
    <w:p>
      <w:pPr>
        <w:ind w:firstLine="480"/>
        <w:rPr>
          <w:color w:val="auto"/>
        </w:rPr>
      </w:pPr>
      <w:r>
        <w:rPr>
          <w:color w:val="auto"/>
        </w:rPr>
        <w:t>在一定的区域内，环境对污染物的自净能力（即环境容量）是有限度的。在经济发展期间，排污单位增加，向大气和水体排放的污染物即使是达标排放，污染物的数量仍是增加的。如这个数量超过环境容量，所造成的污染导致生态破坏，难以恢复。要使这一区域的环境不被污染，达到所处功能区环境质量标准，就必须控制污染物的排放总量在环境容量的限度以下，从而从根本上消除污染的发生。因此对主要污染物排放实施总量控制是改善环境质量的必然之路，是我国环境保护工作的一项重大举措。</w:t>
      </w:r>
    </w:p>
    <w:p>
      <w:pPr>
        <w:pStyle w:val="7"/>
        <w:rPr>
          <w:color w:val="auto"/>
        </w:rPr>
      </w:pPr>
      <w:r>
        <w:rPr>
          <w:rFonts w:hint="eastAsia"/>
          <w:color w:val="auto"/>
        </w:rPr>
        <w:t>7</w:t>
      </w:r>
      <w:r>
        <w:rPr>
          <w:color w:val="auto"/>
        </w:rPr>
        <w:t>.3.2</w:t>
      </w:r>
      <w:r>
        <w:rPr>
          <w:rFonts w:hint="eastAsia"/>
          <w:color w:val="auto"/>
        </w:rPr>
        <w:t>总量控制因子筛选</w:t>
      </w:r>
    </w:p>
    <w:p>
      <w:pPr>
        <w:ind w:firstLine="480"/>
        <w:rPr>
          <w:bCs/>
          <w:color w:val="auto"/>
        </w:rPr>
      </w:pPr>
      <w:r>
        <w:rPr>
          <w:rFonts w:hint="eastAsia"/>
          <w:bCs/>
          <w:color w:val="auto"/>
        </w:rPr>
        <w:t>按照国家和湖南省</w:t>
      </w:r>
      <w:r>
        <w:rPr>
          <w:rFonts w:hint="eastAsia"/>
          <w:bCs/>
          <w:color w:val="auto"/>
          <w:lang w:val="en-US" w:eastAsia="zh-CN"/>
        </w:rPr>
        <w:t>生态环境</w:t>
      </w:r>
      <w:r>
        <w:rPr>
          <w:rFonts w:hint="eastAsia"/>
          <w:bCs/>
          <w:color w:val="auto"/>
        </w:rPr>
        <w:t>厅的要求，国家实施总量控制的主要污染物共5项，其中空气污染物3项（NO</w:t>
      </w:r>
      <w:r>
        <w:rPr>
          <w:rFonts w:hint="eastAsia"/>
          <w:bCs/>
          <w:color w:val="auto"/>
          <w:vertAlign w:val="subscript"/>
        </w:rPr>
        <w:t>X</w:t>
      </w:r>
      <w:r>
        <w:rPr>
          <w:rFonts w:hint="eastAsia"/>
          <w:bCs/>
          <w:color w:val="auto"/>
        </w:rPr>
        <w:t>、SO</w:t>
      </w:r>
      <w:r>
        <w:rPr>
          <w:rFonts w:hint="eastAsia"/>
          <w:bCs/>
          <w:color w:val="auto"/>
          <w:vertAlign w:val="subscript"/>
        </w:rPr>
        <w:t>2</w:t>
      </w:r>
      <w:r>
        <w:rPr>
          <w:rFonts w:hint="eastAsia"/>
          <w:bCs/>
          <w:color w:val="auto"/>
        </w:rPr>
        <w:t>、VOCs），水污染物2项（CODcr、NH</w:t>
      </w:r>
      <w:r>
        <w:rPr>
          <w:rFonts w:hint="eastAsia"/>
          <w:bCs/>
          <w:color w:val="auto"/>
          <w:vertAlign w:val="subscript"/>
        </w:rPr>
        <w:t>3</w:t>
      </w:r>
      <w:r>
        <w:rPr>
          <w:rFonts w:hint="eastAsia"/>
          <w:bCs/>
          <w:color w:val="auto"/>
        </w:rPr>
        <w:t>-N），综合考虑工程项目的工艺特征和排污特点，并结合项目周围环境状况来确定本项目总量控制因子。</w:t>
      </w:r>
    </w:p>
    <w:p>
      <w:pPr>
        <w:ind w:firstLine="480"/>
        <w:rPr>
          <w:bCs/>
          <w:color w:val="auto"/>
        </w:rPr>
      </w:pPr>
      <w:r>
        <w:rPr>
          <w:rFonts w:hint="eastAsia"/>
          <w:bCs/>
          <w:color w:val="auto"/>
        </w:rPr>
        <w:t>根据本项目污染物排放特点，确定本项目污染物排放总量控制因子为VOCs，建议总量控制指标见下表；</w:t>
      </w:r>
    </w:p>
    <w:p>
      <w:pPr>
        <w:ind w:firstLine="480"/>
        <w:rPr>
          <w:bCs/>
          <w:color w:val="auto"/>
        </w:rPr>
      </w:pPr>
      <w:r>
        <w:rPr>
          <w:rFonts w:hint="eastAsia"/>
          <w:bCs/>
          <w:color w:val="auto"/>
        </w:rPr>
        <w:t>本项目总量控制指标如下。</w:t>
      </w:r>
    </w:p>
    <w:p>
      <w:pPr>
        <w:pStyle w:val="31"/>
        <w:rPr>
          <w:color w:val="auto"/>
          <w:highlight w:val="none"/>
        </w:rPr>
      </w:pPr>
      <w:r>
        <w:rPr>
          <w:color w:val="auto"/>
          <w:highlight w:val="none"/>
        </w:rPr>
        <w:t>表</w:t>
      </w:r>
      <w:r>
        <w:rPr>
          <w:rFonts w:hint="eastAsia"/>
          <w:color w:val="auto"/>
          <w:highlight w:val="none"/>
        </w:rPr>
        <w:t>7</w:t>
      </w:r>
      <w:r>
        <w:rPr>
          <w:color w:val="auto"/>
          <w:highlight w:val="none"/>
        </w:rPr>
        <w:t>.3-</w:t>
      </w:r>
      <w:r>
        <w:rPr>
          <w:rFonts w:hint="eastAsia"/>
          <w:color w:val="auto"/>
          <w:highlight w:val="none"/>
        </w:rPr>
        <w:t>1</w:t>
      </w:r>
      <w:r>
        <w:rPr>
          <w:color w:val="auto"/>
          <w:highlight w:val="none"/>
        </w:rPr>
        <w:t xml:space="preserve">  污染物排放总量指标 单位：t/a</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3016"/>
        <w:gridCol w:w="3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9" w:type="dxa"/>
            <w:vAlign w:val="center"/>
          </w:tcPr>
          <w:p>
            <w:pPr>
              <w:pStyle w:val="30"/>
              <w:rPr>
                <w:b/>
                <w:bCs/>
                <w:color w:val="auto"/>
                <w:highlight w:val="none"/>
              </w:rPr>
            </w:pPr>
            <w:r>
              <w:rPr>
                <w:b/>
                <w:bCs/>
                <w:color w:val="auto"/>
                <w:highlight w:val="none"/>
              </w:rPr>
              <w:t>总量控制因子</w:t>
            </w:r>
          </w:p>
        </w:tc>
        <w:tc>
          <w:tcPr>
            <w:tcW w:w="3016" w:type="dxa"/>
            <w:vAlign w:val="center"/>
          </w:tcPr>
          <w:p>
            <w:pPr>
              <w:pStyle w:val="30"/>
              <w:rPr>
                <w:b/>
                <w:bCs/>
                <w:color w:val="auto"/>
                <w:highlight w:val="none"/>
              </w:rPr>
            </w:pPr>
            <w:r>
              <w:rPr>
                <w:b/>
                <w:bCs/>
                <w:color w:val="auto"/>
                <w:highlight w:val="none"/>
              </w:rPr>
              <w:t>本项目排放量</w:t>
            </w:r>
          </w:p>
        </w:tc>
        <w:tc>
          <w:tcPr>
            <w:tcW w:w="3180" w:type="dxa"/>
            <w:vAlign w:val="center"/>
          </w:tcPr>
          <w:p>
            <w:pPr>
              <w:pStyle w:val="30"/>
              <w:rPr>
                <w:b/>
                <w:bCs/>
                <w:color w:val="auto"/>
                <w:highlight w:val="none"/>
              </w:rPr>
            </w:pPr>
            <w:r>
              <w:rPr>
                <w:rFonts w:hint="eastAsia"/>
                <w:b/>
                <w:bCs/>
                <w:color w:val="auto"/>
                <w:highlight w:val="none"/>
              </w:rPr>
              <w:t>指标建议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9" w:type="dxa"/>
            <w:vAlign w:val="center"/>
          </w:tcPr>
          <w:p>
            <w:pPr>
              <w:pStyle w:val="30"/>
              <w:rPr>
                <w:color w:val="auto"/>
                <w:highlight w:val="none"/>
              </w:rPr>
            </w:pPr>
            <w:r>
              <w:rPr>
                <w:rFonts w:hint="eastAsia"/>
                <w:color w:val="auto"/>
                <w:highlight w:val="none"/>
              </w:rPr>
              <w:t>VOCs（以非甲烷总烃计）</w:t>
            </w:r>
          </w:p>
        </w:tc>
        <w:tc>
          <w:tcPr>
            <w:tcW w:w="3016" w:type="dxa"/>
            <w:vAlign w:val="center"/>
          </w:tcPr>
          <w:p>
            <w:pPr>
              <w:pStyle w:val="30"/>
              <w:rPr>
                <w:rFonts w:hint="default" w:eastAsia="宋体"/>
                <w:color w:val="auto"/>
                <w:highlight w:val="none"/>
                <w:lang w:val="en-US" w:eastAsia="zh-CN"/>
              </w:rPr>
            </w:pPr>
            <w:r>
              <w:rPr>
                <w:rFonts w:hint="eastAsia"/>
                <w:color w:val="auto"/>
                <w:highlight w:val="none"/>
                <w:lang w:val="en-US" w:eastAsia="zh-CN"/>
              </w:rPr>
              <w:t>8.1</w:t>
            </w:r>
          </w:p>
        </w:tc>
        <w:tc>
          <w:tcPr>
            <w:tcW w:w="3180" w:type="dxa"/>
            <w:vAlign w:val="center"/>
          </w:tcPr>
          <w:p>
            <w:pPr>
              <w:pStyle w:val="30"/>
              <w:rPr>
                <w:rFonts w:hint="default" w:eastAsia="宋体"/>
                <w:color w:val="auto"/>
                <w:highlight w:val="none"/>
                <w:lang w:val="en-US" w:eastAsia="zh-CN"/>
              </w:rPr>
            </w:pPr>
            <w:r>
              <w:rPr>
                <w:rFonts w:hint="eastAsia"/>
                <w:color w:val="auto"/>
                <w:highlight w:val="none"/>
                <w:lang w:val="en-US" w:eastAsia="zh-CN"/>
              </w:rPr>
              <w:t>8.1</w:t>
            </w:r>
          </w:p>
        </w:tc>
      </w:tr>
    </w:tbl>
    <w:p>
      <w:pPr>
        <w:ind w:firstLine="480"/>
        <w:rPr>
          <w:color w:val="auto"/>
        </w:rPr>
      </w:pPr>
    </w:p>
    <w:p>
      <w:pPr>
        <w:ind w:firstLine="480"/>
        <w:rPr>
          <w:color w:val="auto"/>
        </w:rPr>
      </w:pPr>
    </w:p>
    <w:p>
      <w:pPr>
        <w:ind w:firstLine="480"/>
        <w:rPr>
          <w:color w:val="auto"/>
        </w:rPr>
        <w:sectPr>
          <w:pgSz w:w="11907" w:h="16840"/>
          <w:pgMar w:top="1418" w:right="1418" w:bottom="1418" w:left="1701" w:header="851" w:footer="1134" w:gutter="0"/>
          <w:pgBorders>
            <w:top w:val="none" w:sz="0" w:space="0"/>
            <w:left w:val="none" w:sz="0" w:space="0"/>
            <w:bottom w:val="none" w:sz="0" w:space="0"/>
            <w:right w:val="none" w:sz="0" w:space="0"/>
          </w:pgBorders>
          <w:cols w:space="720" w:num="1"/>
          <w:docGrid w:linePitch="312" w:charSpace="0"/>
        </w:sectPr>
      </w:pPr>
    </w:p>
    <w:p>
      <w:pPr>
        <w:pStyle w:val="5"/>
        <w:rPr>
          <w:color w:val="auto"/>
        </w:rPr>
      </w:pPr>
      <w:bookmarkStart w:id="204" w:name="_Toc20442"/>
      <w:bookmarkStart w:id="205" w:name="_Toc20594"/>
      <w:bookmarkStart w:id="206" w:name="_Toc29936"/>
      <w:r>
        <w:rPr>
          <w:rFonts w:hint="eastAsia"/>
          <w:color w:val="auto"/>
        </w:rPr>
        <w:t xml:space="preserve">第8章 </w:t>
      </w:r>
      <w:r>
        <w:rPr>
          <w:color w:val="auto"/>
        </w:rPr>
        <w:t xml:space="preserve"> 环境管理与环境监测计划</w:t>
      </w:r>
      <w:bookmarkEnd w:id="204"/>
      <w:bookmarkEnd w:id="205"/>
      <w:bookmarkEnd w:id="206"/>
    </w:p>
    <w:p>
      <w:pPr>
        <w:ind w:firstLine="480"/>
        <w:rPr>
          <w:color w:val="auto"/>
        </w:rPr>
      </w:pPr>
      <w:r>
        <w:rPr>
          <w:color w:val="auto"/>
        </w:rPr>
        <w:t>环境管理和监测是以防止工程建设对环境造成污染为主要目的。在工程项目的施工和营运过程中将对周围环境产生一定的污染影响，将通过采用环境污染控制措施减轻污染影响，环境管理和监控计划的实行将监督和评价工程项目实施过程中的污染控制水平，随时对污染控制措施的实施提出要求，确保环境保护目标的实现。</w:t>
      </w:r>
    </w:p>
    <w:p>
      <w:pPr>
        <w:pStyle w:val="6"/>
        <w:rPr>
          <w:color w:val="auto"/>
        </w:rPr>
      </w:pPr>
      <w:bookmarkStart w:id="207" w:name="_Toc32447"/>
      <w:bookmarkStart w:id="208" w:name="_Toc8048"/>
      <w:bookmarkStart w:id="209" w:name="_Toc17790"/>
      <w:r>
        <w:rPr>
          <w:rFonts w:hint="eastAsia"/>
          <w:color w:val="auto"/>
        </w:rPr>
        <w:t>8</w:t>
      </w:r>
      <w:r>
        <w:rPr>
          <w:color w:val="auto"/>
        </w:rPr>
        <w:t>.1环境管理</w:t>
      </w:r>
      <w:bookmarkEnd w:id="207"/>
      <w:bookmarkEnd w:id="208"/>
      <w:bookmarkEnd w:id="209"/>
    </w:p>
    <w:p>
      <w:pPr>
        <w:ind w:firstLine="480"/>
        <w:rPr>
          <w:color w:val="auto"/>
        </w:rPr>
      </w:pPr>
      <w:r>
        <w:rPr>
          <w:color w:val="auto"/>
        </w:rPr>
        <w:t>建设单位应按岳阳市生态环境局和岳阳市生态环境局汨罗分局的要求加强企业环境管理，建立健全环保监督、管理制度和管理机构。</w:t>
      </w:r>
    </w:p>
    <w:p>
      <w:pPr>
        <w:ind w:firstLine="480"/>
        <w:rPr>
          <w:color w:val="auto"/>
        </w:rPr>
      </w:pPr>
      <w:r>
        <w:rPr>
          <w:color w:val="auto"/>
        </w:rPr>
        <w:t>1、要求环境管理机构精干高效。设立专门的环境管理机构，由专人负责环保管理，其职责是贯彻执行环保方针、政策，确定管理机构和人员的职责制定、实施环保工作计划、规划、审查，提出项目运营期环境保护管理和监测范围，指导和组织环境监测，负责事故的调查、分析和处理。</w:t>
      </w:r>
    </w:p>
    <w:p>
      <w:pPr>
        <w:ind w:firstLine="480"/>
        <w:rPr>
          <w:color w:val="auto"/>
        </w:rPr>
      </w:pPr>
      <w:r>
        <w:rPr>
          <w:color w:val="auto"/>
        </w:rPr>
        <w:t>2、建议该机构由总经理亲自负责，分管副经理和安全环保总监担任副职，成员由各生产车间负责人组成，设安全环保部，配备专职技术人员及环境监测人员，担任企业日常环境管理与监测的具体工作，确保各项环保措施、环保制度的贯彻落实。</w:t>
      </w:r>
    </w:p>
    <w:p>
      <w:pPr>
        <w:ind w:firstLine="480"/>
        <w:rPr>
          <w:color w:val="auto"/>
        </w:rPr>
      </w:pPr>
      <w:r>
        <w:rPr>
          <w:color w:val="auto"/>
        </w:rPr>
        <w:t>3、建立污染处理设施管理制度。项目运营过程中，必须确保污染治理设施长期、稳定、有效地运行，不得擅自拆除或者闲置污染防治设施，不得故意不正常使用污染治理设施。污染治理设施的管理必须与公司的生产经营活动一起纳入到公司日常管理工作的范畴，落实责任人、操作人员、维修人员、运行经费、设备的备品备件和其他原辅材料。同时要建立健全岗位责任制、制定正确的操作规程、建立管理台帐。</w:t>
      </w:r>
    </w:p>
    <w:p>
      <w:pPr>
        <w:ind w:firstLine="480"/>
        <w:rPr>
          <w:color w:val="auto"/>
        </w:rPr>
      </w:pPr>
      <w:r>
        <w:rPr>
          <w:color w:val="auto"/>
        </w:rPr>
        <w:t>4、排污定期报告制度。定期向</w:t>
      </w:r>
      <w:r>
        <w:rPr>
          <w:rFonts w:hint="eastAsia"/>
          <w:color w:val="auto"/>
        </w:rPr>
        <w:t>岳阳市生态环境局汨罗分局</w:t>
      </w:r>
      <w:r>
        <w:rPr>
          <w:color w:val="auto"/>
        </w:rPr>
        <w:t>报告污染治理设施运行情况、污染物排放情况以及污染事故、污染纠纷等情况。</w:t>
      </w:r>
    </w:p>
    <w:p>
      <w:pPr>
        <w:pStyle w:val="7"/>
        <w:rPr>
          <w:color w:val="auto"/>
        </w:rPr>
      </w:pPr>
      <w:r>
        <w:rPr>
          <w:rFonts w:hint="eastAsia"/>
          <w:color w:val="auto"/>
        </w:rPr>
        <w:t>8</w:t>
      </w:r>
      <w:r>
        <w:rPr>
          <w:color w:val="auto"/>
        </w:rPr>
        <w:t>.1.1公司环保机构的职能和职责</w:t>
      </w:r>
    </w:p>
    <w:p>
      <w:pPr>
        <w:ind w:firstLine="480"/>
        <w:rPr>
          <w:color w:val="auto"/>
        </w:rPr>
      </w:pPr>
      <w:r>
        <w:rPr>
          <w:color w:val="auto"/>
        </w:rPr>
        <w:t>1、贯彻国家环境保护法，检查督促公司执行国家环境保护的防治、政策、法律、法规；</w:t>
      </w:r>
    </w:p>
    <w:p>
      <w:pPr>
        <w:ind w:firstLine="480"/>
        <w:rPr>
          <w:color w:val="auto"/>
        </w:rPr>
      </w:pPr>
      <w:r>
        <w:rPr>
          <w:color w:val="auto"/>
        </w:rPr>
        <w:t>2、会同有关部门制定公司环境保护的目标以及“三废”治理长远规划和年度计划并检查执行情况；</w:t>
      </w:r>
    </w:p>
    <w:p>
      <w:pPr>
        <w:ind w:firstLine="480"/>
        <w:rPr>
          <w:color w:val="auto"/>
        </w:rPr>
      </w:pPr>
      <w:r>
        <w:rPr>
          <w:color w:val="auto"/>
        </w:rPr>
        <w:t>3、执行有关环境保护法规、技术标准和技术规范，开展环境监测及排污申报；</w:t>
      </w:r>
    </w:p>
    <w:p>
      <w:pPr>
        <w:ind w:firstLine="480"/>
        <w:rPr>
          <w:color w:val="auto"/>
        </w:rPr>
      </w:pPr>
      <w:r>
        <w:rPr>
          <w:color w:val="auto"/>
        </w:rPr>
        <w:t>4、加强对各车间监督工作的领导，及时掌握“三废”排放和环境污染情况，按照规定向上级环保部门报告检测结果，促进对超标排污的治理；</w:t>
      </w:r>
    </w:p>
    <w:p>
      <w:pPr>
        <w:ind w:firstLine="480"/>
        <w:rPr>
          <w:color w:val="auto"/>
        </w:rPr>
      </w:pPr>
      <w:r>
        <w:rPr>
          <w:color w:val="auto"/>
        </w:rPr>
        <w:t>5、开展环保科学知识的宣传普及工作，推广国内外保护环境的先进经验和技术，评选先进单位先进个人；</w:t>
      </w:r>
    </w:p>
    <w:p>
      <w:pPr>
        <w:ind w:firstLine="480"/>
        <w:rPr>
          <w:color w:val="auto"/>
        </w:rPr>
      </w:pPr>
      <w:r>
        <w:rPr>
          <w:color w:val="auto"/>
        </w:rPr>
        <w:t>6、负责组织对污染事故的调查，并提出处理意见，重大事故要及时上报，协助有关部门提出防止污染事故的措施。</w:t>
      </w:r>
    </w:p>
    <w:p>
      <w:pPr>
        <w:pStyle w:val="7"/>
        <w:rPr>
          <w:color w:val="auto"/>
        </w:rPr>
      </w:pPr>
      <w:r>
        <w:rPr>
          <w:rFonts w:hint="eastAsia"/>
          <w:color w:val="auto"/>
        </w:rPr>
        <w:t>8</w:t>
      </w:r>
      <w:r>
        <w:rPr>
          <w:color w:val="auto"/>
        </w:rPr>
        <w:t>.1.2企业的环境管理体制</w:t>
      </w:r>
    </w:p>
    <w:p>
      <w:pPr>
        <w:ind w:firstLine="480"/>
        <w:rPr>
          <w:color w:val="auto"/>
        </w:rPr>
      </w:pPr>
      <w:r>
        <w:rPr>
          <w:color w:val="auto"/>
        </w:rPr>
        <w:t>在环境管理制度方面，应借鉴其它公司的经验，建立《环境保护管理规定》、《环境污染防治设施管理规定》、《环保安全生产制度》等一系列管理和考核制度，并对废气检验报告单、环保设施逐日运行考核统计表、环保设施装置统计表、污染物排放申报表及各个车间排污统计表等资料整理归档，使厂内环保工作有章可循、有据可查，为各个车间环保工作开展提供了制度保证。建立并保持ISO14000环境管理体系，有效地控制污染，以减轻对区域的环境影响，为公司的可持续发展提供保证。</w:t>
      </w:r>
    </w:p>
    <w:p>
      <w:pPr>
        <w:pStyle w:val="7"/>
        <w:rPr>
          <w:color w:val="auto"/>
        </w:rPr>
      </w:pPr>
      <w:r>
        <w:rPr>
          <w:rFonts w:hint="eastAsia"/>
          <w:color w:val="auto"/>
        </w:rPr>
        <w:t>8</w:t>
      </w:r>
      <w:r>
        <w:rPr>
          <w:color w:val="auto"/>
        </w:rPr>
        <w:t>.1.3环境管理措施</w:t>
      </w:r>
    </w:p>
    <w:p>
      <w:pPr>
        <w:ind w:firstLine="480"/>
        <w:rPr>
          <w:color w:val="auto"/>
        </w:rPr>
      </w:pPr>
      <w:r>
        <w:rPr>
          <w:color w:val="auto"/>
        </w:rPr>
        <w:t>项目环境管理措施如下：</w:t>
      </w:r>
    </w:p>
    <w:p>
      <w:pPr>
        <w:ind w:firstLine="480"/>
        <w:rPr>
          <w:color w:val="auto"/>
        </w:rPr>
      </w:pPr>
      <w:r>
        <w:rPr>
          <w:color w:val="auto"/>
        </w:rPr>
        <w:t>1、严格执行各项生产及环境管理制度，保证环保设施的正常进行；</w:t>
      </w:r>
    </w:p>
    <w:p>
      <w:pPr>
        <w:ind w:firstLine="480"/>
        <w:rPr>
          <w:color w:val="auto"/>
        </w:rPr>
      </w:pPr>
      <w:r>
        <w:rPr>
          <w:color w:val="auto"/>
        </w:rPr>
        <w:t>2、设立环保设施档案，对环保设施定期进行检查、维护；</w:t>
      </w:r>
    </w:p>
    <w:p>
      <w:pPr>
        <w:ind w:firstLine="480"/>
        <w:rPr>
          <w:color w:val="auto"/>
        </w:rPr>
      </w:pPr>
      <w:r>
        <w:rPr>
          <w:color w:val="auto"/>
        </w:rPr>
        <w:t>3、按照监测计划定期组织公司的污染源监测和环境质量监测，对不达标的排放源立即寻找原因，及时处理；</w:t>
      </w:r>
    </w:p>
    <w:p>
      <w:pPr>
        <w:ind w:firstLine="480"/>
        <w:rPr>
          <w:color w:val="auto"/>
        </w:rPr>
      </w:pPr>
      <w:r>
        <w:rPr>
          <w:color w:val="auto"/>
        </w:rPr>
        <w:t>4、对各项环保设施的运行状况进行记录，针对出现的问题提出完善的意见；</w:t>
      </w:r>
    </w:p>
    <w:p>
      <w:pPr>
        <w:ind w:firstLine="480"/>
        <w:rPr>
          <w:color w:val="auto"/>
        </w:rPr>
      </w:pPr>
      <w:r>
        <w:rPr>
          <w:color w:val="auto"/>
        </w:rPr>
        <w:t>5、不断加强技术培训，组织技术交流，提高操作水平，保持操作队伍的稳定；</w:t>
      </w:r>
    </w:p>
    <w:p>
      <w:pPr>
        <w:ind w:firstLine="480"/>
        <w:rPr>
          <w:color w:val="auto"/>
        </w:rPr>
      </w:pPr>
      <w:r>
        <w:rPr>
          <w:color w:val="auto"/>
        </w:rPr>
        <w:t>6、重视群众监督作用，提高全员环境意识，鼓励职工及外部人员对公司运行状况提意见，并通过积极吸收宝贵意见，提高公司环境管理水平；</w:t>
      </w:r>
    </w:p>
    <w:p>
      <w:pPr>
        <w:ind w:firstLine="480"/>
        <w:rPr>
          <w:color w:val="auto"/>
        </w:rPr>
      </w:pPr>
      <w:r>
        <w:rPr>
          <w:color w:val="auto"/>
        </w:rPr>
        <w:t>7、实施定期检测、及时修复，防止或减少跑、冒、滴、漏现象，加强管理，控制开、停车调试，检修等非正常情况下的排放。</w:t>
      </w:r>
    </w:p>
    <w:p>
      <w:pPr>
        <w:pStyle w:val="7"/>
        <w:rPr>
          <w:color w:val="auto"/>
        </w:rPr>
      </w:pPr>
      <w:r>
        <w:rPr>
          <w:rFonts w:hint="eastAsia"/>
          <w:color w:val="auto"/>
        </w:rPr>
        <w:t>8</w:t>
      </w:r>
      <w:r>
        <w:rPr>
          <w:color w:val="auto"/>
        </w:rPr>
        <w:t>.1.4排污口规范化建设</w:t>
      </w:r>
    </w:p>
    <w:p>
      <w:pPr>
        <w:ind w:firstLine="480"/>
        <w:rPr>
          <w:color w:val="auto"/>
        </w:rPr>
      </w:pPr>
      <w:r>
        <w:rPr>
          <w:rFonts w:hint="eastAsia"/>
          <w:color w:val="auto"/>
        </w:rPr>
        <w:t>1、排污口规范化管理</w:t>
      </w:r>
    </w:p>
    <w:p>
      <w:pPr>
        <w:ind w:firstLine="480"/>
        <w:rPr>
          <w:color w:val="auto"/>
        </w:rPr>
      </w:pPr>
      <w:r>
        <w:rPr>
          <w:rFonts w:hint="eastAsia"/>
          <w:color w:val="auto"/>
        </w:rPr>
        <w:t>排污口是企业污染物进入环境、污染环境的通道，强化排污口的管理是实施污染物总量控制的基础工作，也是区域环境管理逐步实现污染物排放科学化、定量化的重要手段，具体管理原则如下：</w:t>
      </w:r>
    </w:p>
    <w:p>
      <w:pPr>
        <w:ind w:firstLine="480"/>
        <w:rPr>
          <w:color w:val="auto"/>
        </w:rPr>
      </w:pPr>
      <w:r>
        <w:rPr>
          <w:rFonts w:hint="eastAsia"/>
          <w:color w:val="auto"/>
        </w:rPr>
        <w:t>（1）列入总量控制的污染物排放口以及行业特征污染物排放口，应列为排污口管理的重点；</w:t>
      </w:r>
    </w:p>
    <w:p>
      <w:pPr>
        <w:ind w:firstLine="480"/>
        <w:rPr>
          <w:color w:val="auto"/>
        </w:rPr>
      </w:pPr>
      <w:r>
        <w:rPr>
          <w:rFonts w:hint="eastAsia"/>
          <w:color w:val="auto"/>
        </w:rPr>
        <w:t>（2）排污口应便于采样与计量监测，便于日常监督检查，应有观测、取样、维修通道，排气筒采样孔和采样平台的设置应符合《污染源监测技术规范》；</w:t>
      </w:r>
    </w:p>
    <w:p>
      <w:pPr>
        <w:ind w:firstLine="480"/>
        <w:rPr>
          <w:color w:val="auto"/>
        </w:rPr>
      </w:pPr>
      <w:r>
        <w:rPr>
          <w:rFonts w:hint="eastAsia"/>
          <w:color w:val="auto"/>
        </w:rPr>
        <w:t>（3）如实向环保管理部门申报排污口数量、位置及所排放的主要污染物种类、数量、浓度、排放去向等情况；</w:t>
      </w:r>
    </w:p>
    <w:p>
      <w:pPr>
        <w:ind w:firstLine="480"/>
        <w:rPr>
          <w:color w:val="auto"/>
        </w:rPr>
      </w:pPr>
      <w:r>
        <w:rPr>
          <w:rFonts w:hint="eastAsia"/>
          <w:color w:val="auto"/>
        </w:rPr>
        <w:t>（4）固体废物应分类设置专用堆放场地，并有防扬散、防水土流失措施。</w:t>
      </w:r>
    </w:p>
    <w:p>
      <w:pPr>
        <w:ind w:firstLine="480"/>
        <w:rPr>
          <w:color w:val="auto"/>
        </w:rPr>
      </w:pPr>
      <w:r>
        <w:rPr>
          <w:rFonts w:hint="eastAsia"/>
          <w:color w:val="auto"/>
        </w:rPr>
        <w:t>2、排污口标示管理</w:t>
      </w:r>
    </w:p>
    <w:p>
      <w:pPr>
        <w:ind w:firstLine="480"/>
        <w:rPr>
          <w:color w:val="auto"/>
        </w:rPr>
      </w:pPr>
      <w:r>
        <w:rPr>
          <w:rFonts w:hint="eastAsia"/>
          <w:color w:val="auto"/>
        </w:rPr>
        <w:t>根据国家《环境保护图形标志—排放口(源)》(GB15562.1—1995)的规定，本工程针对废气排放口及噪声排放源分别设置国家环保局统一制作的环境保护图形标志牌，并应注意以下几点：</w:t>
      </w:r>
    </w:p>
    <w:p>
      <w:pPr>
        <w:ind w:firstLine="480"/>
        <w:rPr>
          <w:color w:val="auto"/>
        </w:rPr>
      </w:pPr>
      <w:r>
        <w:rPr>
          <w:rFonts w:hint="eastAsia"/>
          <w:color w:val="auto"/>
        </w:rPr>
        <w:t>（1）污染物排放口的环保图形标志牌应设置在靠近采样点的醒目处，标志牌设置高度为其上边缘距离地面约2m；</w:t>
      </w:r>
    </w:p>
    <w:p>
      <w:pPr>
        <w:ind w:firstLine="480"/>
        <w:rPr>
          <w:color w:val="auto"/>
        </w:rPr>
      </w:pPr>
      <w:r>
        <w:rPr>
          <w:rFonts w:hint="eastAsia"/>
          <w:color w:val="auto"/>
        </w:rPr>
        <w:t>（2）污染物排放口和固体废物贮存处置场以设置方式标志牌为主，亦可根据情况设置立面或平面固定式标志牌；</w:t>
      </w:r>
    </w:p>
    <w:p>
      <w:pPr>
        <w:ind w:firstLine="480"/>
        <w:rPr>
          <w:rFonts w:hint="eastAsia"/>
          <w:color w:val="auto"/>
        </w:rPr>
      </w:pPr>
      <w:r>
        <w:rPr>
          <w:rFonts w:hint="eastAsia"/>
          <w:color w:val="auto"/>
        </w:rPr>
        <w:t>（3）废气排放口和固定废物堆场，应设置提示性环境保护图形标志牌。</w:t>
      </w:r>
    </w:p>
    <w:p>
      <w:pPr>
        <w:adjustRightInd w:val="0"/>
        <w:snapToGrid w:val="0"/>
        <w:spacing w:line="271" w:lineRule="auto"/>
        <w:ind w:firstLine="0" w:firstLineChars="0"/>
        <w:jc w:val="center"/>
        <w:rPr>
          <w:rFonts w:hint="default"/>
          <w:b/>
          <w:color w:val="auto"/>
          <w:sz w:val="21"/>
          <w:szCs w:val="24"/>
          <w:highlight w:val="yellow"/>
          <w:u w:val="none"/>
        </w:rPr>
      </w:pPr>
      <w:r>
        <w:rPr>
          <w:rFonts w:hint="default" w:ascii="宋体"/>
          <w:b/>
          <w:color w:val="auto"/>
          <w:sz w:val="21"/>
          <w:szCs w:val="24"/>
          <w:highlight w:val="yellow"/>
          <w:u w:val="none"/>
        </w:rPr>
        <w:t>表</w:t>
      </w:r>
      <w:r>
        <w:rPr>
          <w:rFonts w:hint="eastAsia" w:ascii="宋体"/>
          <w:b/>
          <w:color w:val="auto"/>
          <w:sz w:val="21"/>
          <w:szCs w:val="24"/>
          <w:highlight w:val="yellow"/>
          <w:u w:val="none"/>
          <w:lang w:val="en-US" w:eastAsia="zh-CN"/>
        </w:rPr>
        <w:t xml:space="preserve">4-16 </w:t>
      </w:r>
      <w:r>
        <w:rPr>
          <w:rFonts w:hint="default" w:ascii="宋体"/>
          <w:b/>
          <w:color w:val="auto"/>
          <w:sz w:val="21"/>
          <w:szCs w:val="24"/>
          <w:highlight w:val="yellow"/>
          <w:u w:val="none"/>
        </w:rPr>
        <w:t>环境保护图形符号一览表</w:t>
      </w:r>
    </w:p>
    <w:tbl>
      <w:tblPr>
        <w:tblStyle w:val="21"/>
        <w:tblW w:w="82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6"/>
        <w:gridCol w:w="2126"/>
        <w:gridCol w:w="2145"/>
        <w:gridCol w:w="1245"/>
        <w:gridCol w:w="21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7" w:hRule="atLeast"/>
          <w:jc w:val="center"/>
        </w:trPr>
        <w:tc>
          <w:tcPr>
            <w:tcW w:w="656" w:type="dxa"/>
            <w:tcBorders>
              <w:top w:val="single" w:color="auto" w:sz="12"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序号</w:t>
            </w:r>
          </w:p>
        </w:tc>
        <w:tc>
          <w:tcPr>
            <w:tcW w:w="2126" w:type="dxa"/>
            <w:tcBorders>
              <w:top w:val="single" w:color="auto" w:sz="12"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提示图形符号</w:t>
            </w:r>
          </w:p>
        </w:tc>
        <w:tc>
          <w:tcPr>
            <w:tcW w:w="2145" w:type="dxa"/>
            <w:tcBorders>
              <w:top w:val="single" w:color="auto" w:sz="12"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警告图形符号</w:t>
            </w:r>
          </w:p>
        </w:tc>
        <w:tc>
          <w:tcPr>
            <w:tcW w:w="1245" w:type="dxa"/>
            <w:tcBorders>
              <w:top w:val="single" w:color="auto" w:sz="12"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名称</w:t>
            </w:r>
          </w:p>
        </w:tc>
        <w:tc>
          <w:tcPr>
            <w:tcW w:w="2106" w:type="dxa"/>
            <w:tcBorders>
              <w:top w:val="single" w:color="auto" w:sz="12"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2"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t>1</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885190" cy="904240"/>
                  <wp:effectExtent l="0" t="0" r="10160" b="1016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9"/>
                          <a:stretch>
                            <a:fillRect/>
                          </a:stretch>
                        </pic:blipFill>
                        <pic:spPr>
                          <a:xfrm>
                            <a:off x="0" y="0"/>
                            <a:ext cx="885190" cy="90424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971550" cy="990600"/>
                  <wp:effectExtent l="0" t="0" r="0" b="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40"/>
                          <a:stretch>
                            <a:fillRect/>
                          </a:stretch>
                        </pic:blipFill>
                        <pic:spPr>
                          <a:xfrm>
                            <a:off x="0" y="0"/>
                            <a:ext cx="971550" cy="9906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废水排放口</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表示废水向水体排放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2"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t>2</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885190" cy="904240"/>
                  <wp:effectExtent l="0" t="0" r="10160" b="1016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1"/>
                          <a:stretch>
                            <a:fillRect/>
                          </a:stretch>
                        </pic:blipFill>
                        <pic:spPr>
                          <a:xfrm>
                            <a:off x="0" y="0"/>
                            <a:ext cx="885190" cy="90424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990600" cy="990600"/>
                  <wp:effectExtent l="0" t="0" r="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42"/>
                          <a:stretch>
                            <a:fillRect/>
                          </a:stretch>
                        </pic:blipFill>
                        <pic:spPr>
                          <a:xfrm>
                            <a:off x="0" y="0"/>
                            <a:ext cx="990600" cy="9906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废气排放口</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3"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t>3</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904240" cy="914400"/>
                  <wp:effectExtent l="0" t="0" r="10160" b="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43"/>
                          <a:stretch>
                            <a:fillRect/>
                          </a:stretch>
                        </pic:blipFill>
                        <pic:spPr>
                          <a:xfrm>
                            <a:off x="0" y="0"/>
                            <a:ext cx="904240" cy="914400"/>
                          </a:xfrm>
                          <a:prstGeom prst="rect">
                            <a:avLst/>
                          </a:prstGeom>
                          <a:noFill/>
                          <a:ln>
                            <a:noFill/>
                          </a:ln>
                        </pic:spPr>
                      </pic:pic>
                    </a:graphicData>
                  </a:graphic>
                </wp:inline>
              </w:drawing>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ascii="Times New Roman"/>
                <w:color w:val="auto"/>
                <w:sz w:val="21"/>
                <w:szCs w:val="24"/>
                <w:u w:val="none"/>
              </w:rPr>
              <w:drawing>
                <wp:inline distT="0" distB="0" distL="114300" distR="114300">
                  <wp:extent cx="1019175" cy="952500"/>
                  <wp:effectExtent l="0" t="0" r="9525"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44"/>
                          <a:stretch>
                            <a:fillRect/>
                          </a:stretch>
                        </pic:blipFill>
                        <pic:spPr>
                          <a:xfrm>
                            <a:off x="0" y="0"/>
                            <a:ext cx="1019175" cy="9525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一般固体废物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表示固体废物贮存、处置场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3"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eastAsia="宋体"/>
                <w:color w:val="auto"/>
                <w:sz w:val="21"/>
                <w:szCs w:val="24"/>
                <w:u w:val="none"/>
                <w:lang w:val="en-US" w:eastAsia="zh-CN"/>
              </w:rPr>
            </w:pPr>
            <w:r>
              <w:rPr>
                <w:rFonts w:hint="eastAsia" w:ascii="Times New Roman"/>
                <w:color w:val="auto"/>
                <w:sz w:val="21"/>
                <w:szCs w:val="24"/>
                <w:u w:val="none"/>
                <w:lang w:val="en-US" w:eastAsia="zh-CN"/>
              </w:rPr>
              <w:t>4</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eastAsia="宋体"/>
                <w:color w:val="auto"/>
                <w:sz w:val="21"/>
                <w:szCs w:val="24"/>
                <w:u w:val="none"/>
                <w:lang w:val="en-US" w:eastAsia="zh-CN"/>
              </w:rPr>
            </w:pPr>
            <w:r>
              <w:rPr>
                <w:rFonts w:hint="eastAsia" w:ascii="Times New Roman"/>
                <w:color w:val="auto"/>
                <w:sz w:val="21"/>
                <w:szCs w:val="24"/>
                <w:u w:val="none"/>
                <w:lang w:val="en-US" w:eastAsia="zh-CN"/>
              </w:rPr>
              <w:t>/</w:t>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u w:val="none"/>
              </w:rPr>
              <w:drawing>
                <wp:inline distT="0" distB="0" distL="114300" distR="114300">
                  <wp:extent cx="1151255" cy="927100"/>
                  <wp:effectExtent l="0" t="0" r="10795" b="635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45"/>
                          <a:stretch>
                            <a:fillRect/>
                          </a:stretch>
                        </pic:blipFill>
                        <pic:spPr>
                          <a:xfrm>
                            <a:off x="0" y="0"/>
                            <a:ext cx="1151255" cy="927100"/>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color w:val="auto"/>
                <w:sz w:val="21"/>
                <w:szCs w:val="24"/>
                <w:u w:val="none"/>
              </w:rPr>
            </w:pPr>
            <w:r>
              <w:rPr>
                <w:rFonts w:hint="default"/>
                <w:color w:val="auto"/>
                <w:sz w:val="21"/>
                <w:szCs w:val="24"/>
                <w:u w:val="none"/>
              </w:rPr>
              <w:t>危险废物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4"/>
                <w:u w:val="none"/>
              </w:rPr>
            </w:pPr>
            <w:r>
              <w:rPr>
                <w:rFonts w:hint="eastAsia" w:ascii="Times New Roman" w:hAnsi="Times New Roman" w:eastAsia="宋体" w:cs="Times New Roman"/>
                <w:color w:val="auto"/>
                <w:sz w:val="21"/>
                <w:szCs w:val="24"/>
                <w:u w:val="none"/>
                <w:lang w:val="en-US" w:eastAsia="zh-CN"/>
              </w:rPr>
              <w:t>危险废物贮存、处置场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979" w:hRule="atLeast"/>
          <w:jc w:val="center"/>
        </w:trPr>
        <w:tc>
          <w:tcPr>
            <w:tcW w:w="656" w:type="dxa"/>
            <w:tcBorders>
              <w:top w:val="single" w:color="auto" w:sz="6" w:space="0"/>
              <w:left w:val="single" w:color="auto" w:sz="12"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eastAsia="宋体"/>
                <w:color w:val="auto"/>
                <w:sz w:val="21"/>
                <w:szCs w:val="24"/>
                <w:u w:val="none"/>
                <w:lang w:val="en-US" w:eastAsia="zh-CN"/>
              </w:rPr>
            </w:pPr>
            <w:r>
              <w:rPr>
                <w:rFonts w:hint="eastAsia" w:ascii="Times New Roman"/>
                <w:color w:val="auto"/>
                <w:sz w:val="21"/>
                <w:szCs w:val="24"/>
                <w:u w:val="none"/>
                <w:lang w:val="en-US" w:eastAsia="zh-CN"/>
              </w:rPr>
              <w:t>5</w:t>
            </w:r>
          </w:p>
        </w:tc>
        <w:tc>
          <w:tcPr>
            <w:tcW w:w="2126"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eastAsia="宋体"/>
                <w:color w:val="auto"/>
                <w:sz w:val="21"/>
                <w:szCs w:val="24"/>
                <w:u w:val="none"/>
                <w:lang w:val="en-US" w:eastAsia="zh-CN"/>
              </w:rPr>
            </w:pPr>
            <w:r>
              <w:rPr>
                <w:rFonts w:hint="eastAsia" w:ascii="Times New Roman"/>
                <w:color w:val="auto"/>
                <w:sz w:val="21"/>
                <w:szCs w:val="24"/>
                <w:u w:val="none"/>
                <w:lang w:val="en-US" w:eastAsia="zh-CN"/>
              </w:rPr>
              <w:t>/</w:t>
            </w:r>
          </w:p>
        </w:tc>
        <w:tc>
          <w:tcPr>
            <w:tcW w:w="21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u w:val="none"/>
              </w:rPr>
            </w:pPr>
            <w:r>
              <w:rPr>
                <w:u w:val="none"/>
              </w:rPr>
              <w:drawing>
                <wp:inline distT="0" distB="0" distL="114300" distR="114300">
                  <wp:extent cx="1262380" cy="1238885"/>
                  <wp:effectExtent l="0" t="0" r="13970" b="18415"/>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46"/>
                          <a:stretch>
                            <a:fillRect/>
                          </a:stretch>
                        </pic:blipFill>
                        <pic:spPr>
                          <a:xfrm>
                            <a:off x="0" y="0"/>
                            <a:ext cx="1262380" cy="1238885"/>
                          </a:xfrm>
                          <a:prstGeom prst="rect">
                            <a:avLst/>
                          </a:prstGeom>
                          <a:noFill/>
                          <a:ln>
                            <a:noFill/>
                          </a:ln>
                        </pic:spPr>
                      </pic:pic>
                    </a:graphicData>
                  </a:graphic>
                </wp:inline>
              </w:drawing>
            </w:r>
          </w:p>
        </w:tc>
        <w:tc>
          <w:tcPr>
            <w:tcW w:w="1245" w:type="dxa"/>
            <w:tcBorders>
              <w:top w:val="single" w:color="auto" w:sz="6" w:space="0"/>
              <w:left w:val="single" w:color="auto" w:sz="6" w:space="0"/>
              <w:bottom w:val="single" w:color="auto" w:sz="6" w:space="0"/>
              <w:right w:val="single" w:color="auto" w:sz="6"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color w:val="auto"/>
                <w:sz w:val="21"/>
                <w:szCs w:val="24"/>
                <w:u w:val="none"/>
              </w:rPr>
            </w:pPr>
            <w:r>
              <w:rPr>
                <w:rFonts w:hint="default"/>
                <w:color w:val="auto"/>
                <w:sz w:val="21"/>
                <w:szCs w:val="24"/>
                <w:u w:val="none"/>
              </w:rPr>
              <w:t>危险废物</w:t>
            </w:r>
          </w:p>
        </w:tc>
        <w:tc>
          <w:tcPr>
            <w:tcW w:w="2106" w:type="dxa"/>
            <w:tcBorders>
              <w:top w:val="single" w:color="auto" w:sz="6" w:space="0"/>
              <w:left w:val="single" w:color="auto" w:sz="6" w:space="0"/>
              <w:bottom w:val="single" w:color="auto" w:sz="6" w:space="0"/>
              <w:right w:val="single" w:color="auto" w:sz="12" w:space="0"/>
              <w:tl2br w:val="nil"/>
              <w:tr2bl w:val="nil"/>
            </w:tcBorders>
            <w:noWrap w:val="0"/>
            <w:vAlign w:val="center"/>
          </w:tcPr>
          <w:p>
            <w:pPr>
              <w:pStyle w:val="4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4"/>
                <w:u w:val="none"/>
              </w:rPr>
            </w:pPr>
            <w:r>
              <w:rPr>
                <w:rFonts w:hint="eastAsia" w:ascii="Times New Roman" w:hAnsi="Times New Roman" w:eastAsia="宋体" w:cs="Times New Roman"/>
                <w:color w:val="auto"/>
                <w:sz w:val="21"/>
                <w:szCs w:val="24"/>
                <w:u w:val="none"/>
                <w:lang w:val="en-US" w:eastAsia="zh-CN"/>
              </w:rPr>
              <w:t>黏贴或系挂于危险废物储存容器或包装物上</w:t>
            </w:r>
          </w:p>
        </w:tc>
      </w:tr>
    </w:tbl>
    <w:p>
      <w:pPr>
        <w:ind w:firstLine="480"/>
        <w:rPr>
          <w:color w:val="auto"/>
        </w:rPr>
      </w:pPr>
      <w:r>
        <w:rPr>
          <w:rFonts w:hint="eastAsia"/>
          <w:color w:val="auto"/>
        </w:rPr>
        <w:t>3、排污口建档管理</w:t>
      </w:r>
    </w:p>
    <w:p>
      <w:pPr>
        <w:ind w:firstLine="480"/>
        <w:rPr>
          <w:color w:val="auto"/>
        </w:rPr>
      </w:pPr>
      <w:r>
        <w:rPr>
          <w:rFonts w:hint="eastAsia"/>
          <w:color w:val="auto"/>
        </w:rPr>
        <w:t>（1）本项目应使用国家环保局统一印制的《中华人民共和国规范化排污口标志登记证》，并按要求填写有关内容；</w:t>
      </w:r>
    </w:p>
    <w:p>
      <w:pPr>
        <w:ind w:firstLine="480"/>
        <w:rPr>
          <w:color w:val="auto"/>
        </w:rPr>
      </w:pPr>
      <w:r>
        <w:rPr>
          <w:rFonts w:hint="eastAsia"/>
          <w:color w:val="auto"/>
        </w:rPr>
        <w:t>（2）根据排污口管理内容要求，项目建成投产后，应将主要污染物种类、数量、浓度、排放去向、立标情况及设施运行情况记录于档案。</w:t>
      </w:r>
    </w:p>
    <w:p>
      <w:pPr>
        <w:pStyle w:val="6"/>
        <w:rPr>
          <w:color w:val="auto"/>
        </w:rPr>
      </w:pPr>
      <w:bookmarkStart w:id="210" w:name="_Toc25619"/>
      <w:bookmarkStart w:id="211" w:name="_Toc5470"/>
      <w:bookmarkStart w:id="212" w:name="_Toc8430"/>
      <w:r>
        <w:rPr>
          <w:rFonts w:hint="eastAsia"/>
          <w:color w:val="auto"/>
        </w:rPr>
        <w:t>8</w:t>
      </w:r>
      <w:r>
        <w:rPr>
          <w:color w:val="auto"/>
        </w:rPr>
        <w:t>.2环境监测</w:t>
      </w:r>
      <w:r>
        <w:rPr>
          <w:rFonts w:hint="eastAsia"/>
          <w:color w:val="auto"/>
        </w:rPr>
        <w:t>计划</w:t>
      </w:r>
      <w:bookmarkEnd w:id="210"/>
      <w:bookmarkEnd w:id="211"/>
      <w:bookmarkEnd w:id="212"/>
    </w:p>
    <w:p>
      <w:pPr>
        <w:ind w:firstLine="480"/>
        <w:rPr>
          <w:color w:val="auto"/>
        </w:rPr>
      </w:pPr>
      <w:r>
        <w:rPr>
          <w:color w:val="auto"/>
        </w:rPr>
        <w:t>污染源监测的主要项目包括废气污染源和噪声污染源，监测计划见下表。</w:t>
      </w:r>
    </w:p>
    <w:p>
      <w:pPr>
        <w:pStyle w:val="31"/>
        <w:rPr>
          <w:color w:val="auto"/>
        </w:rPr>
      </w:pPr>
      <w:r>
        <w:rPr>
          <w:color w:val="auto"/>
        </w:rPr>
        <w:t>表</w:t>
      </w:r>
      <w:r>
        <w:rPr>
          <w:rFonts w:hint="eastAsia"/>
          <w:color w:val="auto"/>
        </w:rPr>
        <w:t>8</w:t>
      </w:r>
      <w:r>
        <w:rPr>
          <w:color w:val="auto"/>
        </w:rPr>
        <w:t>.2-1   污染源监测计划表</w:t>
      </w:r>
    </w:p>
    <w:tbl>
      <w:tblPr>
        <w:tblStyle w:val="21"/>
        <w:tblW w:w="90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4"/>
        <w:gridCol w:w="840"/>
        <w:gridCol w:w="1016"/>
        <w:gridCol w:w="2010"/>
        <w:gridCol w:w="1260"/>
        <w:gridCol w:w="30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Align w:val="center"/>
          </w:tcPr>
          <w:p>
            <w:pPr>
              <w:pStyle w:val="30"/>
              <w:rPr>
                <w:b/>
                <w:bCs/>
                <w:color w:val="auto"/>
              </w:rPr>
            </w:pPr>
            <w:r>
              <w:rPr>
                <w:rFonts w:hint="eastAsia"/>
                <w:b/>
                <w:bCs/>
                <w:color w:val="auto"/>
              </w:rPr>
              <w:t>类别</w:t>
            </w:r>
          </w:p>
        </w:tc>
        <w:tc>
          <w:tcPr>
            <w:tcW w:w="1856" w:type="dxa"/>
            <w:gridSpan w:val="2"/>
            <w:vAlign w:val="center"/>
          </w:tcPr>
          <w:p>
            <w:pPr>
              <w:pStyle w:val="30"/>
              <w:rPr>
                <w:b/>
                <w:bCs/>
                <w:color w:val="auto"/>
              </w:rPr>
            </w:pPr>
            <w:r>
              <w:rPr>
                <w:rFonts w:hint="eastAsia"/>
                <w:b/>
                <w:bCs/>
                <w:color w:val="auto"/>
              </w:rPr>
              <w:t>监测点位</w:t>
            </w:r>
          </w:p>
        </w:tc>
        <w:tc>
          <w:tcPr>
            <w:tcW w:w="2010" w:type="dxa"/>
            <w:vAlign w:val="center"/>
          </w:tcPr>
          <w:p>
            <w:pPr>
              <w:pStyle w:val="30"/>
              <w:rPr>
                <w:b/>
                <w:bCs/>
                <w:color w:val="auto"/>
              </w:rPr>
            </w:pPr>
            <w:r>
              <w:rPr>
                <w:rFonts w:hint="eastAsia"/>
                <w:b/>
                <w:bCs/>
                <w:color w:val="auto"/>
              </w:rPr>
              <w:t>监测因子</w:t>
            </w:r>
          </w:p>
        </w:tc>
        <w:tc>
          <w:tcPr>
            <w:tcW w:w="1260" w:type="dxa"/>
            <w:vAlign w:val="center"/>
          </w:tcPr>
          <w:p>
            <w:pPr>
              <w:pStyle w:val="30"/>
              <w:rPr>
                <w:b/>
                <w:bCs/>
                <w:color w:val="auto"/>
              </w:rPr>
            </w:pPr>
            <w:r>
              <w:rPr>
                <w:rFonts w:hint="eastAsia"/>
                <w:b/>
                <w:bCs/>
                <w:color w:val="auto"/>
              </w:rPr>
              <w:t>监测频次</w:t>
            </w:r>
          </w:p>
        </w:tc>
        <w:tc>
          <w:tcPr>
            <w:tcW w:w="3004" w:type="dxa"/>
            <w:vAlign w:val="center"/>
          </w:tcPr>
          <w:p>
            <w:pPr>
              <w:pStyle w:val="30"/>
              <w:rPr>
                <w:b/>
                <w:bCs/>
                <w:color w:val="auto"/>
              </w:rPr>
            </w:pPr>
            <w:r>
              <w:rPr>
                <w:rFonts w:hint="eastAsia"/>
                <w:b/>
                <w:bCs/>
                <w:color w:val="auto"/>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Merge w:val="restart"/>
            <w:vAlign w:val="center"/>
          </w:tcPr>
          <w:p>
            <w:pPr>
              <w:pStyle w:val="30"/>
              <w:rPr>
                <w:color w:val="auto"/>
              </w:rPr>
            </w:pPr>
            <w:r>
              <w:rPr>
                <w:rFonts w:hint="eastAsia"/>
                <w:color w:val="auto"/>
              </w:rPr>
              <w:t>废气</w:t>
            </w:r>
          </w:p>
        </w:tc>
        <w:tc>
          <w:tcPr>
            <w:tcW w:w="840" w:type="dxa"/>
            <w:vMerge w:val="restart"/>
            <w:vAlign w:val="center"/>
          </w:tcPr>
          <w:p>
            <w:pPr>
              <w:pStyle w:val="30"/>
              <w:rPr>
                <w:color w:val="auto"/>
              </w:rPr>
            </w:pPr>
            <w:r>
              <w:rPr>
                <w:rFonts w:hint="eastAsia"/>
                <w:color w:val="auto"/>
              </w:rPr>
              <w:t>有组织</w:t>
            </w:r>
          </w:p>
        </w:tc>
        <w:tc>
          <w:tcPr>
            <w:tcW w:w="1016" w:type="dxa"/>
            <w:vAlign w:val="center"/>
          </w:tcPr>
          <w:p>
            <w:pPr>
              <w:pStyle w:val="30"/>
              <w:rPr>
                <w:color w:val="auto"/>
              </w:rPr>
            </w:pPr>
            <w:r>
              <w:rPr>
                <w:rFonts w:hint="eastAsia"/>
                <w:color w:val="auto"/>
              </w:rPr>
              <w:t>DA001排气筒</w:t>
            </w:r>
          </w:p>
        </w:tc>
        <w:tc>
          <w:tcPr>
            <w:tcW w:w="2010" w:type="dxa"/>
            <w:vAlign w:val="center"/>
          </w:tcPr>
          <w:p>
            <w:pPr>
              <w:pStyle w:val="30"/>
              <w:rPr>
                <w:color w:val="auto"/>
              </w:rPr>
            </w:pPr>
            <w:r>
              <w:rPr>
                <w:rFonts w:hint="eastAsia"/>
                <w:color w:val="auto"/>
              </w:rPr>
              <w:t>非甲烷总烃</w:t>
            </w:r>
          </w:p>
        </w:tc>
        <w:tc>
          <w:tcPr>
            <w:tcW w:w="1260" w:type="dxa"/>
            <w:vAlign w:val="center"/>
          </w:tcPr>
          <w:p>
            <w:pPr>
              <w:pStyle w:val="30"/>
              <w:rPr>
                <w:color w:val="auto"/>
              </w:rPr>
            </w:pPr>
            <w:r>
              <w:rPr>
                <w:rFonts w:hint="eastAsia"/>
                <w:color w:val="auto"/>
              </w:rPr>
              <w:t>一次/</w:t>
            </w:r>
            <w:r>
              <w:rPr>
                <w:rFonts w:hint="eastAsia"/>
                <w:color w:val="auto"/>
                <w:lang w:val="en-US" w:eastAsia="zh-CN"/>
              </w:rPr>
              <w:t>半</w:t>
            </w:r>
            <w:r>
              <w:rPr>
                <w:rFonts w:hint="eastAsia"/>
                <w:color w:val="auto"/>
              </w:rPr>
              <w:t>年</w:t>
            </w:r>
          </w:p>
        </w:tc>
        <w:tc>
          <w:tcPr>
            <w:tcW w:w="3004" w:type="dxa"/>
            <w:vAlign w:val="center"/>
          </w:tcPr>
          <w:p>
            <w:pPr>
              <w:pStyle w:val="30"/>
              <w:rPr>
                <w:color w:val="auto"/>
              </w:rPr>
            </w:pPr>
            <w:r>
              <w:rPr>
                <w:color w:val="auto"/>
              </w:rPr>
              <w:t>《合成树脂工业污染物排放标准》（GB31572-2015）表4中的排放限值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Merge w:val="continue"/>
            <w:vAlign w:val="center"/>
          </w:tcPr>
          <w:p>
            <w:pPr>
              <w:pStyle w:val="30"/>
              <w:rPr>
                <w:rFonts w:hint="eastAsia"/>
                <w:color w:val="auto"/>
              </w:rPr>
            </w:pPr>
          </w:p>
        </w:tc>
        <w:tc>
          <w:tcPr>
            <w:tcW w:w="840" w:type="dxa"/>
            <w:vMerge w:val="continue"/>
            <w:vAlign w:val="center"/>
          </w:tcPr>
          <w:p>
            <w:pPr>
              <w:pStyle w:val="30"/>
              <w:rPr>
                <w:rFonts w:hint="eastAsia"/>
                <w:color w:val="auto"/>
              </w:rPr>
            </w:pPr>
          </w:p>
        </w:tc>
        <w:tc>
          <w:tcPr>
            <w:tcW w:w="1016" w:type="dxa"/>
            <w:vAlign w:val="center"/>
          </w:tcPr>
          <w:p>
            <w:pPr>
              <w:pStyle w:val="30"/>
              <w:rPr>
                <w:rFonts w:hint="eastAsia"/>
                <w:color w:val="auto"/>
              </w:rPr>
            </w:pPr>
            <w:r>
              <w:rPr>
                <w:rFonts w:hint="eastAsia"/>
                <w:color w:val="auto"/>
                <w:lang w:eastAsia="zh-CN"/>
              </w:rPr>
              <w:t>DA002</w:t>
            </w:r>
            <w:r>
              <w:rPr>
                <w:rFonts w:hint="eastAsia"/>
                <w:color w:val="auto"/>
              </w:rPr>
              <w:t>排气筒</w:t>
            </w:r>
          </w:p>
        </w:tc>
        <w:tc>
          <w:tcPr>
            <w:tcW w:w="2010" w:type="dxa"/>
            <w:vAlign w:val="center"/>
          </w:tcPr>
          <w:p>
            <w:pPr>
              <w:pStyle w:val="30"/>
              <w:rPr>
                <w:rFonts w:hint="default" w:eastAsia="宋体"/>
                <w:color w:val="auto"/>
                <w:lang w:val="en-US" w:eastAsia="zh-CN"/>
              </w:rPr>
            </w:pPr>
            <w:r>
              <w:rPr>
                <w:rFonts w:hint="eastAsia"/>
                <w:color w:val="auto"/>
                <w:lang w:val="en-US" w:eastAsia="zh-CN"/>
              </w:rPr>
              <w:t>颗粒物</w:t>
            </w:r>
          </w:p>
        </w:tc>
        <w:tc>
          <w:tcPr>
            <w:tcW w:w="1260" w:type="dxa"/>
            <w:vAlign w:val="center"/>
          </w:tcPr>
          <w:p>
            <w:pPr>
              <w:pStyle w:val="30"/>
              <w:rPr>
                <w:rFonts w:hint="eastAsia"/>
                <w:color w:val="auto"/>
              </w:rPr>
            </w:pPr>
            <w:r>
              <w:rPr>
                <w:rFonts w:hint="eastAsia"/>
                <w:color w:val="auto"/>
              </w:rPr>
              <w:t>一次/</w:t>
            </w:r>
            <w:r>
              <w:rPr>
                <w:rFonts w:hint="eastAsia"/>
                <w:color w:val="auto"/>
                <w:lang w:val="en-US" w:eastAsia="zh-CN"/>
              </w:rPr>
              <w:t>半</w:t>
            </w:r>
            <w:r>
              <w:rPr>
                <w:rFonts w:hint="eastAsia"/>
                <w:color w:val="auto"/>
              </w:rPr>
              <w:t>年</w:t>
            </w:r>
          </w:p>
        </w:tc>
        <w:tc>
          <w:tcPr>
            <w:tcW w:w="3004" w:type="dxa"/>
            <w:vAlign w:val="center"/>
          </w:tcPr>
          <w:p>
            <w:pPr>
              <w:pStyle w:val="30"/>
              <w:rPr>
                <w:color w:val="auto"/>
              </w:rPr>
            </w:pPr>
            <w:r>
              <w:rPr>
                <w:color w:val="auto"/>
              </w:rPr>
              <w:t>《合成树脂工业污染物排放标准》（GB31572-2015）表4中的排放限值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Merge w:val="continue"/>
            <w:vAlign w:val="center"/>
          </w:tcPr>
          <w:p>
            <w:pPr>
              <w:pStyle w:val="30"/>
              <w:rPr>
                <w:color w:val="auto"/>
              </w:rPr>
            </w:pPr>
          </w:p>
        </w:tc>
        <w:tc>
          <w:tcPr>
            <w:tcW w:w="840" w:type="dxa"/>
            <w:vMerge w:val="restart"/>
            <w:vAlign w:val="center"/>
          </w:tcPr>
          <w:p>
            <w:pPr>
              <w:pStyle w:val="30"/>
              <w:rPr>
                <w:color w:val="auto"/>
              </w:rPr>
            </w:pPr>
            <w:r>
              <w:rPr>
                <w:rFonts w:hint="eastAsia"/>
                <w:color w:val="auto"/>
              </w:rPr>
              <w:t>无组织</w:t>
            </w:r>
          </w:p>
        </w:tc>
        <w:tc>
          <w:tcPr>
            <w:tcW w:w="1016" w:type="dxa"/>
            <w:vMerge w:val="restart"/>
            <w:vAlign w:val="center"/>
          </w:tcPr>
          <w:p>
            <w:pPr>
              <w:pStyle w:val="30"/>
              <w:rPr>
                <w:color w:val="auto"/>
              </w:rPr>
            </w:pPr>
            <w:r>
              <w:rPr>
                <w:rFonts w:hint="eastAsia"/>
                <w:color w:val="auto"/>
              </w:rPr>
              <w:t>厂界上风向、下风向</w:t>
            </w:r>
          </w:p>
        </w:tc>
        <w:tc>
          <w:tcPr>
            <w:tcW w:w="2010" w:type="dxa"/>
            <w:vAlign w:val="center"/>
          </w:tcPr>
          <w:p>
            <w:pPr>
              <w:pStyle w:val="30"/>
              <w:rPr>
                <w:color w:val="auto"/>
              </w:rPr>
            </w:pPr>
            <w:r>
              <w:rPr>
                <w:rFonts w:hint="eastAsia"/>
                <w:color w:val="auto"/>
              </w:rPr>
              <w:t>颗粒物、非甲烷总烃</w:t>
            </w:r>
          </w:p>
        </w:tc>
        <w:tc>
          <w:tcPr>
            <w:tcW w:w="1260" w:type="dxa"/>
            <w:vAlign w:val="center"/>
          </w:tcPr>
          <w:p>
            <w:pPr>
              <w:pStyle w:val="30"/>
              <w:rPr>
                <w:color w:val="auto"/>
              </w:rPr>
            </w:pPr>
            <w:r>
              <w:rPr>
                <w:rFonts w:hint="eastAsia"/>
                <w:color w:val="auto"/>
              </w:rPr>
              <w:t>一次/</w:t>
            </w:r>
            <w:r>
              <w:rPr>
                <w:rFonts w:hint="eastAsia"/>
                <w:color w:val="auto"/>
                <w:lang w:val="en-US" w:eastAsia="zh-CN"/>
              </w:rPr>
              <w:t>半</w:t>
            </w:r>
            <w:r>
              <w:rPr>
                <w:rFonts w:hint="eastAsia"/>
                <w:color w:val="auto"/>
              </w:rPr>
              <w:t>年</w:t>
            </w:r>
          </w:p>
        </w:tc>
        <w:tc>
          <w:tcPr>
            <w:tcW w:w="3004" w:type="dxa"/>
            <w:vAlign w:val="center"/>
          </w:tcPr>
          <w:p>
            <w:pPr>
              <w:pStyle w:val="30"/>
              <w:rPr>
                <w:color w:val="auto"/>
              </w:rPr>
            </w:pPr>
            <w:r>
              <w:rPr>
                <w:rFonts w:hint="eastAsia"/>
                <w:color w:val="auto"/>
              </w:rPr>
              <w:t>《合成树脂工业污染物排放标准》（GB31572-2015）表9排放限值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Merge w:val="continue"/>
            <w:vAlign w:val="center"/>
          </w:tcPr>
          <w:p>
            <w:pPr>
              <w:pStyle w:val="30"/>
              <w:rPr>
                <w:color w:val="auto"/>
              </w:rPr>
            </w:pPr>
          </w:p>
        </w:tc>
        <w:tc>
          <w:tcPr>
            <w:tcW w:w="840" w:type="dxa"/>
            <w:vMerge w:val="continue"/>
            <w:vAlign w:val="center"/>
          </w:tcPr>
          <w:p>
            <w:pPr>
              <w:pStyle w:val="30"/>
              <w:rPr>
                <w:color w:val="auto"/>
              </w:rPr>
            </w:pPr>
          </w:p>
        </w:tc>
        <w:tc>
          <w:tcPr>
            <w:tcW w:w="1016" w:type="dxa"/>
            <w:vMerge w:val="continue"/>
            <w:vAlign w:val="center"/>
          </w:tcPr>
          <w:p>
            <w:pPr>
              <w:pStyle w:val="30"/>
              <w:rPr>
                <w:color w:val="auto"/>
              </w:rPr>
            </w:pPr>
          </w:p>
        </w:tc>
        <w:tc>
          <w:tcPr>
            <w:tcW w:w="2010" w:type="dxa"/>
            <w:vAlign w:val="center"/>
          </w:tcPr>
          <w:p>
            <w:pPr>
              <w:pStyle w:val="30"/>
              <w:rPr>
                <w:color w:val="auto"/>
              </w:rPr>
            </w:pPr>
            <w:r>
              <w:rPr>
                <w:rFonts w:hint="eastAsia"/>
                <w:color w:val="auto"/>
              </w:rPr>
              <w:t>臭气浓度</w:t>
            </w:r>
          </w:p>
        </w:tc>
        <w:tc>
          <w:tcPr>
            <w:tcW w:w="1260" w:type="dxa"/>
            <w:vAlign w:val="center"/>
          </w:tcPr>
          <w:p>
            <w:pPr>
              <w:pStyle w:val="30"/>
              <w:rPr>
                <w:color w:val="auto"/>
              </w:rPr>
            </w:pPr>
            <w:r>
              <w:rPr>
                <w:rFonts w:hint="eastAsia"/>
                <w:color w:val="auto"/>
              </w:rPr>
              <w:t>一次/</w:t>
            </w:r>
            <w:r>
              <w:rPr>
                <w:rFonts w:hint="eastAsia"/>
                <w:color w:val="auto"/>
                <w:lang w:val="en-US" w:eastAsia="zh-CN"/>
              </w:rPr>
              <w:t>半</w:t>
            </w:r>
            <w:r>
              <w:rPr>
                <w:rFonts w:hint="eastAsia"/>
                <w:color w:val="auto"/>
              </w:rPr>
              <w:t>年</w:t>
            </w:r>
          </w:p>
        </w:tc>
        <w:tc>
          <w:tcPr>
            <w:tcW w:w="3004" w:type="dxa"/>
            <w:vAlign w:val="center"/>
          </w:tcPr>
          <w:p>
            <w:pPr>
              <w:pStyle w:val="30"/>
              <w:rPr>
                <w:color w:val="auto"/>
              </w:rPr>
            </w:pPr>
            <w:r>
              <w:rPr>
                <w:rFonts w:hint="eastAsia"/>
                <w:color w:val="auto"/>
              </w:rPr>
              <w:t>《恶臭污染物排放标准》（GB14554-93）表1排放限值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Merge w:val="continue"/>
            <w:vAlign w:val="center"/>
          </w:tcPr>
          <w:p>
            <w:pPr>
              <w:pStyle w:val="30"/>
              <w:rPr>
                <w:color w:val="auto"/>
              </w:rPr>
            </w:pPr>
          </w:p>
        </w:tc>
        <w:tc>
          <w:tcPr>
            <w:tcW w:w="840" w:type="dxa"/>
            <w:vMerge w:val="continue"/>
            <w:vAlign w:val="center"/>
          </w:tcPr>
          <w:p>
            <w:pPr>
              <w:pStyle w:val="30"/>
              <w:rPr>
                <w:color w:val="auto"/>
              </w:rPr>
            </w:pPr>
          </w:p>
        </w:tc>
        <w:tc>
          <w:tcPr>
            <w:tcW w:w="1016" w:type="dxa"/>
            <w:vAlign w:val="center"/>
          </w:tcPr>
          <w:p>
            <w:pPr>
              <w:pStyle w:val="30"/>
              <w:rPr>
                <w:color w:val="auto"/>
              </w:rPr>
            </w:pPr>
            <w:r>
              <w:rPr>
                <w:rFonts w:hint="eastAsia"/>
                <w:color w:val="auto"/>
              </w:rPr>
              <w:t>厂房外</w:t>
            </w:r>
          </w:p>
        </w:tc>
        <w:tc>
          <w:tcPr>
            <w:tcW w:w="2010" w:type="dxa"/>
            <w:vAlign w:val="center"/>
          </w:tcPr>
          <w:p>
            <w:pPr>
              <w:pStyle w:val="30"/>
              <w:rPr>
                <w:color w:val="auto"/>
              </w:rPr>
            </w:pPr>
            <w:r>
              <w:rPr>
                <w:rFonts w:hint="eastAsia"/>
                <w:color w:val="auto"/>
              </w:rPr>
              <w:t>非甲烷总烃</w:t>
            </w:r>
          </w:p>
        </w:tc>
        <w:tc>
          <w:tcPr>
            <w:tcW w:w="1260" w:type="dxa"/>
            <w:vAlign w:val="center"/>
          </w:tcPr>
          <w:p>
            <w:pPr>
              <w:pStyle w:val="30"/>
              <w:rPr>
                <w:color w:val="auto"/>
              </w:rPr>
            </w:pPr>
            <w:r>
              <w:rPr>
                <w:rFonts w:hint="eastAsia"/>
                <w:color w:val="auto"/>
              </w:rPr>
              <w:t>一次/</w:t>
            </w:r>
            <w:r>
              <w:rPr>
                <w:rFonts w:hint="eastAsia"/>
                <w:color w:val="auto"/>
                <w:lang w:val="en-US" w:eastAsia="zh-CN"/>
              </w:rPr>
              <w:t>半</w:t>
            </w:r>
            <w:r>
              <w:rPr>
                <w:rFonts w:hint="eastAsia"/>
                <w:color w:val="auto"/>
              </w:rPr>
              <w:t>年</w:t>
            </w:r>
          </w:p>
        </w:tc>
        <w:tc>
          <w:tcPr>
            <w:tcW w:w="3004" w:type="dxa"/>
            <w:vAlign w:val="center"/>
          </w:tcPr>
          <w:p>
            <w:pPr>
              <w:pStyle w:val="30"/>
              <w:rPr>
                <w:color w:val="auto"/>
              </w:rPr>
            </w:pPr>
            <w:r>
              <w:rPr>
                <w:rFonts w:hint="eastAsia"/>
                <w:color w:val="auto"/>
              </w:rPr>
              <w:t>《挥发性有机物无组织排放控制标准》（GB37822-2019）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874" w:type="dxa"/>
            <w:vAlign w:val="center"/>
          </w:tcPr>
          <w:p>
            <w:pPr>
              <w:pStyle w:val="30"/>
              <w:rPr>
                <w:color w:val="auto"/>
              </w:rPr>
            </w:pPr>
            <w:r>
              <w:rPr>
                <w:rFonts w:hint="eastAsia"/>
                <w:color w:val="auto"/>
              </w:rPr>
              <w:t>噪声</w:t>
            </w:r>
          </w:p>
        </w:tc>
        <w:tc>
          <w:tcPr>
            <w:tcW w:w="1856" w:type="dxa"/>
            <w:gridSpan w:val="2"/>
            <w:vAlign w:val="center"/>
          </w:tcPr>
          <w:p>
            <w:pPr>
              <w:pStyle w:val="30"/>
              <w:rPr>
                <w:color w:val="auto"/>
              </w:rPr>
            </w:pPr>
            <w:r>
              <w:rPr>
                <w:rFonts w:hint="eastAsia"/>
                <w:color w:val="auto"/>
              </w:rPr>
              <w:t>厂界</w:t>
            </w:r>
          </w:p>
        </w:tc>
        <w:tc>
          <w:tcPr>
            <w:tcW w:w="2010" w:type="dxa"/>
            <w:vAlign w:val="center"/>
          </w:tcPr>
          <w:p>
            <w:pPr>
              <w:pStyle w:val="30"/>
              <w:rPr>
                <w:color w:val="auto"/>
              </w:rPr>
            </w:pPr>
            <w:r>
              <w:rPr>
                <w:color w:val="auto"/>
              </w:rPr>
              <w:t>Leq（A）</w:t>
            </w:r>
          </w:p>
        </w:tc>
        <w:tc>
          <w:tcPr>
            <w:tcW w:w="1260" w:type="dxa"/>
            <w:vAlign w:val="center"/>
          </w:tcPr>
          <w:p>
            <w:pPr>
              <w:pStyle w:val="30"/>
              <w:rPr>
                <w:color w:val="auto"/>
              </w:rPr>
            </w:pPr>
            <w:r>
              <w:rPr>
                <w:rFonts w:hint="eastAsia"/>
                <w:color w:val="auto"/>
                <w:lang w:val="en-US" w:eastAsia="zh-CN"/>
              </w:rPr>
              <w:t>昼夜各</w:t>
            </w:r>
            <w:r>
              <w:rPr>
                <w:color w:val="auto"/>
              </w:rPr>
              <w:t>1次/季度</w:t>
            </w:r>
          </w:p>
        </w:tc>
        <w:tc>
          <w:tcPr>
            <w:tcW w:w="3004" w:type="dxa"/>
            <w:vAlign w:val="center"/>
          </w:tcPr>
          <w:p>
            <w:pPr>
              <w:pStyle w:val="30"/>
              <w:rPr>
                <w:color w:val="auto"/>
              </w:rPr>
            </w:pPr>
            <w:r>
              <w:rPr>
                <w:color w:val="auto"/>
              </w:rPr>
              <w:t>东、南、</w:t>
            </w:r>
            <w:r>
              <w:rPr>
                <w:rFonts w:hint="eastAsia"/>
                <w:color w:val="auto"/>
              </w:rPr>
              <w:t>西、</w:t>
            </w:r>
            <w:r>
              <w:rPr>
                <w:color w:val="auto"/>
              </w:rPr>
              <w:t>北厂界噪声满足《工业企业厂界环境噪声排放标准》（GB12348-2008）中</w:t>
            </w:r>
            <w:r>
              <w:rPr>
                <w:rFonts w:hint="eastAsia"/>
                <w:color w:val="auto"/>
              </w:rPr>
              <w:t>3</w:t>
            </w:r>
            <w:r>
              <w:rPr>
                <w:color w:val="auto"/>
              </w:rPr>
              <w:t>类标准要求</w:t>
            </w:r>
            <w:r>
              <w:rPr>
                <w:rFonts w:hint="eastAsia"/>
                <w:color w:val="auto"/>
              </w:rPr>
              <w:t>。</w:t>
            </w:r>
          </w:p>
        </w:tc>
      </w:tr>
    </w:tbl>
    <w:p>
      <w:pPr>
        <w:pStyle w:val="6"/>
        <w:rPr>
          <w:color w:val="auto"/>
        </w:rPr>
      </w:pPr>
      <w:bookmarkStart w:id="213" w:name="_Toc29322"/>
      <w:bookmarkStart w:id="214" w:name="_Toc25834"/>
      <w:bookmarkStart w:id="215" w:name="_Toc28050"/>
      <w:r>
        <w:rPr>
          <w:rFonts w:hint="eastAsia"/>
          <w:color w:val="auto"/>
        </w:rPr>
        <w:t>8</w:t>
      </w:r>
      <w:r>
        <w:rPr>
          <w:color w:val="auto"/>
        </w:rPr>
        <w:t>.3竣工环保验收内容</w:t>
      </w:r>
      <w:bookmarkEnd w:id="213"/>
      <w:bookmarkEnd w:id="214"/>
      <w:bookmarkEnd w:id="215"/>
    </w:p>
    <w:p>
      <w:pPr>
        <w:ind w:firstLine="480"/>
        <w:rPr>
          <w:color w:val="auto"/>
        </w:rPr>
      </w:pPr>
      <w:r>
        <w:rPr>
          <w:color w:val="auto"/>
        </w:rPr>
        <w:t>本项目竣工环保验收主要内容见下表。</w:t>
      </w:r>
    </w:p>
    <w:p>
      <w:pPr>
        <w:pStyle w:val="31"/>
        <w:rPr>
          <w:color w:val="auto"/>
          <w:lang w:val="zh-CN"/>
        </w:rPr>
      </w:pPr>
      <w:r>
        <w:rPr>
          <w:color w:val="auto"/>
          <w:lang w:val="zh-CN"/>
        </w:rPr>
        <w:t>表</w:t>
      </w:r>
      <w:r>
        <w:rPr>
          <w:rFonts w:hint="eastAsia"/>
          <w:color w:val="auto"/>
        </w:rPr>
        <w:t>8</w:t>
      </w:r>
      <w:r>
        <w:rPr>
          <w:color w:val="auto"/>
          <w:lang w:val="zh-CN"/>
        </w:rPr>
        <w:t xml:space="preserve">.3-1 </w:t>
      </w:r>
      <w:r>
        <w:rPr>
          <w:color w:val="auto"/>
        </w:rPr>
        <w:t xml:space="preserve">   </w:t>
      </w:r>
      <w:r>
        <w:rPr>
          <w:color w:val="auto"/>
          <w:lang w:val="zh-CN"/>
        </w:rPr>
        <w:t>建设项目竣工环保验收一览表</w:t>
      </w:r>
    </w:p>
    <w:tbl>
      <w:tblPr>
        <w:tblStyle w:val="21"/>
        <w:tblW w:w="90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1"/>
        <w:gridCol w:w="1106"/>
        <w:gridCol w:w="1144"/>
        <w:gridCol w:w="2274"/>
        <w:gridCol w:w="37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tblHeader/>
          <w:jc w:val="center"/>
        </w:trPr>
        <w:tc>
          <w:tcPr>
            <w:tcW w:w="721" w:type="dxa"/>
            <w:vAlign w:val="center"/>
          </w:tcPr>
          <w:p>
            <w:pPr>
              <w:pStyle w:val="30"/>
              <w:rPr>
                <w:color w:val="auto"/>
              </w:rPr>
            </w:pPr>
            <w:r>
              <w:rPr>
                <w:color w:val="auto"/>
              </w:rPr>
              <w:t>类别</w:t>
            </w:r>
          </w:p>
        </w:tc>
        <w:tc>
          <w:tcPr>
            <w:tcW w:w="1106" w:type="dxa"/>
            <w:vAlign w:val="center"/>
          </w:tcPr>
          <w:p>
            <w:pPr>
              <w:pStyle w:val="30"/>
              <w:rPr>
                <w:color w:val="auto"/>
              </w:rPr>
            </w:pPr>
            <w:r>
              <w:rPr>
                <w:color w:val="auto"/>
              </w:rPr>
              <w:t>项目</w:t>
            </w:r>
          </w:p>
        </w:tc>
        <w:tc>
          <w:tcPr>
            <w:tcW w:w="1144" w:type="dxa"/>
            <w:vAlign w:val="center"/>
          </w:tcPr>
          <w:p>
            <w:pPr>
              <w:pStyle w:val="30"/>
              <w:rPr>
                <w:color w:val="auto"/>
              </w:rPr>
            </w:pPr>
            <w:r>
              <w:rPr>
                <w:color w:val="auto"/>
              </w:rPr>
              <w:t>污染物</w:t>
            </w:r>
          </w:p>
        </w:tc>
        <w:tc>
          <w:tcPr>
            <w:tcW w:w="2274" w:type="dxa"/>
            <w:vAlign w:val="center"/>
          </w:tcPr>
          <w:p>
            <w:pPr>
              <w:pStyle w:val="30"/>
              <w:rPr>
                <w:color w:val="auto"/>
              </w:rPr>
            </w:pPr>
            <w:r>
              <w:rPr>
                <w:color w:val="auto"/>
              </w:rPr>
              <w:t>治理措施</w:t>
            </w:r>
          </w:p>
        </w:tc>
        <w:tc>
          <w:tcPr>
            <w:tcW w:w="3759" w:type="dxa"/>
            <w:vAlign w:val="center"/>
          </w:tcPr>
          <w:p>
            <w:pPr>
              <w:pStyle w:val="30"/>
              <w:rPr>
                <w:color w:val="auto"/>
              </w:rPr>
            </w:pPr>
            <w:r>
              <w:rPr>
                <w:color w:val="auto"/>
              </w:rPr>
              <w:t>验收标准和要求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7" w:hRule="atLeast"/>
          <w:jc w:val="center"/>
        </w:trPr>
        <w:tc>
          <w:tcPr>
            <w:tcW w:w="721" w:type="dxa"/>
            <w:vMerge w:val="restart"/>
            <w:vAlign w:val="center"/>
          </w:tcPr>
          <w:p>
            <w:pPr>
              <w:pStyle w:val="30"/>
              <w:rPr>
                <w:color w:val="auto"/>
              </w:rPr>
            </w:pPr>
            <w:r>
              <w:rPr>
                <w:rFonts w:hint="eastAsia"/>
                <w:color w:val="auto"/>
              </w:rPr>
              <w:t>废气</w:t>
            </w:r>
          </w:p>
        </w:tc>
        <w:tc>
          <w:tcPr>
            <w:tcW w:w="1106" w:type="dxa"/>
            <w:vAlign w:val="center"/>
          </w:tcPr>
          <w:p>
            <w:pPr>
              <w:pStyle w:val="30"/>
              <w:rPr>
                <w:color w:val="auto"/>
              </w:rPr>
            </w:pPr>
            <w:r>
              <w:rPr>
                <w:rFonts w:hint="eastAsia"/>
                <w:color w:val="auto"/>
              </w:rPr>
              <w:t>破碎</w:t>
            </w:r>
          </w:p>
        </w:tc>
        <w:tc>
          <w:tcPr>
            <w:tcW w:w="1144" w:type="dxa"/>
            <w:vAlign w:val="center"/>
          </w:tcPr>
          <w:p>
            <w:pPr>
              <w:pStyle w:val="30"/>
              <w:rPr>
                <w:color w:val="auto"/>
              </w:rPr>
            </w:pPr>
            <w:r>
              <w:rPr>
                <w:rFonts w:hint="eastAsia"/>
                <w:color w:val="auto"/>
              </w:rPr>
              <w:t>颗粒物</w:t>
            </w:r>
          </w:p>
        </w:tc>
        <w:tc>
          <w:tcPr>
            <w:tcW w:w="2274" w:type="dxa"/>
            <w:vAlign w:val="center"/>
          </w:tcPr>
          <w:p>
            <w:pPr>
              <w:pStyle w:val="30"/>
              <w:rPr>
                <w:rFonts w:hint="default" w:eastAsia="宋体"/>
                <w:color w:val="auto"/>
                <w:lang w:val="en-US" w:eastAsia="zh-CN"/>
              </w:rPr>
            </w:pPr>
            <w:r>
              <w:rPr>
                <w:rFonts w:hint="eastAsia"/>
                <w:color w:val="auto"/>
                <w:lang w:val="en-US" w:eastAsia="zh-CN"/>
              </w:rPr>
              <w:t>在破碎机废气产生口安装集气罩收集废气，废气通过布袋除尘器处理后通过DA002排气筒（15m）排放</w:t>
            </w:r>
          </w:p>
        </w:tc>
        <w:tc>
          <w:tcPr>
            <w:tcW w:w="3759" w:type="dxa"/>
            <w:vMerge w:val="restart"/>
            <w:vAlign w:val="center"/>
          </w:tcPr>
          <w:p>
            <w:pPr>
              <w:pStyle w:val="30"/>
              <w:rPr>
                <w:color w:val="auto"/>
              </w:rPr>
            </w:pPr>
            <w:r>
              <w:rPr>
                <w:rFonts w:hint="eastAsia"/>
                <w:color w:val="auto"/>
              </w:rPr>
              <w:t>有组织废气：非甲烷总烃执行《合成树脂工业污染物排放标准》（GB31572-2015）表4中的排放限值，臭气浓度执行《恶臭污染物排放标准》（GB14554-93）表2排放限值。</w:t>
            </w:r>
          </w:p>
          <w:p>
            <w:pPr>
              <w:pStyle w:val="30"/>
              <w:rPr>
                <w:color w:val="auto"/>
              </w:rPr>
            </w:pPr>
            <w:r>
              <w:rPr>
                <w:rFonts w:hint="eastAsia"/>
                <w:color w:val="auto"/>
              </w:rPr>
              <w:t>厂界无组织废气：非甲烷总烃、颗粒物执行《合成树脂工业污染物排放标准》（GB31572-2015）表9排放限值，臭气浓度执行《恶臭污染物排放标准》（GB14554-93）表1排放限值。</w:t>
            </w:r>
          </w:p>
          <w:p>
            <w:pPr>
              <w:pStyle w:val="30"/>
              <w:rPr>
                <w:color w:val="auto"/>
              </w:rPr>
            </w:pPr>
            <w:r>
              <w:rPr>
                <w:rFonts w:hint="eastAsia"/>
                <w:color w:val="auto"/>
              </w:rPr>
              <w:t>厂区内无组织废气：厂区内无组织排放监控点非甲烷总烃执行《挥发性有机物无组织排放控制标准》（GB37822-2019）附录A表A.1排放浓度限值要求。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467" w:hRule="atLeast"/>
          <w:jc w:val="center"/>
        </w:trPr>
        <w:tc>
          <w:tcPr>
            <w:tcW w:w="721" w:type="dxa"/>
            <w:vMerge w:val="continue"/>
            <w:vAlign w:val="center"/>
          </w:tcPr>
          <w:p>
            <w:pPr>
              <w:pStyle w:val="30"/>
              <w:rPr>
                <w:color w:val="auto"/>
              </w:rPr>
            </w:pPr>
          </w:p>
        </w:tc>
        <w:tc>
          <w:tcPr>
            <w:tcW w:w="1106" w:type="dxa"/>
            <w:vAlign w:val="center"/>
          </w:tcPr>
          <w:p>
            <w:pPr>
              <w:pStyle w:val="30"/>
              <w:rPr>
                <w:color w:val="auto"/>
              </w:rPr>
            </w:pPr>
            <w:r>
              <w:rPr>
                <w:rFonts w:hint="eastAsia"/>
                <w:color w:val="auto"/>
              </w:rPr>
              <w:t>熔融挤出</w:t>
            </w:r>
          </w:p>
        </w:tc>
        <w:tc>
          <w:tcPr>
            <w:tcW w:w="1144" w:type="dxa"/>
            <w:vAlign w:val="center"/>
          </w:tcPr>
          <w:p>
            <w:pPr>
              <w:pStyle w:val="30"/>
              <w:rPr>
                <w:color w:val="auto"/>
              </w:rPr>
            </w:pPr>
            <w:r>
              <w:rPr>
                <w:rFonts w:hint="eastAsia"/>
                <w:color w:val="auto"/>
              </w:rPr>
              <w:t>非甲烷总烃、颗粒物、臭气浓度</w:t>
            </w:r>
          </w:p>
        </w:tc>
        <w:tc>
          <w:tcPr>
            <w:tcW w:w="2274" w:type="dxa"/>
            <w:vAlign w:val="center"/>
          </w:tcPr>
          <w:p>
            <w:pPr>
              <w:pStyle w:val="30"/>
              <w:rPr>
                <w:color w:val="auto"/>
              </w:rPr>
            </w:pPr>
            <w:r>
              <w:rPr>
                <w:rFonts w:hint="eastAsia"/>
                <w:color w:val="auto"/>
              </w:rPr>
              <w:t>在挤出机、造粒机废气产生口安装集气罩收集废气，废气经两级活性炭吸附处理后，通过DA001排气筒（</w:t>
            </w:r>
            <w:r>
              <w:rPr>
                <w:rFonts w:hint="eastAsia"/>
                <w:color w:val="auto"/>
                <w:lang w:val="en-US" w:eastAsia="zh-CN"/>
              </w:rPr>
              <w:t>18</w:t>
            </w:r>
            <w:r>
              <w:rPr>
                <w:rFonts w:hint="eastAsia"/>
                <w:color w:val="auto"/>
              </w:rPr>
              <w:t>m高）排放。</w:t>
            </w:r>
          </w:p>
        </w:tc>
        <w:tc>
          <w:tcPr>
            <w:tcW w:w="375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Merge w:val="restart"/>
            <w:vAlign w:val="center"/>
          </w:tcPr>
          <w:p>
            <w:pPr>
              <w:pStyle w:val="30"/>
              <w:rPr>
                <w:color w:val="auto"/>
              </w:rPr>
            </w:pPr>
            <w:r>
              <w:rPr>
                <w:rFonts w:hint="eastAsia"/>
                <w:color w:val="auto"/>
              </w:rPr>
              <w:t>废水</w:t>
            </w:r>
          </w:p>
        </w:tc>
        <w:tc>
          <w:tcPr>
            <w:tcW w:w="1106" w:type="dxa"/>
            <w:vAlign w:val="center"/>
          </w:tcPr>
          <w:p>
            <w:pPr>
              <w:pStyle w:val="30"/>
              <w:rPr>
                <w:color w:val="auto"/>
              </w:rPr>
            </w:pPr>
            <w:r>
              <w:rPr>
                <w:rFonts w:hint="eastAsia"/>
                <w:color w:val="auto"/>
              </w:rPr>
              <w:t>生产废水</w:t>
            </w:r>
          </w:p>
        </w:tc>
        <w:tc>
          <w:tcPr>
            <w:tcW w:w="1144" w:type="dxa"/>
            <w:vAlign w:val="center"/>
          </w:tcPr>
          <w:p>
            <w:pPr>
              <w:pStyle w:val="30"/>
              <w:rPr>
                <w:color w:val="auto"/>
              </w:rPr>
            </w:pPr>
            <w:r>
              <w:rPr>
                <w:rFonts w:hint="eastAsia"/>
                <w:color w:val="auto"/>
              </w:rPr>
              <w:t>冷却水</w:t>
            </w:r>
          </w:p>
        </w:tc>
        <w:tc>
          <w:tcPr>
            <w:tcW w:w="2274" w:type="dxa"/>
            <w:vAlign w:val="center"/>
          </w:tcPr>
          <w:p>
            <w:pPr>
              <w:pStyle w:val="30"/>
              <w:rPr>
                <w:color w:val="auto"/>
              </w:rPr>
            </w:pPr>
            <w:r>
              <w:rPr>
                <w:rFonts w:hint="eastAsia"/>
                <w:color w:val="auto"/>
              </w:rPr>
              <w:t>循环水池（</w:t>
            </w:r>
            <w:r>
              <w:rPr>
                <w:rFonts w:hint="eastAsia"/>
                <w:color w:val="auto"/>
                <w:lang w:eastAsia="zh-CN"/>
              </w:rPr>
              <w:t>128m</w:t>
            </w:r>
            <w:r>
              <w:rPr>
                <w:rFonts w:hint="eastAsia"/>
                <w:color w:val="auto"/>
                <w:vertAlign w:val="superscript"/>
              </w:rPr>
              <w:t>3</w:t>
            </w:r>
            <w:r>
              <w:rPr>
                <w:rFonts w:hint="eastAsia"/>
                <w:color w:val="auto"/>
              </w:rPr>
              <w:t>）</w:t>
            </w:r>
          </w:p>
        </w:tc>
        <w:tc>
          <w:tcPr>
            <w:tcW w:w="3759" w:type="dxa"/>
            <w:vAlign w:val="center"/>
          </w:tcPr>
          <w:p>
            <w:pPr>
              <w:pStyle w:val="30"/>
              <w:rPr>
                <w:color w:val="auto"/>
              </w:rPr>
            </w:pPr>
            <w:r>
              <w:rPr>
                <w:rFonts w:hint="eastAsia"/>
                <w:color w:val="auto"/>
              </w:rPr>
              <w:t>循环使用，不外排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Merge w:val="continue"/>
            <w:vAlign w:val="center"/>
          </w:tcPr>
          <w:p>
            <w:pPr>
              <w:pStyle w:val="30"/>
              <w:rPr>
                <w:color w:val="auto"/>
              </w:rPr>
            </w:pPr>
          </w:p>
        </w:tc>
        <w:tc>
          <w:tcPr>
            <w:tcW w:w="1106" w:type="dxa"/>
            <w:vAlign w:val="center"/>
          </w:tcPr>
          <w:p>
            <w:pPr>
              <w:pStyle w:val="30"/>
              <w:rPr>
                <w:color w:val="auto"/>
              </w:rPr>
            </w:pPr>
            <w:r>
              <w:rPr>
                <w:rFonts w:hint="eastAsia"/>
                <w:color w:val="auto"/>
              </w:rPr>
              <w:t>生活污水</w:t>
            </w:r>
          </w:p>
        </w:tc>
        <w:tc>
          <w:tcPr>
            <w:tcW w:w="1144" w:type="dxa"/>
            <w:vAlign w:val="center"/>
          </w:tcPr>
          <w:p>
            <w:pPr>
              <w:pStyle w:val="30"/>
              <w:rPr>
                <w:color w:val="auto"/>
              </w:rPr>
            </w:pPr>
            <w:r>
              <w:rPr>
                <w:rFonts w:hint="eastAsia"/>
                <w:color w:val="auto"/>
              </w:rPr>
              <w:t>pH、COD、BOD</w:t>
            </w:r>
            <w:r>
              <w:rPr>
                <w:rFonts w:hint="eastAsia"/>
                <w:color w:val="auto"/>
                <w:vertAlign w:val="subscript"/>
              </w:rPr>
              <w:t>5</w:t>
            </w:r>
            <w:r>
              <w:rPr>
                <w:rFonts w:hint="eastAsia"/>
                <w:color w:val="auto"/>
              </w:rPr>
              <w:t>、氨氮</w:t>
            </w:r>
          </w:p>
        </w:tc>
        <w:tc>
          <w:tcPr>
            <w:tcW w:w="2274" w:type="dxa"/>
            <w:vAlign w:val="center"/>
          </w:tcPr>
          <w:p>
            <w:pPr>
              <w:pStyle w:val="30"/>
              <w:rPr>
                <w:color w:val="auto"/>
              </w:rPr>
            </w:pPr>
            <w:r>
              <w:rPr>
                <w:rFonts w:hint="eastAsia"/>
                <w:color w:val="auto"/>
              </w:rPr>
              <w:t>化粪池</w:t>
            </w:r>
          </w:p>
        </w:tc>
        <w:tc>
          <w:tcPr>
            <w:tcW w:w="3759" w:type="dxa"/>
            <w:vAlign w:val="center"/>
          </w:tcPr>
          <w:p>
            <w:pPr>
              <w:pStyle w:val="30"/>
              <w:rPr>
                <w:color w:val="auto"/>
              </w:rPr>
            </w:pPr>
            <w:r>
              <w:rPr>
                <w:color w:val="auto"/>
              </w:rPr>
              <w:t>《污水综合排放标准》（GB8978-1996）中三级标准及汨罗市城市污水处理厂接管标准的较严值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Align w:val="center"/>
          </w:tcPr>
          <w:p>
            <w:pPr>
              <w:pStyle w:val="30"/>
              <w:rPr>
                <w:color w:val="auto"/>
              </w:rPr>
            </w:pPr>
            <w:r>
              <w:rPr>
                <w:rFonts w:hint="eastAsia"/>
                <w:color w:val="auto"/>
              </w:rPr>
              <w:t>噪声</w:t>
            </w:r>
          </w:p>
        </w:tc>
        <w:tc>
          <w:tcPr>
            <w:tcW w:w="1106" w:type="dxa"/>
            <w:vAlign w:val="center"/>
          </w:tcPr>
          <w:p>
            <w:pPr>
              <w:pStyle w:val="30"/>
              <w:rPr>
                <w:color w:val="auto"/>
              </w:rPr>
            </w:pPr>
            <w:r>
              <w:rPr>
                <w:rFonts w:hint="eastAsia"/>
                <w:color w:val="auto"/>
              </w:rPr>
              <w:t>噪声</w:t>
            </w:r>
          </w:p>
        </w:tc>
        <w:tc>
          <w:tcPr>
            <w:tcW w:w="1144" w:type="dxa"/>
            <w:vAlign w:val="center"/>
          </w:tcPr>
          <w:p>
            <w:pPr>
              <w:pStyle w:val="30"/>
              <w:rPr>
                <w:color w:val="auto"/>
              </w:rPr>
            </w:pPr>
            <w:r>
              <w:rPr>
                <w:color w:val="auto"/>
              </w:rPr>
              <w:t>LeqA</w:t>
            </w:r>
          </w:p>
        </w:tc>
        <w:tc>
          <w:tcPr>
            <w:tcW w:w="2274" w:type="dxa"/>
            <w:vAlign w:val="center"/>
          </w:tcPr>
          <w:p>
            <w:pPr>
              <w:pStyle w:val="30"/>
              <w:rPr>
                <w:color w:val="auto"/>
              </w:rPr>
            </w:pPr>
            <w:r>
              <w:rPr>
                <w:rFonts w:hint="eastAsia"/>
                <w:color w:val="auto"/>
              </w:rPr>
              <w:t>隔声、减振、消声</w:t>
            </w:r>
          </w:p>
        </w:tc>
        <w:tc>
          <w:tcPr>
            <w:tcW w:w="3759" w:type="dxa"/>
            <w:vAlign w:val="center"/>
          </w:tcPr>
          <w:p>
            <w:pPr>
              <w:pStyle w:val="30"/>
              <w:rPr>
                <w:color w:val="auto"/>
              </w:rPr>
            </w:pPr>
            <w:r>
              <w:rPr>
                <w:color w:val="auto"/>
              </w:rPr>
              <w:t>东、</w:t>
            </w:r>
            <w:r>
              <w:rPr>
                <w:rFonts w:hint="eastAsia"/>
                <w:color w:val="auto"/>
                <w:lang w:val="en-US" w:eastAsia="zh-CN"/>
              </w:rPr>
              <w:t>南、</w:t>
            </w:r>
            <w:r>
              <w:rPr>
                <w:rFonts w:hint="eastAsia"/>
                <w:color w:val="auto"/>
              </w:rPr>
              <w:t>西、</w:t>
            </w:r>
            <w:r>
              <w:rPr>
                <w:color w:val="auto"/>
              </w:rPr>
              <w:t>北厂界噪声满足《工业企业厂界环境噪声排放标准》（GB12348-2008）中</w:t>
            </w:r>
            <w:r>
              <w:rPr>
                <w:rFonts w:hint="eastAsia"/>
                <w:color w:val="auto"/>
              </w:rPr>
              <w:t>3</w:t>
            </w:r>
            <w:r>
              <w:rPr>
                <w:color w:val="auto"/>
              </w:rPr>
              <w:t>类标准要求</w:t>
            </w: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Merge w:val="restart"/>
            <w:vAlign w:val="center"/>
          </w:tcPr>
          <w:p>
            <w:pPr>
              <w:pStyle w:val="30"/>
              <w:rPr>
                <w:color w:val="auto"/>
              </w:rPr>
            </w:pPr>
            <w:r>
              <w:rPr>
                <w:rFonts w:hint="eastAsia"/>
                <w:color w:val="auto"/>
              </w:rPr>
              <w:t>固体废物</w:t>
            </w:r>
          </w:p>
        </w:tc>
        <w:tc>
          <w:tcPr>
            <w:tcW w:w="1106" w:type="dxa"/>
            <w:vAlign w:val="center"/>
          </w:tcPr>
          <w:p>
            <w:pPr>
              <w:pStyle w:val="30"/>
              <w:rPr>
                <w:color w:val="auto"/>
              </w:rPr>
            </w:pPr>
            <w:r>
              <w:rPr>
                <w:rFonts w:hint="eastAsia"/>
                <w:color w:val="auto"/>
              </w:rPr>
              <w:t>办公生活</w:t>
            </w:r>
          </w:p>
        </w:tc>
        <w:tc>
          <w:tcPr>
            <w:tcW w:w="1144" w:type="dxa"/>
            <w:vAlign w:val="center"/>
          </w:tcPr>
          <w:p>
            <w:pPr>
              <w:pStyle w:val="30"/>
              <w:rPr>
                <w:color w:val="auto"/>
              </w:rPr>
            </w:pPr>
            <w:r>
              <w:rPr>
                <w:rFonts w:hint="eastAsia"/>
                <w:color w:val="auto"/>
              </w:rPr>
              <w:t>生活垃圾</w:t>
            </w:r>
          </w:p>
        </w:tc>
        <w:tc>
          <w:tcPr>
            <w:tcW w:w="2274" w:type="dxa"/>
            <w:vAlign w:val="center"/>
          </w:tcPr>
          <w:p>
            <w:pPr>
              <w:pStyle w:val="30"/>
              <w:rPr>
                <w:color w:val="auto"/>
              </w:rPr>
            </w:pPr>
            <w:r>
              <w:rPr>
                <w:rFonts w:hint="eastAsia"/>
                <w:color w:val="auto"/>
              </w:rPr>
              <w:t>垃圾桶收集，环卫部门定期清运</w:t>
            </w:r>
          </w:p>
        </w:tc>
        <w:tc>
          <w:tcPr>
            <w:tcW w:w="3759" w:type="dxa"/>
            <w:vMerge w:val="restart"/>
            <w:vAlign w:val="center"/>
          </w:tcPr>
          <w:p>
            <w:pPr>
              <w:pStyle w:val="30"/>
              <w:rPr>
                <w:color w:val="auto"/>
              </w:rPr>
            </w:pPr>
            <w:r>
              <w:rPr>
                <w:rFonts w:hint="eastAsia"/>
                <w:color w:val="auto"/>
              </w:rPr>
              <w:t>综合利用，合理处置。满足《一般工业固体废物储贮存及填埋污染控制标准》（GB18599-2020）、《危险废物贮存污染控制标准》（</w:t>
            </w:r>
            <w:r>
              <w:rPr>
                <w:rFonts w:hint="eastAsia"/>
                <w:color w:val="auto"/>
                <w:lang w:eastAsia="zh-CN"/>
              </w:rPr>
              <w:t>GB18597-2023</w:t>
            </w:r>
            <w:r>
              <w:rPr>
                <w:rFonts w:hint="eastAsia"/>
                <w:color w:val="auto"/>
              </w:rPr>
              <w:t>）及其2013年修改清单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Merge w:val="continue"/>
            <w:vAlign w:val="center"/>
          </w:tcPr>
          <w:p>
            <w:pPr>
              <w:pStyle w:val="30"/>
              <w:rPr>
                <w:color w:val="auto"/>
              </w:rPr>
            </w:pPr>
          </w:p>
        </w:tc>
        <w:tc>
          <w:tcPr>
            <w:tcW w:w="1106" w:type="dxa"/>
            <w:vMerge w:val="restart"/>
            <w:vAlign w:val="center"/>
          </w:tcPr>
          <w:p>
            <w:pPr>
              <w:pStyle w:val="30"/>
              <w:rPr>
                <w:color w:val="auto"/>
              </w:rPr>
            </w:pPr>
            <w:r>
              <w:rPr>
                <w:rFonts w:hint="eastAsia"/>
                <w:color w:val="auto"/>
              </w:rPr>
              <w:t>生产区域</w:t>
            </w:r>
          </w:p>
        </w:tc>
        <w:tc>
          <w:tcPr>
            <w:tcW w:w="1144" w:type="dxa"/>
            <w:vAlign w:val="center"/>
          </w:tcPr>
          <w:p>
            <w:pPr>
              <w:pStyle w:val="30"/>
              <w:rPr>
                <w:color w:val="auto"/>
              </w:rPr>
            </w:pPr>
            <w:r>
              <w:rPr>
                <w:rFonts w:hint="eastAsia"/>
                <w:color w:val="auto"/>
              </w:rPr>
              <w:t>一般固废</w:t>
            </w:r>
          </w:p>
        </w:tc>
        <w:tc>
          <w:tcPr>
            <w:tcW w:w="2274" w:type="dxa"/>
            <w:vAlign w:val="center"/>
          </w:tcPr>
          <w:p>
            <w:pPr>
              <w:pStyle w:val="30"/>
              <w:rPr>
                <w:color w:val="auto"/>
              </w:rPr>
            </w:pPr>
            <w:r>
              <w:rPr>
                <w:rFonts w:hint="eastAsia"/>
                <w:color w:val="auto"/>
              </w:rPr>
              <w:t>不合格成品、边角料及除尘器粉尘回用于生产；废包装材料外售。</w:t>
            </w:r>
          </w:p>
        </w:tc>
        <w:tc>
          <w:tcPr>
            <w:tcW w:w="375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Merge w:val="continue"/>
            <w:vAlign w:val="center"/>
          </w:tcPr>
          <w:p>
            <w:pPr>
              <w:pStyle w:val="30"/>
              <w:rPr>
                <w:color w:val="auto"/>
              </w:rPr>
            </w:pPr>
          </w:p>
        </w:tc>
        <w:tc>
          <w:tcPr>
            <w:tcW w:w="1106" w:type="dxa"/>
            <w:vMerge w:val="continue"/>
            <w:vAlign w:val="center"/>
          </w:tcPr>
          <w:p>
            <w:pPr>
              <w:pStyle w:val="30"/>
              <w:rPr>
                <w:color w:val="auto"/>
              </w:rPr>
            </w:pPr>
          </w:p>
        </w:tc>
        <w:tc>
          <w:tcPr>
            <w:tcW w:w="1144" w:type="dxa"/>
            <w:vAlign w:val="center"/>
          </w:tcPr>
          <w:p>
            <w:pPr>
              <w:pStyle w:val="30"/>
              <w:rPr>
                <w:color w:val="auto"/>
              </w:rPr>
            </w:pPr>
            <w:r>
              <w:rPr>
                <w:rFonts w:hint="eastAsia"/>
                <w:color w:val="auto"/>
              </w:rPr>
              <w:t>危险废物</w:t>
            </w:r>
          </w:p>
        </w:tc>
        <w:tc>
          <w:tcPr>
            <w:tcW w:w="2274" w:type="dxa"/>
            <w:vAlign w:val="center"/>
          </w:tcPr>
          <w:p>
            <w:pPr>
              <w:pStyle w:val="30"/>
              <w:rPr>
                <w:color w:val="auto"/>
              </w:rPr>
            </w:pPr>
            <w:r>
              <w:rPr>
                <w:rFonts w:hint="eastAsia"/>
                <w:color w:val="auto"/>
              </w:rPr>
              <w:t>暂存于危废暂存间，委托有资质的单位处置</w:t>
            </w:r>
          </w:p>
        </w:tc>
        <w:tc>
          <w:tcPr>
            <w:tcW w:w="3759" w:type="dxa"/>
            <w:vMerge w:val="continue"/>
            <w:vAlign w:val="center"/>
          </w:tcPr>
          <w:p>
            <w:pPr>
              <w:pStyle w:val="30"/>
              <w:rPr>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Align w:val="center"/>
          </w:tcPr>
          <w:p>
            <w:pPr>
              <w:pStyle w:val="30"/>
              <w:rPr>
                <w:color w:val="auto"/>
              </w:rPr>
            </w:pPr>
            <w:r>
              <w:rPr>
                <w:rFonts w:hint="eastAsia"/>
                <w:color w:val="auto"/>
              </w:rPr>
              <w:t>环境风险</w:t>
            </w:r>
          </w:p>
        </w:tc>
        <w:tc>
          <w:tcPr>
            <w:tcW w:w="1106" w:type="dxa"/>
            <w:vAlign w:val="center"/>
          </w:tcPr>
          <w:p>
            <w:pPr>
              <w:pStyle w:val="30"/>
              <w:rPr>
                <w:color w:val="auto"/>
              </w:rPr>
            </w:pPr>
            <w:r>
              <w:rPr>
                <w:rFonts w:hint="eastAsia"/>
                <w:color w:val="auto"/>
              </w:rPr>
              <w:t>防渗处理</w:t>
            </w:r>
          </w:p>
        </w:tc>
        <w:tc>
          <w:tcPr>
            <w:tcW w:w="1144" w:type="dxa"/>
            <w:vAlign w:val="center"/>
          </w:tcPr>
          <w:p>
            <w:pPr>
              <w:pStyle w:val="30"/>
              <w:rPr>
                <w:color w:val="auto"/>
              </w:rPr>
            </w:pPr>
            <w:r>
              <w:rPr>
                <w:rFonts w:hint="eastAsia"/>
                <w:color w:val="auto"/>
              </w:rPr>
              <w:t>/</w:t>
            </w:r>
          </w:p>
        </w:tc>
        <w:tc>
          <w:tcPr>
            <w:tcW w:w="2274" w:type="dxa"/>
            <w:vAlign w:val="center"/>
          </w:tcPr>
          <w:p>
            <w:pPr>
              <w:pStyle w:val="30"/>
              <w:rPr>
                <w:color w:val="auto"/>
              </w:rPr>
            </w:pPr>
            <w:r>
              <w:rPr>
                <w:rFonts w:hint="eastAsia"/>
                <w:color w:val="auto"/>
              </w:rPr>
              <w:t>厂区采取一般防渗处理，危废暂存间采取重点防渗处理</w:t>
            </w:r>
          </w:p>
        </w:tc>
        <w:tc>
          <w:tcPr>
            <w:tcW w:w="3759" w:type="dxa"/>
            <w:vAlign w:val="center"/>
          </w:tcPr>
          <w:p>
            <w:pPr>
              <w:pStyle w:val="30"/>
              <w:rPr>
                <w:color w:val="auto"/>
              </w:rPr>
            </w:pPr>
            <w:r>
              <w:rPr>
                <w:rFonts w:hint="eastAsia"/>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8" w:hRule="atLeast"/>
          <w:jc w:val="center"/>
        </w:trPr>
        <w:tc>
          <w:tcPr>
            <w:tcW w:w="721" w:type="dxa"/>
            <w:vAlign w:val="center"/>
          </w:tcPr>
          <w:p>
            <w:pPr>
              <w:pStyle w:val="30"/>
              <w:rPr>
                <w:color w:val="auto"/>
              </w:rPr>
            </w:pPr>
            <w:r>
              <w:rPr>
                <w:rFonts w:hint="eastAsia"/>
                <w:color w:val="auto"/>
              </w:rPr>
              <w:t>环境管理</w:t>
            </w:r>
          </w:p>
        </w:tc>
        <w:tc>
          <w:tcPr>
            <w:tcW w:w="1106" w:type="dxa"/>
            <w:vAlign w:val="center"/>
          </w:tcPr>
          <w:p>
            <w:pPr>
              <w:pStyle w:val="30"/>
              <w:rPr>
                <w:color w:val="auto"/>
              </w:rPr>
            </w:pPr>
            <w:r>
              <w:rPr>
                <w:rFonts w:hint="eastAsia"/>
                <w:color w:val="auto"/>
              </w:rPr>
              <w:t>环境管理</w:t>
            </w:r>
          </w:p>
        </w:tc>
        <w:tc>
          <w:tcPr>
            <w:tcW w:w="1144" w:type="dxa"/>
            <w:vAlign w:val="center"/>
          </w:tcPr>
          <w:p>
            <w:pPr>
              <w:pStyle w:val="30"/>
              <w:rPr>
                <w:color w:val="auto"/>
              </w:rPr>
            </w:pPr>
            <w:r>
              <w:rPr>
                <w:rFonts w:hint="eastAsia"/>
                <w:color w:val="auto"/>
              </w:rPr>
              <w:t>/</w:t>
            </w:r>
          </w:p>
        </w:tc>
        <w:tc>
          <w:tcPr>
            <w:tcW w:w="2274" w:type="dxa"/>
            <w:vAlign w:val="center"/>
          </w:tcPr>
          <w:p>
            <w:pPr>
              <w:pStyle w:val="30"/>
              <w:rPr>
                <w:color w:val="auto"/>
              </w:rPr>
            </w:pPr>
            <w:r>
              <w:rPr>
                <w:rFonts w:hint="eastAsia"/>
                <w:color w:val="auto"/>
              </w:rPr>
              <w:t>有专业人员管理，有相应环境管理和监测制度，排污口建设规范化</w:t>
            </w:r>
          </w:p>
        </w:tc>
        <w:tc>
          <w:tcPr>
            <w:tcW w:w="3759" w:type="dxa"/>
            <w:vAlign w:val="center"/>
          </w:tcPr>
          <w:p>
            <w:pPr>
              <w:pStyle w:val="30"/>
              <w:rPr>
                <w:color w:val="auto"/>
              </w:rPr>
            </w:pPr>
            <w:r>
              <w:rPr>
                <w:rFonts w:hint="eastAsia"/>
                <w:color w:val="auto"/>
              </w:rPr>
              <w:t>/</w:t>
            </w:r>
          </w:p>
        </w:tc>
      </w:tr>
    </w:tbl>
    <w:p>
      <w:pPr>
        <w:ind w:firstLine="480"/>
        <w:rPr>
          <w:color w:val="auto"/>
          <w:u w:val="single"/>
        </w:rPr>
      </w:pPr>
    </w:p>
    <w:p>
      <w:pPr>
        <w:pStyle w:val="5"/>
        <w:rPr>
          <w:color w:val="auto"/>
        </w:rPr>
      </w:pPr>
      <w:r>
        <w:rPr>
          <w:color w:val="auto"/>
        </w:rPr>
        <w:br w:type="page"/>
      </w:r>
      <w:bookmarkStart w:id="216" w:name="_Toc32443"/>
      <w:bookmarkStart w:id="217" w:name="_Toc96"/>
      <w:bookmarkStart w:id="218" w:name="_Toc31573"/>
      <w:r>
        <w:rPr>
          <w:rFonts w:hint="eastAsia"/>
          <w:color w:val="auto"/>
        </w:rPr>
        <w:t xml:space="preserve">第9章 </w:t>
      </w:r>
      <w:r>
        <w:rPr>
          <w:color w:val="auto"/>
        </w:rPr>
        <w:t xml:space="preserve"> 环境影响评价结论</w:t>
      </w:r>
      <w:bookmarkEnd w:id="216"/>
      <w:bookmarkEnd w:id="217"/>
      <w:bookmarkEnd w:id="218"/>
    </w:p>
    <w:p>
      <w:pPr>
        <w:pStyle w:val="6"/>
        <w:rPr>
          <w:color w:val="auto"/>
        </w:rPr>
      </w:pPr>
      <w:bookmarkStart w:id="219" w:name="_Toc27188"/>
      <w:bookmarkStart w:id="220" w:name="_Toc7600"/>
      <w:bookmarkStart w:id="221" w:name="_Toc3455"/>
      <w:r>
        <w:rPr>
          <w:rFonts w:hint="eastAsia"/>
          <w:color w:val="auto"/>
        </w:rPr>
        <w:t>9</w:t>
      </w:r>
      <w:r>
        <w:rPr>
          <w:color w:val="auto"/>
        </w:rPr>
        <w:t>.1项目概况</w:t>
      </w:r>
      <w:bookmarkEnd w:id="219"/>
      <w:bookmarkEnd w:id="220"/>
      <w:bookmarkEnd w:id="221"/>
    </w:p>
    <w:p>
      <w:pPr>
        <w:ind w:firstLine="480"/>
        <w:rPr>
          <w:color w:val="auto"/>
        </w:rPr>
      </w:pPr>
      <w:r>
        <w:rPr>
          <w:color w:val="auto"/>
        </w:rPr>
        <w:t>湖南博泰管业有限公司</w:t>
      </w:r>
      <w:r>
        <w:rPr>
          <w:rFonts w:hint="eastAsia"/>
          <w:color w:val="auto"/>
          <w:lang w:eastAsia="zh-CN"/>
        </w:rPr>
        <w:t>年产3万吨高分子材料精深制品建设项目</w:t>
      </w:r>
      <w:r>
        <w:rPr>
          <w:rFonts w:hint="eastAsia"/>
          <w:color w:val="auto"/>
        </w:rPr>
        <w:t>位于湖南省岳阳市汨罗市新市镇汨罗循环经济产业园G536与青春大道交界处107国道以东，租赁闲置厂房进行建设。厂址</w:t>
      </w:r>
      <w:r>
        <w:rPr>
          <w:color w:val="auto"/>
        </w:rPr>
        <w:t>中心经纬度为东经113°</w:t>
      </w:r>
      <w:r>
        <w:rPr>
          <w:rFonts w:hint="eastAsia"/>
          <w:color w:val="auto"/>
        </w:rPr>
        <w:t>10</w:t>
      </w:r>
      <w:r>
        <w:rPr>
          <w:color w:val="auto"/>
        </w:rPr>
        <w:t>′</w:t>
      </w:r>
      <w:r>
        <w:rPr>
          <w:rFonts w:hint="eastAsia"/>
          <w:color w:val="auto"/>
        </w:rPr>
        <w:t>15.121</w:t>
      </w:r>
      <w:r>
        <w:rPr>
          <w:color w:val="auto"/>
        </w:rPr>
        <w:t>″，北纬28°4</w:t>
      </w:r>
      <w:r>
        <w:rPr>
          <w:rFonts w:hint="eastAsia"/>
          <w:color w:val="auto"/>
        </w:rPr>
        <w:t>5</w:t>
      </w:r>
      <w:r>
        <w:rPr>
          <w:color w:val="auto"/>
        </w:rPr>
        <w:t>′4</w:t>
      </w:r>
      <w:r>
        <w:rPr>
          <w:rFonts w:hint="eastAsia"/>
          <w:color w:val="auto"/>
        </w:rPr>
        <w:t>5.547</w:t>
      </w:r>
      <w:r>
        <w:rPr>
          <w:color w:val="auto"/>
        </w:rPr>
        <w:t>″。</w:t>
      </w:r>
      <w:r>
        <w:rPr>
          <w:rFonts w:hint="eastAsia"/>
          <w:color w:val="auto"/>
        </w:rPr>
        <w:t>本项目总占地面积</w:t>
      </w:r>
      <w:r>
        <w:rPr>
          <w:bCs/>
          <w:color w:val="auto"/>
        </w:rPr>
        <w:t>32150.24</w:t>
      </w:r>
      <w:r>
        <w:rPr>
          <w:rFonts w:hint="eastAsia"/>
          <w:bCs/>
          <w:color w:val="auto"/>
        </w:rPr>
        <w:t xml:space="preserve"> </w:t>
      </w:r>
      <w:r>
        <w:rPr>
          <w:bCs/>
          <w:color w:val="auto"/>
        </w:rPr>
        <w:t>m</w:t>
      </w:r>
      <w:r>
        <w:rPr>
          <w:bCs/>
          <w:color w:val="auto"/>
          <w:vertAlign w:val="superscript"/>
        </w:rPr>
        <w:t>2</w:t>
      </w:r>
      <w:r>
        <w:rPr>
          <w:rFonts w:hint="eastAsia"/>
          <w:bCs/>
          <w:color w:val="auto"/>
        </w:rPr>
        <w:t>。主要建设内容为1间生产厂房，1间原料及成品库、一套办公用房及配套环保工程。主要生产工艺为破碎、混料、熔融挤出、冷却定型、切割等，主要生产设备为破碎机、挤出机、成型机等。</w:t>
      </w:r>
    </w:p>
    <w:p>
      <w:pPr>
        <w:pStyle w:val="6"/>
        <w:rPr>
          <w:color w:val="auto"/>
        </w:rPr>
      </w:pPr>
      <w:bookmarkStart w:id="222" w:name="_Toc3627"/>
      <w:bookmarkStart w:id="223" w:name="_Toc32343"/>
      <w:bookmarkStart w:id="224" w:name="_Toc13435"/>
      <w:r>
        <w:rPr>
          <w:rFonts w:hint="eastAsia"/>
          <w:color w:val="auto"/>
        </w:rPr>
        <w:t>9</w:t>
      </w:r>
      <w:r>
        <w:rPr>
          <w:color w:val="auto"/>
        </w:rPr>
        <w:t>.2环境质量现状</w:t>
      </w:r>
      <w:bookmarkEnd w:id="222"/>
      <w:bookmarkEnd w:id="223"/>
      <w:bookmarkEnd w:id="224"/>
    </w:p>
    <w:p>
      <w:pPr>
        <w:ind w:firstLine="482"/>
        <w:rPr>
          <w:b/>
          <w:bCs/>
          <w:color w:val="auto"/>
        </w:rPr>
      </w:pPr>
      <w:r>
        <w:rPr>
          <w:b/>
          <w:bCs/>
          <w:color w:val="auto"/>
        </w:rPr>
        <w:t>1、环境空气</w:t>
      </w:r>
    </w:p>
    <w:p>
      <w:pPr>
        <w:ind w:firstLine="480"/>
        <w:rPr>
          <w:color w:val="auto"/>
        </w:rPr>
      </w:pPr>
      <w:r>
        <w:rPr>
          <w:color w:val="auto"/>
        </w:rPr>
        <w:t>根据岳阳市生态环境局汨罗分局公开发布的202</w:t>
      </w:r>
      <w:r>
        <w:rPr>
          <w:rFonts w:hint="eastAsia"/>
          <w:color w:val="auto"/>
        </w:rPr>
        <w:t>1</w:t>
      </w:r>
      <w:r>
        <w:rPr>
          <w:color w:val="auto"/>
        </w:rPr>
        <w:t>年环境质量公报中的结论，汨罗市基本污染物全部达标，本项目所在区域环境空气质量为达标区。TSP满足《环境空气质量标准》（GB3095-2012）二级标准；</w:t>
      </w:r>
      <w:r>
        <w:rPr>
          <w:rFonts w:hint="eastAsia"/>
          <w:color w:val="auto"/>
        </w:rPr>
        <w:t>非甲烷总烃</w:t>
      </w:r>
      <w:r>
        <w:rPr>
          <w:color w:val="auto"/>
        </w:rPr>
        <w:t>能满足</w:t>
      </w:r>
      <w:r>
        <w:rPr>
          <w:rFonts w:hint="eastAsia"/>
          <w:color w:val="auto"/>
        </w:rPr>
        <w:t>《大气污染物综合排放标准详解》</w:t>
      </w:r>
      <w:r>
        <w:rPr>
          <w:color w:val="auto"/>
        </w:rPr>
        <w:t>的标准。</w:t>
      </w:r>
    </w:p>
    <w:p>
      <w:pPr>
        <w:ind w:firstLine="482"/>
        <w:rPr>
          <w:b/>
          <w:bCs/>
          <w:color w:val="auto"/>
        </w:rPr>
      </w:pPr>
      <w:r>
        <w:rPr>
          <w:b/>
          <w:bCs/>
          <w:color w:val="auto"/>
        </w:rPr>
        <w:t>2、地表水环境</w:t>
      </w:r>
    </w:p>
    <w:p>
      <w:pPr>
        <w:ind w:firstLine="480"/>
        <w:rPr>
          <w:color w:val="auto"/>
        </w:rPr>
      </w:pPr>
      <w:r>
        <w:rPr>
          <w:color w:val="auto"/>
        </w:rPr>
        <w:t>地表水监测结果表明，</w:t>
      </w:r>
      <w:r>
        <w:rPr>
          <w:rFonts w:hint="eastAsia"/>
          <w:color w:val="auto"/>
        </w:rPr>
        <w:t>车对河</w:t>
      </w:r>
      <w:r>
        <w:rPr>
          <w:color w:val="auto"/>
        </w:rPr>
        <w:t>各监测因子浓度均符合《地表水环境质量标准》（GB3838-2002）中的Ⅲ类标准，表明区域现状水质较好。</w:t>
      </w:r>
    </w:p>
    <w:p>
      <w:pPr>
        <w:ind w:firstLine="482"/>
        <w:rPr>
          <w:b/>
          <w:bCs/>
          <w:color w:val="auto"/>
        </w:rPr>
      </w:pPr>
      <w:r>
        <w:rPr>
          <w:b/>
          <w:bCs/>
          <w:color w:val="auto"/>
        </w:rPr>
        <w:t>3、地下水环境</w:t>
      </w:r>
    </w:p>
    <w:p>
      <w:pPr>
        <w:ind w:firstLine="480"/>
        <w:rPr>
          <w:color w:val="auto"/>
          <w:u w:val="single"/>
        </w:rPr>
      </w:pPr>
      <w:r>
        <w:rPr>
          <w:rFonts w:hint="eastAsia"/>
          <w:color w:val="auto"/>
        </w:rPr>
        <w:t>根据区域地下水现状监测数据，</w:t>
      </w:r>
      <w:r>
        <w:rPr>
          <w:color w:val="auto"/>
        </w:rPr>
        <w:t>监测因子均能达到《地下水质量标准》（GB/T14848-2017）Ⅲ类水质标准。</w:t>
      </w:r>
    </w:p>
    <w:p>
      <w:pPr>
        <w:ind w:firstLine="482"/>
        <w:rPr>
          <w:b/>
          <w:bCs/>
          <w:color w:val="auto"/>
        </w:rPr>
      </w:pPr>
      <w:r>
        <w:rPr>
          <w:b/>
          <w:bCs/>
          <w:color w:val="auto"/>
        </w:rPr>
        <w:t>4、声环境质量现状</w:t>
      </w:r>
    </w:p>
    <w:p>
      <w:pPr>
        <w:ind w:firstLine="480"/>
        <w:rPr>
          <w:color w:val="auto"/>
        </w:rPr>
      </w:pPr>
      <w:r>
        <w:rPr>
          <w:color w:val="auto"/>
        </w:rPr>
        <w:t>评价区</w:t>
      </w:r>
      <w:r>
        <w:rPr>
          <w:rFonts w:hint="eastAsia"/>
          <w:color w:val="auto"/>
        </w:rPr>
        <w:t>厂界东、西、北侧满足</w:t>
      </w:r>
      <w:r>
        <w:rPr>
          <w:color w:val="auto"/>
        </w:rPr>
        <w:t>《声环境质量标准》（GB3096-2008）</w:t>
      </w:r>
      <w:r>
        <w:rPr>
          <w:rFonts w:hint="eastAsia"/>
          <w:color w:val="auto"/>
        </w:rPr>
        <w:t>3</w:t>
      </w:r>
      <w:r>
        <w:rPr>
          <w:color w:val="auto"/>
        </w:rPr>
        <w:t>类标准要求</w:t>
      </w:r>
      <w:r>
        <w:rPr>
          <w:rFonts w:hint="eastAsia"/>
          <w:color w:val="auto"/>
        </w:rPr>
        <w:t>，南侧厂界满足</w:t>
      </w:r>
      <w:r>
        <w:rPr>
          <w:color w:val="auto"/>
        </w:rPr>
        <w:t>《声环境质量标准》（GB3096-2008）</w:t>
      </w:r>
      <w:r>
        <w:rPr>
          <w:rFonts w:hint="eastAsia"/>
          <w:color w:val="auto"/>
        </w:rPr>
        <w:t>4a</w:t>
      </w:r>
      <w:r>
        <w:rPr>
          <w:color w:val="auto"/>
        </w:rPr>
        <w:t>类标准要求</w:t>
      </w:r>
      <w:r>
        <w:rPr>
          <w:rFonts w:hint="eastAsia"/>
          <w:color w:val="auto"/>
        </w:rPr>
        <w:t>，</w:t>
      </w:r>
      <w:r>
        <w:rPr>
          <w:color w:val="auto"/>
        </w:rPr>
        <w:t>项目所在区域声环境质量较好</w:t>
      </w:r>
      <w:r>
        <w:rPr>
          <w:rFonts w:hint="eastAsia"/>
          <w:color w:val="auto"/>
        </w:rPr>
        <w:t>。</w:t>
      </w:r>
    </w:p>
    <w:p>
      <w:pPr>
        <w:pStyle w:val="6"/>
        <w:rPr>
          <w:color w:val="auto"/>
        </w:rPr>
      </w:pPr>
      <w:bookmarkStart w:id="225" w:name="_Toc25590"/>
      <w:bookmarkStart w:id="226" w:name="_Toc10868"/>
      <w:bookmarkStart w:id="227" w:name="_Toc28730"/>
      <w:r>
        <w:rPr>
          <w:rFonts w:hint="eastAsia"/>
          <w:color w:val="auto"/>
        </w:rPr>
        <w:t>9</w:t>
      </w:r>
      <w:r>
        <w:rPr>
          <w:color w:val="auto"/>
        </w:rPr>
        <w:t>.3环境影响及环保措施</w:t>
      </w:r>
      <w:bookmarkEnd w:id="225"/>
      <w:bookmarkEnd w:id="226"/>
      <w:bookmarkEnd w:id="227"/>
    </w:p>
    <w:p>
      <w:pPr>
        <w:ind w:firstLine="482"/>
        <w:rPr>
          <w:b/>
          <w:bCs/>
          <w:color w:val="auto"/>
        </w:rPr>
      </w:pPr>
      <w:r>
        <w:rPr>
          <w:b/>
          <w:bCs/>
          <w:color w:val="auto"/>
        </w:rPr>
        <w:t>1、大气环境</w:t>
      </w:r>
    </w:p>
    <w:p>
      <w:pPr>
        <w:ind w:firstLine="480"/>
        <w:rPr>
          <w:color w:val="auto"/>
        </w:rPr>
      </w:pPr>
      <w:r>
        <w:rPr>
          <w:rFonts w:hint="eastAsia"/>
          <w:color w:val="auto"/>
        </w:rPr>
        <w:t>本项目营运期排放的废气包括非甲烷总烃、粉尘。根据废气产生的情况，挤出</w:t>
      </w:r>
      <w:r>
        <w:rPr>
          <w:rFonts w:hint="eastAsia"/>
          <w:color w:val="auto"/>
          <w:lang w:eastAsia="zh-CN"/>
        </w:rPr>
        <w:t>、</w:t>
      </w:r>
      <w:r>
        <w:rPr>
          <w:rFonts w:hint="eastAsia"/>
          <w:color w:val="auto"/>
          <w:lang w:val="en-US" w:eastAsia="zh-CN"/>
        </w:rPr>
        <w:t>造粒</w:t>
      </w:r>
      <w:r>
        <w:rPr>
          <w:rFonts w:hint="eastAsia"/>
          <w:color w:val="auto"/>
        </w:rPr>
        <w:t>工序产生的非甲烷总烃采用集气罩+两级活性炭吸附后经</w:t>
      </w:r>
      <w:r>
        <w:rPr>
          <w:rFonts w:hint="eastAsia"/>
          <w:color w:val="auto"/>
          <w:lang w:val="en-US" w:eastAsia="zh-CN"/>
        </w:rPr>
        <w:t>一</w:t>
      </w:r>
      <w:r>
        <w:rPr>
          <w:rFonts w:hint="eastAsia"/>
          <w:color w:val="auto"/>
        </w:rPr>
        <w:t>根</w:t>
      </w:r>
      <w:r>
        <w:rPr>
          <w:rFonts w:hint="eastAsia"/>
          <w:color w:val="auto"/>
          <w:lang w:val="en-US" w:eastAsia="zh-CN"/>
        </w:rPr>
        <w:t>18m</w:t>
      </w:r>
      <w:r>
        <w:rPr>
          <w:rFonts w:hint="eastAsia"/>
          <w:color w:val="auto"/>
        </w:rPr>
        <w:t>高排气筒（DA001）排放</w:t>
      </w:r>
      <w:r>
        <w:rPr>
          <w:rFonts w:hint="eastAsia"/>
          <w:color w:val="auto"/>
          <w:lang w:eastAsia="zh-CN"/>
        </w:rPr>
        <w:t>；</w:t>
      </w:r>
      <w:r>
        <w:rPr>
          <w:rFonts w:hint="eastAsia"/>
          <w:color w:val="auto"/>
          <w:lang w:val="en-US" w:eastAsia="zh-CN"/>
        </w:rPr>
        <w:t>破碎工序产生的粉尘通过集气罩+布袋除尘处理后经过18m高排气筒（DA002）排放</w:t>
      </w:r>
      <w:r>
        <w:rPr>
          <w:rFonts w:hint="eastAsia"/>
          <w:color w:val="auto"/>
        </w:rPr>
        <w:t>。根据原辅材料用量和操作时数预测污染物浓度和排放数量，项目有组织废气非甲烷总烃、颗粒物满足《合成树脂工业污染物排放标准》（GB31572-2015）表4中的排放限值，臭气浓度满足《恶臭污染物排放标准》（GB14554-93）表2排放限值。厂界无组织废气非甲烷总烃、颗粒物满足《合成树脂工业污染物排放标准》（GB31572-2015）表9排放限值，臭气浓度满足《恶臭污染物排放标准》（GB14554-93）表1排放限值。厂区内无组织废气非甲烷总烃满足《挥发性有机物无组织排放控制标准》(GB 37822—2019)附录A表A.1排放限值，对环境的影响可以接受。</w:t>
      </w:r>
    </w:p>
    <w:p>
      <w:pPr>
        <w:ind w:firstLine="482"/>
        <w:rPr>
          <w:b/>
          <w:bCs/>
          <w:color w:val="auto"/>
        </w:rPr>
      </w:pPr>
      <w:r>
        <w:rPr>
          <w:b/>
          <w:bCs/>
          <w:color w:val="auto"/>
        </w:rPr>
        <w:t>2、地表水环境</w:t>
      </w:r>
    </w:p>
    <w:p>
      <w:pPr>
        <w:ind w:firstLine="480"/>
        <w:rPr>
          <w:color w:val="auto"/>
        </w:rPr>
      </w:pPr>
      <w:r>
        <w:rPr>
          <w:color w:val="auto"/>
        </w:rPr>
        <w:t>项目建成后，冷却水循环冷却池后循环使用，按时补充损耗，不外排。生活污水经</w:t>
      </w:r>
      <w:r>
        <w:rPr>
          <w:rFonts w:hint="eastAsia"/>
          <w:color w:val="auto"/>
        </w:rPr>
        <w:t>园区</w:t>
      </w:r>
      <w:r>
        <w:rPr>
          <w:color w:val="auto"/>
        </w:rPr>
        <w:t>化粪池</w:t>
      </w:r>
      <w:r>
        <w:rPr>
          <w:rFonts w:hint="eastAsia"/>
          <w:color w:val="auto"/>
        </w:rPr>
        <w:t>预</w:t>
      </w:r>
      <w:r>
        <w:rPr>
          <w:color w:val="auto"/>
        </w:rPr>
        <w:t>处理</w:t>
      </w:r>
      <w:r>
        <w:rPr>
          <w:rFonts w:hint="eastAsia"/>
          <w:color w:val="auto"/>
        </w:rPr>
        <w:t>后经市政污水管网排入汨罗市城市污水处理厂进一步处理达标，最终排入汨罗江</w:t>
      </w:r>
      <w:r>
        <w:rPr>
          <w:color w:val="auto"/>
        </w:rPr>
        <w:t>。</w:t>
      </w:r>
    </w:p>
    <w:p>
      <w:pPr>
        <w:ind w:firstLine="482"/>
        <w:rPr>
          <w:b/>
          <w:bCs/>
          <w:color w:val="auto"/>
        </w:rPr>
      </w:pPr>
      <w:r>
        <w:rPr>
          <w:b/>
          <w:bCs/>
          <w:color w:val="auto"/>
        </w:rPr>
        <w:t>3、地下水</w:t>
      </w:r>
    </w:p>
    <w:p>
      <w:pPr>
        <w:ind w:firstLine="480"/>
        <w:rPr>
          <w:color w:val="auto"/>
        </w:rPr>
      </w:pPr>
      <w:r>
        <w:rPr>
          <w:color w:val="auto"/>
        </w:rPr>
        <w:t>本项目已从工艺装置的设计、地面硬化等各方面对本项目所在区域进行了较为全面的防渗措施，不会发生废水对地下水渗漏，影响地下水。在规范排污及加强监管等前提下，本项目对项目区地下水影响不大。</w:t>
      </w:r>
    </w:p>
    <w:p>
      <w:pPr>
        <w:ind w:firstLine="482"/>
        <w:rPr>
          <w:b/>
          <w:bCs/>
          <w:color w:val="auto"/>
        </w:rPr>
      </w:pPr>
      <w:r>
        <w:rPr>
          <w:b/>
          <w:bCs/>
          <w:color w:val="auto"/>
        </w:rPr>
        <w:t>4、声环境</w:t>
      </w:r>
    </w:p>
    <w:p>
      <w:pPr>
        <w:ind w:firstLine="480"/>
        <w:rPr>
          <w:color w:val="auto"/>
        </w:rPr>
      </w:pPr>
      <w:r>
        <w:rPr>
          <w:color w:val="auto"/>
        </w:rPr>
        <w:t>建设项目正常营运时，在采取隔声、消声、减振等措施处理后，噪声贡献值较小，</w:t>
      </w:r>
      <w:r>
        <w:rPr>
          <w:rFonts w:hint="eastAsia"/>
          <w:color w:val="auto"/>
        </w:rPr>
        <w:t>东、南、西、北</w:t>
      </w:r>
      <w:r>
        <w:rPr>
          <w:color w:val="auto"/>
        </w:rPr>
        <w:t>厂界噪声满足《工业企业厂界环境噪声排放标准》（GB12348-2008）</w:t>
      </w:r>
      <w:r>
        <w:rPr>
          <w:rFonts w:hint="eastAsia"/>
          <w:color w:val="auto"/>
        </w:rPr>
        <w:t>3</w:t>
      </w:r>
      <w:r>
        <w:rPr>
          <w:color w:val="auto"/>
        </w:rPr>
        <w:t>类标准要求</w:t>
      </w:r>
      <w:r>
        <w:rPr>
          <w:rFonts w:hint="eastAsia"/>
          <w:color w:val="auto"/>
        </w:rPr>
        <w:t>，</w:t>
      </w:r>
      <w:r>
        <w:rPr>
          <w:color w:val="auto"/>
        </w:rPr>
        <w:t>项目的建设不会对附近声环境质量产生明显不利影响。</w:t>
      </w:r>
    </w:p>
    <w:p>
      <w:pPr>
        <w:ind w:firstLine="482"/>
        <w:rPr>
          <w:b/>
          <w:bCs/>
          <w:color w:val="auto"/>
        </w:rPr>
      </w:pPr>
      <w:r>
        <w:rPr>
          <w:b/>
          <w:bCs/>
          <w:color w:val="auto"/>
        </w:rPr>
        <w:t>5、固体废物</w:t>
      </w:r>
    </w:p>
    <w:p>
      <w:pPr>
        <w:ind w:firstLine="480"/>
        <w:rPr>
          <w:color w:val="auto"/>
        </w:rPr>
      </w:pPr>
      <w:r>
        <w:rPr>
          <w:color w:val="auto"/>
        </w:rPr>
        <w:t>本项目固体废物分类收集，其中生活垃圾由环卫部门及时收集和清运，一般工业废物可以回收利用的，回用于生产，其余分类收集后外售处理，危险废物在危险废物暂存间内分类暂存后委托有资质的专门单位收集处理。各类固体废物均有成熟可靠的处理措施，企业能够实施有效管理，不会对区域环境产生影响，可做到安全处置。</w:t>
      </w:r>
    </w:p>
    <w:p>
      <w:pPr>
        <w:ind w:firstLine="482"/>
        <w:rPr>
          <w:b/>
          <w:bCs/>
          <w:color w:val="auto"/>
        </w:rPr>
      </w:pPr>
      <w:r>
        <w:rPr>
          <w:b/>
          <w:bCs/>
          <w:color w:val="auto"/>
        </w:rPr>
        <w:t>6、土壤环境影响</w:t>
      </w:r>
    </w:p>
    <w:p>
      <w:pPr>
        <w:ind w:firstLine="480"/>
        <w:rPr>
          <w:color w:val="auto"/>
        </w:rPr>
      </w:pPr>
      <w:r>
        <w:rPr>
          <w:color w:val="auto"/>
        </w:rPr>
        <w:t>危险废物暂存库设施已按照《危险废物贮存污染控制标准》（</w:t>
      </w:r>
      <w:r>
        <w:rPr>
          <w:rFonts w:hint="eastAsia"/>
          <w:color w:val="auto"/>
          <w:lang w:eastAsia="zh-CN"/>
        </w:rPr>
        <w:t>GB18597-2023</w:t>
      </w:r>
      <w:r>
        <w:rPr>
          <w:color w:val="auto"/>
        </w:rPr>
        <w:t>）及2013年修改单的有关规范进行建设与维护，可保证各危险废物能得到妥善的贮存和处理，只要各个环节得到良好的控制，项目危险废物的贮存对周边土壤的影响较小。</w:t>
      </w:r>
    </w:p>
    <w:p>
      <w:pPr>
        <w:ind w:firstLine="482"/>
        <w:rPr>
          <w:b/>
          <w:bCs/>
          <w:color w:val="auto"/>
        </w:rPr>
      </w:pPr>
      <w:r>
        <w:rPr>
          <w:b/>
          <w:bCs/>
          <w:color w:val="auto"/>
        </w:rPr>
        <w:t>7、环境风险评价结论</w:t>
      </w:r>
    </w:p>
    <w:p>
      <w:pPr>
        <w:ind w:firstLine="480"/>
        <w:rPr>
          <w:color w:val="auto"/>
        </w:rPr>
      </w:pPr>
      <w:r>
        <w:rPr>
          <w:color w:val="auto"/>
        </w:rPr>
        <w:t>本项目环境风险主要为危险废物泄露环境风险事故</w:t>
      </w:r>
      <w:r>
        <w:rPr>
          <w:rFonts w:hint="eastAsia"/>
          <w:color w:val="auto"/>
        </w:rPr>
        <w:t>、火灾风险事故</w:t>
      </w:r>
      <w:r>
        <w:rPr>
          <w:color w:val="auto"/>
        </w:rPr>
        <w:t>。通过严格落实本报告的提出各项环境风险防范措施和应急预案，加强管理，可最大限度地减小环境风险事故发生概率。一旦发生事故，可将影响范围控制在较小程度之内，减小损失。</w:t>
      </w:r>
    </w:p>
    <w:p>
      <w:pPr>
        <w:ind w:firstLine="480"/>
        <w:rPr>
          <w:color w:val="auto"/>
        </w:rPr>
      </w:pPr>
      <w:r>
        <w:rPr>
          <w:color w:val="auto"/>
        </w:rPr>
        <w:t>企业在运营期间应不断完善企业事故防范和应急体系，实现企业联防联动，减少项目环境风险事故发生的概率，将其影响危害控制在厂区内。</w:t>
      </w:r>
    </w:p>
    <w:p>
      <w:pPr>
        <w:pStyle w:val="6"/>
        <w:rPr>
          <w:color w:val="auto"/>
        </w:rPr>
      </w:pPr>
      <w:bookmarkStart w:id="228" w:name="_Toc18753"/>
      <w:bookmarkStart w:id="229" w:name="_Toc7155"/>
      <w:bookmarkStart w:id="230" w:name="_Toc15783"/>
      <w:r>
        <w:rPr>
          <w:rFonts w:hint="eastAsia"/>
          <w:color w:val="auto"/>
        </w:rPr>
        <w:t>9</w:t>
      </w:r>
      <w:r>
        <w:rPr>
          <w:color w:val="auto"/>
        </w:rPr>
        <w:t>.</w:t>
      </w:r>
      <w:r>
        <w:rPr>
          <w:rFonts w:hint="eastAsia"/>
          <w:color w:val="auto"/>
        </w:rPr>
        <w:t>4</w:t>
      </w:r>
      <w:r>
        <w:rPr>
          <w:color w:val="auto"/>
        </w:rPr>
        <w:t>环境影响经济损益分析</w:t>
      </w:r>
      <w:bookmarkEnd w:id="228"/>
      <w:bookmarkEnd w:id="229"/>
      <w:bookmarkEnd w:id="230"/>
    </w:p>
    <w:p>
      <w:pPr>
        <w:ind w:firstLine="480"/>
        <w:rPr>
          <w:color w:val="auto"/>
        </w:rPr>
      </w:pPr>
      <w:r>
        <w:rPr>
          <w:color w:val="auto"/>
        </w:rPr>
        <w:t>本项目的综合效益较为明显，项目运营所产生的环境影响在可接受范围内，在做好污染防治措施和风险防范措施的前提下，本项目从环境经济效益分析上是可行的。</w:t>
      </w:r>
    </w:p>
    <w:p>
      <w:pPr>
        <w:pStyle w:val="6"/>
        <w:rPr>
          <w:color w:val="auto"/>
        </w:rPr>
      </w:pPr>
      <w:bookmarkStart w:id="231" w:name="_Toc30756"/>
      <w:bookmarkStart w:id="232" w:name="_Toc32322"/>
      <w:bookmarkStart w:id="233" w:name="_Toc3228"/>
      <w:r>
        <w:rPr>
          <w:rFonts w:hint="eastAsia"/>
          <w:color w:val="auto"/>
        </w:rPr>
        <w:t>9</w:t>
      </w:r>
      <w:r>
        <w:rPr>
          <w:color w:val="auto"/>
        </w:rPr>
        <w:t>.</w:t>
      </w:r>
      <w:r>
        <w:rPr>
          <w:rFonts w:hint="eastAsia"/>
          <w:color w:val="auto"/>
        </w:rPr>
        <w:t>5</w:t>
      </w:r>
      <w:r>
        <w:rPr>
          <w:color w:val="auto"/>
        </w:rPr>
        <w:t>环境管理与环境监测计划</w:t>
      </w:r>
      <w:bookmarkEnd w:id="231"/>
      <w:bookmarkEnd w:id="232"/>
      <w:bookmarkEnd w:id="233"/>
    </w:p>
    <w:p>
      <w:pPr>
        <w:ind w:firstLine="480"/>
        <w:rPr>
          <w:color w:val="auto"/>
        </w:rPr>
      </w:pPr>
      <w:r>
        <w:rPr>
          <w:color w:val="auto"/>
        </w:rPr>
        <w:t>项目应建立健全环保监督、管理制度和管理机构。建设单位应根据本报告提出的环境监测计划结合项目实际情况完善、落实监测计划。</w:t>
      </w:r>
    </w:p>
    <w:p>
      <w:pPr>
        <w:pStyle w:val="6"/>
        <w:rPr>
          <w:color w:val="auto"/>
        </w:rPr>
      </w:pPr>
      <w:bookmarkStart w:id="234" w:name="_Toc12828"/>
      <w:bookmarkStart w:id="235" w:name="_Toc14132"/>
      <w:bookmarkStart w:id="236" w:name="_Toc9712"/>
      <w:r>
        <w:rPr>
          <w:rFonts w:hint="eastAsia"/>
          <w:color w:val="auto"/>
        </w:rPr>
        <w:t>9</w:t>
      </w:r>
      <w:r>
        <w:rPr>
          <w:color w:val="auto"/>
        </w:rPr>
        <w:t>.</w:t>
      </w:r>
      <w:r>
        <w:rPr>
          <w:rFonts w:hint="eastAsia"/>
          <w:color w:val="auto"/>
        </w:rPr>
        <w:t>6</w:t>
      </w:r>
      <w:r>
        <w:rPr>
          <w:color w:val="auto"/>
        </w:rPr>
        <w:t>总量控制</w:t>
      </w:r>
      <w:bookmarkEnd w:id="234"/>
      <w:bookmarkEnd w:id="235"/>
      <w:bookmarkEnd w:id="236"/>
    </w:p>
    <w:p>
      <w:pPr>
        <w:ind w:firstLine="480"/>
        <w:rPr>
          <w:bCs/>
          <w:color w:val="auto"/>
        </w:rPr>
      </w:pPr>
      <w:r>
        <w:rPr>
          <w:rFonts w:hint="eastAsia"/>
          <w:bCs/>
          <w:color w:val="auto"/>
        </w:rPr>
        <w:t>按照国家和湖南省环保厅的要求，国家实施总量控制的主要污染物共5项，其中空气污染物3项（NO</w:t>
      </w:r>
      <w:r>
        <w:rPr>
          <w:rFonts w:hint="eastAsia"/>
          <w:bCs/>
          <w:color w:val="auto"/>
          <w:vertAlign w:val="subscript"/>
        </w:rPr>
        <w:t>X</w:t>
      </w:r>
      <w:r>
        <w:rPr>
          <w:rFonts w:hint="eastAsia"/>
          <w:bCs/>
          <w:color w:val="auto"/>
        </w:rPr>
        <w:t>、SO</w:t>
      </w:r>
      <w:r>
        <w:rPr>
          <w:rFonts w:hint="eastAsia"/>
          <w:bCs/>
          <w:color w:val="auto"/>
          <w:vertAlign w:val="subscript"/>
        </w:rPr>
        <w:t>2</w:t>
      </w:r>
      <w:r>
        <w:rPr>
          <w:rFonts w:hint="eastAsia"/>
          <w:bCs/>
          <w:color w:val="auto"/>
        </w:rPr>
        <w:t>、VOCs），水污染物2项（CODcr、NH</w:t>
      </w:r>
      <w:r>
        <w:rPr>
          <w:rFonts w:hint="eastAsia"/>
          <w:bCs/>
          <w:color w:val="auto"/>
          <w:vertAlign w:val="subscript"/>
        </w:rPr>
        <w:t>3</w:t>
      </w:r>
      <w:r>
        <w:rPr>
          <w:rFonts w:hint="eastAsia"/>
          <w:bCs/>
          <w:color w:val="auto"/>
        </w:rPr>
        <w:t>-N），综合考虑工程项目的工艺特征和排污特点，并结合项目周围环境状况来确定本项目总量控制因子。</w:t>
      </w:r>
    </w:p>
    <w:p>
      <w:pPr>
        <w:ind w:firstLine="480"/>
        <w:rPr>
          <w:bCs/>
          <w:color w:val="auto"/>
        </w:rPr>
      </w:pPr>
      <w:r>
        <w:rPr>
          <w:rFonts w:hint="eastAsia"/>
          <w:bCs/>
          <w:color w:val="auto"/>
        </w:rPr>
        <w:t>根据本项目污染物排放特点，确定本项目污染物排放总量控制因子为VOCs，建议总量控制指标见下表；</w:t>
      </w:r>
    </w:p>
    <w:p>
      <w:pPr>
        <w:ind w:firstLine="480"/>
        <w:rPr>
          <w:bCs/>
          <w:color w:val="auto"/>
        </w:rPr>
      </w:pPr>
      <w:r>
        <w:rPr>
          <w:rFonts w:hint="eastAsia"/>
          <w:bCs/>
          <w:color w:val="auto"/>
        </w:rPr>
        <w:t>本项目总量控制指标如下。</w:t>
      </w:r>
    </w:p>
    <w:p>
      <w:pPr>
        <w:pStyle w:val="31"/>
        <w:rPr>
          <w:color w:val="auto"/>
          <w:highlight w:val="none"/>
        </w:rPr>
      </w:pPr>
      <w:r>
        <w:rPr>
          <w:color w:val="auto"/>
          <w:highlight w:val="none"/>
        </w:rPr>
        <w:t>表</w:t>
      </w:r>
      <w:r>
        <w:rPr>
          <w:rFonts w:hint="eastAsia"/>
          <w:color w:val="auto"/>
          <w:highlight w:val="none"/>
        </w:rPr>
        <w:t>9.6</w:t>
      </w:r>
      <w:r>
        <w:rPr>
          <w:color w:val="auto"/>
          <w:highlight w:val="none"/>
        </w:rPr>
        <w:t>-</w:t>
      </w:r>
      <w:r>
        <w:rPr>
          <w:rFonts w:hint="eastAsia"/>
          <w:color w:val="auto"/>
          <w:highlight w:val="none"/>
        </w:rPr>
        <w:t>1</w:t>
      </w:r>
      <w:r>
        <w:rPr>
          <w:color w:val="auto"/>
          <w:highlight w:val="none"/>
        </w:rPr>
        <w:t>污染物排放总量指标 单位：t/a</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3016"/>
        <w:gridCol w:w="3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9" w:type="dxa"/>
            <w:vAlign w:val="center"/>
          </w:tcPr>
          <w:p>
            <w:pPr>
              <w:pStyle w:val="30"/>
              <w:rPr>
                <w:b/>
                <w:bCs/>
                <w:color w:val="auto"/>
                <w:highlight w:val="none"/>
              </w:rPr>
            </w:pPr>
            <w:r>
              <w:rPr>
                <w:b/>
                <w:bCs/>
                <w:color w:val="auto"/>
                <w:highlight w:val="none"/>
              </w:rPr>
              <w:t>总量控制因子</w:t>
            </w:r>
          </w:p>
        </w:tc>
        <w:tc>
          <w:tcPr>
            <w:tcW w:w="3016" w:type="dxa"/>
            <w:vAlign w:val="center"/>
          </w:tcPr>
          <w:p>
            <w:pPr>
              <w:pStyle w:val="30"/>
              <w:rPr>
                <w:b/>
                <w:bCs/>
                <w:color w:val="auto"/>
                <w:highlight w:val="none"/>
              </w:rPr>
            </w:pPr>
            <w:r>
              <w:rPr>
                <w:b/>
                <w:bCs/>
                <w:color w:val="auto"/>
                <w:highlight w:val="none"/>
              </w:rPr>
              <w:t>本项目排放量</w:t>
            </w:r>
          </w:p>
        </w:tc>
        <w:tc>
          <w:tcPr>
            <w:tcW w:w="3180" w:type="dxa"/>
            <w:vAlign w:val="center"/>
          </w:tcPr>
          <w:p>
            <w:pPr>
              <w:pStyle w:val="30"/>
              <w:rPr>
                <w:b/>
                <w:bCs/>
                <w:color w:val="auto"/>
                <w:highlight w:val="none"/>
              </w:rPr>
            </w:pPr>
            <w:r>
              <w:rPr>
                <w:rFonts w:hint="eastAsia"/>
                <w:b/>
                <w:bCs/>
                <w:color w:val="auto"/>
                <w:highlight w:val="none"/>
              </w:rPr>
              <w:t>指标建议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469" w:type="dxa"/>
            <w:vAlign w:val="center"/>
          </w:tcPr>
          <w:p>
            <w:pPr>
              <w:pStyle w:val="30"/>
              <w:rPr>
                <w:color w:val="auto"/>
                <w:highlight w:val="none"/>
              </w:rPr>
            </w:pPr>
            <w:r>
              <w:rPr>
                <w:rFonts w:hint="eastAsia"/>
                <w:color w:val="auto"/>
                <w:highlight w:val="none"/>
              </w:rPr>
              <w:t>VOCs（以非甲烷总烃计）</w:t>
            </w:r>
          </w:p>
        </w:tc>
        <w:tc>
          <w:tcPr>
            <w:tcW w:w="3016" w:type="dxa"/>
            <w:vAlign w:val="center"/>
          </w:tcPr>
          <w:p>
            <w:pPr>
              <w:pStyle w:val="30"/>
              <w:rPr>
                <w:rFonts w:hint="default" w:eastAsia="宋体"/>
                <w:color w:val="auto"/>
                <w:highlight w:val="none"/>
                <w:lang w:val="en-US" w:eastAsia="zh-CN"/>
              </w:rPr>
            </w:pPr>
            <w:r>
              <w:rPr>
                <w:rFonts w:hint="eastAsia"/>
                <w:color w:val="auto"/>
                <w:highlight w:val="none"/>
                <w:lang w:val="en-US" w:eastAsia="zh-CN"/>
              </w:rPr>
              <w:t>8.1</w:t>
            </w:r>
          </w:p>
        </w:tc>
        <w:tc>
          <w:tcPr>
            <w:tcW w:w="3180" w:type="dxa"/>
            <w:vAlign w:val="center"/>
          </w:tcPr>
          <w:p>
            <w:pPr>
              <w:pStyle w:val="30"/>
              <w:rPr>
                <w:rFonts w:hint="default" w:eastAsia="宋体"/>
                <w:color w:val="auto"/>
                <w:highlight w:val="none"/>
                <w:lang w:val="en-US" w:eastAsia="zh-CN"/>
              </w:rPr>
            </w:pPr>
            <w:r>
              <w:rPr>
                <w:rFonts w:hint="eastAsia"/>
                <w:color w:val="auto"/>
                <w:highlight w:val="none"/>
                <w:lang w:val="en-US" w:eastAsia="zh-CN"/>
              </w:rPr>
              <w:t>8.1</w:t>
            </w:r>
          </w:p>
        </w:tc>
      </w:tr>
    </w:tbl>
    <w:p>
      <w:pPr>
        <w:pStyle w:val="6"/>
        <w:rPr>
          <w:color w:val="auto"/>
        </w:rPr>
      </w:pPr>
      <w:bookmarkStart w:id="237" w:name="_Toc14041"/>
      <w:bookmarkStart w:id="238" w:name="_Toc11875"/>
      <w:bookmarkStart w:id="239" w:name="_Toc1539"/>
      <w:r>
        <w:rPr>
          <w:rFonts w:hint="eastAsia"/>
          <w:color w:val="auto"/>
        </w:rPr>
        <w:t>9</w:t>
      </w:r>
      <w:r>
        <w:rPr>
          <w:color w:val="auto"/>
        </w:rPr>
        <w:t>.</w:t>
      </w:r>
      <w:r>
        <w:rPr>
          <w:rFonts w:hint="eastAsia"/>
          <w:color w:val="auto"/>
        </w:rPr>
        <w:t>7</w:t>
      </w:r>
      <w:r>
        <w:rPr>
          <w:color w:val="auto"/>
        </w:rPr>
        <w:t>产业政策及选址可行性</w:t>
      </w:r>
      <w:bookmarkEnd w:id="237"/>
      <w:bookmarkEnd w:id="238"/>
      <w:bookmarkEnd w:id="239"/>
    </w:p>
    <w:p>
      <w:pPr>
        <w:ind w:firstLine="482"/>
        <w:rPr>
          <w:b/>
          <w:bCs/>
          <w:color w:val="auto"/>
        </w:rPr>
      </w:pPr>
      <w:r>
        <w:rPr>
          <w:b/>
          <w:bCs/>
          <w:color w:val="auto"/>
        </w:rPr>
        <w:t>1、产业政策符合性</w:t>
      </w:r>
    </w:p>
    <w:p>
      <w:pPr>
        <w:ind w:firstLine="480"/>
        <w:rPr>
          <w:color w:val="auto"/>
        </w:rPr>
      </w:pPr>
      <w:r>
        <w:rPr>
          <w:color w:val="auto"/>
        </w:rPr>
        <w:t>本项目PE管使用</w:t>
      </w:r>
      <w:r>
        <w:rPr>
          <w:rFonts w:hint="eastAsia"/>
          <w:color w:val="auto"/>
        </w:rPr>
        <w:t>再生塑料颗粒作</w:t>
      </w:r>
      <w:r>
        <w:rPr>
          <w:color w:val="auto"/>
        </w:rPr>
        <w:t>为原料，属于《产业结构调整指导目录（2019年本）》中“第一项鼓励类-四十三、环境保护与资源节约综合利用-26、再生资源、建筑垃圾资源化回收利用工程和产业化”，为鼓励类项目，项目符合国家最新产业政策。</w:t>
      </w:r>
    </w:p>
    <w:p>
      <w:pPr>
        <w:ind w:firstLine="482"/>
        <w:rPr>
          <w:b/>
          <w:bCs/>
          <w:color w:val="auto"/>
        </w:rPr>
      </w:pPr>
      <w:r>
        <w:rPr>
          <w:rFonts w:hint="eastAsia"/>
          <w:b/>
          <w:bCs/>
          <w:color w:val="auto"/>
        </w:rPr>
        <w:t>2、选址可行性</w:t>
      </w:r>
    </w:p>
    <w:p>
      <w:pPr>
        <w:ind w:firstLine="480"/>
        <w:rPr>
          <w:color w:val="auto"/>
        </w:rPr>
      </w:pPr>
      <w:r>
        <w:rPr>
          <w:rFonts w:hint="eastAsia"/>
          <w:color w:val="auto"/>
        </w:rPr>
        <w:t>本项目位于汨罗市新市镇汨罗循环经济产业园G536与青春大道交界处107国道以东，租赁闲置厂房进行建设。2006年新市镇建立了以铜材铝锭、塑胶料为主要产品的再生资源加工工业区，以再生资源加工为主导，产业正在蓬勃发展。通过产业链延伸，做大做强，在龙头企业的带动下，已形成了一条初具规模的再生资源利用加工、农业机械制造、电子产品生产的产业链。本项目属于再生塑料再利用，不违反新市镇的产业政策。</w:t>
      </w:r>
    </w:p>
    <w:p>
      <w:pPr>
        <w:ind w:firstLine="480"/>
        <w:rPr>
          <w:color w:val="auto"/>
        </w:rPr>
      </w:pPr>
      <w:r>
        <w:rPr>
          <w:rFonts w:hint="eastAsia"/>
          <w:color w:val="auto"/>
        </w:rPr>
        <w:t>项目选址不属于自然保护区、风景名胜区、森林公园、重要湖泊周边、文物古迹所在地、地质遗迹保护区、基本农田保护区等区域。本项目西侧为G107，交通便利。项目虽距离居民点较近，但本项目工艺较为简单，项目废水、废气、噪声、固废产生量较小，且均得到合理的处置，对周边的影响较小，项目的建设与周边环境不冲突，故本项目选址不存在明显环境制约因素。</w:t>
      </w:r>
    </w:p>
    <w:p>
      <w:pPr>
        <w:ind w:firstLine="480"/>
        <w:rPr>
          <w:color w:val="auto"/>
        </w:rPr>
      </w:pPr>
      <w:r>
        <w:rPr>
          <w:rFonts w:hint="eastAsia"/>
          <w:color w:val="auto"/>
        </w:rPr>
        <w:t>综上所述，本项目选址是合理的。</w:t>
      </w:r>
    </w:p>
    <w:p>
      <w:pPr>
        <w:pStyle w:val="6"/>
        <w:rPr>
          <w:color w:val="auto"/>
        </w:rPr>
      </w:pPr>
      <w:bookmarkStart w:id="240" w:name="_Toc7908"/>
      <w:bookmarkStart w:id="241" w:name="_Toc1001"/>
      <w:bookmarkStart w:id="242" w:name="_Toc24035"/>
      <w:r>
        <w:rPr>
          <w:rFonts w:hint="eastAsia"/>
          <w:color w:val="auto"/>
        </w:rPr>
        <w:t>9</w:t>
      </w:r>
      <w:r>
        <w:rPr>
          <w:color w:val="auto"/>
        </w:rPr>
        <w:t>.</w:t>
      </w:r>
      <w:r>
        <w:rPr>
          <w:rFonts w:hint="eastAsia"/>
          <w:color w:val="auto"/>
        </w:rPr>
        <w:t>8公众参与</w:t>
      </w:r>
      <w:bookmarkEnd w:id="240"/>
      <w:bookmarkEnd w:id="241"/>
      <w:bookmarkEnd w:id="242"/>
    </w:p>
    <w:p>
      <w:pPr>
        <w:ind w:firstLine="480"/>
        <w:jc w:val="left"/>
        <w:rPr>
          <w:color w:val="auto"/>
        </w:rPr>
      </w:pPr>
      <w:r>
        <w:rPr>
          <w:color w:val="auto"/>
        </w:rPr>
        <w:t>在环评工作进行中，202</w:t>
      </w:r>
      <w:r>
        <w:rPr>
          <w:rFonts w:hint="eastAsia"/>
          <w:color w:val="auto"/>
        </w:rPr>
        <w:t>3</w:t>
      </w:r>
      <w:r>
        <w:rPr>
          <w:color w:val="auto"/>
        </w:rPr>
        <w:t>年</w:t>
      </w:r>
      <w:r>
        <w:rPr>
          <w:rFonts w:hint="eastAsia"/>
          <w:color w:val="auto"/>
        </w:rPr>
        <w:t>1</w:t>
      </w:r>
      <w:r>
        <w:rPr>
          <w:color w:val="auto"/>
        </w:rPr>
        <w:t>月</w:t>
      </w:r>
      <w:r>
        <w:rPr>
          <w:rFonts w:hint="eastAsia"/>
          <w:color w:val="auto"/>
        </w:rPr>
        <w:t>31</w:t>
      </w:r>
      <w:r>
        <w:rPr>
          <w:color w:val="auto"/>
        </w:rPr>
        <w:t>日，湖南博泰管业有限公司在确定环评单位后7日内在</w:t>
      </w:r>
      <w:r>
        <w:rPr>
          <w:rFonts w:hint="eastAsia"/>
          <w:color w:val="auto"/>
        </w:rPr>
        <w:t>环评互联网</w:t>
      </w:r>
      <w:r>
        <w:rPr>
          <w:color w:val="auto"/>
        </w:rPr>
        <w:t>上（https://www.eiacloud.com/gs/detail/3?id=301314PEZC）进行了第一次环境影响评价信息公开，第一次信息公开的同时一并公示了“公众意见表”以收集附近公众对拟建项目的意见和建议。</w:t>
      </w:r>
    </w:p>
    <w:p>
      <w:pPr>
        <w:pStyle w:val="6"/>
        <w:rPr>
          <w:color w:val="auto"/>
        </w:rPr>
      </w:pPr>
      <w:bookmarkStart w:id="243" w:name="_Toc29013"/>
      <w:bookmarkStart w:id="244" w:name="_Toc11684"/>
      <w:bookmarkStart w:id="245" w:name="_Toc25190"/>
      <w:r>
        <w:rPr>
          <w:rFonts w:hint="eastAsia"/>
          <w:color w:val="auto"/>
        </w:rPr>
        <w:t>9</w:t>
      </w:r>
      <w:r>
        <w:rPr>
          <w:color w:val="auto"/>
        </w:rPr>
        <w:t>.</w:t>
      </w:r>
      <w:r>
        <w:rPr>
          <w:rFonts w:hint="eastAsia"/>
          <w:color w:val="auto"/>
        </w:rPr>
        <w:t>9</w:t>
      </w:r>
      <w:r>
        <w:rPr>
          <w:color w:val="auto"/>
        </w:rPr>
        <w:t>综合结论</w:t>
      </w:r>
      <w:bookmarkEnd w:id="243"/>
      <w:bookmarkEnd w:id="244"/>
      <w:bookmarkEnd w:id="245"/>
    </w:p>
    <w:p>
      <w:pPr>
        <w:ind w:firstLine="480"/>
        <w:rPr>
          <w:bCs/>
          <w:color w:val="auto"/>
          <w:lang w:val="zh-CN"/>
        </w:rPr>
      </w:pPr>
      <w:r>
        <w:rPr>
          <w:color w:val="auto"/>
        </w:rPr>
        <w:t>湖南博泰管业有限公司</w:t>
      </w:r>
      <w:r>
        <w:rPr>
          <w:rFonts w:hint="eastAsia"/>
          <w:color w:val="auto"/>
          <w:lang w:eastAsia="zh-CN"/>
        </w:rPr>
        <w:t>年产3万吨高分子材料精深制品建设项目</w:t>
      </w:r>
      <w:r>
        <w:rPr>
          <w:color w:val="auto"/>
          <w:lang w:val="zh-CN"/>
        </w:rPr>
        <w:t>符合国家产业政策要求，符合</w:t>
      </w:r>
      <w:r>
        <w:rPr>
          <w:color w:val="auto"/>
        </w:rPr>
        <w:t>相关</w:t>
      </w:r>
      <w:r>
        <w:rPr>
          <w:color w:val="auto"/>
          <w:lang w:val="zh-CN"/>
        </w:rPr>
        <w:t>规划定位要求。项目平面布局基本合理，采取的环境保护措施和环境风险防范及管理措施可行，造成的环境影响和环境风险在可接受程度内。因此，在全面落实报告书提出的各项污染防治和环境风险防范及管理措施后</w:t>
      </w:r>
      <w:r>
        <w:rPr>
          <w:color w:val="auto"/>
        </w:rPr>
        <w:t>湖南博泰管业有限公司</w:t>
      </w:r>
      <w:r>
        <w:rPr>
          <w:rFonts w:hint="eastAsia"/>
          <w:color w:val="auto"/>
          <w:lang w:eastAsia="zh-CN"/>
        </w:rPr>
        <w:t>年产3万吨高分子材料精深制品建设项目</w:t>
      </w:r>
      <w:r>
        <w:rPr>
          <w:bCs/>
          <w:color w:val="auto"/>
          <w:lang w:val="zh-CN"/>
        </w:rPr>
        <w:t>从环境保护角度分析是可行的。</w:t>
      </w:r>
    </w:p>
    <w:p>
      <w:pPr>
        <w:ind w:firstLine="480"/>
        <w:rPr>
          <w:color w:val="auto"/>
        </w:rPr>
      </w:pPr>
    </w:p>
    <w:p>
      <w:pPr>
        <w:ind w:firstLine="480"/>
        <w:rPr>
          <w:color w:val="auto"/>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18030">
    <w:altName w:val="宋体"/>
    <w:panose1 w:val="00000000000000000000"/>
    <w:charset w:val="00"/>
    <w:family w:val="auto"/>
    <w:pitch w:val="default"/>
    <w:sig w:usb0="00000000" w:usb1="00000000" w:usb2="00000000"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Yu Gothic"/>
    <w:panose1 w:val="00000000000000000000"/>
    <w:charset w:val="80"/>
    <w:family w:val="auto"/>
    <w:pitch w:val="default"/>
    <w:sig w:usb0="00000000" w:usb1="00000000" w:usb2="00000010" w:usb3="00000000" w:csb0="00020000"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right="360" w:firstLine="360"/>
      <w:jc w:val="left"/>
      <w:rPr>
        <w:rFonts w:ascii="Times New Roman" w:hAnsi="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ind w:firstLine="360"/>
      <w:jc w:val="left"/>
      <w:rPr>
        <w:rStyle w:val="24"/>
        <w:rFonts w:ascii="Times New Roman" w:hAnsi="Times New Roman" w:cs="Times New Roman"/>
        <w:szCs w:val="24"/>
      </w:rPr>
    </w:pPr>
    <w:r>
      <w:rPr>
        <w:rFonts w:ascii="Times New Roman" w:hAnsi="Times New Roman" w:cs="Times New Roman"/>
        <w:sz w:val="18"/>
        <w:szCs w:val="18"/>
      </w:rPr>
      <w:fldChar w:fldCharType="begin"/>
    </w:r>
    <w:r>
      <w:rPr>
        <w:rStyle w:val="24"/>
        <w:rFonts w:ascii="Times New Roman" w:hAnsi="Times New Roman" w:cs="Times New Roman"/>
        <w:sz w:val="18"/>
        <w:szCs w:val="18"/>
      </w:rPr>
      <w:instrText xml:space="preserve">PAGE  </w:instrText>
    </w:r>
    <w:r>
      <w:rPr>
        <w:rFonts w:ascii="Times New Roman" w:hAnsi="Times New Roman" w:cs="Times New Roman"/>
        <w:sz w:val="18"/>
        <w:szCs w:val="18"/>
      </w:rPr>
      <w:fldChar w:fldCharType="separate"/>
    </w:r>
    <w:r>
      <w:rPr>
        <w:rStyle w:val="24"/>
        <w:rFonts w:ascii="Times New Roman" w:hAnsi="Times New Roman" w:cs="Times New Roman"/>
        <w:sz w:val="18"/>
        <w:szCs w:val="18"/>
      </w:rPr>
      <w:t>1</w:t>
    </w:r>
    <w:r>
      <w:rPr>
        <w:rFonts w:ascii="Times New Roman" w:hAnsi="Times New Roman" w:cs="Times New Roman"/>
        <w:sz w:val="18"/>
        <w:szCs w:val="18"/>
      </w:rPr>
      <w:fldChar w:fldCharType="end"/>
    </w:r>
  </w:p>
  <w:p>
    <w:pPr>
      <w:ind w:right="360" w:firstLine="360"/>
      <w:jc w:val="left"/>
      <w:rPr>
        <w:rFonts w:ascii="Times New Roman" w:hAnsi="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left"/>
      <w:rPr>
        <w:rFonts w:ascii="Times New Roman" w:hAnsi="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850466"/>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850466"/>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pPr>
      <w:pStyle w:val="15"/>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8129103"/>
      <w:docPartObj>
        <w:docPartGallery w:val="autotext"/>
      </w:docPartObj>
    </w:sdtPr>
    <w:sdtContent>
      <w:p>
        <w:pPr>
          <w:pStyle w:val="15"/>
          <w:ind w:firstLine="360"/>
          <w:jc w:val="center"/>
        </w:pPr>
        <w:r>
          <w:fldChar w:fldCharType="begin"/>
        </w:r>
        <w:r>
          <w:instrText xml:space="preserve">PAGE   \* MERGEFORMAT</w:instrText>
        </w:r>
        <w:r>
          <w:fldChar w:fldCharType="separate"/>
        </w:r>
        <w:r>
          <w:rPr>
            <w:lang w:val="zh-CN"/>
          </w:rPr>
          <w:t>2</w:t>
        </w:r>
        <w:r>
          <w:fldChar w:fldCharType="end"/>
        </w:r>
      </w:p>
    </w:sdtContent>
  </w:sdt>
  <w:p>
    <w:pPr>
      <w:spacing w:line="14" w:lineRule="auto"/>
      <w:ind w:firstLine="400"/>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ordWrap w:val="0"/>
      <w:ind w:firstLine="0" w:firstLineChars="0"/>
      <w:rPr>
        <w:rFonts w:ascii="Times New Roman" w:hAnsi="Times New Roman" w:cs="Times New Roman"/>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ind w:firstLine="360"/>
      <w:jc w:val="center"/>
      <w:rPr>
        <w:rFonts w:ascii="Times New Roman"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ind w:firstLine="360"/>
      <w:jc w:val="center"/>
      <w:rPr>
        <w:rFonts w:ascii="Times New Roman" w:hAnsi="Times New Roman"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line="240" w:lineRule="auto"/>
      <w:ind w:firstLine="0" w:firstLineChars="0"/>
      <w:rPr>
        <w:b/>
        <w:bCs/>
      </w:rPr>
    </w:pPr>
  </w:p>
  <w:p>
    <w:pPr>
      <w:pStyle w:val="16"/>
      <w:spacing w:line="240" w:lineRule="auto"/>
      <w:ind w:firstLine="0" w:firstLineChars="0"/>
      <w:rPr>
        <w:b/>
        <w:bCs/>
      </w:rPr>
    </w:pPr>
    <w:r>
      <w:rPr>
        <w:rFonts w:hint="eastAsia"/>
        <w:b/>
        <w:bCs/>
      </w:rPr>
      <w:t>湖南博泰管业有限公司</w:t>
    </w:r>
    <w:r>
      <w:rPr>
        <w:rFonts w:hint="eastAsia"/>
        <w:b/>
        <w:bCs/>
        <w:lang w:eastAsia="zh-CN"/>
      </w:rPr>
      <w:t>年产3万吨高分子材料精深制品建设项目</w:t>
    </w:r>
    <w:r>
      <w:rPr>
        <w:rFonts w:hint="eastAsia"/>
        <w:b/>
        <w:bCs/>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9DB880"/>
    <w:multiLevelType w:val="singleLevel"/>
    <w:tmpl w:val="F69DB880"/>
    <w:lvl w:ilvl="0" w:tentative="0">
      <w:start w:val="2"/>
      <w:numFmt w:val="decimal"/>
      <w:suff w:val="nothing"/>
      <w:lvlText w:val="（%1）"/>
      <w:lvlJc w:val="left"/>
    </w:lvl>
  </w:abstractNum>
  <w:abstractNum w:abstractNumId="1">
    <w:nsid w:val="192962F5"/>
    <w:multiLevelType w:val="multilevel"/>
    <w:tmpl w:val="192962F5"/>
    <w:lvl w:ilvl="0" w:tentative="0">
      <w:start w:val="1"/>
      <w:numFmt w:val="decimal"/>
      <w:lvlText w:val="附件%1"/>
      <w:lvlJc w:val="left"/>
      <w:pPr>
        <w:ind w:left="900" w:hanging="420"/>
      </w:pPr>
      <w:rPr>
        <w:rFonts w:hint="eastAsia"/>
      </w:rPr>
    </w:lvl>
    <w:lvl w:ilvl="1" w:tentative="0">
      <w:start w:val="1"/>
      <w:numFmt w:val="decimal"/>
      <w:lvlText w:val="附图%2"/>
      <w:lvlJc w:val="left"/>
      <w:pPr>
        <w:ind w:left="84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F6D45D5"/>
    <w:multiLevelType w:val="multilevel"/>
    <w:tmpl w:val="1F6D45D5"/>
    <w:lvl w:ilvl="0" w:tentative="0">
      <w:start w:val="1"/>
      <w:numFmt w:val="decimal"/>
      <w:lvlText w:val="附表%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3B1F21"/>
    <w:multiLevelType w:val="multilevel"/>
    <w:tmpl w:val="753B1F21"/>
    <w:lvl w:ilvl="0" w:tentative="0">
      <w:start w:val="1"/>
      <w:numFmt w:val="decimal"/>
      <w:lvlText w:val="附件%1"/>
      <w:lvlJc w:val="left"/>
      <w:pPr>
        <w:ind w:left="1129"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M2ZTMzNjI3ZDM2NjhmZmRkODk4OGNmNWZkOTNiZDcifQ=="/>
  </w:docVars>
  <w:rsids>
    <w:rsidRoot w:val="00AA50B0"/>
    <w:rsid w:val="000050ED"/>
    <w:rsid w:val="00091749"/>
    <w:rsid w:val="000D57C4"/>
    <w:rsid w:val="000F6479"/>
    <w:rsid w:val="001162B3"/>
    <w:rsid w:val="00190A6C"/>
    <w:rsid w:val="00197903"/>
    <w:rsid w:val="001C7085"/>
    <w:rsid w:val="001E6CB2"/>
    <w:rsid w:val="002420FF"/>
    <w:rsid w:val="0024319B"/>
    <w:rsid w:val="00276B53"/>
    <w:rsid w:val="002D63A0"/>
    <w:rsid w:val="002E3953"/>
    <w:rsid w:val="002E5FD0"/>
    <w:rsid w:val="002F5D7B"/>
    <w:rsid w:val="00305F76"/>
    <w:rsid w:val="0031472F"/>
    <w:rsid w:val="003347E8"/>
    <w:rsid w:val="003B0332"/>
    <w:rsid w:val="003B4426"/>
    <w:rsid w:val="00401E43"/>
    <w:rsid w:val="004624F6"/>
    <w:rsid w:val="00467373"/>
    <w:rsid w:val="004C74D3"/>
    <w:rsid w:val="004E0D23"/>
    <w:rsid w:val="004E395B"/>
    <w:rsid w:val="004F3F55"/>
    <w:rsid w:val="0050765F"/>
    <w:rsid w:val="005C3A06"/>
    <w:rsid w:val="005E2749"/>
    <w:rsid w:val="005F177B"/>
    <w:rsid w:val="006A2334"/>
    <w:rsid w:val="006C2628"/>
    <w:rsid w:val="00706ED5"/>
    <w:rsid w:val="007402D9"/>
    <w:rsid w:val="007C028E"/>
    <w:rsid w:val="007C506E"/>
    <w:rsid w:val="00847856"/>
    <w:rsid w:val="00866199"/>
    <w:rsid w:val="008C5307"/>
    <w:rsid w:val="008E3DE5"/>
    <w:rsid w:val="00936694"/>
    <w:rsid w:val="00964811"/>
    <w:rsid w:val="00986778"/>
    <w:rsid w:val="009D2C30"/>
    <w:rsid w:val="009E5E49"/>
    <w:rsid w:val="009F5DFA"/>
    <w:rsid w:val="00A07158"/>
    <w:rsid w:val="00A37E67"/>
    <w:rsid w:val="00A679E4"/>
    <w:rsid w:val="00AA50B0"/>
    <w:rsid w:val="00AA6121"/>
    <w:rsid w:val="00AA7DD1"/>
    <w:rsid w:val="00AE6C0B"/>
    <w:rsid w:val="00B21943"/>
    <w:rsid w:val="00B508D2"/>
    <w:rsid w:val="00B53869"/>
    <w:rsid w:val="00B6662B"/>
    <w:rsid w:val="00B73707"/>
    <w:rsid w:val="00BD072F"/>
    <w:rsid w:val="00C36DF0"/>
    <w:rsid w:val="00C75C53"/>
    <w:rsid w:val="00C934B7"/>
    <w:rsid w:val="00CD3D09"/>
    <w:rsid w:val="00CE4304"/>
    <w:rsid w:val="00D00466"/>
    <w:rsid w:val="00D34E2A"/>
    <w:rsid w:val="00D43644"/>
    <w:rsid w:val="00D55E9F"/>
    <w:rsid w:val="00D63A38"/>
    <w:rsid w:val="00D9166B"/>
    <w:rsid w:val="00DB2013"/>
    <w:rsid w:val="00DC2BC3"/>
    <w:rsid w:val="00DE63BA"/>
    <w:rsid w:val="00DF6D82"/>
    <w:rsid w:val="00E03313"/>
    <w:rsid w:val="00E1095E"/>
    <w:rsid w:val="00E5706B"/>
    <w:rsid w:val="00E63B2C"/>
    <w:rsid w:val="00E6643D"/>
    <w:rsid w:val="00EA72E3"/>
    <w:rsid w:val="00EC106A"/>
    <w:rsid w:val="00ED3942"/>
    <w:rsid w:val="00EE1722"/>
    <w:rsid w:val="00F0489F"/>
    <w:rsid w:val="00F471F3"/>
    <w:rsid w:val="00F5558D"/>
    <w:rsid w:val="00F565E2"/>
    <w:rsid w:val="00FC20AF"/>
    <w:rsid w:val="02FF73BA"/>
    <w:rsid w:val="03EF245D"/>
    <w:rsid w:val="04675A50"/>
    <w:rsid w:val="04A403C8"/>
    <w:rsid w:val="053F6FB9"/>
    <w:rsid w:val="061832A8"/>
    <w:rsid w:val="08787FAB"/>
    <w:rsid w:val="0937493C"/>
    <w:rsid w:val="0B172F30"/>
    <w:rsid w:val="0B215421"/>
    <w:rsid w:val="0C74719F"/>
    <w:rsid w:val="0CDD2691"/>
    <w:rsid w:val="0D3D3475"/>
    <w:rsid w:val="108F727C"/>
    <w:rsid w:val="13D12E1B"/>
    <w:rsid w:val="17946F3B"/>
    <w:rsid w:val="18242C8B"/>
    <w:rsid w:val="1B8121FE"/>
    <w:rsid w:val="1BB66225"/>
    <w:rsid w:val="1EE64163"/>
    <w:rsid w:val="1F536EA5"/>
    <w:rsid w:val="1FBC34C4"/>
    <w:rsid w:val="1FDF1EC7"/>
    <w:rsid w:val="22D402FC"/>
    <w:rsid w:val="233962D0"/>
    <w:rsid w:val="23605346"/>
    <w:rsid w:val="25CC1B2E"/>
    <w:rsid w:val="2D896681"/>
    <w:rsid w:val="2F6B17E7"/>
    <w:rsid w:val="31D5355D"/>
    <w:rsid w:val="31EF1D01"/>
    <w:rsid w:val="322A45E4"/>
    <w:rsid w:val="336837D1"/>
    <w:rsid w:val="337F25FA"/>
    <w:rsid w:val="33961F3C"/>
    <w:rsid w:val="34444686"/>
    <w:rsid w:val="375A785C"/>
    <w:rsid w:val="37661A13"/>
    <w:rsid w:val="37866954"/>
    <w:rsid w:val="388C5559"/>
    <w:rsid w:val="38F92592"/>
    <w:rsid w:val="3A2F21E6"/>
    <w:rsid w:val="3C332FF8"/>
    <w:rsid w:val="3D002841"/>
    <w:rsid w:val="3E9E5D95"/>
    <w:rsid w:val="3F7507BF"/>
    <w:rsid w:val="40271D1F"/>
    <w:rsid w:val="40434626"/>
    <w:rsid w:val="420041D3"/>
    <w:rsid w:val="422A5E1F"/>
    <w:rsid w:val="45CF7598"/>
    <w:rsid w:val="48A7793C"/>
    <w:rsid w:val="4AFC06FA"/>
    <w:rsid w:val="4DCD25AB"/>
    <w:rsid w:val="4E732ECC"/>
    <w:rsid w:val="51100564"/>
    <w:rsid w:val="52D10231"/>
    <w:rsid w:val="532319B6"/>
    <w:rsid w:val="53D519CC"/>
    <w:rsid w:val="53EE096F"/>
    <w:rsid w:val="54B372E7"/>
    <w:rsid w:val="54C056F9"/>
    <w:rsid w:val="55721744"/>
    <w:rsid w:val="57464547"/>
    <w:rsid w:val="585A65D3"/>
    <w:rsid w:val="596F62CD"/>
    <w:rsid w:val="5DDE74C3"/>
    <w:rsid w:val="5FF217E7"/>
    <w:rsid w:val="643C6756"/>
    <w:rsid w:val="65907AD8"/>
    <w:rsid w:val="68B910F3"/>
    <w:rsid w:val="691D39DD"/>
    <w:rsid w:val="6A52062F"/>
    <w:rsid w:val="6A9C6F1F"/>
    <w:rsid w:val="6CBB522C"/>
    <w:rsid w:val="6E4F0B95"/>
    <w:rsid w:val="6FDB12F2"/>
    <w:rsid w:val="706F0977"/>
    <w:rsid w:val="70EB650A"/>
    <w:rsid w:val="714672E4"/>
    <w:rsid w:val="722F457D"/>
    <w:rsid w:val="728246D0"/>
    <w:rsid w:val="754A2D0A"/>
    <w:rsid w:val="76947142"/>
    <w:rsid w:val="78127975"/>
    <w:rsid w:val="790C758C"/>
    <w:rsid w:val="790E121B"/>
    <w:rsid w:val="7F877B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1"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1" w:name="toc 1"/>
    <w:lsdException w:qFormat="1" w:uiPriority="1"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color w:val="000000" w:themeColor="text1"/>
      <w:kern w:val="2"/>
      <w:sz w:val="24"/>
      <w:szCs w:val="22"/>
      <w:lang w:val="en-US" w:eastAsia="zh-CN" w:bidi="ar-SA"/>
      <w14:textFill>
        <w14:solidFill>
          <w14:schemeClr w14:val="tx1"/>
        </w14:solidFill>
      </w14:textFill>
    </w:rPr>
  </w:style>
  <w:style w:type="paragraph" w:styleId="5">
    <w:name w:val="heading 1"/>
    <w:basedOn w:val="1"/>
    <w:next w:val="1"/>
    <w:link w:val="28"/>
    <w:qFormat/>
    <w:uiPriority w:val="9"/>
    <w:pPr>
      <w:keepNext/>
      <w:keepLines/>
      <w:ind w:firstLine="0" w:firstLineChars="0"/>
      <w:jc w:val="center"/>
      <w:outlineLvl w:val="0"/>
    </w:pPr>
    <w:rPr>
      <w:b/>
      <w:bCs/>
      <w:kern w:val="44"/>
      <w:sz w:val="32"/>
      <w:szCs w:val="44"/>
    </w:rPr>
  </w:style>
  <w:style w:type="paragraph" w:styleId="6">
    <w:name w:val="heading 2"/>
    <w:basedOn w:val="1"/>
    <w:next w:val="1"/>
    <w:link w:val="29"/>
    <w:unhideWhenUsed/>
    <w:qFormat/>
    <w:uiPriority w:val="9"/>
    <w:pPr>
      <w:keepNext/>
      <w:keepLines/>
      <w:ind w:firstLine="0" w:firstLineChars="0"/>
      <w:jc w:val="left"/>
      <w:outlineLvl w:val="1"/>
    </w:pPr>
    <w:rPr>
      <w:rFonts w:cstheme="majorBidi"/>
      <w:b/>
      <w:bCs/>
      <w:sz w:val="30"/>
      <w:szCs w:val="32"/>
    </w:rPr>
  </w:style>
  <w:style w:type="paragraph" w:styleId="7">
    <w:name w:val="heading 3"/>
    <w:basedOn w:val="1"/>
    <w:next w:val="1"/>
    <w:link w:val="32"/>
    <w:unhideWhenUsed/>
    <w:qFormat/>
    <w:uiPriority w:val="9"/>
    <w:pPr>
      <w:keepNext/>
      <w:keepLines/>
      <w:ind w:firstLine="0" w:firstLineChars="0"/>
      <w:jc w:val="left"/>
      <w:outlineLvl w:val="2"/>
    </w:pPr>
    <w:rPr>
      <w:b/>
      <w:bCs/>
      <w:sz w:val="28"/>
      <w:szCs w:val="32"/>
    </w:rPr>
  </w:style>
  <w:style w:type="paragraph" w:styleId="8">
    <w:name w:val="heading 4"/>
    <w:basedOn w:val="1"/>
    <w:next w:val="1"/>
    <w:link w:val="33"/>
    <w:qFormat/>
    <w:uiPriority w:val="9"/>
    <w:pPr>
      <w:keepNext/>
      <w:keepLines/>
      <w:widowControl/>
      <w:tabs>
        <w:tab w:val="left" w:pos="1680"/>
      </w:tabs>
      <w:adjustRightInd w:val="0"/>
      <w:snapToGrid w:val="0"/>
      <w:ind w:firstLine="0" w:firstLineChars="0"/>
      <w:jc w:val="left"/>
      <w:outlineLvl w:val="3"/>
    </w:pPr>
    <w:rPr>
      <w:rFonts w:cs="Times New Roman"/>
      <w:b/>
      <w:bCs/>
      <w:color w:val="auto"/>
      <w:kern w:val="0"/>
      <w:szCs w:val="28"/>
    </w:rPr>
  </w:style>
  <w:style w:type="paragraph" w:styleId="9">
    <w:name w:val="heading 5"/>
    <w:basedOn w:val="1"/>
    <w:next w:val="1"/>
    <w:link w:val="34"/>
    <w:qFormat/>
    <w:uiPriority w:val="9"/>
    <w:pPr>
      <w:keepNext/>
      <w:widowControl/>
      <w:tabs>
        <w:tab w:val="left" w:pos="2100"/>
      </w:tabs>
      <w:spacing w:line="480" w:lineRule="exact"/>
      <w:ind w:left="1008" w:hanging="1008" w:firstLineChars="0"/>
      <w:jc w:val="center"/>
      <w:outlineLvl w:val="4"/>
    </w:pPr>
    <w:rPr>
      <w:rFonts w:cs="宋体"/>
      <w:b/>
      <w:color w:val="auto"/>
      <w:kern w:val="0"/>
      <w:szCs w:val="24"/>
    </w:rPr>
  </w:style>
  <w:style w:type="paragraph" w:styleId="10">
    <w:name w:val="heading 6"/>
    <w:basedOn w:val="1"/>
    <w:next w:val="1"/>
    <w:link w:val="40"/>
    <w:unhideWhenUsed/>
    <w:qFormat/>
    <w:uiPriority w:val="9"/>
    <w:pPr>
      <w:autoSpaceDE w:val="0"/>
      <w:autoSpaceDN w:val="0"/>
      <w:spacing w:line="240" w:lineRule="auto"/>
      <w:ind w:firstLine="0" w:firstLineChars="0"/>
      <w:jc w:val="left"/>
      <w:outlineLvl w:val="5"/>
    </w:pPr>
    <w:rPr>
      <w:rFonts w:ascii="宋体" w:hAnsi="宋体" w:cs="宋体"/>
      <w:color w:val="auto"/>
      <w:kern w:val="0"/>
      <w:sz w:val="25"/>
      <w:szCs w:val="25"/>
      <w:lang w:eastAsia="en-US"/>
    </w:rPr>
  </w:style>
  <w:style w:type="paragraph" w:styleId="11">
    <w:name w:val="heading 7"/>
    <w:basedOn w:val="1"/>
    <w:next w:val="1"/>
    <w:link w:val="38"/>
    <w:unhideWhenUsed/>
    <w:qFormat/>
    <w:uiPriority w:val="1"/>
    <w:pPr>
      <w:keepNext/>
      <w:keepLines/>
      <w:spacing w:before="240" w:after="64" w:line="320" w:lineRule="auto"/>
      <w:outlineLvl w:val="6"/>
    </w:pPr>
    <w:rPr>
      <w:b/>
      <w:bCs/>
      <w:szCs w:val="24"/>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43"/>
    <w:semiHidden/>
    <w:unhideWhenUsed/>
    <w:qFormat/>
    <w:uiPriority w:val="1"/>
    <w:pPr>
      <w:spacing w:after="120"/>
    </w:pPr>
  </w:style>
  <w:style w:type="paragraph" w:customStyle="1" w:styleId="3">
    <w:name w:val="xl27"/>
    <w:basedOn w:val="4"/>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4">
    <w:name w:val="table of authorities"/>
    <w:basedOn w:val="1"/>
    <w:next w:val="1"/>
    <w:qFormat/>
    <w:uiPriority w:val="0"/>
    <w:pPr>
      <w:ind w:left="420" w:leftChars="200"/>
    </w:pPr>
  </w:style>
  <w:style w:type="paragraph" w:styleId="12">
    <w:name w:val="annotation text"/>
    <w:basedOn w:val="1"/>
    <w:unhideWhenUsed/>
    <w:qFormat/>
    <w:uiPriority w:val="0"/>
    <w:pPr>
      <w:jc w:val="left"/>
    </w:pPr>
  </w:style>
  <w:style w:type="paragraph" w:styleId="13">
    <w:name w:val="Body Text Indent"/>
    <w:basedOn w:val="1"/>
    <w:unhideWhenUsed/>
    <w:qFormat/>
    <w:uiPriority w:val="99"/>
    <w:pPr>
      <w:spacing w:after="120"/>
      <w:ind w:left="420" w:leftChars="200"/>
    </w:pPr>
  </w:style>
  <w:style w:type="paragraph" w:styleId="14">
    <w:name w:val="Body Text Indent 2"/>
    <w:basedOn w:val="1"/>
    <w:next w:val="1"/>
    <w:link w:val="35"/>
    <w:qFormat/>
    <w:uiPriority w:val="99"/>
    <w:pPr>
      <w:widowControl/>
      <w:spacing w:after="120" w:line="480" w:lineRule="auto"/>
      <w:ind w:left="420" w:leftChars="200" w:firstLine="480"/>
    </w:pPr>
    <w:rPr>
      <w:rFonts w:cs="宋体"/>
      <w:color w:val="auto"/>
      <w:kern w:val="0"/>
      <w:szCs w:val="24"/>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semiHidden/>
    <w:unhideWhenUsed/>
    <w:qFormat/>
    <w:uiPriority w:val="1"/>
  </w:style>
  <w:style w:type="paragraph" w:styleId="18">
    <w:name w:val="toc 2"/>
    <w:basedOn w:val="1"/>
    <w:next w:val="1"/>
    <w:semiHidden/>
    <w:unhideWhenUsed/>
    <w:qFormat/>
    <w:uiPriority w:val="1"/>
    <w:pPr>
      <w:ind w:left="420" w:leftChars="200"/>
    </w:pPr>
  </w:style>
  <w:style w:type="paragraph" w:styleId="19">
    <w:name w:val="Body Text First Indent"/>
    <w:basedOn w:val="1"/>
    <w:next w:val="1"/>
    <w:link w:val="39"/>
    <w:semiHidden/>
    <w:unhideWhenUsed/>
    <w:qFormat/>
    <w:uiPriority w:val="99"/>
    <w:pPr>
      <w:spacing w:after="120"/>
      <w:ind w:firstLine="420" w:firstLineChars="100"/>
    </w:pPr>
  </w:style>
  <w:style w:type="paragraph" w:styleId="20">
    <w:name w:val="Body Text First Indent 2"/>
    <w:basedOn w:val="13"/>
    <w:next w:val="19"/>
    <w:qFormat/>
    <w:uiPriority w:val="0"/>
    <w:rPr>
      <w:sz w:val="21"/>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annotation reference"/>
    <w:basedOn w:val="23"/>
    <w:semiHidden/>
    <w:unhideWhenUsed/>
    <w:qFormat/>
    <w:uiPriority w:val="99"/>
    <w:rPr>
      <w:sz w:val="21"/>
      <w:szCs w:val="21"/>
    </w:rPr>
  </w:style>
  <w:style w:type="character" w:customStyle="1" w:styleId="26">
    <w:name w:val="页眉 字符"/>
    <w:basedOn w:val="23"/>
    <w:link w:val="16"/>
    <w:qFormat/>
    <w:uiPriority w:val="99"/>
    <w:rPr>
      <w:sz w:val="18"/>
      <w:szCs w:val="18"/>
    </w:rPr>
  </w:style>
  <w:style w:type="character" w:customStyle="1" w:styleId="27">
    <w:name w:val="页脚 字符"/>
    <w:basedOn w:val="23"/>
    <w:link w:val="15"/>
    <w:qFormat/>
    <w:uiPriority w:val="99"/>
    <w:rPr>
      <w:sz w:val="18"/>
      <w:szCs w:val="18"/>
    </w:rPr>
  </w:style>
  <w:style w:type="character" w:customStyle="1" w:styleId="28">
    <w:name w:val="标题 1 字符"/>
    <w:basedOn w:val="23"/>
    <w:link w:val="5"/>
    <w:qFormat/>
    <w:uiPriority w:val="9"/>
    <w:rPr>
      <w:rFonts w:ascii="Times New Roman" w:hAnsi="Times New Roman" w:eastAsia="宋体"/>
      <w:b/>
      <w:bCs/>
      <w:kern w:val="44"/>
      <w:sz w:val="32"/>
      <w:szCs w:val="44"/>
    </w:rPr>
  </w:style>
  <w:style w:type="character" w:customStyle="1" w:styleId="29">
    <w:name w:val="标题 2 字符"/>
    <w:basedOn w:val="23"/>
    <w:link w:val="6"/>
    <w:qFormat/>
    <w:uiPriority w:val="9"/>
    <w:rPr>
      <w:rFonts w:ascii="Times New Roman" w:hAnsi="Times New Roman" w:eastAsia="宋体" w:cstheme="majorBidi"/>
      <w:b/>
      <w:bCs/>
      <w:sz w:val="30"/>
      <w:szCs w:val="32"/>
    </w:rPr>
  </w:style>
  <w:style w:type="paragraph" w:customStyle="1" w:styleId="30">
    <w:name w:val="表格内容"/>
    <w:basedOn w:val="1"/>
    <w:link w:val="36"/>
    <w:qFormat/>
    <w:uiPriority w:val="0"/>
    <w:pPr>
      <w:spacing w:line="240" w:lineRule="auto"/>
      <w:ind w:firstLine="0" w:firstLineChars="0"/>
      <w:jc w:val="center"/>
    </w:pPr>
    <w:rPr>
      <w:sz w:val="21"/>
    </w:rPr>
  </w:style>
  <w:style w:type="paragraph" w:customStyle="1" w:styleId="31">
    <w:name w:val="表头"/>
    <w:basedOn w:val="30"/>
    <w:link w:val="37"/>
    <w:qFormat/>
    <w:uiPriority w:val="0"/>
    <w:rPr>
      <w:b/>
    </w:rPr>
  </w:style>
  <w:style w:type="character" w:customStyle="1" w:styleId="32">
    <w:name w:val="标题 3 字符"/>
    <w:basedOn w:val="23"/>
    <w:link w:val="7"/>
    <w:qFormat/>
    <w:uiPriority w:val="9"/>
    <w:rPr>
      <w:rFonts w:ascii="Times New Roman" w:hAnsi="Times New Roman" w:eastAsia="宋体"/>
      <w:b/>
      <w:bCs/>
      <w:color w:val="000000" w:themeColor="text1"/>
      <w:sz w:val="28"/>
      <w:szCs w:val="32"/>
      <w14:textFill>
        <w14:solidFill>
          <w14:schemeClr w14:val="tx1"/>
        </w14:solidFill>
      </w14:textFill>
    </w:rPr>
  </w:style>
  <w:style w:type="character" w:customStyle="1" w:styleId="33">
    <w:name w:val="标题 4 字符"/>
    <w:basedOn w:val="23"/>
    <w:link w:val="8"/>
    <w:qFormat/>
    <w:uiPriority w:val="0"/>
    <w:rPr>
      <w:rFonts w:ascii="Times New Roman" w:hAnsi="Times New Roman" w:eastAsia="宋体" w:cs="Times New Roman"/>
      <w:b/>
      <w:bCs/>
      <w:kern w:val="0"/>
      <w:sz w:val="24"/>
      <w:szCs w:val="28"/>
    </w:rPr>
  </w:style>
  <w:style w:type="character" w:customStyle="1" w:styleId="34">
    <w:name w:val="标题 5 字符"/>
    <w:basedOn w:val="23"/>
    <w:link w:val="9"/>
    <w:qFormat/>
    <w:uiPriority w:val="9"/>
    <w:rPr>
      <w:rFonts w:ascii="Times New Roman" w:hAnsi="Times New Roman" w:eastAsia="宋体" w:cs="宋体"/>
      <w:b/>
      <w:kern w:val="0"/>
      <w:sz w:val="24"/>
      <w:szCs w:val="24"/>
    </w:rPr>
  </w:style>
  <w:style w:type="character" w:customStyle="1" w:styleId="35">
    <w:name w:val="正文文本缩进 2 字符"/>
    <w:basedOn w:val="23"/>
    <w:link w:val="14"/>
    <w:qFormat/>
    <w:uiPriority w:val="99"/>
    <w:rPr>
      <w:rFonts w:ascii="Times New Roman" w:hAnsi="Times New Roman" w:eastAsia="宋体" w:cs="宋体"/>
      <w:kern w:val="0"/>
      <w:sz w:val="24"/>
      <w:szCs w:val="24"/>
    </w:rPr>
  </w:style>
  <w:style w:type="character" w:customStyle="1" w:styleId="36">
    <w:name w:val="表格内容 Char Char"/>
    <w:link w:val="30"/>
    <w:qFormat/>
    <w:uiPriority w:val="0"/>
    <w:rPr>
      <w:rFonts w:ascii="Times New Roman" w:hAnsi="Times New Roman" w:eastAsia="宋体"/>
      <w:color w:val="000000" w:themeColor="text1"/>
      <w14:textFill>
        <w14:solidFill>
          <w14:schemeClr w14:val="tx1"/>
        </w14:solidFill>
      </w14:textFill>
    </w:rPr>
  </w:style>
  <w:style w:type="character" w:customStyle="1" w:styleId="37">
    <w:name w:val="表头 Char"/>
    <w:basedOn w:val="23"/>
    <w:link w:val="31"/>
    <w:qFormat/>
    <w:uiPriority w:val="0"/>
    <w:rPr>
      <w:rFonts w:ascii="Times New Roman" w:hAnsi="Times New Roman" w:eastAsia="宋体"/>
      <w:b/>
      <w:color w:val="000000" w:themeColor="text1"/>
      <w14:textFill>
        <w14:solidFill>
          <w14:schemeClr w14:val="tx1"/>
        </w14:solidFill>
      </w14:textFill>
    </w:rPr>
  </w:style>
  <w:style w:type="character" w:customStyle="1" w:styleId="38">
    <w:name w:val="标题 7 字符"/>
    <w:basedOn w:val="23"/>
    <w:link w:val="11"/>
    <w:semiHidden/>
    <w:qFormat/>
    <w:uiPriority w:val="9"/>
    <w:rPr>
      <w:rFonts w:ascii="Times New Roman" w:hAnsi="Times New Roman" w:eastAsia="宋体"/>
      <w:b/>
      <w:bCs/>
      <w:color w:val="000000" w:themeColor="text1"/>
      <w:sz w:val="24"/>
      <w:szCs w:val="24"/>
      <w14:textFill>
        <w14:solidFill>
          <w14:schemeClr w14:val="tx1"/>
        </w14:solidFill>
      </w14:textFill>
    </w:rPr>
  </w:style>
  <w:style w:type="character" w:customStyle="1" w:styleId="39">
    <w:name w:val="正文文本首行缩进 字符"/>
    <w:basedOn w:val="23"/>
    <w:link w:val="19"/>
    <w:semiHidden/>
    <w:qFormat/>
    <w:uiPriority w:val="99"/>
    <w:rPr>
      <w:rFonts w:ascii="Times New Roman" w:hAnsi="Times New Roman" w:eastAsia="宋体"/>
      <w:color w:val="000000" w:themeColor="text1"/>
      <w:sz w:val="24"/>
      <w14:textFill>
        <w14:solidFill>
          <w14:schemeClr w14:val="tx1"/>
        </w14:solidFill>
      </w14:textFill>
    </w:rPr>
  </w:style>
  <w:style w:type="character" w:customStyle="1" w:styleId="40">
    <w:name w:val="标题 6 字符"/>
    <w:basedOn w:val="23"/>
    <w:link w:val="10"/>
    <w:qFormat/>
    <w:uiPriority w:val="9"/>
    <w:rPr>
      <w:rFonts w:ascii="宋体" w:hAnsi="宋体" w:eastAsia="宋体" w:cs="宋体"/>
      <w:kern w:val="0"/>
      <w:sz w:val="25"/>
      <w:szCs w:val="25"/>
      <w:lang w:eastAsia="en-US"/>
    </w:rPr>
  </w:style>
  <w:style w:type="table" w:customStyle="1" w:styleId="41">
    <w:name w:val="Table Normal"/>
    <w:semiHidden/>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styleId="42">
    <w:name w:val="List Paragraph"/>
    <w:basedOn w:val="1"/>
    <w:qFormat/>
    <w:uiPriority w:val="1"/>
    <w:pPr>
      <w:autoSpaceDE w:val="0"/>
      <w:autoSpaceDN w:val="0"/>
      <w:spacing w:before="160" w:line="240" w:lineRule="auto"/>
      <w:ind w:left="540" w:hanging="601" w:firstLineChars="0"/>
      <w:jc w:val="left"/>
    </w:pPr>
    <w:rPr>
      <w:rFonts w:ascii="宋体" w:hAnsi="宋体" w:cs="宋体"/>
      <w:color w:val="auto"/>
      <w:kern w:val="0"/>
      <w:sz w:val="22"/>
      <w:lang w:eastAsia="en-US"/>
    </w:rPr>
  </w:style>
  <w:style w:type="character" w:customStyle="1" w:styleId="43">
    <w:name w:val="正文文本 字符"/>
    <w:basedOn w:val="23"/>
    <w:link w:val="2"/>
    <w:semiHidden/>
    <w:qFormat/>
    <w:uiPriority w:val="1"/>
    <w:rPr>
      <w:rFonts w:ascii="Times New Roman" w:hAnsi="Times New Roman" w:eastAsia="宋体"/>
      <w:color w:val="000000" w:themeColor="text1"/>
      <w:sz w:val="24"/>
      <w14:textFill>
        <w14:solidFill>
          <w14:schemeClr w14:val="tx1"/>
        </w14:solidFill>
      </w14:textFill>
    </w:rPr>
  </w:style>
  <w:style w:type="paragraph" w:customStyle="1" w:styleId="44">
    <w:name w:val="表字体"/>
    <w:basedOn w:val="1"/>
    <w:next w:val="1"/>
    <w:qFormat/>
    <w:uiPriority w:val="0"/>
    <w:pPr>
      <w:jc w:val="center"/>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wmf"/><Relationship Id="rId35" Type="http://schemas.openxmlformats.org/officeDocument/2006/relationships/image" Target="media/image15.wmf"/><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emf"/><Relationship Id="rId27" Type="http://schemas.openxmlformats.org/officeDocument/2006/relationships/oleObject" Target="embeddings/Microsoft_Visio_2003-2010___1.vsd"/><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wNTk1MjgzNDM1IiwKCSJHcm91cElkIiA6ICIxNjU0NzgwMTIiLAoJIkltYWdlIiA6ICJpVkJPUncwS0dnb0FBQUFOU1VoRVVnQUFBNUlBQUFHVUNBWUFBQUJIdHgwbUFBQUFDWEJJV1hNQUFBc1RBQUFMRXdFQW1wd1lBQUFnQUVsRVFWUjRuT3pkZDN3VWRmN0g4ZmZzYmhJU1NPaGRMSUNpVXJNTFAyd1VGUlE1OEZCQlJaR3pjQ0I2VWxXYWdJRGlvV0JCcFFsSTBRTVI3aTdxZ2YyUUlzMDBpb3BVcFJnSWlRaENTTm45L3Y2QTdHWFpKR1FoeVNiazlYdzg4a2ptT3pQZitZeG1sN3ozTy9NZENR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NwMy93OVdDQ1ExV3ZmNGlRQUFBQUJKUlU1RXJrSmdnZz09IiwKCSJUaGVtZSIgOiAiIiwKCSJUeXBlIiA6ICJmbG93IiwKCSJWZXJzaW9uIiA6ICIyMSIKfQo="/>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DB987-AA9E-4465-9E62-0CD83D30AB12}">
  <ds:schemaRefs/>
</ds:datastoreItem>
</file>

<file path=docProps/app.xml><?xml version="1.0" encoding="utf-8"?>
<Properties xmlns="http://schemas.openxmlformats.org/officeDocument/2006/extended-properties" xmlns:vt="http://schemas.openxmlformats.org/officeDocument/2006/docPropsVTypes">
  <Template>Normal</Template>
  <Pages>158</Pages>
  <Words>89340</Words>
  <Characters>105590</Characters>
  <Lines>774</Lines>
  <Paragraphs>218</Paragraphs>
  <TotalTime>55</TotalTime>
  <ScaleCrop>false</ScaleCrop>
  <LinksUpToDate>false</LinksUpToDate>
  <CharactersWithSpaces>106412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2023-03-23T03:56:00Z</dcterms:created>
  <dc:creator>632898380@qq.com</dc:creator>
  <cp:lastModifiedBy>龟龟吖</cp:lastModifiedBy>
  <dcterms:modified xsi:type="dcterms:W3CDTF">2023-09-04T03:16:50Z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C82402DC83B54B3B8AE0496849847B92_12</vt:lpwstr>
  </property>
</Properties>
</file>