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087"/>
        </w:tabs>
        <w:spacing w:before="91" w:line="219" w:lineRule="auto"/>
        <w:jc w:val="center"/>
        <w:rPr>
          <w:rFonts w:hint="eastAsia" w:ascii="宋体" w:hAnsi="宋体" w:eastAsia="宋体" w:cs="宋体"/>
          <w:color w:val="auto"/>
          <w:spacing w:val="-2"/>
          <w:sz w:val="32"/>
          <w:szCs w:val="32"/>
          <w:highlight w:val="none"/>
          <w:u w:val="none"/>
          <w:lang w:eastAsia="zh-CN"/>
        </w:rPr>
      </w:pPr>
      <w:bookmarkStart w:id="0" w:name="_bookmark19"/>
      <w:bookmarkEnd w:id="0"/>
      <w:r>
        <w:rPr>
          <w:rFonts w:hint="eastAsia" w:ascii="宋体" w:hAnsi="宋体" w:eastAsia="宋体" w:cs="宋体"/>
          <w:color w:val="auto"/>
          <w:spacing w:val="-2"/>
          <w:sz w:val="32"/>
          <w:szCs w:val="32"/>
          <w:highlight w:val="none"/>
          <w:u w:val="none"/>
          <w:lang w:eastAsia="zh-CN"/>
        </w:rPr>
        <w:t>岳阳港华容港区塔市驿长江作业区一期工程80米趸船采购（第二次）</w:t>
      </w:r>
    </w:p>
    <w:p>
      <w:pPr>
        <w:tabs>
          <w:tab w:val="left" w:pos="3087"/>
        </w:tabs>
        <w:spacing w:before="91" w:line="219" w:lineRule="auto"/>
        <w:jc w:val="center"/>
        <w:rPr>
          <w:rFonts w:hint="eastAsia" w:ascii="宋体" w:hAnsi="宋体" w:eastAsia="宋体" w:cs="宋体"/>
          <w:color w:val="auto"/>
          <w:sz w:val="28"/>
          <w:szCs w:val="28"/>
          <w:highlight w:val="none"/>
        </w:rPr>
      </w:pPr>
      <w:r>
        <w:rPr>
          <w:rFonts w:hint="eastAsia" w:ascii="宋体" w:hAnsi="宋体" w:eastAsia="宋体" w:cs="宋体"/>
          <w:color w:val="auto"/>
          <w:spacing w:val="-2"/>
          <w:sz w:val="32"/>
          <w:szCs w:val="32"/>
          <w:highlight w:val="none"/>
        </w:rPr>
        <w:t>招标公</w:t>
      </w:r>
      <w:r>
        <w:rPr>
          <w:rFonts w:hint="eastAsia" w:ascii="宋体" w:hAnsi="宋体" w:eastAsia="宋体" w:cs="宋体"/>
          <w:color w:val="auto"/>
          <w:sz w:val="32"/>
          <w:szCs w:val="32"/>
          <w:highlight w:val="none"/>
        </w:rPr>
        <w:t>告</w:t>
      </w:r>
    </w:p>
    <w:p>
      <w:pPr>
        <w:spacing w:line="319" w:lineRule="auto"/>
        <w:rPr>
          <w:rFonts w:hint="eastAsia" w:ascii="宋体" w:hAnsi="宋体" w:eastAsia="宋体" w:cs="宋体"/>
          <w:color w:val="auto"/>
          <w:sz w:val="21"/>
          <w:highlight w:val="none"/>
        </w:rPr>
      </w:pPr>
    </w:p>
    <w:p>
      <w:pPr>
        <w:spacing w:before="101"/>
        <w:ind w:left="21"/>
        <w:outlineLvl w:val="0"/>
        <w:rPr>
          <w:rFonts w:hint="eastAsia" w:ascii="宋体" w:hAnsi="宋体" w:eastAsia="宋体" w:cs="宋体"/>
          <w:color w:val="auto"/>
          <w:sz w:val="31"/>
          <w:szCs w:val="31"/>
          <w:highlight w:val="none"/>
        </w:rPr>
      </w:pPr>
      <w:bookmarkStart w:id="1" w:name="_bookmark3"/>
      <w:bookmarkEnd w:id="1"/>
      <w:r>
        <w:rPr>
          <w:rFonts w:hint="eastAsia" w:ascii="宋体" w:hAnsi="宋体" w:eastAsia="宋体" w:cs="宋体"/>
          <w:b/>
          <w:bCs/>
          <w:color w:val="auto"/>
          <w:spacing w:val="8"/>
          <w:sz w:val="31"/>
          <w:szCs w:val="31"/>
          <w:highlight w:val="none"/>
        </w:rPr>
        <w:t>1</w:t>
      </w:r>
      <w:r>
        <w:rPr>
          <w:rFonts w:hint="eastAsia" w:ascii="宋体" w:hAnsi="宋体" w:eastAsia="宋体" w:cs="宋体"/>
          <w:b/>
          <w:bCs/>
          <w:color w:val="auto"/>
          <w:spacing w:val="4"/>
          <w:sz w:val="31"/>
          <w:szCs w:val="31"/>
          <w:highlight w:val="none"/>
        </w:rPr>
        <w:t>.</w:t>
      </w:r>
      <w:r>
        <w:rPr>
          <w:rFonts w:hint="eastAsia" w:ascii="宋体" w:hAnsi="宋体" w:eastAsia="宋体" w:cs="宋体"/>
          <w:color w:val="auto"/>
          <w:spacing w:val="4"/>
          <w:sz w:val="31"/>
          <w:szCs w:val="31"/>
          <w:highlight w:val="none"/>
        </w:rPr>
        <w:t xml:space="preserve">  </w:t>
      </w:r>
      <w:r>
        <w:rPr>
          <w:rFonts w:hint="eastAsia" w:ascii="宋体" w:hAnsi="宋体" w:eastAsia="宋体" w:cs="宋体"/>
          <w:color w:val="auto"/>
          <w:spacing w:val="4"/>
          <w:sz w:val="31"/>
          <w:szCs w:val="31"/>
          <w:highlight w:val="none"/>
          <w14:textOutline w14:w="5791" w14:cap="flat" w14:cmpd="sng">
            <w14:solidFill>
              <w14:srgbClr w14:val="000000"/>
            </w14:solidFill>
            <w14:prstDash w14:val="solid"/>
            <w14:miter w14:val="0"/>
          </w14:textOutline>
        </w:rPr>
        <w:t>招标条件</w:t>
      </w:r>
    </w:p>
    <w:p>
      <w:pPr>
        <w:spacing w:line="295" w:lineRule="auto"/>
        <w:rPr>
          <w:rFonts w:hint="eastAsia" w:ascii="宋体" w:hAnsi="宋体" w:eastAsia="宋体" w:cs="宋体"/>
          <w:color w:val="auto"/>
          <w:sz w:val="21"/>
          <w:highlight w:val="none"/>
        </w:rPr>
      </w:pPr>
    </w:p>
    <w:p>
      <w:pPr>
        <w:spacing w:before="68" w:line="357" w:lineRule="auto"/>
        <w:ind w:left="7" w:right="2" w:firstLine="421"/>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u w:val="none" w:color="auto"/>
        </w:rPr>
        <w:t>本招标项目</w:t>
      </w:r>
      <w:r>
        <w:rPr>
          <w:rFonts w:hint="eastAsia" w:ascii="宋体" w:hAnsi="宋体" w:eastAsia="宋体" w:cs="宋体"/>
          <w:color w:val="auto"/>
          <w:spacing w:val="1"/>
          <w:sz w:val="22"/>
          <w:szCs w:val="22"/>
          <w:highlight w:val="none"/>
          <w:u w:val="none" w:color="auto"/>
          <w:lang w:val="en-US" w:eastAsia="zh-CN"/>
        </w:rPr>
        <w:t xml:space="preserve">岳阳港华容港区塔市驿长江作业区一期工程80米趸船采购（第二次） </w:t>
      </w:r>
      <w:r>
        <w:rPr>
          <w:rFonts w:hint="eastAsia" w:ascii="宋体" w:hAnsi="宋体" w:eastAsia="宋体" w:cs="宋体"/>
          <w:color w:val="auto"/>
          <w:spacing w:val="2"/>
          <w:sz w:val="22"/>
          <w:szCs w:val="22"/>
          <w:highlight w:val="none"/>
          <w:u w:val="none" w:color="auto"/>
        </w:rPr>
        <w:t>(项目名称)</w:t>
      </w:r>
      <w:r>
        <w:rPr>
          <w:rFonts w:hint="eastAsia" w:ascii="宋体" w:hAnsi="宋体" w:eastAsia="宋体" w:cs="宋体"/>
          <w:color w:val="auto"/>
          <w:spacing w:val="2"/>
          <w:sz w:val="22"/>
          <w:szCs w:val="22"/>
          <w:highlight w:val="none"/>
          <w:u w:val="none" w:color="auto"/>
          <w:lang w:eastAsia="zh-CN"/>
        </w:rPr>
        <w:t>已由湘发改基础【</w:t>
      </w:r>
      <w:r>
        <w:rPr>
          <w:rFonts w:hint="eastAsia" w:ascii="宋体" w:hAnsi="宋体" w:eastAsia="宋体" w:cs="宋体"/>
          <w:color w:val="auto"/>
          <w:spacing w:val="2"/>
          <w:sz w:val="22"/>
          <w:szCs w:val="22"/>
          <w:highlight w:val="none"/>
          <w:u w:val="none" w:color="auto"/>
          <w:lang w:val="en-US" w:eastAsia="zh-CN"/>
        </w:rPr>
        <w:t>2023</w:t>
      </w:r>
      <w:r>
        <w:rPr>
          <w:rFonts w:hint="eastAsia" w:ascii="宋体" w:hAnsi="宋体" w:eastAsia="宋体" w:cs="宋体"/>
          <w:color w:val="auto"/>
          <w:spacing w:val="2"/>
          <w:sz w:val="22"/>
          <w:szCs w:val="22"/>
          <w:highlight w:val="none"/>
          <w:u w:val="none" w:color="auto"/>
          <w:lang w:eastAsia="zh-CN"/>
        </w:rPr>
        <w:t>】</w:t>
      </w:r>
      <w:r>
        <w:rPr>
          <w:rFonts w:hint="eastAsia" w:ascii="宋体" w:hAnsi="宋体" w:eastAsia="宋体" w:cs="宋体"/>
          <w:color w:val="auto"/>
          <w:spacing w:val="2"/>
          <w:sz w:val="22"/>
          <w:szCs w:val="22"/>
          <w:highlight w:val="none"/>
          <w:u w:val="none" w:color="auto"/>
          <w:lang w:val="en-US" w:eastAsia="zh-CN"/>
        </w:rPr>
        <w:t>272号文批准建设，</w:t>
      </w:r>
      <w:r>
        <w:rPr>
          <w:rFonts w:hint="eastAsia" w:ascii="宋体" w:hAnsi="宋体" w:eastAsia="宋体" w:cs="宋体"/>
          <w:color w:val="auto"/>
          <w:spacing w:val="2"/>
          <w:sz w:val="22"/>
          <w:szCs w:val="22"/>
          <w:highlight w:val="none"/>
          <w:u w:val="none" w:color="auto"/>
        </w:rPr>
        <w:t>招标人为</w:t>
      </w:r>
      <w:r>
        <w:rPr>
          <w:rFonts w:hint="eastAsia" w:ascii="宋体" w:hAnsi="宋体" w:eastAsia="宋体" w:cs="宋体"/>
          <w:color w:val="auto"/>
          <w:spacing w:val="1"/>
          <w:sz w:val="22"/>
          <w:szCs w:val="22"/>
          <w:highlight w:val="none"/>
          <w:u w:val="none" w:color="auto"/>
          <w:lang w:val="en-US" w:eastAsia="zh-CN"/>
        </w:rPr>
        <w:t>岳阳市塔市驿港物流有限公司</w:t>
      </w:r>
      <w:r>
        <w:rPr>
          <w:rFonts w:hint="eastAsia" w:ascii="宋体" w:hAnsi="宋体" w:eastAsia="宋体" w:cs="宋体"/>
          <w:color w:val="auto"/>
          <w:spacing w:val="2"/>
          <w:sz w:val="22"/>
          <w:szCs w:val="22"/>
          <w:highlight w:val="none"/>
          <w:u w:val="none" w:color="auto"/>
        </w:rPr>
        <w:t xml:space="preserve"> ，招标项目资金</w:t>
      </w:r>
      <w:r>
        <w:rPr>
          <w:rFonts w:hint="eastAsia" w:ascii="宋体" w:hAnsi="宋体" w:eastAsia="宋体" w:cs="宋体"/>
          <w:color w:val="auto"/>
          <w:spacing w:val="1"/>
          <w:sz w:val="22"/>
          <w:szCs w:val="22"/>
          <w:highlight w:val="none"/>
          <w:u w:val="none" w:color="auto"/>
        </w:rPr>
        <w:t>来自</w:t>
      </w:r>
      <w:r>
        <w:rPr>
          <w:rFonts w:hint="eastAsia" w:ascii="宋体" w:hAnsi="宋体" w:eastAsia="宋体" w:cs="宋体"/>
          <w:color w:val="auto"/>
          <w:spacing w:val="1"/>
          <w:sz w:val="22"/>
          <w:szCs w:val="22"/>
          <w:highlight w:val="none"/>
          <w:u w:val="none" w:color="auto"/>
          <w:lang w:eastAsia="zh-CN"/>
        </w:rPr>
        <w:t>交通部补助及项目法人</w:t>
      </w:r>
      <w:r>
        <w:rPr>
          <w:rFonts w:hint="eastAsia" w:ascii="宋体" w:hAnsi="宋体" w:eastAsia="宋体" w:cs="宋体"/>
          <w:color w:val="auto"/>
          <w:spacing w:val="1"/>
          <w:sz w:val="22"/>
          <w:szCs w:val="22"/>
          <w:highlight w:val="none"/>
          <w:u w:val="none" w:color="auto"/>
          <w:lang w:val="en-US" w:eastAsia="zh-CN"/>
        </w:rPr>
        <w:t>自筹</w:t>
      </w:r>
      <w:r>
        <w:rPr>
          <w:rFonts w:hint="eastAsia" w:ascii="宋体" w:hAnsi="宋体" w:eastAsia="宋体" w:cs="宋体"/>
          <w:color w:val="auto"/>
          <w:spacing w:val="1"/>
          <w:sz w:val="22"/>
          <w:szCs w:val="22"/>
          <w:highlight w:val="none"/>
          <w:u w:val="none" w:color="auto"/>
        </w:rPr>
        <w:t xml:space="preserve"> (资金来源)</w:t>
      </w:r>
      <w:r>
        <w:rPr>
          <w:rFonts w:hint="eastAsia" w:ascii="宋体" w:hAnsi="宋体" w:eastAsia="宋体" w:cs="宋体"/>
          <w:color w:val="auto"/>
          <w:sz w:val="22"/>
          <w:szCs w:val="22"/>
          <w:highlight w:val="none"/>
          <w:u w:val="none" w:color="auto"/>
        </w:rPr>
        <w:t>，出资比例为</w:t>
      </w:r>
      <w:r>
        <w:rPr>
          <w:rFonts w:hint="eastAsia" w:ascii="宋体" w:hAnsi="宋体" w:eastAsia="宋体" w:cs="宋体"/>
          <w:color w:val="auto"/>
          <w:sz w:val="22"/>
          <w:szCs w:val="22"/>
          <w:highlight w:val="none"/>
          <w:u w:val="none" w:color="auto"/>
          <w:lang w:val="en-US" w:eastAsia="zh-CN"/>
        </w:rPr>
        <w:t>100%</w:t>
      </w:r>
      <w:r>
        <w:rPr>
          <w:rFonts w:hint="eastAsia" w:ascii="宋体" w:hAnsi="宋体" w:eastAsia="宋体" w:cs="宋体"/>
          <w:color w:val="auto"/>
          <w:sz w:val="22"/>
          <w:szCs w:val="22"/>
          <w:highlight w:val="none"/>
          <w:u w:val="none" w:color="auto"/>
        </w:rPr>
        <w:t>。该项目已具备招标条</w:t>
      </w:r>
      <w:r>
        <w:rPr>
          <w:rFonts w:hint="eastAsia" w:ascii="宋体" w:hAnsi="宋体" w:eastAsia="宋体" w:cs="宋体"/>
          <w:color w:val="auto"/>
          <w:spacing w:val="4"/>
          <w:sz w:val="22"/>
          <w:szCs w:val="22"/>
          <w:highlight w:val="none"/>
          <w:u w:val="none" w:color="auto"/>
        </w:rPr>
        <w:t>件，现对</w:t>
      </w:r>
      <w:r>
        <w:rPr>
          <w:rFonts w:hint="eastAsia" w:ascii="宋体" w:hAnsi="宋体" w:eastAsia="宋体" w:cs="宋体"/>
          <w:color w:val="auto"/>
          <w:spacing w:val="1"/>
          <w:sz w:val="22"/>
          <w:szCs w:val="22"/>
          <w:highlight w:val="none"/>
          <w:u w:val="none" w:color="auto"/>
          <w:lang w:val="en-US" w:eastAsia="zh-CN"/>
        </w:rPr>
        <w:t>岳阳港华容港区塔市驿长江作业区一期工程80米趸船采购</w:t>
      </w:r>
      <w:r>
        <w:rPr>
          <w:rFonts w:hint="eastAsia" w:ascii="宋体" w:hAnsi="宋体" w:eastAsia="宋体" w:cs="宋体"/>
          <w:color w:val="auto"/>
          <w:spacing w:val="2"/>
          <w:sz w:val="22"/>
          <w:szCs w:val="22"/>
          <w:highlight w:val="none"/>
          <w:u w:val="none" w:color="auto"/>
        </w:rPr>
        <w:t xml:space="preserve"> (设备名称)采购进行公开招标。</w:t>
      </w:r>
    </w:p>
    <w:p>
      <w:pPr>
        <w:spacing w:before="149" w:line="238" w:lineRule="auto"/>
        <w:ind w:left="7"/>
        <w:outlineLvl w:val="0"/>
        <w:rPr>
          <w:rFonts w:hint="eastAsia" w:ascii="宋体" w:hAnsi="宋体" w:eastAsia="宋体" w:cs="宋体"/>
          <w:color w:val="auto"/>
          <w:sz w:val="31"/>
          <w:szCs w:val="31"/>
          <w:highlight w:val="none"/>
        </w:rPr>
      </w:pPr>
      <w:bookmarkStart w:id="2" w:name="_bookmark4"/>
      <w:bookmarkEnd w:id="2"/>
      <w:r>
        <w:rPr>
          <w:rFonts w:hint="eastAsia" w:ascii="宋体" w:hAnsi="宋体" w:eastAsia="宋体" w:cs="宋体"/>
          <w:b/>
          <w:bCs/>
          <w:color w:val="auto"/>
          <w:spacing w:val="8"/>
          <w:sz w:val="31"/>
          <w:szCs w:val="31"/>
          <w:highlight w:val="none"/>
        </w:rPr>
        <w:t>2.</w:t>
      </w:r>
      <w:r>
        <w:rPr>
          <w:rFonts w:hint="eastAsia" w:ascii="宋体" w:hAnsi="宋体" w:eastAsia="宋体" w:cs="宋体"/>
          <w:color w:val="auto"/>
          <w:spacing w:val="8"/>
          <w:sz w:val="31"/>
          <w:szCs w:val="31"/>
          <w:highlight w:val="none"/>
        </w:rPr>
        <w:t xml:space="preserve">  </w:t>
      </w:r>
      <w:r>
        <w:rPr>
          <w:rFonts w:hint="eastAsia" w:ascii="宋体" w:hAnsi="宋体" w:eastAsia="宋体" w:cs="宋体"/>
          <w:color w:val="auto"/>
          <w:spacing w:val="8"/>
          <w:sz w:val="31"/>
          <w:szCs w:val="31"/>
          <w:highlight w:val="none"/>
          <w14:textOutline w14:w="5791" w14:cap="flat" w14:cmpd="sng">
            <w14:solidFill>
              <w14:srgbClr w14:val="000000"/>
            </w14:solidFill>
            <w14:prstDash w14:val="solid"/>
            <w14:miter w14:val="0"/>
          </w14:textOutline>
        </w:rPr>
        <w:t>项目概况与招标范围</w:t>
      </w:r>
    </w:p>
    <w:p>
      <w:pPr>
        <w:spacing w:line="296" w:lineRule="auto"/>
        <w:rPr>
          <w:rFonts w:hint="eastAsia" w:ascii="宋体" w:hAnsi="宋体" w:eastAsia="宋体" w:cs="宋体"/>
          <w:color w:val="auto"/>
          <w:sz w:val="21"/>
          <w:highlight w:val="none"/>
        </w:rPr>
      </w:pPr>
    </w:p>
    <w:p>
      <w:pPr>
        <w:spacing w:before="68" w:line="357" w:lineRule="auto"/>
        <w:ind w:left="7" w:right="2" w:firstLine="421"/>
        <w:rPr>
          <w:rFonts w:hint="eastAsia" w:ascii="宋体" w:hAnsi="宋体" w:eastAsia="宋体" w:cs="宋体"/>
          <w:color w:val="auto"/>
          <w:spacing w:val="2"/>
          <w:sz w:val="22"/>
          <w:szCs w:val="22"/>
          <w:highlight w:val="none"/>
          <w:lang w:val="en-US" w:eastAsia="zh-CN"/>
        </w:rPr>
      </w:pPr>
      <w:bookmarkStart w:id="3" w:name="_bookmark5"/>
      <w:bookmarkEnd w:id="3"/>
      <w:r>
        <w:rPr>
          <w:rFonts w:hint="eastAsia" w:ascii="宋体" w:hAnsi="宋体" w:eastAsia="宋体" w:cs="宋体"/>
          <w:color w:val="auto"/>
          <w:spacing w:val="2"/>
          <w:sz w:val="22"/>
          <w:szCs w:val="22"/>
          <w:highlight w:val="none"/>
          <w:lang w:val="en-US" w:eastAsia="zh-CN"/>
        </w:rPr>
        <w:t>2.1 项目概况</w:t>
      </w:r>
    </w:p>
    <w:p>
      <w:pPr>
        <w:spacing w:before="68" w:line="357" w:lineRule="auto"/>
        <w:ind w:left="7" w:right="2" w:firstLine="421"/>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工程位于长江右岸、华容县境东北部塔市驿镇，属岳阳港华容港区塔市驿作业区。从塔市沿长江顺流而下 90km 至城陵矶，其间13km处与湖北监利隔江相望；逆流而上62km抵湖北省石首港。本项目水工部分于已建设完工（主要建设内容包括件杂货泊位水工部分、散货泊位江侧钢引桥墩台、趸船定位墩）。现就散货泊位采购一艘 80m×15m×2.8m 钢质80米趸船。</w:t>
      </w:r>
    </w:p>
    <w:p>
      <w:pPr>
        <w:spacing w:before="68" w:line="357" w:lineRule="auto"/>
        <w:ind w:left="7" w:right="2" w:firstLine="421"/>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2.2 招标范围</w:t>
      </w:r>
    </w:p>
    <w:p>
      <w:pPr>
        <w:spacing w:before="68" w:line="357" w:lineRule="auto"/>
        <w:ind w:left="7" w:right="2" w:firstLine="421"/>
        <w:rPr>
          <w:rFonts w:hint="eastAsia" w:ascii="宋体" w:hAnsi="宋体" w:eastAsia="宋体" w:cs="宋体"/>
          <w:strike/>
          <w:dstrike w:val="0"/>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本次招标的主要内容为：散货泊位采购一艘 80m×15m×2.8m 钢质趸船的采购。</w:t>
      </w:r>
    </w:p>
    <w:p>
      <w:pPr>
        <w:spacing w:before="150" w:line="239" w:lineRule="auto"/>
        <w:ind w:left="5"/>
        <w:outlineLvl w:val="0"/>
        <w:rPr>
          <w:rFonts w:hint="eastAsia" w:ascii="宋体" w:hAnsi="宋体" w:eastAsia="宋体" w:cs="宋体"/>
          <w:color w:val="auto"/>
          <w:sz w:val="31"/>
          <w:szCs w:val="31"/>
          <w:highlight w:val="none"/>
        </w:rPr>
      </w:pPr>
      <w:r>
        <w:rPr>
          <w:rFonts w:hint="eastAsia" w:ascii="宋体" w:hAnsi="宋体" w:eastAsia="宋体" w:cs="宋体"/>
          <w:b/>
          <w:bCs/>
          <w:color w:val="auto"/>
          <w:spacing w:val="13"/>
          <w:sz w:val="31"/>
          <w:szCs w:val="31"/>
          <w:highlight w:val="none"/>
        </w:rPr>
        <w:t>3</w:t>
      </w:r>
      <w:r>
        <w:rPr>
          <w:rFonts w:hint="eastAsia" w:ascii="宋体" w:hAnsi="宋体" w:eastAsia="宋体" w:cs="宋体"/>
          <w:b/>
          <w:bCs/>
          <w:color w:val="auto"/>
          <w:spacing w:val="7"/>
          <w:sz w:val="31"/>
          <w:szCs w:val="31"/>
          <w:highlight w:val="none"/>
        </w:rPr>
        <w:t>.</w:t>
      </w:r>
      <w:r>
        <w:rPr>
          <w:rFonts w:hint="eastAsia" w:ascii="宋体" w:hAnsi="宋体" w:eastAsia="宋体" w:cs="宋体"/>
          <w:color w:val="auto"/>
          <w:spacing w:val="7"/>
          <w:sz w:val="31"/>
          <w:szCs w:val="31"/>
          <w:highlight w:val="none"/>
        </w:rPr>
        <w:t xml:space="preserve">  </w:t>
      </w:r>
      <w:r>
        <w:rPr>
          <w:rFonts w:hint="eastAsia" w:ascii="宋体" w:hAnsi="宋体" w:eastAsia="宋体" w:cs="宋体"/>
          <w:color w:val="auto"/>
          <w:spacing w:val="7"/>
          <w:sz w:val="31"/>
          <w:szCs w:val="31"/>
          <w:highlight w:val="none"/>
          <w14:textOutline w14:w="5791" w14:cap="flat" w14:cmpd="sng">
            <w14:solidFill>
              <w14:srgbClr w14:val="000000"/>
            </w14:solidFill>
            <w14:prstDash w14:val="solid"/>
            <w14:miter w14:val="0"/>
          </w14:textOutline>
        </w:rPr>
        <w:t>投标人资格要求</w:t>
      </w:r>
    </w:p>
    <w:p>
      <w:pPr>
        <w:spacing w:line="294" w:lineRule="auto"/>
        <w:rPr>
          <w:rFonts w:hint="eastAsia" w:ascii="宋体" w:hAnsi="宋体" w:eastAsia="宋体" w:cs="宋体"/>
          <w:color w:val="auto"/>
          <w:sz w:val="21"/>
          <w:highlight w:val="none"/>
        </w:rPr>
      </w:pPr>
    </w:p>
    <w:p>
      <w:pPr>
        <w:spacing w:before="68" w:line="357" w:lineRule="auto"/>
        <w:ind w:left="7" w:right="2" w:firstLine="421"/>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3.1 投标人应具有独立企业法人资格，具有独立制造和安装能力的船舶制造商；</w:t>
      </w:r>
    </w:p>
    <w:p>
      <w:pPr>
        <w:spacing w:before="68" w:line="357" w:lineRule="auto"/>
        <w:ind w:left="7" w:right="2" w:firstLine="421"/>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3.2 投标人应具备中国船级社</w:t>
      </w:r>
      <w:r>
        <w:rPr>
          <w:rFonts w:hint="eastAsia" w:ascii="宋体" w:hAnsi="宋体" w:eastAsia="宋体" w:cs="宋体"/>
          <w:i w:val="0"/>
          <w:iCs w:val="0"/>
          <w:caps w:val="0"/>
          <w:color w:val="000000"/>
          <w:spacing w:val="0"/>
          <w:sz w:val="21"/>
          <w:szCs w:val="21"/>
          <w:shd w:val="clear" w:fill="FFFFFF"/>
        </w:rPr>
        <w:t>（简称“CCS”）</w:t>
      </w:r>
      <w:r>
        <w:rPr>
          <w:rFonts w:hint="eastAsia" w:ascii="宋体" w:hAnsi="宋体" w:eastAsia="宋体" w:cs="宋体"/>
          <w:color w:val="auto"/>
          <w:spacing w:val="2"/>
          <w:sz w:val="22"/>
          <w:szCs w:val="22"/>
          <w:highlight w:val="none"/>
          <w:lang w:val="en-US" w:eastAsia="zh-CN"/>
        </w:rPr>
        <w:t>船厂评估报告；</w:t>
      </w:r>
    </w:p>
    <w:p>
      <w:pPr>
        <w:spacing w:before="68" w:line="357" w:lineRule="auto"/>
        <w:ind w:left="7" w:right="2" w:firstLine="421"/>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lang w:val="en-US" w:eastAsia="zh-CN"/>
        </w:rPr>
        <w:t xml:space="preserve">3.3 </w:t>
      </w:r>
      <w:r>
        <w:rPr>
          <w:rFonts w:hint="eastAsia" w:ascii="宋体" w:hAnsi="宋体" w:eastAsia="宋体" w:cs="宋体"/>
          <w:i w:val="0"/>
          <w:iCs w:val="0"/>
          <w:caps w:val="0"/>
          <w:color w:val="000000"/>
          <w:spacing w:val="0"/>
          <w:sz w:val="21"/>
          <w:szCs w:val="21"/>
          <w:shd w:val="clear" w:fill="FFFFFF"/>
        </w:rPr>
        <w:t>投标人财务状况良好，未处于财产被接管、冻结、破产状态</w:t>
      </w:r>
      <w:r>
        <w:rPr>
          <w:rFonts w:hint="eastAsia" w:ascii="宋体" w:hAnsi="宋体" w:eastAsia="宋体" w:cs="宋体"/>
          <w:i w:val="0"/>
          <w:iCs w:val="0"/>
          <w:caps w:val="0"/>
          <w:color w:val="000000"/>
          <w:spacing w:val="0"/>
          <w:sz w:val="21"/>
          <w:szCs w:val="21"/>
          <w:shd w:val="clear" w:fill="FFFFFF"/>
          <w:lang w:eastAsia="zh-CN"/>
        </w:rPr>
        <w:t>，提交最近三个会计年度(2020年~ 2022年)经会计师事务所或审计机构审计的财务会计报表(包括资产负债表、现金流量表、利润表和财务情况说明书)、</w:t>
      </w:r>
      <w:r>
        <w:rPr>
          <w:rFonts w:hint="eastAsia" w:ascii="宋体" w:hAnsi="宋体" w:eastAsia="宋体" w:cs="宋体"/>
          <w:i w:val="0"/>
          <w:iCs w:val="0"/>
          <w:caps w:val="0"/>
          <w:color w:val="000000"/>
          <w:spacing w:val="0"/>
          <w:sz w:val="21"/>
          <w:szCs w:val="21"/>
          <w:shd w:val="clear" w:fill="FFFFFF"/>
          <w:lang w:val="en-US" w:eastAsia="zh-CN"/>
        </w:rPr>
        <w:t>2022年度</w:t>
      </w:r>
      <w:r>
        <w:rPr>
          <w:rFonts w:hint="eastAsia" w:ascii="宋体" w:hAnsi="宋体" w:eastAsia="宋体" w:cs="宋体"/>
          <w:i w:val="0"/>
          <w:iCs w:val="0"/>
          <w:caps w:val="0"/>
          <w:color w:val="000000"/>
          <w:spacing w:val="0"/>
          <w:sz w:val="21"/>
          <w:szCs w:val="21"/>
          <w:shd w:val="clear" w:fill="FFFFFF"/>
          <w:lang w:eastAsia="zh-CN"/>
        </w:rPr>
        <w:t>营业收入为3000万元及以上（提供相关证明材料）；</w:t>
      </w:r>
    </w:p>
    <w:p>
      <w:pPr>
        <w:spacing w:before="68" w:line="357" w:lineRule="auto"/>
        <w:ind w:left="7" w:right="2" w:firstLine="421"/>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3.4 投标人近 5 年(2018年12月1日至2023年11月30日)至少独立完成过 1 艘长度大于或等于 60m 的钢质趸船建造，完成时间以船舶检验证书上标注的日期为准；</w:t>
      </w:r>
    </w:p>
    <w:p>
      <w:pPr>
        <w:pStyle w:val="23"/>
        <w:rPr>
          <w:rFonts w:hint="default"/>
          <w:lang w:val="en-US" w:eastAsia="zh-CN"/>
        </w:rPr>
      </w:pPr>
      <w:r>
        <w:rPr>
          <w:rFonts w:hint="eastAsia" w:ascii="宋体" w:hAnsi="宋体" w:eastAsia="宋体" w:cs="宋体"/>
          <w:color w:val="auto"/>
          <w:spacing w:val="2"/>
          <w:sz w:val="22"/>
          <w:szCs w:val="22"/>
          <w:highlight w:val="none"/>
          <w:lang w:val="en-US" w:eastAsia="zh-CN"/>
        </w:rPr>
        <w:t>3.5 企业未受到责令停产、停业的行政处罚；无对本项目有重大影响的诉讼案件；近三年内（2020年10月至今）未发生骗取中标或严重违约或被驱逐或因任何原因而使任何合同被解除情况。</w:t>
      </w:r>
    </w:p>
    <w:p>
      <w:pPr>
        <w:spacing w:before="68" w:line="357" w:lineRule="auto"/>
        <w:ind w:right="2" w:firstLine="448" w:firstLineChars="200"/>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3.6 具有投资参股关系的关联企业,或具有直接管理和被管理关系的母子公司,或同一母公司的子公司,或法定代表人为同一个人的两个及两个以上法人不得同时对本标段投标,否则均按废标处理。</w:t>
      </w:r>
    </w:p>
    <w:p>
      <w:pPr>
        <w:pStyle w:val="23"/>
        <w:rPr>
          <w:rFonts w:hint="eastAsia" w:eastAsia="宋体"/>
          <w:lang w:val="en-US" w:eastAsia="zh-CN"/>
        </w:rPr>
      </w:pPr>
      <w:r>
        <w:rPr>
          <w:rFonts w:hint="eastAsia" w:ascii="宋体" w:hAnsi="宋体" w:eastAsia="宋体" w:cs="宋体"/>
          <w:i w:val="0"/>
          <w:iCs w:val="0"/>
          <w:caps w:val="0"/>
          <w:color w:val="000000"/>
          <w:spacing w:val="0"/>
          <w:sz w:val="21"/>
          <w:szCs w:val="21"/>
          <w:shd w:val="clear" w:fill="FFFFFF"/>
        </w:rPr>
        <w:t>3.</w:t>
      </w:r>
      <w:r>
        <w:rPr>
          <w:rFonts w:hint="eastAsia" w:ascii="宋体" w:hAnsi="宋体" w:eastAsia="宋体" w:cs="宋体"/>
          <w:i w:val="0"/>
          <w:iCs w:val="0"/>
          <w:caps w:val="0"/>
          <w:color w:val="000000"/>
          <w:spacing w:val="0"/>
          <w:sz w:val="21"/>
          <w:szCs w:val="21"/>
          <w:shd w:val="clear" w:fill="FFFFFF"/>
          <w:lang w:val="en-US" w:eastAsia="zh-CN"/>
        </w:rPr>
        <w:t xml:space="preserve">7 </w:t>
      </w:r>
      <w:r>
        <w:rPr>
          <w:rFonts w:hint="eastAsia" w:ascii="宋体" w:hAnsi="宋体" w:eastAsia="宋体" w:cs="宋体"/>
          <w:i w:val="0"/>
          <w:iCs w:val="0"/>
          <w:caps w:val="0"/>
          <w:color w:val="000000"/>
          <w:spacing w:val="0"/>
          <w:sz w:val="21"/>
          <w:szCs w:val="21"/>
          <w:shd w:val="clear" w:fill="FFFFFF"/>
        </w:rPr>
        <w:t>本次招标实行资格后审，资格审查的具体要求见招标文件。资格后审不合格的投标人投标文件将按否决投标处理</w:t>
      </w:r>
      <w:r>
        <w:rPr>
          <w:rFonts w:hint="eastAsia" w:ascii="宋体" w:hAnsi="宋体" w:eastAsia="宋体" w:cs="宋体"/>
          <w:i w:val="0"/>
          <w:iCs w:val="0"/>
          <w:caps w:val="0"/>
          <w:color w:val="000000"/>
          <w:spacing w:val="0"/>
          <w:sz w:val="21"/>
          <w:szCs w:val="21"/>
          <w:shd w:val="clear" w:fill="FFFFFF"/>
          <w:lang w:eastAsia="zh-CN"/>
        </w:rPr>
        <w:t>；</w:t>
      </w:r>
    </w:p>
    <w:p>
      <w:pPr>
        <w:spacing w:before="68" w:line="357" w:lineRule="auto"/>
        <w:ind w:right="2" w:firstLine="448" w:firstLineChars="200"/>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3.8 本次招标不接受联合体投标。</w:t>
      </w:r>
    </w:p>
    <w:p>
      <w:pPr>
        <w:spacing w:before="319" w:line="238" w:lineRule="auto"/>
        <w:ind w:left="7"/>
        <w:outlineLvl w:val="0"/>
        <w:rPr>
          <w:rFonts w:hint="eastAsia" w:ascii="宋体" w:hAnsi="宋体" w:eastAsia="宋体" w:cs="宋体"/>
          <w:color w:val="auto"/>
          <w:sz w:val="31"/>
          <w:szCs w:val="31"/>
          <w:highlight w:val="none"/>
        </w:rPr>
      </w:pPr>
      <w:bookmarkStart w:id="4" w:name="_bookmark6"/>
      <w:bookmarkEnd w:id="4"/>
      <w:r>
        <w:rPr>
          <w:rFonts w:hint="eastAsia" w:ascii="宋体" w:hAnsi="宋体" w:eastAsia="宋体" w:cs="宋体"/>
          <w:b/>
          <w:bCs/>
          <w:color w:val="auto"/>
          <w:spacing w:val="10"/>
          <w:sz w:val="31"/>
          <w:szCs w:val="31"/>
          <w:highlight w:val="none"/>
        </w:rPr>
        <w:t>4</w:t>
      </w:r>
      <w:r>
        <w:rPr>
          <w:rFonts w:hint="eastAsia" w:ascii="宋体" w:hAnsi="宋体" w:eastAsia="宋体" w:cs="宋体"/>
          <w:b/>
          <w:bCs/>
          <w:color w:val="auto"/>
          <w:spacing w:val="7"/>
          <w:sz w:val="31"/>
          <w:szCs w:val="31"/>
          <w:highlight w:val="none"/>
        </w:rPr>
        <w:t>.</w:t>
      </w:r>
      <w:r>
        <w:rPr>
          <w:rFonts w:hint="eastAsia" w:ascii="宋体" w:hAnsi="宋体" w:eastAsia="宋体" w:cs="宋体"/>
          <w:color w:val="auto"/>
          <w:spacing w:val="7"/>
          <w:sz w:val="31"/>
          <w:szCs w:val="31"/>
          <w:highlight w:val="none"/>
        </w:rPr>
        <w:t xml:space="preserve">  </w:t>
      </w:r>
      <w:r>
        <w:rPr>
          <w:rFonts w:hint="eastAsia" w:ascii="宋体" w:hAnsi="宋体" w:eastAsia="宋体" w:cs="宋体"/>
          <w:color w:val="auto"/>
          <w:spacing w:val="7"/>
          <w:sz w:val="31"/>
          <w:szCs w:val="31"/>
          <w:highlight w:val="none"/>
          <w14:textOutline w14:w="5791" w14:cap="flat" w14:cmpd="sng">
            <w14:solidFill>
              <w14:srgbClr w14:val="000000"/>
            </w14:solidFill>
            <w14:prstDash w14:val="solid"/>
            <w14:miter w14:val="0"/>
          </w14:textOutline>
        </w:rPr>
        <w:t>招标文件的获取</w:t>
      </w:r>
    </w:p>
    <w:p>
      <w:pPr>
        <w:spacing w:line="292" w:lineRule="auto"/>
        <w:rPr>
          <w:rFonts w:hint="eastAsia" w:ascii="宋体" w:hAnsi="宋体" w:eastAsia="宋体" w:cs="宋体"/>
          <w:color w:val="auto"/>
          <w:sz w:val="21"/>
          <w:highlight w:val="none"/>
        </w:rPr>
      </w:pPr>
    </w:p>
    <w:p>
      <w:pPr>
        <w:spacing w:before="68" w:line="357" w:lineRule="auto"/>
        <w:ind w:left="7" w:right="2" w:firstLine="421"/>
        <w:rPr>
          <w:rFonts w:hint="eastAsia" w:ascii="宋体" w:hAnsi="宋体" w:eastAsia="宋体" w:cs="宋体"/>
          <w:color w:val="auto"/>
          <w:spacing w:val="2"/>
          <w:sz w:val="22"/>
          <w:szCs w:val="22"/>
          <w:highlight w:val="none"/>
          <w:lang w:val="en-US" w:eastAsia="zh-CN"/>
        </w:rPr>
      </w:pPr>
      <w:bookmarkStart w:id="5" w:name="_bookmark7"/>
      <w:bookmarkEnd w:id="5"/>
      <w:r>
        <w:rPr>
          <w:rFonts w:hint="eastAsia" w:ascii="宋体" w:hAnsi="宋体" w:eastAsia="宋体" w:cs="宋体"/>
          <w:color w:val="auto"/>
          <w:spacing w:val="2"/>
          <w:sz w:val="22"/>
          <w:szCs w:val="22"/>
          <w:highlight w:val="none"/>
          <w:lang w:val="en-US" w:eastAsia="zh-CN"/>
        </w:rPr>
        <w:t>4.1 请有意参加的投标人自</w:t>
      </w:r>
      <w:r>
        <w:rPr>
          <w:rFonts w:hint="eastAsia" w:ascii="宋体" w:hAnsi="宋体" w:eastAsia="宋体" w:cs="宋体"/>
          <w:i w:val="0"/>
          <w:iCs w:val="0"/>
          <w:color w:val="auto"/>
          <w:spacing w:val="2"/>
          <w:sz w:val="22"/>
          <w:szCs w:val="22"/>
          <w:highlight w:val="none"/>
          <w:lang w:val="en-US" w:eastAsia="zh-CN"/>
        </w:rPr>
        <w:t>2023年12月20 日至2023年12月 26 日 17 时止</w:t>
      </w:r>
      <w:r>
        <w:rPr>
          <w:rFonts w:hint="eastAsia" w:ascii="宋体" w:hAnsi="宋体" w:eastAsia="宋体" w:cs="宋体"/>
          <w:color w:val="auto"/>
          <w:spacing w:val="2"/>
          <w:sz w:val="22"/>
          <w:szCs w:val="22"/>
          <w:highlight w:val="none"/>
          <w:lang w:val="en-US" w:eastAsia="zh-CN"/>
        </w:rPr>
        <w:t>（北京时间）在岳阳市公共资源交易网网上下载获取招标文件及附件资料。</w:t>
      </w:r>
    </w:p>
    <w:p>
      <w:pPr>
        <w:spacing w:before="68" w:line="357" w:lineRule="auto"/>
        <w:ind w:left="7" w:right="2" w:firstLine="421"/>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4.2 投标人须先在 岳阳市公共资源交易网（网址：http://ggzy.yueyang.gov.cn/ ）按企业注册操作说明进行注册并获取CA证书后，自行下载招标文件及附件资料（如有问题请联系：请咨询市公共资源交易中心信息技术科0730-2966692）。</w:t>
      </w:r>
    </w:p>
    <w:p>
      <w:pPr>
        <w:spacing w:before="68" w:line="357" w:lineRule="auto"/>
        <w:ind w:left="7" w:right="2" w:firstLine="421"/>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4.3 招标人对招标文件及附件资料的修改、澄清答疑在岳阳市公共资源交易网网上发布，投标人在自行下载。</w:t>
      </w:r>
    </w:p>
    <w:p>
      <w:pPr>
        <w:spacing w:before="319" w:line="239" w:lineRule="auto"/>
        <w:ind w:left="10"/>
        <w:outlineLvl w:val="0"/>
        <w:rPr>
          <w:rFonts w:hint="eastAsia" w:ascii="宋体" w:hAnsi="宋体" w:eastAsia="宋体" w:cs="宋体"/>
          <w:color w:val="auto"/>
          <w:sz w:val="28"/>
          <w:szCs w:val="28"/>
          <w:highlight w:val="none"/>
          <w:lang w:val="en-US" w:eastAsia="zh-CN"/>
          <w14:textOutline w14:w="5094" w14:cap="flat" w14:cmpd="sng">
            <w14:solidFill>
              <w14:srgbClr w14:val="000000"/>
            </w14:solidFill>
            <w14:prstDash w14:val="solid"/>
            <w14:miter w14:val="0"/>
          </w14:textOutline>
        </w:rPr>
      </w:pPr>
      <w:r>
        <w:rPr>
          <w:rFonts w:hint="eastAsia" w:ascii="宋体" w:hAnsi="宋体" w:eastAsia="宋体" w:cs="宋体"/>
          <w:b/>
          <w:bCs/>
          <w:color w:val="auto"/>
          <w:spacing w:val="7"/>
          <w:sz w:val="31"/>
          <w:szCs w:val="31"/>
          <w:highlight w:val="none"/>
        </w:rPr>
        <w:t>5.</w:t>
      </w:r>
      <w:r>
        <w:rPr>
          <w:rFonts w:hint="eastAsia" w:ascii="宋体" w:hAnsi="宋体" w:eastAsia="宋体" w:cs="宋体"/>
          <w:color w:val="auto"/>
          <w:spacing w:val="7"/>
          <w:sz w:val="31"/>
          <w:szCs w:val="31"/>
          <w:highlight w:val="none"/>
        </w:rPr>
        <w:t xml:space="preserve">  </w:t>
      </w:r>
      <w:r>
        <w:rPr>
          <w:rFonts w:hint="eastAsia" w:ascii="宋体" w:hAnsi="宋体" w:eastAsia="宋体" w:cs="宋体"/>
          <w:color w:val="auto"/>
          <w:spacing w:val="7"/>
          <w:sz w:val="31"/>
          <w:szCs w:val="31"/>
          <w:highlight w:val="none"/>
          <w14:textOutline w14:w="5791" w14:cap="flat" w14:cmpd="sng">
            <w14:solidFill>
              <w14:srgbClr w14:val="000000"/>
            </w14:solidFill>
            <w14:prstDash w14:val="solid"/>
            <w14:miter w14:val="0"/>
          </w14:textOutline>
        </w:rPr>
        <w:t>投标文件的递交</w:t>
      </w:r>
      <w:bookmarkStart w:id="6" w:name="_bookmark8"/>
      <w:bookmarkEnd w:id="6"/>
      <w:r>
        <w:rPr>
          <w:rFonts w:hint="eastAsia" w:ascii="宋体" w:hAnsi="宋体" w:eastAsia="宋体" w:cs="宋体"/>
          <w:color w:val="auto"/>
          <w:spacing w:val="7"/>
          <w:sz w:val="31"/>
          <w:szCs w:val="31"/>
          <w:highlight w:val="none"/>
          <w:lang w:val="en-US" w:eastAsia="zh-CN"/>
          <w14:textOutline w14:w="5791" w14:cap="flat" w14:cmpd="sng">
            <w14:solidFill>
              <w14:srgbClr w14:val="000000"/>
            </w14:solidFill>
            <w14:prstDash w14:val="solid"/>
            <w14:miter w14:val="0"/>
          </w14:textOutline>
        </w:rPr>
        <w:t>及相关事宜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firstLine="440" w:firstLineChars="200"/>
        <w:jc w:val="both"/>
        <w:rPr>
          <w:rFonts w:hint="eastAsia" w:ascii="宋体" w:hAnsi="宋体" w:eastAsia="宋体" w:cs="宋体"/>
          <w:color w:val="auto"/>
          <w:kern w:val="2"/>
          <w:sz w:val="22"/>
          <w:szCs w:val="22"/>
          <w:highlight w:val="none"/>
          <w:lang w:val="en-US" w:eastAsia="zh-CN" w:bidi="ar-SA"/>
        </w:rPr>
      </w:pPr>
    </w:p>
    <w:p>
      <w:pPr>
        <w:spacing w:before="68" w:line="357" w:lineRule="auto"/>
        <w:ind w:right="2" w:firstLine="448" w:firstLineChars="200"/>
        <w:rPr>
          <w:rFonts w:hint="eastAsia" w:ascii="宋体" w:hAnsi="宋体" w:eastAsia="宋体" w:cs="宋体"/>
          <w:color w:val="auto"/>
          <w:spacing w:val="2"/>
          <w:sz w:val="22"/>
          <w:szCs w:val="22"/>
          <w:highlight w:val="none"/>
          <w:lang w:val="en-US" w:eastAsia="zh-CN"/>
        </w:rPr>
      </w:pPr>
      <w:bookmarkStart w:id="7" w:name="_bookmark10"/>
      <w:bookmarkEnd w:id="7"/>
      <w:bookmarkStart w:id="8" w:name="_bookmark18"/>
      <w:bookmarkEnd w:id="8"/>
      <w:r>
        <w:rPr>
          <w:rFonts w:hint="eastAsia" w:ascii="宋体" w:hAnsi="宋体" w:eastAsia="宋体" w:cs="宋体"/>
          <w:color w:val="auto"/>
          <w:spacing w:val="2"/>
          <w:sz w:val="22"/>
          <w:szCs w:val="22"/>
          <w:highlight w:val="none"/>
          <w:lang w:val="en-US" w:eastAsia="zh-CN"/>
        </w:rPr>
        <w:t>5.1 投标文件递交截止时间（投标截止时间，下同）为</w:t>
      </w:r>
      <w:r>
        <w:rPr>
          <w:rFonts w:hint="eastAsia" w:ascii="宋体" w:hAnsi="宋体" w:eastAsia="宋体" w:cs="宋体"/>
          <w:i w:val="0"/>
          <w:iCs w:val="0"/>
          <w:color w:val="auto"/>
          <w:spacing w:val="2"/>
          <w:sz w:val="22"/>
          <w:szCs w:val="22"/>
          <w:highlight w:val="none"/>
          <w:lang w:val="en-US" w:eastAsia="zh-CN"/>
        </w:rPr>
        <w:t>2024年1月9日9时30分</w:t>
      </w:r>
      <w:r>
        <w:rPr>
          <w:rFonts w:hint="eastAsia" w:ascii="宋体" w:hAnsi="宋体" w:eastAsia="宋体" w:cs="宋体"/>
          <w:color w:val="auto"/>
          <w:spacing w:val="2"/>
          <w:sz w:val="22"/>
          <w:szCs w:val="22"/>
          <w:highlight w:val="none"/>
          <w:lang w:val="en-US" w:eastAsia="zh-CN"/>
        </w:rPr>
        <w:t>（北京时间），投标人应在投标截止时间前通过岳阳市公共资源交易网（网址：http://ggzy.yueyang.gov.cn/）在线递交投标文件并完成在线签到。</w:t>
      </w:r>
    </w:p>
    <w:p>
      <w:pPr>
        <w:spacing w:before="68" w:line="357" w:lineRule="auto"/>
        <w:ind w:right="2" w:firstLine="448" w:firstLineChars="200"/>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5.2 电子投标文件解密时间为发出解密指令后，30分钟内完成。</w:t>
      </w:r>
    </w:p>
    <w:p>
      <w:pPr>
        <w:spacing w:before="68" w:line="357" w:lineRule="auto"/>
        <w:ind w:right="2" w:firstLine="448" w:firstLineChars="200"/>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5.3 开标地点：招标人在岳阳市公共资源交易网（网址：ttp://ggzy.yueyang.gov.cn/）上公开进行开标，所有投标人均应当准时在线参加开标。招标人同时在岳阳市公共资源交易网（设置网上开标席位/设置线下开标会场）。</w:t>
      </w:r>
    </w:p>
    <w:p>
      <w:pPr>
        <w:pStyle w:val="23"/>
        <w:rPr>
          <w:rFonts w:hint="eastAsia"/>
          <w:color w:val="auto"/>
          <w:highlight w:val="none"/>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both"/>
        <w:rPr>
          <w:rStyle w:val="24"/>
          <w:rFonts w:hint="eastAsia" w:ascii="宋体" w:hAnsi="宋体" w:eastAsia="宋体" w:cs="宋体"/>
          <w:b w:val="0"/>
          <w:bCs w:val="0"/>
          <w:i w:val="0"/>
          <w:color w:val="auto"/>
          <w:sz w:val="28"/>
          <w:szCs w:val="28"/>
          <w:highlight w:val="none"/>
        </w:rPr>
      </w:pPr>
      <w:r>
        <w:rPr>
          <w:rFonts w:hint="eastAsia" w:eastAsia="宋体" w:cs="宋体"/>
          <w:snapToGrid w:val="0"/>
          <w:color w:val="auto"/>
          <w:spacing w:val="7"/>
          <w:kern w:val="0"/>
          <w:sz w:val="31"/>
          <w:szCs w:val="31"/>
          <w:highlight w:val="none"/>
          <w:lang w:val="en-US" w:eastAsia="zh-CN"/>
          <w14:textOutline w14:w="5791" w14:cap="flat" w14:cmpd="sng">
            <w14:solidFill>
              <w14:srgbClr w14:val="000000"/>
            </w14:solidFill>
            <w14:prstDash w14:val="solid"/>
            <w14:miter w14:val="0"/>
          </w14:textOutline>
        </w:rPr>
        <w:t>6</w:t>
      </w:r>
      <w:r>
        <w:rPr>
          <w:rFonts w:hint="eastAsia" w:ascii="宋体" w:hAnsi="宋体" w:eastAsia="宋体" w:cs="宋体"/>
          <w:snapToGrid w:val="0"/>
          <w:color w:val="auto"/>
          <w:spacing w:val="7"/>
          <w:kern w:val="0"/>
          <w:sz w:val="31"/>
          <w:szCs w:val="31"/>
          <w:highlight w:val="none"/>
          <w14:textOutline w14:w="5791" w14:cap="flat" w14:cmpd="sng">
            <w14:solidFill>
              <w14:srgbClr w14:val="000000"/>
            </w14:solidFill>
            <w14:prstDash w14:val="solid"/>
            <w14:miter w14:val="0"/>
          </w14:textOutline>
        </w:rPr>
        <w:t>．评标办法</w:t>
      </w:r>
    </w:p>
    <w:p>
      <w:pPr>
        <w:pStyle w:val="7"/>
        <w:topLinePunct/>
        <w:spacing w:line="400" w:lineRule="atLeast"/>
        <w:ind w:firstLine="330" w:firstLineChars="150"/>
        <w:rPr>
          <w:rFonts w:hint="eastAsia" w:ascii="宋体" w:hAnsi="宋体" w:eastAsia="宋体" w:cs="宋体"/>
          <w:color w:val="auto"/>
          <w:sz w:val="24"/>
          <w:szCs w:val="20"/>
          <w:highlight w:val="none"/>
        </w:rPr>
      </w:pPr>
      <w:r>
        <w:rPr>
          <w:rFonts w:hint="eastAsia" w:ascii="宋体" w:hAnsi="宋体" w:eastAsia="宋体" w:cs="宋体"/>
          <w:color w:val="auto"/>
          <w:sz w:val="22"/>
          <w:szCs w:val="22"/>
          <w:highlight w:val="none"/>
        </w:rPr>
        <w:t>本项目评标办法采用</w:t>
      </w:r>
      <w:r>
        <w:rPr>
          <w:rFonts w:hint="eastAsia" w:ascii="宋体" w:hAnsi="宋体" w:eastAsia="宋体" w:cs="宋体"/>
          <w:color w:val="auto"/>
          <w:sz w:val="22"/>
          <w:szCs w:val="22"/>
          <w:highlight w:val="none"/>
          <w:lang w:eastAsia="zh-CN"/>
        </w:rPr>
        <w:t>综合评估法</w:t>
      </w:r>
      <w:r>
        <w:rPr>
          <w:rFonts w:hint="eastAsia" w:ascii="宋体" w:hAnsi="宋体" w:eastAsia="宋体" w:cs="宋体"/>
          <w:color w:val="auto"/>
          <w:sz w:val="22"/>
          <w:szCs w:val="22"/>
          <w:highlight w:val="none"/>
        </w:rPr>
        <w:t>。</w:t>
      </w:r>
    </w:p>
    <w:p>
      <w:pPr>
        <w:pStyle w:val="25"/>
        <w:ind w:firstLine="324" w:firstLineChars="100"/>
        <w:jc w:val="left"/>
        <w:rPr>
          <w:rStyle w:val="24"/>
          <w:rFonts w:hint="eastAsia" w:ascii="宋体" w:hAnsi="宋体" w:eastAsia="宋体" w:cs="宋体"/>
          <w:b w:val="0"/>
          <w:bCs w:val="0"/>
          <w:i w:val="0"/>
          <w:color w:val="auto"/>
          <w:sz w:val="28"/>
          <w:szCs w:val="28"/>
          <w:highlight w:val="none"/>
        </w:rPr>
      </w:pPr>
      <w:r>
        <w:rPr>
          <w:rFonts w:hint="eastAsia" w:eastAsia="宋体" w:cs="宋体"/>
          <w:bCs w:val="0"/>
          <w:i w:val="0"/>
          <w:iCs w:val="0"/>
          <w:snapToGrid w:val="0"/>
          <w:color w:val="auto"/>
          <w:spacing w:val="7"/>
          <w:kern w:val="0"/>
          <w:sz w:val="31"/>
          <w:szCs w:val="31"/>
          <w:highlight w:val="none"/>
          <w:lang w:val="en-US" w:eastAsia="zh-CN"/>
          <w14:textOutline w14:w="5791" w14:cap="flat" w14:cmpd="sng">
            <w14:solidFill>
              <w14:srgbClr w14:val="000000"/>
            </w14:solidFill>
            <w14:prstDash w14:val="solid"/>
            <w14:miter w14:val="0"/>
          </w14:textOutline>
        </w:rPr>
        <w:t>7</w:t>
      </w:r>
      <w:r>
        <w:rPr>
          <w:rFonts w:hint="eastAsia" w:ascii="宋体" w:hAnsi="宋体" w:eastAsia="宋体" w:cs="宋体"/>
          <w:bCs w:val="0"/>
          <w:i w:val="0"/>
          <w:iCs w:val="0"/>
          <w:snapToGrid w:val="0"/>
          <w:color w:val="auto"/>
          <w:spacing w:val="7"/>
          <w:kern w:val="0"/>
          <w:sz w:val="31"/>
          <w:szCs w:val="31"/>
          <w:highlight w:val="none"/>
          <w14:textOutline w14:w="5791" w14:cap="flat" w14:cmpd="sng">
            <w14:solidFill>
              <w14:srgbClr w14:val="000000"/>
            </w14:solidFill>
            <w14:prstDash w14:val="solid"/>
            <w14:miter w14:val="0"/>
          </w14:textOutline>
        </w:rPr>
        <w:t>.发布公告的媒介</w:t>
      </w:r>
    </w:p>
    <w:p>
      <w:pPr>
        <w:pStyle w:val="7"/>
        <w:spacing w:line="360" w:lineRule="auto"/>
        <w:ind w:firstLine="440" w:firstLineChars="20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2"/>
          <w:szCs w:val="22"/>
          <w:highlight w:val="none"/>
        </w:rPr>
        <w:t>本次招标公告同时在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湖南省招标投标监管网</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《岳阳市交通运输网》</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岳阳市公共资源交易网</w:t>
      </w:r>
      <w:r>
        <w:rPr>
          <w:rFonts w:hint="eastAsia" w:ascii="宋体" w:hAnsi="宋体" w:eastAsia="宋体" w:cs="宋体"/>
          <w:color w:val="auto"/>
          <w:sz w:val="22"/>
          <w:szCs w:val="22"/>
          <w:highlight w:val="none"/>
          <w:lang w:eastAsia="zh-CN"/>
        </w:rPr>
        <w:t>》</w:t>
      </w:r>
      <w:r>
        <w:rPr>
          <w:rFonts w:hint="eastAsia" w:ascii="宋体" w:hAnsi="宋体" w:eastAsia="宋体" w:cs="宋体"/>
          <w:snapToGrid w:val="0"/>
          <w:color w:val="auto"/>
          <w:kern w:val="2"/>
          <w:sz w:val="22"/>
          <w:szCs w:val="22"/>
          <w:highlight w:val="none"/>
          <w:lang w:val="en-US" w:eastAsia="zh-CN" w:bidi="ar-SA"/>
        </w:rPr>
        <w:t>上发布。</w:t>
      </w:r>
    </w:p>
    <w:p>
      <w:pPr>
        <w:pStyle w:val="7"/>
        <w:numPr>
          <w:ilvl w:val="0"/>
          <w:numId w:val="0"/>
        </w:numPr>
        <w:spacing w:line="360" w:lineRule="auto"/>
        <w:ind w:firstLine="324" w:firstLineChars="100"/>
        <w:rPr>
          <w:rStyle w:val="24"/>
          <w:rFonts w:hint="eastAsia" w:ascii="宋体" w:hAnsi="宋体" w:eastAsia="宋体" w:cs="宋体"/>
          <w:b w:val="0"/>
          <w:bCs w:val="0"/>
          <w:i w:val="0"/>
          <w:color w:val="auto"/>
          <w:sz w:val="28"/>
          <w:szCs w:val="28"/>
          <w:highlight w:val="none"/>
          <w:lang w:val="en-US" w:eastAsia="zh-CN"/>
        </w:rPr>
      </w:pPr>
      <w:r>
        <w:rPr>
          <w:rFonts w:hint="eastAsia" w:ascii="宋体" w:hAnsi="宋体" w:cs="宋体"/>
          <w:snapToGrid w:val="0"/>
          <w:color w:val="auto"/>
          <w:spacing w:val="7"/>
          <w:kern w:val="0"/>
          <w:sz w:val="31"/>
          <w:szCs w:val="31"/>
          <w:highlight w:val="none"/>
          <w:lang w:val="en-US" w:eastAsia="zh-CN"/>
          <w14:textOutline w14:w="5791" w14:cap="flat" w14:cmpd="sng">
            <w14:solidFill>
              <w14:srgbClr w14:val="000000"/>
            </w14:solidFill>
            <w14:prstDash w14:val="solid"/>
            <w14:miter w14:val="0"/>
          </w14:textOutline>
        </w:rPr>
        <w:t>8</w:t>
      </w:r>
      <w:r>
        <w:rPr>
          <w:rFonts w:hint="eastAsia" w:ascii="宋体" w:hAnsi="宋体" w:eastAsia="宋体" w:cs="宋体"/>
          <w:snapToGrid w:val="0"/>
          <w:color w:val="auto"/>
          <w:spacing w:val="7"/>
          <w:kern w:val="0"/>
          <w:sz w:val="31"/>
          <w:szCs w:val="31"/>
          <w:highlight w:val="none"/>
          <w:lang w:val="en-US" w:eastAsia="zh-CN"/>
          <w14:textOutline w14:w="5791" w14:cap="flat" w14:cmpd="sng">
            <w14:solidFill>
              <w14:srgbClr w14:val="000000"/>
            </w14:solidFill>
            <w14:prstDash w14:val="solid"/>
            <w14:miter w14:val="0"/>
          </w14:textOutline>
        </w:rPr>
        <w:t>.附件</w:t>
      </w:r>
    </w:p>
    <w:p>
      <w:pPr>
        <w:pStyle w:val="7"/>
        <w:numPr>
          <w:ilvl w:val="0"/>
          <w:numId w:val="0"/>
        </w:numPr>
        <w:spacing w:line="360" w:lineRule="auto"/>
        <w:ind w:firstLine="440" w:firstLineChars="200"/>
        <w:rPr>
          <w:rFonts w:hint="eastAsia" w:ascii="宋体" w:hAnsi="宋体" w:eastAsia="宋体" w:cs="宋体"/>
          <w:bCs w:val="0"/>
          <w:i w:val="0"/>
          <w:iCs w:val="0"/>
          <w:snapToGrid w:val="0"/>
          <w:color w:val="auto"/>
          <w:kern w:val="2"/>
          <w:sz w:val="22"/>
          <w:szCs w:val="22"/>
          <w:highlight w:val="none"/>
          <w:lang w:val="en-US" w:eastAsia="zh-CN" w:bidi="ar-SA"/>
        </w:rPr>
      </w:pPr>
      <w:r>
        <w:rPr>
          <w:rFonts w:hint="eastAsia" w:ascii="宋体" w:hAnsi="宋体" w:eastAsia="宋体" w:cs="宋体"/>
          <w:bCs w:val="0"/>
          <w:i w:val="0"/>
          <w:iCs w:val="0"/>
          <w:snapToGrid w:val="0"/>
          <w:color w:val="auto"/>
          <w:kern w:val="2"/>
          <w:sz w:val="22"/>
          <w:szCs w:val="22"/>
          <w:highlight w:val="none"/>
          <w:lang w:val="en-US" w:eastAsia="zh-CN" w:bidi="ar-SA"/>
        </w:rPr>
        <w:t>附件1：资格审查条件要求（详见第二章投标人须知</w:t>
      </w:r>
      <w:r>
        <w:rPr>
          <w:rFonts w:hint="eastAsia" w:ascii="宋体" w:hAnsi="宋体" w:cs="宋体"/>
          <w:bCs w:val="0"/>
          <w:i w:val="0"/>
          <w:iCs w:val="0"/>
          <w:snapToGrid w:val="0"/>
          <w:color w:val="auto"/>
          <w:kern w:val="2"/>
          <w:sz w:val="22"/>
          <w:szCs w:val="22"/>
          <w:highlight w:val="none"/>
          <w:lang w:val="en-US" w:eastAsia="zh-CN" w:bidi="ar-SA"/>
        </w:rPr>
        <w:t>前附表</w:t>
      </w:r>
      <w:r>
        <w:rPr>
          <w:rFonts w:hint="eastAsia" w:ascii="宋体" w:hAnsi="宋体" w:eastAsia="宋体" w:cs="宋体"/>
          <w:bCs w:val="0"/>
          <w:i w:val="0"/>
          <w:iCs w:val="0"/>
          <w:snapToGrid w:val="0"/>
          <w:color w:val="auto"/>
          <w:kern w:val="2"/>
          <w:sz w:val="22"/>
          <w:szCs w:val="22"/>
          <w:highlight w:val="none"/>
          <w:lang w:val="en-US" w:eastAsia="zh-CN" w:bidi="ar-SA"/>
        </w:rPr>
        <w:t>）</w:t>
      </w:r>
    </w:p>
    <w:p>
      <w:pPr>
        <w:pStyle w:val="7"/>
        <w:numPr>
          <w:ilvl w:val="0"/>
          <w:numId w:val="0"/>
        </w:numPr>
        <w:spacing w:line="360" w:lineRule="auto"/>
        <w:ind w:firstLine="440" w:firstLineChars="200"/>
        <w:rPr>
          <w:rFonts w:hint="eastAsia" w:ascii="宋体" w:hAnsi="宋体" w:eastAsia="宋体" w:cs="宋体"/>
          <w:bCs w:val="0"/>
          <w:i w:val="0"/>
          <w:iCs w:val="0"/>
          <w:snapToGrid w:val="0"/>
          <w:color w:val="auto"/>
          <w:kern w:val="2"/>
          <w:sz w:val="22"/>
          <w:szCs w:val="22"/>
          <w:highlight w:val="none"/>
          <w:lang w:val="en-US" w:eastAsia="zh-CN" w:bidi="ar-SA"/>
        </w:rPr>
      </w:pPr>
      <w:r>
        <w:rPr>
          <w:rFonts w:hint="eastAsia" w:ascii="宋体" w:hAnsi="宋体" w:eastAsia="宋体" w:cs="宋体"/>
          <w:bCs w:val="0"/>
          <w:i w:val="0"/>
          <w:iCs w:val="0"/>
          <w:snapToGrid w:val="0"/>
          <w:color w:val="auto"/>
          <w:kern w:val="2"/>
          <w:sz w:val="22"/>
          <w:szCs w:val="22"/>
          <w:highlight w:val="none"/>
          <w:lang w:val="en-US" w:eastAsia="zh-CN" w:bidi="ar-SA"/>
        </w:rPr>
        <w:t>附件2：评标办法：(详见第三章评标办法)</w:t>
      </w:r>
    </w:p>
    <w:p>
      <w:pPr>
        <w:pStyle w:val="7"/>
        <w:numPr>
          <w:ilvl w:val="0"/>
          <w:numId w:val="0"/>
        </w:numPr>
        <w:spacing w:line="360" w:lineRule="auto"/>
        <w:ind w:firstLine="440" w:firstLineChars="200"/>
        <w:rPr>
          <w:rFonts w:hint="eastAsia" w:ascii="宋体" w:hAnsi="宋体" w:eastAsia="宋体" w:cs="宋体"/>
          <w:bCs w:val="0"/>
          <w:i w:val="0"/>
          <w:iCs w:val="0"/>
          <w:snapToGrid w:val="0"/>
          <w:color w:val="auto"/>
          <w:kern w:val="2"/>
          <w:sz w:val="22"/>
          <w:szCs w:val="22"/>
          <w:highlight w:val="none"/>
          <w:lang w:val="en-US" w:eastAsia="zh-CN" w:bidi="ar-SA"/>
        </w:rPr>
      </w:pPr>
      <w:r>
        <w:rPr>
          <w:rFonts w:hint="eastAsia" w:ascii="宋体" w:hAnsi="宋体" w:eastAsia="宋体" w:cs="宋体"/>
          <w:bCs w:val="0"/>
          <w:i w:val="0"/>
          <w:iCs w:val="0"/>
          <w:snapToGrid w:val="0"/>
          <w:color w:val="auto"/>
          <w:kern w:val="2"/>
          <w:sz w:val="22"/>
          <w:szCs w:val="22"/>
          <w:highlight w:val="none"/>
          <w:lang w:val="en-US" w:eastAsia="zh-CN" w:bidi="ar-SA"/>
        </w:rPr>
        <w:t>附件3：项目概况</w:t>
      </w:r>
    </w:p>
    <w:p>
      <w:pPr>
        <w:spacing w:before="319" w:line="239" w:lineRule="auto"/>
        <w:ind w:left="10"/>
        <w:outlineLvl w:val="0"/>
        <w:rPr>
          <w:rFonts w:hint="eastAsia" w:ascii="宋体" w:hAnsi="宋体" w:eastAsia="宋体" w:cs="宋体"/>
          <w:color w:val="auto"/>
          <w:spacing w:val="7"/>
          <w:sz w:val="31"/>
          <w:szCs w:val="31"/>
          <w:highlight w:val="none"/>
          <w:lang w:val="en-US" w:eastAsia="zh-CN"/>
          <w14:textOutline w14:w="5791" w14:cap="flat" w14:cmpd="sng">
            <w14:solidFill>
              <w14:srgbClr w14:val="000000"/>
            </w14:solidFill>
            <w14:prstDash w14:val="solid"/>
            <w14:miter w14:val="0"/>
          </w14:textOutline>
        </w:rPr>
      </w:pPr>
      <w:r>
        <w:rPr>
          <w:rFonts w:hint="eastAsia" w:ascii="宋体" w:hAnsi="宋体" w:eastAsia="宋体" w:cs="宋体"/>
          <w:color w:val="auto"/>
          <w:spacing w:val="7"/>
          <w:sz w:val="31"/>
          <w:szCs w:val="31"/>
          <w:highlight w:val="none"/>
          <w:lang w:val="en-US" w:eastAsia="zh-CN"/>
          <w14:textOutline w14:w="5791" w14:cap="flat" w14:cmpd="sng">
            <w14:solidFill>
              <w14:srgbClr w14:val="000000"/>
            </w14:solidFill>
            <w14:prstDash w14:val="solid"/>
            <w14:miter w14:val="0"/>
          </w14:textOutline>
        </w:rPr>
        <w:t>9.联系方式</w:t>
      </w:r>
    </w:p>
    <w:p>
      <w:pPr>
        <w:pStyle w:val="7"/>
        <w:numPr>
          <w:ilvl w:val="0"/>
          <w:numId w:val="0"/>
        </w:numPr>
        <w:spacing w:line="360" w:lineRule="auto"/>
        <w:ind w:firstLine="440" w:firstLineChars="200"/>
        <w:rPr>
          <w:rFonts w:hint="eastAsia" w:ascii="宋体" w:hAnsi="宋体" w:eastAsia="宋体" w:cs="宋体"/>
          <w:bCs w:val="0"/>
          <w:i w:val="0"/>
          <w:iCs w:val="0"/>
          <w:snapToGrid w:val="0"/>
          <w:color w:val="auto"/>
          <w:kern w:val="2"/>
          <w:sz w:val="22"/>
          <w:szCs w:val="22"/>
          <w:highlight w:val="none"/>
          <w:lang w:val="en-US" w:eastAsia="zh-CN" w:bidi="ar-SA"/>
        </w:rPr>
      </w:pPr>
    </w:p>
    <w:p>
      <w:pPr>
        <w:pStyle w:val="7"/>
        <w:numPr>
          <w:ilvl w:val="0"/>
          <w:numId w:val="0"/>
        </w:numPr>
        <w:spacing w:line="360" w:lineRule="auto"/>
        <w:ind w:firstLine="440" w:firstLineChars="200"/>
        <w:rPr>
          <w:rFonts w:hint="eastAsia" w:ascii="宋体" w:hAnsi="宋体" w:eastAsia="宋体" w:cs="宋体"/>
          <w:bCs w:val="0"/>
          <w:i w:val="0"/>
          <w:iCs w:val="0"/>
          <w:snapToGrid w:val="0"/>
          <w:color w:val="auto"/>
          <w:kern w:val="2"/>
          <w:sz w:val="22"/>
          <w:szCs w:val="22"/>
          <w:highlight w:val="none"/>
          <w:lang w:val="en-US" w:eastAsia="zh-CN" w:bidi="ar-SA"/>
        </w:rPr>
      </w:pPr>
      <w:r>
        <w:rPr>
          <w:rFonts w:hint="eastAsia" w:ascii="宋体" w:hAnsi="宋体" w:eastAsia="宋体" w:cs="宋体"/>
          <w:bCs w:val="0"/>
          <w:i w:val="0"/>
          <w:iCs w:val="0"/>
          <w:snapToGrid w:val="0"/>
          <w:color w:val="auto"/>
          <w:kern w:val="2"/>
          <w:sz w:val="22"/>
          <w:szCs w:val="22"/>
          <w:highlight w:val="none"/>
          <w:lang w:val="en-US" w:eastAsia="zh-CN" w:bidi="ar-SA"/>
        </w:rPr>
        <w:t>招  标  人：岳阳市塔市驿港物流有限公司；</w:t>
      </w:r>
      <w:r>
        <w:rPr>
          <w:rFonts w:hint="eastAsia" w:ascii="宋体" w:hAnsi="宋体" w:eastAsia="宋体" w:cs="宋体"/>
          <w:bCs w:val="0"/>
          <w:i w:val="0"/>
          <w:iCs w:val="0"/>
          <w:snapToGrid w:val="0"/>
          <w:color w:val="auto"/>
          <w:kern w:val="2"/>
          <w:sz w:val="22"/>
          <w:szCs w:val="22"/>
          <w:highlight w:val="none"/>
          <w:lang w:val="en-US" w:eastAsia="zh-CN" w:bidi="ar-SA"/>
        </w:rPr>
        <w:tab/>
      </w:r>
    </w:p>
    <w:p>
      <w:pPr>
        <w:pStyle w:val="7"/>
        <w:numPr>
          <w:ilvl w:val="0"/>
          <w:numId w:val="0"/>
        </w:numPr>
        <w:spacing w:line="360" w:lineRule="auto"/>
        <w:ind w:left="1757" w:leftChars="208" w:hanging="1320" w:hangingChars="600"/>
        <w:rPr>
          <w:rFonts w:hint="eastAsia" w:ascii="宋体" w:hAnsi="宋体" w:eastAsia="宋体" w:cs="宋体"/>
          <w:bCs w:val="0"/>
          <w:i w:val="0"/>
          <w:iCs w:val="0"/>
          <w:snapToGrid w:val="0"/>
          <w:color w:val="auto"/>
          <w:kern w:val="2"/>
          <w:sz w:val="22"/>
          <w:szCs w:val="22"/>
          <w:highlight w:val="none"/>
          <w:lang w:val="en-US" w:eastAsia="zh-CN" w:bidi="ar-SA"/>
        </w:rPr>
      </w:pPr>
      <w:r>
        <w:rPr>
          <w:rFonts w:hint="eastAsia" w:ascii="宋体" w:hAnsi="宋体" w:eastAsia="宋体" w:cs="宋体"/>
          <w:bCs w:val="0"/>
          <w:i w:val="0"/>
          <w:iCs w:val="0"/>
          <w:snapToGrid w:val="0"/>
          <w:color w:val="auto"/>
          <w:kern w:val="2"/>
          <w:sz w:val="22"/>
          <w:szCs w:val="22"/>
          <w:highlight w:val="none"/>
          <w:lang w:val="en-US" w:eastAsia="zh-CN" w:bidi="ar-SA"/>
        </w:rPr>
        <w:t>地      址：岳阳华容县章华镇杏花村西路18号创新创业园综合服务大楼9楼909室；</w:t>
      </w:r>
    </w:p>
    <w:p>
      <w:pPr>
        <w:pStyle w:val="7"/>
        <w:numPr>
          <w:ilvl w:val="0"/>
          <w:numId w:val="0"/>
        </w:numPr>
        <w:spacing w:line="360" w:lineRule="auto"/>
        <w:ind w:firstLine="440" w:firstLineChars="200"/>
        <w:rPr>
          <w:rFonts w:hint="eastAsia" w:ascii="宋体" w:hAnsi="宋体" w:eastAsia="宋体" w:cs="宋体"/>
          <w:bCs w:val="0"/>
          <w:i w:val="0"/>
          <w:iCs w:val="0"/>
          <w:snapToGrid w:val="0"/>
          <w:color w:val="auto"/>
          <w:kern w:val="2"/>
          <w:sz w:val="22"/>
          <w:szCs w:val="22"/>
          <w:highlight w:val="none"/>
          <w:lang w:val="en-US" w:eastAsia="zh-CN" w:bidi="ar-SA"/>
        </w:rPr>
      </w:pPr>
      <w:r>
        <w:rPr>
          <w:rFonts w:hint="eastAsia" w:ascii="宋体" w:hAnsi="宋体" w:eastAsia="宋体" w:cs="宋体"/>
          <w:bCs w:val="0"/>
          <w:i w:val="0"/>
          <w:iCs w:val="0"/>
          <w:snapToGrid w:val="0"/>
          <w:color w:val="auto"/>
          <w:kern w:val="2"/>
          <w:sz w:val="22"/>
          <w:szCs w:val="22"/>
          <w:highlight w:val="none"/>
          <w:lang w:val="en-US" w:eastAsia="zh-CN" w:bidi="ar-SA"/>
        </w:rPr>
        <w:t>联   系  人：王</w:t>
      </w:r>
      <w:r>
        <w:rPr>
          <w:rFonts w:hint="eastAsia" w:ascii="宋体" w:hAnsi="宋体" w:cs="宋体"/>
          <w:bCs w:val="0"/>
          <w:i w:val="0"/>
          <w:iCs w:val="0"/>
          <w:snapToGrid w:val="0"/>
          <w:color w:val="auto"/>
          <w:kern w:val="2"/>
          <w:sz w:val="22"/>
          <w:szCs w:val="22"/>
          <w:highlight w:val="none"/>
          <w:lang w:val="en-US" w:eastAsia="zh-CN" w:bidi="ar-SA"/>
        </w:rPr>
        <w:t>先生</w:t>
      </w:r>
      <w:r>
        <w:rPr>
          <w:rFonts w:hint="eastAsia" w:ascii="宋体" w:hAnsi="宋体" w:eastAsia="宋体" w:cs="宋体"/>
          <w:bCs w:val="0"/>
          <w:i w:val="0"/>
          <w:iCs w:val="0"/>
          <w:snapToGrid w:val="0"/>
          <w:color w:val="auto"/>
          <w:kern w:val="2"/>
          <w:sz w:val="22"/>
          <w:szCs w:val="22"/>
          <w:highlight w:val="none"/>
          <w:lang w:val="en-US" w:eastAsia="zh-CN" w:bidi="ar-SA"/>
        </w:rPr>
        <w:t xml:space="preserve">        </w:t>
      </w:r>
    </w:p>
    <w:p>
      <w:pPr>
        <w:pStyle w:val="7"/>
        <w:numPr>
          <w:ilvl w:val="0"/>
          <w:numId w:val="0"/>
        </w:numPr>
        <w:spacing w:line="360" w:lineRule="auto"/>
        <w:ind w:firstLine="440" w:firstLineChars="200"/>
        <w:rPr>
          <w:rFonts w:hint="eastAsia" w:ascii="宋体" w:hAnsi="宋体" w:eastAsia="宋体" w:cs="宋体"/>
          <w:bCs w:val="0"/>
          <w:i w:val="0"/>
          <w:iCs w:val="0"/>
          <w:snapToGrid w:val="0"/>
          <w:color w:val="auto"/>
          <w:kern w:val="2"/>
          <w:sz w:val="22"/>
          <w:szCs w:val="22"/>
          <w:highlight w:val="none"/>
          <w:lang w:val="en-US" w:eastAsia="zh-CN" w:bidi="ar-SA"/>
        </w:rPr>
      </w:pPr>
      <w:r>
        <w:rPr>
          <w:rFonts w:hint="eastAsia" w:ascii="宋体" w:hAnsi="宋体" w:eastAsia="宋体" w:cs="宋体"/>
          <w:bCs w:val="0"/>
          <w:i w:val="0"/>
          <w:iCs w:val="0"/>
          <w:snapToGrid w:val="0"/>
          <w:color w:val="auto"/>
          <w:kern w:val="2"/>
          <w:sz w:val="22"/>
          <w:szCs w:val="22"/>
          <w:highlight w:val="none"/>
          <w:lang w:val="en-US" w:eastAsia="zh-CN" w:bidi="ar-SA"/>
        </w:rPr>
        <w:t>电       话：13575095855</w:t>
      </w:r>
    </w:p>
    <w:p>
      <w:pPr>
        <w:pStyle w:val="7"/>
        <w:numPr>
          <w:ilvl w:val="0"/>
          <w:numId w:val="0"/>
        </w:numPr>
        <w:spacing w:line="360" w:lineRule="auto"/>
        <w:ind w:firstLine="440" w:firstLineChars="200"/>
        <w:rPr>
          <w:rFonts w:hint="eastAsia" w:ascii="宋体" w:hAnsi="宋体" w:eastAsia="宋体" w:cs="宋体"/>
          <w:bCs w:val="0"/>
          <w:i w:val="0"/>
          <w:iCs w:val="0"/>
          <w:snapToGrid w:val="0"/>
          <w:color w:val="auto"/>
          <w:kern w:val="2"/>
          <w:sz w:val="22"/>
          <w:szCs w:val="22"/>
          <w:highlight w:val="none"/>
          <w:lang w:val="en-US" w:eastAsia="zh-CN" w:bidi="ar-SA"/>
        </w:rPr>
      </w:pPr>
      <w:r>
        <w:rPr>
          <w:rFonts w:hint="eastAsia" w:ascii="宋体" w:hAnsi="宋体" w:eastAsia="宋体" w:cs="宋体"/>
          <w:bCs w:val="0"/>
          <w:i w:val="0"/>
          <w:iCs w:val="0"/>
          <w:snapToGrid w:val="0"/>
          <w:color w:val="auto"/>
          <w:kern w:val="2"/>
          <w:sz w:val="22"/>
          <w:szCs w:val="22"/>
          <w:highlight w:val="none"/>
          <w:lang w:val="en-US" w:eastAsia="zh-CN" w:bidi="ar-SA"/>
        </w:rPr>
        <w:t>招标代理机构：湖南共宇项目管理有限公司；</w:t>
      </w:r>
      <w:r>
        <w:rPr>
          <w:rFonts w:hint="eastAsia" w:ascii="宋体" w:hAnsi="宋体" w:eastAsia="宋体" w:cs="宋体"/>
          <w:bCs w:val="0"/>
          <w:i w:val="0"/>
          <w:iCs w:val="0"/>
          <w:snapToGrid w:val="0"/>
          <w:color w:val="auto"/>
          <w:kern w:val="2"/>
          <w:sz w:val="22"/>
          <w:szCs w:val="22"/>
          <w:highlight w:val="none"/>
          <w:lang w:val="en-US" w:eastAsia="zh-CN" w:bidi="ar-SA"/>
        </w:rPr>
        <w:tab/>
      </w:r>
    </w:p>
    <w:p>
      <w:pPr>
        <w:pStyle w:val="7"/>
        <w:numPr>
          <w:ilvl w:val="0"/>
          <w:numId w:val="0"/>
        </w:numPr>
        <w:spacing w:line="360" w:lineRule="auto"/>
        <w:ind w:firstLine="440" w:firstLineChars="200"/>
        <w:rPr>
          <w:rFonts w:hint="eastAsia" w:ascii="宋体" w:hAnsi="宋体" w:eastAsia="宋体" w:cs="宋体"/>
          <w:bCs w:val="0"/>
          <w:i w:val="0"/>
          <w:iCs w:val="0"/>
          <w:snapToGrid w:val="0"/>
          <w:color w:val="auto"/>
          <w:kern w:val="2"/>
          <w:sz w:val="22"/>
          <w:szCs w:val="22"/>
          <w:highlight w:val="none"/>
          <w:lang w:val="en-US" w:eastAsia="zh-CN" w:bidi="ar-SA"/>
        </w:rPr>
      </w:pPr>
      <w:r>
        <w:rPr>
          <w:rFonts w:hint="eastAsia" w:ascii="宋体" w:hAnsi="宋体" w:eastAsia="宋体" w:cs="宋体"/>
          <w:bCs w:val="0"/>
          <w:i w:val="0"/>
          <w:iCs w:val="0"/>
          <w:snapToGrid w:val="0"/>
          <w:color w:val="auto"/>
          <w:kern w:val="2"/>
          <w:sz w:val="22"/>
          <w:szCs w:val="22"/>
          <w:highlight w:val="none"/>
          <w:lang w:val="en-US" w:eastAsia="zh-CN" w:bidi="ar-SA"/>
        </w:rPr>
        <w:t>办 公 地 址：岳阳市岳阳大道金达阳光小区银星座4楼；</w:t>
      </w:r>
    </w:p>
    <w:p>
      <w:pPr>
        <w:pStyle w:val="7"/>
        <w:numPr>
          <w:ilvl w:val="0"/>
          <w:numId w:val="0"/>
        </w:numPr>
        <w:spacing w:line="360" w:lineRule="auto"/>
        <w:ind w:firstLine="440" w:firstLineChars="200"/>
        <w:rPr>
          <w:rFonts w:hint="eastAsia" w:ascii="宋体" w:hAnsi="宋体" w:eastAsia="宋体" w:cs="宋体"/>
          <w:bCs w:val="0"/>
          <w:i w:val="0"/>
          <w:iCs w:val="0"/>
          <w:snapToGrid w:val="0"/>
          <w:color w:val="auto"/>
          <w:kern w:val="2"/>
          <w:sz w:val="22"/>
          <w:szCs w:val="22"/>
          <w:highlight w:val="none"/>
          <w:lang w:val="en-US" w:eastAsia="zh-CN" w:bidi="ar-SA"/>
        </w:rPr>
      </w:pPr>
      <w:r>
        <w:rPr>
          <w:rFonts w:hint="eastAsia" w:ascii="宋体" w:hAnsi="宋体" w:eastAsia="宋体" w:cs="宋体"/>
          <w:bCs w:val="0"/>
          <w:i w:val="0"/>
          <w:iCs w:val="0"/>
          <w:snapToGrid w:val="0"/>
          <w:color w:val="auto"/>
          <w:kern w:val="2"/>
          <w:sz w:val="22"/>
          <w:szCs w:val="22"/>
          <w:highlight w:val="none"/>
          <w:lang w:val="en-US" w:eastAsia="zh-CN" w:bidi="ar-SA"/>
        </w:rPr>
        <w:t>项目负责人： 钟</w:t>
      </w:r>
      <w:r>
        <w:rPr>
          <w:rFonts w:hint="eastAsia" w:ascii="宋体" w:hAnsi="宋体" w:cs="宋体"/>
          <w:bCs w:val="0"/>
          <w:i w:val="0"/>
          <w:iCs w:val="0"/>
          <w:snapToGrid w:val="0"/>
          <w:color w:val="auto"/>
          <w:kern w:val="2"/>
          <w:sz w:val="22"/>
          <w:szCs w:val="22"/>
          <w:highlight w:val="none"/>
          <w:lang w:val="en-US" w:eastAsia="zh-CN" w:bidi="ar-SA"/>
        </w:rPr>
        <w:t>先生</w:t>
      </w:r>
      <w:r>
        <w:rPr>
          <w:rFonts w:hint="eastAsia" w:ascii="宋体" w:hAnsi="宋体" w:eastAsia="宋体" w:cs="宋体"/>
          <w:bCs w:val="0"/>
          <w:i w:val="0"/>
          <w:iCs w:val="0"/>
          <w:snapToGrid w:val="0"/>
          <w:color w:val="auto"/>
          <w:kern w:val="2"/>
          <w:sz w:val="22"/>
          <w:szCs w:val="22"/>
          <w:highlight w:val="none"/>
          <w:lang w:val="en-US" w:eastAsia="zh-CN" w:bidi="ar-SA"/>
        </w:rPr>
        <w:t xml:space="preserve">； </w:t>
      </w:r>
    </w:p>
    <w:p>
      <w:pPr>
        <w:pStyle w:val="7"/>
        <w:numPr>
          <w:ilvl w:val="0"/>
          <w:numId w:val="0"/>
        </w:numPr>
        <w:spacing w:line="360" w:lineRule="auto"/>
        <w:ind w:firstLine="440" w:firstLineChars="200"/>
        <w:rPr>
          <w:rFonts w:hint="eastAsia" w:ascii="宋体" w:hAnsi="宋体" w:eastAsia="宋体" w:cs="宋体"/>
          <w:bCs w:val="0"/>
          <w:i w:val="0"/>
          <w:iCs w:val="0"/>
          <w:snapToGrid w:val="0"/>
          <w:color w:val="auto"/>
          <w:kern w:val="2"/>
          <w:sz w:val="22"/>
          <w:szCs w:val="22"/>
          <w:highlight w:val="none"/>
          <w:lang w:val="en-US" w:eastAsia="zh-CN" w:bidi="ar-SA"/>
        </w:rPr>
      </w:pPr>
      <w:r>
        <w:rPr>
          <w:rFonts w:hint="eastAsia" w:ascii="宋体" w:hAnsi="宋体" w:eastAsia="宋体" w:cs="宋体"/>
          <w:bCs w:val="0"/>
          <w:i w:val="0"/>
          <w:iCs w:val="0"/>
          <w:snapToGrid w:val="0"/>
          <w:color w:val="auto"/>
          <w:kern w:val="2"/>
          <w:sz w:val="22"/>
          <w:szCs w:val="22"/>
          <w:highlight w:val="none"/>
          <w:lang w:val="en-US" w:eastAsia="zh-CN" w:bidi="ar-SA"/>
        </w:rPr>
        <w:t>电      话： 0730-8882868；   18173116151；</w:t>
      </w:r>
    </w:p>
    <w:p>
      <w:pPr>
        <w:pStyle w:val="7"/>
        <w:numPr>
          <w:ilvl w:val="0"/>
          <w:numId w:val="0"/>
        </w:numPr>
        <w:spacing w:line="360" w:lineRule="auto"/>
        <w:ind w:firstLine="440" w:firstLineChars="200"/>
        <w:rPr>
          <w:rFonts w:hint="eastAsia" w:ascii="宋体" w:hAnsi="宋体" w:eastAsia="宋体" w:cs="宋体"/>
          <w:bCs w:val="0"/>
          <w:i w:val="0"/>
          <w:iCs w:val="0"/>
          <w:snapToGrid w:val="0"/>
          <w:color w:val="auto"/>
          <w:kern w:val="2"/>
          <w:sz w:val="22"/>
          <w:szCs w:val="22"/>
          <w:highlight w:val="none"/>
          <w:lang w:val="en-US" w:eastAsia="zh-CN" w:bidi="ar-SA"/>
        </w:rPr>
      </w:pPr>
      <w:r>
        <w:rPr>
          <w:rFonts w:hint="eastAsia" w:ascii="宋体" w:hAnsi="宋体" w:eastAsia="宋体" w:cs="宋体"/>
          <w:bCs w:val="0"/>
          <w:i w:val="0"/>
          <w:iCs w:val="0"/>
          <w:snapToGrid w:val="0"/>
          <w:color w:val="auto"/>
          <w:kern w:val="2"/>
          <w:sz w:val="22"/>
          <w:szCs w:val="22"/>
          <w:highlight w:val="none"/>
          <w:lang w:val="en-US" w:eastAsia="zh-CN" w:bidi="ar-SA"/>
        </w:rPr>
        <w:t>监 督 部 门：岳阳市交通运输局；</w:t>
      </w:r>
    </w:p>
    <w:p>
      <w:pPr>
        <w:pStyle w:val="7"/>
        <w:numPr>
          <w:ilvl w:val="0"/>
          <w:numId w:val="0"/>
        </w:numPr>
        <w:spacing w:line="360" w:lineRule="auto"/>
        <w:ind w:firstLine="440" w:firstLineChars="200"/>
        <w:rPr>
          <w:rFonts w:hint="eastAsia" w:ascii="宋体" w:hAnsi="宋体" w:eastAsia="宋体" w:cs="宋体"/>
          <w:bCs w:val="0"/>
          <w:i w:val="0"/>
          <w:iCs w:val="0"/>
          <w:snapToGrid w:val="0"/>
          <w:color w:val="auto"/>
          <w:kern w:val="2"/>
          <w:sz w:val="22"/>
          <w:szCs w:val="22"/>
          <w:highlight w:val="none"/>
          <w:lang w:val="en-US" w:eastAsia="zh-CN" w:bidi="ar-SA"/>
        </w:rPr>
      </w:pPr>
      <w:r>
        <w:rPr>
          <w:rFonts w:hint="eastAsia" w:ascii="宋体" w:hAnsi="宋体" w:eastAsia="宋体" w:cs="宋体"/>
          <w:bCs w:val="0"/>
          <w:i w:val="0"/>
          <w:iCs w:val="0"/>
          <w:snapToGrid w:val="0"/>
          <w:color w:val="auto"/>
          <w:kern w:val="2"/>
          <w:sz w:val="22"/>
          <w:szCs w:val="22"/>
          <w:highlight w:val="none"/>
          <w:lang w:val="en-US" w:eastAsia="zh-CN" w:bidi="ar-SA"/>
        </w:rPr>
        <w:t>地       址：岳阳市五里牌东路交通运输局办公楼；</w:t>
      </w:r>
    </w:p>
    <w:p>
      <w:pPr>
        <w:pStyle w:val="7"/>
        <w:numPr>
          <w:ilvl w:val="0"/>
          <w:numId w:val="0"/>
        </w:numPr>
        <w:spacing w:line="360" w:lineRule="auto"/>
        <w:ind w:firstLine="440" w:firstLineChars="200"/>
        <w:rPr>
          <w:rFonts w:hint="eastAsia" w:ascii="宋体" w:hAnsi="宋体" w:eastAsia="宋体" w:cs="宋体"/>
          <w:bCs w:val="0"/>
          <w:i w:val="0"/>
          <w:iCs w:val="0"/>
          <w:snapToGrid w:val="0"/>
          <w:color w:val="auto"/>
          <w:kern w:val="2"/>
          <w:sz w:val="22"/>
          <w:szCs w:val="22"/>
          <w:highlight w:val="none"/>
          <w:lang w:val="en-US" w:eastAsia="zh-CN" w:bidi="ar-SA"/>
        </w:rPr>
      </w:pPr>
      <w:r>
        <w:rPr>
          <w:rFonts w:hint="eastAsia" w:ascii="宋体" w:hAnsi="宋体" w:eastAsia="宋体" w:cs="宋体"/>
          <w:bCs w:val="0"/>
          <w:i w:val="0"/>
          <w:iCs w:val="0"/>
          <w:snapToGrid w:val="0"/>
          <w:color w:val="auto"/>
          <w:kern w:val="2"/>
          <w:sz w:val="22"/>
          <w:szCs w:val="22"/>
          <w:highlight w:val="none"/>
          <w:lang w:val="en-US" w:eastAsia="zh-CN" w:bidi="ar-SA"/>
        </w:rPr>
        <w:t>电       话：0730-8717362；   传       真：0730-8717362；</w:t>
      </w:r>
    </w:p>
    <w:p>
      <w:pPr>
        <w:pStyle w:val="5"/>
        <w:rPr>
          <w:rFonts w:hint="eastAsia" w:ascii="宋体" w:hAnsi="宋体" w:eastAsia="宋体" w:cs="宋体"/>
          <w:color w:val="auto"/>
          <w:highlight w:val="none"/>
          <w:lang w:val="en-US" w:eastAsia="zh-CN"/>
        </w:rPr>
      </w:pPr>
    </w:p>
    <w:p>
      <w:pPr>
        <w:rPr>
          <w:rFonts w:hint="eastAsia" w:ascii="宋体" w:hAnsi="宋体" w:eastAsia="宋体" w:cs="宋体"/>
          <w:color w:val="auto"/>
          <w:kern w:val="0"/>
          <w:sz w:val="22"/>
          <w:szCs w:val="22"/>
          <w:highlight w:val="none"/>
          <w:u w:val="none"/>
          <w:lang w:val="zh-CN" w:eastAsia="zh-CN" w:bidi="zh-CN"/>
        </w:rPr>
      </w:pPr>
      <w:r>
        <w:rPr>
          <w:rFonts w:hint="eastAsia" w:ascii="宋体" w:hAnsi="宋体" w:eastAsia="宋体" w:cs="宋体"/>
          <w:bCs w:val="0"/>
          <w:i w:val="0"/>
          <w:iCs w:val="0"/>
          <w:snapToGrid w:val="0"/>
          <w:color w:val="auto"/>
          <w:kern w:val="2"/>
          <w:sz w:val="22"/>
          <w:szCs w:val="22"/>
          <w:highlight w:val="none"/>
          <w:lang w:val="zh-CN" w:eastAsia="zh-CN" w:bidi="ar-SA"/>
        </w:rPr>
        <w:t xml:space="preserve"> </w:t>
      </w:r>
      <w:r>
        <w:rPr>
          <w:rFonts w:hint="eastAsia" w:ascii="宋体" w:hAnsi="宋体" w:eastAsia="宋体" w:cs="宋体"/>
          <w:bCs w:val="0"/>
          <w:i w:val="0"/>
          <w:iCs w:val="0"/>
          <w:snapToGrid w:val="0"/>
          <w:color w:val="auto"/>
          <w:kern w:val="2"/>
          <w:sz w:val="22"/>
          <w:szCs w:val="22"/>
          <w:highlight w:val="none"/>
          <w:lang w:val="en-US" w:eastAsia="zh-CN" w:bidi="ar-SA"/>
        </w:rPr>
        <w:t xml:space="preserve">                                                         </w:t>
      </w:r>
      <w:r>
        <w:rPr>
          <w:rFonts w:hint="eastAsia" w:ascii="宋体" w:hAnsi="宋体" w:eastAsia="宋体" w:cs="宋体"/>
          <w:bCs w:val="0"/>
          <w:i w:val="0"/>
          <w:iCs w:val="0"/>
          <w:snapToGrid w:val="0"/>
          <w:color w:val="auto"/>
          <w:kern w:val="2"/>
          <w:sz w:val="22"/>
          <w:szCs w:val="22"/>
          <w:highlight w:val="none"/>
          <w:lang w:val="zh-CN" w:eastAsia="zh-CN" w:bidi="ar-SA"/>
        </w:rPr>
        <w:t>202</w:t>
      </w:r>
      <w:r>
        <w:rPr>
          <w:rFonts w:hint="eastAsia" w:ascii="宋体" w:hAnsi="宋体" w:eastAsia="宋体" w:cs="宋体"/>
          <w:bCs w:val="0"/>
          <w:i w:val="0"/>
          <w:iCs w:val="0"/>
          <w:snapToGrid w:val="0"/>
          <w:color w:val="auto"/>
          <w:kern w:val="2"/>
          <w:sz w:val="22"/>
          <w:szCs w:val="22"/>
          <w:highlight w:val="none"/>
          <w:lang w:val="en-US" w:eastAsia="zh-CN" w:bidi="ar-SA"/>
        </w:rPr>
        <w:t xml:space="preserve">3 </w:t>
      </w:r>
      <w:r>
        <w:rPr>
          <w:rFonts w:hint="eastAsia" w:ascii="宋体" w:hAnsi="宋体" w:eastAsia="宋体" w:cs="宋体"/>
          <w:bCs w:val="0"/>
          <w:i w:val="0"/>
          <w:iCs w:val="0"/>
          <w:snapToGrid w:val="0"/>
          <w:color w:val="auto"/>
          <w:kern w:val="2"/>
          <w:sz w:val="22"/>
          <w:szCs w:val="22"/>
          <w:highlight w:val="none"/>
          <w:lang w:val="zh-CN" w:eastAsia="zh-CN" w:bidi="ar-SA"/>
        </w:rPr>
        <w:t>年</w:t>
      </w:r>
      <w:r>
        <w:rPr>
          <w:rFonts w:hint="eastAsia" w:ascii="宋体" w:hAnsi="宋体" w:cs="宋体"/>
          <w:bCs w:val="0"/>
          <w:i w:val="0"/>
          <w:iCs w:val="0"/>
          <w:snapToGrid w:val="0"/>
          <w:color w:val="auto"/>
          <w:kern w:val="2"/>
          <w:sz w:val="22"/>
          <w:szCs w:val="22"/>
          <w:highlight w:val="none"/>
          <w:lang w:val="en-US" w:eastAsia="zh-CN" w:bidi="ar-SA"/>
        </w:rPr>
        <w:t>12</w:t>
      </w:r>
      <w:r>
        <w:rPr>
          <w:rFonts w:hint="eastAsia" w:ascii="宋体" w:hAnsi="宋体" w:eastAsia="宋体" w:cs="宋体"/>
          <w:bCs w:val="0"/>
          <w:i w:val="0"/>
          <w:iCs w:val="0"/>
          <w:snapToGrid w:val="0"/>
          <w:color w:val="auto"/>
          <w:kern w:val="2"/>
          <w:sz w:val="22"/>
          <w:szCs w:val="22"/>
          <w:highlight w:val="none"/>
          <w:lang w:val="zh-CN" w:eastAsia="zh-CN" w:bidi="ar-SA"/>
        </w:rPr>
        <w:t>月</w:t>
      </w:r>
      <w:r>
        <w:rPr>
          <w:rFonts w:hint="eastAsia" w:ascii="宋体" w:hAnsi="宋体" w:eastAsia="宋体" w:cs="宋体"/>
          <w:bCs w:val="0"/>
          <w:i w:val="0"/>
          <w:iCs w:val="0"/>
          <w:snapToGrid w:val="0"/>
          <w:color w:val="auto"/>
          <w:kern w:val="2"/>
          <w:sz w:val="22"/>
          <w:szCs w:val="22"/>
          <w:highlight w:val="none"/>
          <w:lang w:val="en-US" w:eastAsia="zh-CN" w:bidi="ar-SA"/>
        </w:rPr>
        <w:t xml:space="preserve"> </w:t>
      </w:r>
      <w:r>
        <w:rPr>
          <w:rFonts w:hint="eastAsia" w:ascii="宋体" w:hAnsi="宋体" w:cs="宋体"/>
          <w:bCs w:val="0"/>
          <w:i w:val="0"/>
          <w:iCs w:val="0"/>
          <w:snapToGrid w:val="0"/>
          <w:color w:val="auto"/>
          <w:kern w:val="2"/>
          <w:sz w:val="22"/>
          <w:szCs w:val="22"/>
          <w:highlight w:val="none"/>
          <w:lang w:val="en-US" w:eastAsia="zh-CN" w:bidi="ar-SA"/>
        </w:rPr>
        <w:t>20</w:t>
      </w:r>
      <w:r>
        <w:rPr>
          <w:rFonts w:hint="eastAsia" w:ascii="宋体" w:hAnsi="宋体" w:eastAsia="宋体" w:cs="宋体"/>
          <w:bCs w:val="0"/>
          <w:i w:val="0"/>
          <w:iCs w:val="0"/>
          <w:snapToGrid w:val="0"/>
          <w:color w:val="auto"/>
          <w:kern w:val="2"/>
          <w:sz w:val="22"/>
          <w:szCs w:val="22"/>
          <w:highlight w:val="none"/>
          <w:lang w:val="en-US" w:eastAsia="zh-CN" w:bidi="ar-SA"/>
        </w:rPr>
        <w:t xml:space="preserve"> </w:t>
      </w:r>
      <w:r>
        <w:rPr>
          <w:rFonts w:hint="eastAsia" w:ascii="宋体" w:hAnsi="宋体" w:eastAsia="宋体" w:cs="宋体"/>
          <w:color w:val="auto"/>
          <w:kern w:val="0"/>
          <w:sz w:val="22"/>
          <w:szCs w:val="22"/>
          <w:highlight w:val="none"/>
          <w:u w:val="none"/>
          <w:lang w:val="zh-CN" w:eastAsia="zh-CN" w:bidi="zh-CN"/>
        </w:rPr>
        <w:t>日</w:t>
      </w:r>
    </w:p>
    <w:p>
      <w:pPr>
        <w:rPr>
          <w:rFonts w:hint="eastAsia" w:ascii="宋体" w:hAnsi="宋体" w:eastAsia="宋体" w:cs="宋体"/>
          <w:color w:val="auto"/>
          <w:kern w:val="0"/>
          <w:sz w:val="22"/>
          <w:szCs w:val="22"/>
          <w:highlight w:val="none"/>
          <w:u w:val="none"/>
          <w:lang w:val="zh-CN" w:eastAsia="zh-CN" w:bidi="zh-CN"/>
        </w:rPr>
      </w:pPr>
    </w:p>
    <w:p>
      <w:pPr>
        <w:rPr>
          <w:rFonts w:hint="eastAsia" w:ascii="宋体" w:hAnsi="宋体" w:eastAsia="宋体" w:cs="宋体"/>
          <w:color w:val="auto"/>
          <w:kern w:val="0"/>
          <w:sz w:val="22"/>
          <w:szCs w:val="22"/>
          <w:highlight w:val="none"/>
          <w:u w:val="none"/>
          <w:lang w:val="zh-CN" w:eastAsia="zh-CN" w:bidi="zh-CN"/>
        </w:rPr>
      </w:pPr>
    </w:p>
    <w:p>
      <w:pPr>
        <w:rPr>
          <w:rFonts w:hint="eastAsia" w:ascii="宋体" w:hAnsi="宋体" w:eastAsia="宋体" w:cs="宋体"/>
          <w:color w:val="auto"/>
          <w:kern w:val="0"/>
          <w:sz w:val="22"/>
          <w:szCs w:val="22"/>
          <w:highlight w:val="none"/>
          <w:u w:val="none"/>
          <w:lang w:val="zh-CN" w:eastAsia="zh-CN" w:bidi="zh-CN"/>
        </w:rPr>
      </w:pPr>
    </w:p>
    <w:p>
      <w:pPr>
        <w:rPr>
          <w:rFonts w:hint="eastAsia" w:ascii="宋体" w:hAnsi="宋体" w:eastAsia="宋体" w:cs="宋体"/>
          <w:color w:val="auto"/>
          <w:kern w:val="0"/>
          <w:sz w:val="22"/>
          <w:szCs w:val="22"/>
          <w:highlight w:val="none"/>
          <w:u w:val="none"/>
          <w:lang w:val="zh-CN" w:eastAsia="zh-CN" w:bidi="zh-CN"/>
        </w:rPr>
      </w:pPr>
    </w:p>
    <w:p>
      <w:pPr>
        <w:rPr>
          <w:rFonts w:hint="eastAsia" w:ascii="宋体" w:hAnsi="宋体" w:eastAsia="宋体" w:cs="宋体"/>
          <w:color w:val="auto"/>
          <w:kern w:val="0"/>
          <w:sz w:val="22"/>
          <w:szCs w:val="22"/>
          <w:highlight w:val="none"/>
          <w:u w:val="none"/>
          <w:lang w:val="zh-CN" w:eastAsia="zh-CN" w:bidi="zh-CN"/>
        </w:rPr>
      </w:pPr>
    </w:p>
    <w:p>
      <w:pPr>
        <w:rPr>
          <w:rFonts w:hint="eastAsia" w:ascii="宋体" w:hAnsi="宋体" w:eastAsia="宋体" w:cs="宋体"/>
          <w:color w:val="auto"/>
          <w:kern w:val="0"/>
          <w:sz w:val="22"/>
          <w:szCs w:val="22"/>
          <w:highlight w:val="none"/>
          <w:u w:val="none"/>
          <w:lang w:val="zh-CN" w:eastAsia="zh-CN" w:bidi="zh-CN"/>
        </w:rPr>
      </w:pPr>
    </w:p>
    <w:p>
      <w:pPr>
        <w:rPr>
          <w:rFonts w:hint="eastAsia" w:ascii="宋体" w:hAnsi="宋体" w:eastAsia="宋体" w:cs="宋体"/>
          <w:color w:val="auto"/>
          <w:kern w:val="0"/>
          <w:sz w:val="22"/>
          <w:szCs w:val="22"/>
          <w:highlight w:val="none"/>
          <w:u w:val="none"/>
          <w:lang w:val="zh-CN" w:eastAsia="zh-CN" w:bidi="zh-CN"/>
        </w:rPr>
      </w:pPr>
    </w:p>
    <w:p>
      <w:pPr>
        <w:rPr>
          <w:rFonts w:hint="eastAsia" w:ascii="宋体" w:hAnsi="宋体" w:eastAsia="宋体" w:cs="宋体"/>
          <w:color w:val="auto"/>
          <w:kern w:val="0"/>
          <w:sz w:val="22"/>
          <w:szCs w:val="22"/>
          <w:highlight w:val="none"/>
          <w:u w:val="none"/>
          <w:lang w:val="zh-CN" w:eastAsia="zh-CN" w:bidi="zh-CN"/>
        </w:rPr>
      </w:pPr>
    </w:p>
    <w:p>
      <w:pPr>
        <w:rPr>
          <w:rFonts w:hint="eastAsia" w:ascii="宋体" w:hAnsi="宋体" w:eastAsia="宋体" w:cs="宋体"/>
          <w:color w:val="auto"/>
          <w:kern w:val="0"/>
          <w:sz w:val="22"/>
          <w:szCs w:val="22"/>
          <w:highlight w:val="none"/>
          <w:u w:val="none"/>
          <w:lang w:val="zh-CN" w:eastAsia="zh-CN" w:bidi="zh-CN"/>
        </w:rPr>
      </w:pPr>
    </w:p>
    <w:p>
      <w:pPr>
        <w:rPr>
          <w:rFonts w:hint="eastAsia" w:ascii="宋体" w:hAnsi="宋体" w:eastAsia="宋体" w:cs="宋体"/>
          <w:color w:val="auto"/>
          <w:kern w:val="0"/>
          <w:sz w:val="22"/>
          <w:szCs w:val="22"/>
          <w:highlight w:val="none"/>
          <w:u w:val="none"/>
          <w:lang w:val="zh-CN" w:eastAsia="zh-CN" w:bidi="zh-CN"/>
        </w:rPr>
      </w:pPr>
    </w:p>
    <w:p>
      <w:pPr>
        <w:rPr>
          <w:rFonts w:hint="eastAsia" w:ascii="宋体" w:hAnsi="宋体" w:eastAsia="宋体" w:cs="宋体"/>
          <w:color w:val="auto"/>
          <w:kern w:val="0"/>
          <w:sz w:val="22"/>
          <w:szCs w:val="22"/>
          <w:highlight w:val="none"/>
          <w:u w:val="none"/>
          <w:lang w:val="zh-CN" w:eastAsia="zh-CN" w:bidi="zh-CN"/>
        </w:rPr>
      </w:pPr>
    </w:p>
    <w:p>
      <w:pPr>
        <w:rPr>
          <w:rFonts w:hint="eastAsia" w:ascii="宋体" w:hAnsi="宋体" w:eastAsia="宋体" w:cs="宋体"/>
          <w:color w:val="auto"/>
          <w:kern w:val="0"/>
          <w:sz w:val="32"/>
          <w:szCs w:val="32"/>
          <w:highlight w:val="none"/>
          <w:u w:val="none"/>
          <w:lang w:val="zh-CN" w:eastAsia="zh-CN" w:bidi="zh-CN"/>
        </w:rPr>
      </w:pPr>
    </w:p>
    <w:p>
      <w:pPr>
        <w:rPr>
          <w:rFonts w:hint="eastAsia" w:ascii="宋体" w:hAnsi="宋体" w:eastAsia="宋体" w:cs="宋体"/>
          <w:color w:val="auto"/>
          <w:kern w:val="0"/>
          <w:sz w:val="22"/>
          <w:szCs w:val="22"/>
          <w:highlight w:val="none"/>
          <w:u w:val="none"/>
          <w:lang w:val="en-US" w:eastAsia="zh-CN" w:bidi="zh-CN"/>
        </w:rPr>
      </w:pPr>
      <w:r>
        <w:rPr>
          <w:rFonts w:hint="eastAsia" w:ascii="宋体" w:hAnsi="宋体" w:eastAsia="宋体" w:cs="宋体"/>
          <w:color w:val="auto"/>
          <w:kern w:val="0"/>
          <w:sz w:val="32"/>
          <w:szCs w:val="32"/>
          <w:highlight w:val="none"/>
          <w:u w:val="none"/>
          <w:lang w:val="zh-CN" w:eastAsia="zh-CN" w:bidi="zh-CN"/>
        </w:rPr>
        <w:t>附件</w:t>
      </w:r>
      <w:r>
        <w:rPr>
          <w:rFonts w:hint="eastAsia" w:ascii="宋体" w:hAnsi="宋体" w:eastAsia="宋体" w:cs="宋体"/>
          <w:color w:val="auto"/>
          <w:kern w:val="0"/>
          <w:sz w:val="32"/>
          <w:szCs w:val="32"/>
          <w:highlight w:val="none"/>
          <w:u w:val="none"/>
          <w:lang w:val="en-US" w:eastAsia="zh-CN" w:bidi="zh-CN"/>
        </w:rPr>
        <w:t>1：资格审查条件要求</w:t>
      </w:r>
    </w:p>
    <w:p>
      <w:pPr>
        <w:rPr>
          <w:rFonts w:hint="eastAsia" w:ascii="宋体" w:hAnsi="宋体" w:eastAsia="宋体" w:cs="宋体"/>
          <w:color w:val="auto"/>
          <w:kern w:val="0"/>
          <w:sz w:val="22"/>
          <w:szCs w:val="22"/>
          <w:highlight w:val="none"/>
          <w:u w:val="none"/>
          <w:lang w:val="en-US" w:eastAsia="zh-CN" w:bidi="zh-CN"/>
        </w:rPr>
      </w:pPr>
    </w:p>
    <w:p>
      <w:pPr>
        <w:spacing w:line="360" w:lineRule="auto"/>
        <w:rPr>
          <w:rFonts w:hint="eastAsia" w:ascii="宋体" w:hAnsi="宋体" w:eastAsia="宋体" w:cs="宋体"/>
          <w:color w:val="auto"/>
          <w:kern w:val="0"/>
          <w:sz w:val="22"/>
          <w:szCs w:val="22"/>
          <w:highlight w:val="none"/>
          <w:u w:val="none"/>
          <w:lang w:val="en-US" w:eastAsia="zh-CN" w:bidi="zh-CN"/>
        </w:rPr>
      </w:pPr>
      <w:r>
        <w:rPr>
          <w:rFonts w:hint="eastAsia" w:ascii="宋体" w:hAnsi="宋体" w:eastAsia="宋体" w:cs="宋体"/>
          <w:color w:val="auto"/>
          <w:kern w:val="0"/>
          <w:sz w:val="22"/>
          <w:szCs w:val="22"/>
          <w:highlight w:val="none"/>
          <w:u w:val="none"/>
          <w:lang w:val="en-US" w:eastAsia="zh-CN" w:bidi="zh-CN"/>
        </w:rPr>
        <w:t>1 、投标人应具有独立企业法人资格，具有独立制造和安装能力的船舶制造商；</w:t>
      </w:r>
    </w:p>
    <w:p>
      <w:pPr>
        <w:spacing w:line="360" w:lineRule="auto"/>
        <w:rPr>
          <w:rFonts w:hint="eastAsia" w:ascii="宋体" w:hAnsi="宋体" w:eastAsia="宋体" w:cs="宋体"/>
          <w:color w:val="auto"/>
          <w:kern w:val="0"/>
          <w:sz w:val="22"/>
          <w:szCs w:val="22"/>
          <w:highlight w:val="none"/>
          <w:u w:val="none"/>
          <w:lang w:val="en-US" w:eastAsia="zh-CN" w:bidi="zh-CN"/>
        </w:rPr>
      </w:pPr>
      <w:r>
        <w:rPr>
          <w:rFonts w:hint="eastAsia" w:ascii="宋体" w:hAnsi="宋体" w:eastAsia="宋体" w:cs="宋体"/>
          <w:color w:val="auto"/>
          <w:kern w:val="0"/>
          <w:sz w:val="22"/>
          <w:szCs w:val="22"/>
          <w:highlight w:val="none"/>
          <w:u w:val="none"/>
          <w:lang w:val="en-US" w:eastAsia="zh-CN" w:bidi="zh-CN"/>
        </w:rPr>
        <w:t>2 、投标人应具备中国船级社（简称“CCS”）船厂评估报告；</w:t>
      </w:r>
    </w:p>
    <w:p>
      <w:pPr>
        <w:spacing w:line="360" w:lineRule="auto"/>
        <w:rPr>
          <w:rFonts w:hint="eastAsia" w:ascii="宋体" w:hAnsi="宋体" w:eastAsia="宋体" w:cs="宋体"/>
          <w:color w:val="auto"/>
          <w:kern w:val="0"/>
          <w:sz w:val="22"/>
          <w:szCs w:val="22"/>
          <w:highlight w:val="none"/>
          <w:u w:val="none"/>
          <w:lang w:val="en-US" w:eastAsia="zh-CN" w:bidi="zh-CN"/>
        </w:rPr>
      </w:pPr>
      <w:r>
        <w:rPr>
          <w:rFonts w:hint="eastAsia" w:ascii="宋体" w:hAnsi="宋体" w:eastAsia="宋体" w:cs="宋体"/>
          <w:color w:val="auto"/>
          <w:kern w:val="0"/>
          <w:sz w:val="22"/>
          <w:szCs w:val="22"/>
          <w:highlight w:val="none"/>
          <w:u w:val="none"/>
          <w:lang w:val="en-US" w:eastAsia="zh-CN" w:bidi="zh-CN"/>
        </w:rPr>
        <w:t>3 、投标人财务状况良好，未处于财产被接管、冻结、破产状态，提交最近三个会计年度(2020年~ 2022年)经会计师事务所或审计机构审计的财务会计报表(包括资产负债表、现金流量表、利润表和财务情况说明书)、2022年度营业收入为3000万元及以上（提供相关证明材料）；</w:t>
      </w:r>
    </w:p>
    <w:p>
      <w:pPr>
        <w:spacing w:line="360" w:lineRule="auto"/>
        <w:rPr>
          <w:rFonts w:hint="eastAsia" w:ascii="宋体" w:hAnsi="宋体" w:eastAsia="宋体" w:cs="宋体"/>
          <w:color w:val="auto"/>
          <w:kern w:val="0"/>
          <w:sz w:val="22"/>
          <w:szCs w:val="22"/>
          <w:highlight w:val="none"/>
          <w:u w:val="none"/>
          <w:lang w:val="en-US" w:eastAsia="zh-CN" w:bidi="zh-CN"/>
        </w:rPr>
      </w:pPr>
      <w:r>
        <w:rPr>
          <w:rFonts w:hint="eastAsia" w:ascii="宋体" w:hAnsi="宋体" w:eastAsia="宋体" w:cs="宋体"/>
          <w:color w:val="auto"/>
          <w:kern w:val="0"/>
          <w:sz w:val="22"/>
          <w:szCs w:val="22"/>
          <w:highlight w:val="none"/>
          <w:u w:val="none"/>
          <w:lang w:val="en-US" w:eastAsia="zh-CN" w:bidi="zh-CN"/>
        </w:rPr>
        <w:t>4 、投标人近 5 年(2018年12月1日至2023年11月30日)至少独立完成过 1 艘长度大于或等于 60m 的钢质趸船建造，完成时间以船舶检验证书上标注的日期为准；</w:t>
      </w:r>
    </w:p>
    <w:p>
      <w:pPr>
        <w:spacing w:line="360" w:lineRule="auto"/>
        <w:rPr>
          <w:rFonts w:hint="eastAsia" w:ascii="宋体" w:hAnsi="宋体" w:eastAsia="宋体" w:cs="宋体"/>
          <w:color w:val="auto"/>
          <w:kern w:val="0"/>
          <w:sz w:val="22"/>
          <w:szCs w:val="22"/>
          <w:highlight w:val="none"/>
          <w:u w:val="none"/>
          <w:lang w:val="en-US" w:eastAsia="zh-CN" w:bidi="zh-CN"/>
        </w:rPr>
      </w:pPr>
      <w:r>
        <w:rPr>
          <w:rFonts w:hint="eastAsia" w:ascii="宋体" w:hAnsi="宋体" w:eastAsia="宋体" w:cs="宋体"/>
          <w:color w:val="auto"/>
          <w:kern w:val="0"/>
          <w:sz w:val="22"/>
          <w:szCs w:val="22"/>
          <w:highlight w:val="none"/>
          <w:u w:val="none"/>
          <w:lang w:val="en-US" w:eastAsia="zh-CN" w:bidi="zh-CN"/>
        </w:rPr>
        <w:t>5 、企业未受到责令停产、停业的行政处罚；无对本项目有重大影响的诉讼案件；近三年内（2020年10月至今）未发生骗取中标或严重违约或被驱逐或因任何原因而使任何合同被解除情况。</w:t>
      </w:r>
    </w:p>
    <w:p>
      <w:pPr>
        <w:spacing w:line="360" w:lineRule="auto"/>
        <w:rPr>
          <w:rFonts w:hint="eastAsia" w:ascii="宋体" w:hAnsi="宋体" w:eastAsia="宋体" w:cs="宋体"/>
          <w:color w:val="auto"/>
          <w:kern w:val="0"/>
          <w:sz w:val="22"/>
          <w:szCs w:val="22"/>
          <w:highlight w:val="none"/>
          <w:u w:val="none"/>
          <w:lang w:val="en-US" w:eastAsia="zh-CN" w:bidi="zh-CN"/>
        </w:rPr>
      </w:pPr>
      <w:r>
        <w:rPr>
          <w:rFonts w:hint="eastAsia" w:ascii="宋体" w:hAnsi="宋体" w:eastAsia="宋体" w:cs="宋体"/>
          <w:color w:val="auto"/>
          <w:kern w:val="0"/>
          <w:sz w:val="22"/>
          <w:szCs w:val="22"/>
          <w:highlight w:val="none"/>
          <w:u w:val="none"/>
          <w:lang w:val="en-US" w:eastAsia="zh-CN" w:bidi="zh-CN"/>
        </w:rPr>
        <w:t>6 、具有投资参股关系的关联企业,或具有直接管理和被管理关系的母子公司,或同一母公司的子公司,或法定代表人为同一个人的两个及两个以上法人不得同时对本标段投标,否则均按废标处理。</w:t>
      </w:r>
    </w:p>
    <w:p>
      <w:pPr>
        <w:spacing w:line="360" w:lineRule="auto"/>
        <w:rPr>
          <w:rFonts w:hint="eastAsia" w:ascii="宋体" w:hAnsi="宋体" w:eastAsia="宋体" w:cs="宋体"/>
          <w:color w:val="auto"/>
          <w:kern w:val="0"/>
          <w:sz w:val="22"/>
          <w:szCs w:val="22"/>
          <w:highlight w:val="none"/>
          <w:u w:val="none"/>
          <w:lang w:val="en-US" w:eastAsia="zh-CN" w:bidi="zh-CN"/>
        </w:rPr>
      </w:pPr>
      <w:r>
        <w:rPr>
          <w:rFonts w:hint="eastAsia" w:ascii="宋体" w:hAnsi="宋体" w:eastAsia="宋体" w:cs="宋体"/>
          <w:color w:val="auto"/>
          <w:kern w:val="0"/>
          <w:sz w:val="22"/>
          <w:szCs w:val="22"/>
          <w:highlight w:val="none"/>
          <w:u w:val="none"/>
          <w:lang w:val="en-US" w:eastAsia="zh-CN" w:bidi="zh-CN"/>
        </w:rPr>
        <w:t>7 、本次招标实行资格后审，资格审查的具体要求见招标文件。资格后审不合格的投标人投标文件将按否决投标处理；</w:t>
      </w:r>
    </w:p>
    <w:p>
      <w:pPr>
        <w:spacing w:line="360" w:lineRule="auto"/>
        <w:rPr>
          <w:rFonts w:hint="eastAsia" w:ascii="宋体" w:hAnsi="宋体" w:eastAsia="宋体" w:cs="宋体"/>
          <w:color w:val="auto"/>
          <w:kern w:val="0"/>
          <w:sz w:val="22"/>
          <w:szCs w:val="22"/>
          <w:highlight w:val="none"/>
          <w:u w:val="none"/>
          <w:lang w:val="en-US" w:eastAsia="zh-CN" w:bidi="zh-CN"/>
        </w:rPr>
      </w:pPr>
      <w:r>
        <w:rPr>
          <w:rFonts w:hint="eastAsia" w:ascii="宋体" w:hAnsi="宋体" w:eastAsia="宋体" w:cs="宋体"/>
          <w:color w:val="auto"/>
          <w:kern w:val="0"/>
          <w:sz w:val="22"/>
          <w:szCs w:val="22"/>
          <w:highlight w:val="none"/>
          <w:u w:val="none"/>
          <w:lang w:val="en-US" w:eastAsia="zh-CN" w:bidi="zh-CN"/>
        </w:rPr>
        <w:t>8 、本次招标不接受联合体投标。</w:t>
      </w: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eastAsia" w:ascii="宋体" w:hAnsi="宋体" w:eastAsia="宋体" w:cs="宋体"/>
          <w:color w:val="auto"/>
          <w:sz w:val="32"/>
          <w:szCs w:val="32"/>
          <w:highlight w:val="none"/>
        </w:rPr>
      </w:pPr>
      <w:r>
        <w:rPr>
          <w:rFonts w:hint="default" w:ascii="宋体" w:hAnsi="宋体" w:eastAsia="宋体" w:cs="宋体"/>
          <w:color w:val="auto"/>
          <w:kern w:val="0"/>
          <w:sz w:val="22"/>
          <w:szCs w:val="22"/>
          <w:highlight w:val="none"/>
          <w:u w:val="none"/>
          <w:lang w:val="en-US" w:eastAsia="zh-CN" w:bidi="zh-CN"/>
        </w:rPr>
        <w:t xml:space="preserve"> </w:t>
      </w:r>
      <w:r>
        <w:rPr>
          <w:rFonts w:hint="eastAsia" w:ascii="宋体" w:hAnsi="宋体" w:eastAsia="宋体" w:cs="宋体"/>
          <w:color w:val="auto"/>
          <w:kern w:val="0"/>
          <w:sz w:val="32"/>
          <w:szCs w:val="32"/>
          <w:highlight w:val="none"/>
          <w:u w:val="none"/>
          <w:lang w:val="en-US" w:eastAsia="zh-CN" w:bidi="zh-CN"/>
        </w:rPr>
        <w:t>附件2：</w:t>
      </w:r>
      <w:r>
        <w:rPr>
          <w:rFonts w:hint="eastAsia" w:ascii="宋体" w:hAnsi="宋体" w:eastAsia="宋体" w:cs="宋体"/>
          <w:color w:val="auto"/>
          <w:spacing w:val="7"/>
          <w:sz w:val="32"/>
          <w:szCs w:val="32"/>
          <w:highlight w:val="none"/>
          <w14:textOutline w14:w="7968" w14:cap="flat" w14:cmpd="sng">
            <w14:solidFill>
              <w14:srgbClr w14:val="000000"/>
            </w14:solidFill>
            <w14:prstDash w14:val="solid"/>
            <w14:miter w14:val="0"/>
          </w14:textOutline>
        </w:rPr>
        <w:t>评标办法</w:t>
      </w:r>
      <w:r>
        <w:rPr>
          <w:rFonts w:hint="eastAsia" w:ascii="宋体" w:hAnsi="宋体" w:eastAsia="宋体" w:cs="宋体"/>
          <w:color w:val="auto"/>
          <w:spacing w:val="7"/>
          <w:sz w:val="32"/>
          <w:szCs w:val="32"/>
          <w:highlight w:val="none"/>
        </w:rPr>
        <w:t xml:space="preserve"> </w:t>
      </w:r>
      <w:r>
        <w:rPr>
          <w:rFonts w:hint="eastAsia" w:ascii="宋体" w:hAnsi="宋体" w:eastAsia="宋体" w:cs="宋体"/>
          <w:color w:val="auto"/>
          <w:spacing w:val="7"/>
          <w:sz w:val="32"/>
          <w:szCs w:val="32"/>
          <w:highlight w:val="none"/>
          <w14:textOutline w14:w="7968" w14:cap="flat" w14:cmpd="sng">
            <w14:solidFill>
              <w14:srgbClr w14:val="000000"/>
            </w14:solidFill>
            <w14:prstDash w14:val="solid"/>
            <w14:miter w14:val="0"/>
          </w14:textOutline>
        </w:rPr>
        <w:t>(综合评估法)</w:t>
      </w:r>
    </w:p>
    <w:p>
      <w:pPr>
        <w:spacing w:line="264" w:lineRule="auto"/>
        <w:rPr>
          <w:rFonts w:hint="eastAsia" w:ascii="宋体" w:hAnsi="宋体" w:eastAsia="宋体" w:cs="宋体"/>
          <w:color w:val="auto"/>
          <w:sz w:val="21"/>
          <w:highlight w:val="none"/>
        </w:rPr>
      </w:pPr>
    </w:p>
    <w:p>
      <w:pPr>
        <w:spacing w:line="265" w:lineRule="auto"/>
        <w:rPr>
          <w:rFonts w:hint="eastAsia" w:ascii="宋体" w:hAnsi="宋体" w:eastAsia="宋体" w:cs="宋体"/>
          <w:color w:val="auto"/>
          <w:sz w:val="21"/>
          <w:highlight w:val="none"/>
        </w:rPr>
      </w:pPr>
    </w:p>
    <w:p>
      <w:pPr>
        <w:spacing w:before="101" w:line="224" w:lineRule="auto"/>
        <w:ind w:left="15"/>
        <w:jc w:val="center"/>
        <w:rPr>
          <w:rFonts w:hint="eastAsia" w:ascii="宋体" w:hAnsi="宋体" w:eastAsia="宋体" w:cs="宋体"/>
          <w:color w:val="auto"/>
          <w:sz w:val="31"/>
          <w:szCs w:val="31"/>
          <w:highlight w:val="none"/>
        </w:rPr>
      </w:pPr>
      <w:r>
        <w:rPr>
          <w:rFonts w:hint="eastAsia" w:ascii="宋体" w:hAnsi="宋体" w:eastAsia="宋体" w:cs="宋体"/>
          <w:color w:val="auto"/>
          <w:spacing w:val="13"/>
          <w:sz w:val="31"/>
          <w:szCs w:val="31"/>
          <w:highlight w:val="none"/>
          <w14:textOutline w14:w="5791" w14:cap="flat" w14:cmpd="sng">
            <w14:solidFill>
              <w14:srgbClr w14:val="000000"/>
            </w14:solidFill>
            <w14:prstDash w14:val="solid"/>
            <w14:miter w14:val="0"/>
          </w14:textOutline>
        </w:rPr>
        <w:t>评</w:t>
      </w:r>
      <w:r>
        <w:rPr>
          <w:rFonts w:hint="eastAsia"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t>标办法前附表</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66" w:lineRule="exact"/>
        <w:rPr>
          <w:rFonts w:hint="eastAsia" w:ascii="宋体" w:hAnsi="宋体" w:eastAsia="宋体" w:cs="宋体"/>
          <w:color w:val="auto"/>
          <w:highlight w:val="none"/>
        </w:rPr>
      </w:pPr>
    </w:p>
    <w:tbl>
      <w:tblPr>
        <w:tblStyle w:val="22"/>
        <w:tblW w:w="91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123"/>
        <w:gridCol w:w="2476"/>
        <w:gridCol w:w="46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27" w:type="dxa"/>
            <w:gridSpan w:val="2"/>
            <w:vAlign w:val="top"/>
          </w:tcPr>
          <w:p>
            <w:pPr>
              <w:spacing w:before="176" w:line="221" w:lineRule="auto"/>
              <w:ind w:left="70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14:textOutline w14:w="3831" w14:cap="flat" w14:cmpd="sng">
                  <w14:solidFill>
                    <w14:srgbClr w14:val="000000"/>
                  </w14:solidFill>
                  <w14:prstDash w14:val="solid"/>
                  <w14:miter w14:val="0"/>
                </w14:textOutline>
              </w:rPr>
              <w:t>条款</w:t>
            </w:r>
            <w:r>
              <w:rPr>
                <w:rFonts w:hint="eastAsia"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号</w:t>
            </w:r>
          </w:p>
        </w:tc>
        <w:tc>
          <w:tcPr>
            <w:tcW w:w="2476" w:type="dxa"/>
            <w:vAlign w:val="top"/>
          </w:tcPr>
          <w:p>
            <w:pPr>
              <w:spacing w:before="176" w:line="221" w:lineRule="auto"/>
              <w:ind w:left="81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评审</w:t>
            </w:r>
            <w:r>
              <w:rPr>
                <w:rFonts w:hint="eastAsia" w:ascii="宋体" w:hAnsi="宋体" w:eastAsia="宋体" w:cs="宋体"/>
                <w:color w:val="auto"/>
                <w:sz w:val="21"/>
                <w:szCs w:val="21"/>
                <w:highlight w:val="none"/>
                <w14:textOutline w14:w="3831" w14:cap="flat" w14:cmpd="sng">
                  <w14:solidFill>
                    <w14:srgbClr w14:val="000000"/>
                  </w14:solidFill>
                  <w14:prstDash w14:val="solid"/>
                  <w14:miter w14:val="0"/>
                </w14:textOutline>
              </w:rPr>
              <w:t>因素</w:t>
            </w:r>
          </w:p>
        </w:tc>
        <w:tc>
          <w:tcPr>
            <w:tcW w:w="4683" w:type="dxa"/>
            <w:vAlign w:val="top"/>
          </w:tcPr>
          <w:p>
            <w:pPr>
              <w:spacing w:before="176" w:line="221" w:lineRule="auto"/>
              <w:ind w:left="192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评审</w:t>
            </w:r>
            <w:r>
              <w:rPr>
                <w:rFonts w:hint="eastAsia" w:ascii="宋体" w:hAnsi="宋体" w:eastAsia="宋体" w:cs="宋体"/>
                <w:color w:val="auto"/>
                <w:sz w:val="21"/>
                <w:szCs w:val="21"/>
                <w:highlight w:val="none"/>
                <w14:textOutline w14:w="3831" w14:cap="flat" w14:cmpd="sng">
                  <w14:solidFill>
                    <w14:srgbClr w14:val="000000"/>
                  </w14:solidFill>
                  <w14:prstDash w14:val="solid"/>
                  <w14:miter w14:val="0"/>
                </w14:textOutline>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904" w:type="dxa"/>
            <w:vAlign w:val="top"/>
          </w:tcPr>
          <w:p>
            <w:pPr>
              <w:spacing w:before="243" w:line="187"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23" w:type="dxa"/>
            <w:vAlign w:val="top"/>
          </w:tcPr>
          <w:p>
            <w:pPr>
              <w:spacing w:before="205" w:line="221" w:lineRule="auto"/>
              <w:ind w:left="14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评标方法</w:t>
            </w:r>
          </w:p>
        </w:tc>
        <w:tc>
          <w:tcPr>
            <w:tcW w:w="2476" w:type="dxa"/>
            <w:vAlign w:val="top"/>
          </w:tcPr>
          <w:p>
            <w:pPr>
              <w:spacing w:before="204" w:line="221" w:lineRule="auto"/>
              <w:ind w:left="31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中标候</w:t>
            </w:r>
            <w:r>
              <w:rPr>
                <w:rFonts w:hint="eastAsia" w:ascii="宋体" w:hAnsi="宋体" w:eastAsia="宋体" w:cs="宋体"/>
                <w:color w:val="auto"/>
                <w:spacing w:val="-3"/>
                <w:sz w:val="21"/>
                <w:szCs w:val="21"/>
                <w:highlight w:val="none"/>
              </w:rPr>
              <w:t>选</w:t>
            </w:r>
            <w:r>
              <w:rPr>
                <w:rFonts w:hint="eastAsia" w:ascii="宋体" w:hAnsi="宋体" w:eastAsia="宋体" w:cs="宋体"/>
                <w:color w:val="auto"/>
                <w:spacing w:val="-2"/>
                <w:sz w:val="21"/>
                <w:szCs w:val="21"/>
                <w:highlight w:val="none"/>
              </w:rPr>
              <w:t>人排序方法</w:t>
            </w:r>
          </w:p>
        </w:tc>
        <w:tc>
          <w:tcPr>
            <w:tcW w:w="4683" w:type="dxa"/>
            <w:vAlign w:val="top"/>
          </w:tcPr>
          <w:p>
            <w:pPr>
              <w:rPr>
                <w:rFonts w:hint="eastAsia" w:ascii="宋体" w:hAnsi="宋体" w:eastAsia="宋体" w:cs="宋体"/>
                <w:color w:val="auto"/>
                <w:sz w:val="21"/>
                <w:highlight w:val="none"/>
                <w:lang w:eastAsia="zh-CN"/>
              </w:rPr>
            </w:pPr>
            <w:r>
              <w:rPr>
                <w:rFonts w:hint="eastAsia" w:ascii="宋体" w:hAnsi="宋体" w:eastAsia="宋体" w:cs="宋体"/>
                <w:color w:val="auto"/>
                <w:spacing w:val="4"/>
                <w:sz w:val="21"/>
                <w:szCs w:val="21"/>
                <w:highlight w:val="none"/>
              </w:rPr>
              <w:t>采用综合评估法。评标委员会对满足招标文件实质性要求的投标文件，按照本章第 2.2 款规定的评分标准进行打分，并按投标人得分由高到低顺序依次推荐前 3 名投标人为中标候选人(评标得分相同时，以投标报价较低者优先</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当投标报价相同时，随机摇号确定排序)</w:t>
            </w:r>
            <w:r>
              <w:rPr>
                <w:rFonts w:hint="eastAsia" w:ascii="宋体" w:hAnsi="宋体" w:eastAsia="宋体" w:cs="宋体"/>
                <w:color w:val="auto"/>
                <w:spacing w:val="4"/>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4" w:type="dxa"/>
            <w:vMerge w:val="restart"/>
            <w:tcBorders>
              <w:bottom w:val="nil"/>
            </w:tcBorders>
            <w:vAlign w:val="top"/>
          </w:tcPr>
          <w:p>
            <w:pPr>
              <w:spacing w:line="254" w:lineRule="auto"/>
              <w:rPr>
                <w:rFonts w:hint="eastAsia" w:ascii="宋体" w:hAnsi="宋体" w:eastAsia="宋体" w:cs="宋体"/>
                <w:color w:val="auto"/>
                <w:sz w:val="21"/>
                <w:highlight w:val="none"/>
              </w:rPr>
            </w:pPr>
          </w:p>
          <w:p>
            <w:pPr>
              <w:spacing w:line="254" w:lineRule="auto"/>
              <w:rPr>
                <w:rFonts w:hint="eastAsia" w:ascii="宋体" w:hAnsi="宋体" w:eastAsia="宋体" w:cs="宋体"/>
                <w:color w:val="auto"/>
                <w:sz w:val="21"/>
                <w:highlight w:val="none"/>
              </w:rPr>
            </w:pPr>
          </w:p>
          <w:p>
            <w:pPr>
              <w:spacing w:line="254" w:lineRule="auto"/>
              <w:rPr>
                <w:rFonts w:hint="eastAsia" w:ascii="宋体" w:hAnsi="宋体" w:eastAsia="宋体" w:cs="宋体"/>
                <w:color w:val="auto"/>
                <w:sz w:val="21"/>
                <w:highlight w:val="none"/>
              </w:rPr>
            </w:pPr>
          </w:p>
          <w:p>
            <w:pPr>
              <w:spacing w:line="254" w:lineRule="auto"/>
              <w:rPr>
                <w:rFonts w:hint="eastAsia" w:ascii="宋体" w:hAnsi="宋体" w:eastAsia="宋体" w:cs="宋体"/>
                <w:color w:val="auto"/>
                <w:sz w:val="21"/>
                <w:highlight w:val="none"/>
              </w:rPr>
            </w:pPr>
          </w:p>
          <w:p>
            <w:pPr>
              <w:spacing w:line="254" w:lineRule="auto"/>
              <w:rPr>
                <w:rFonts w:hint="eastAsia" w:ascii="宋体" w:hAnsi="宋体" w:eastAsia="宋体" w:cs="宋体"/>
                <w:color w:val="auto"/>
                <w:sz w:val="21"/>
                <w:highlight w:val="none"/>
              </w:rPr>
            </w:pPr>
          </w:p>
          <w:p>
            <w:pPr>
              <w:spacing w:line="254"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p>
          <w:p>
            <w:pPr>
              <w:spacing w:before="60" w:line="187" w:lineRule="auto"/>
              <w:ind w:left="24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1.1</w:t>
            </w:r>
          </w:p>
        </w:tc>
        <w:tc>
          <w:tcPr>
            <w:tcW w:w="1123" w:type="dxa"/>
            <w:vMerge w:val="restart"/>
            <w:tcBorders>
              <w:bottom w:val="nil"/>
            </w:tcBorders>
            <w:vAlign w:val="top"/>
          </w:tcPr>
          <w:p>
            <w:pPr>
              <w:spacing w:line="253" w:lineRule="auto"/>
              <w:rPr>
                <w:rFonts w:hint="eastAsia" w:ascii="宋体" w:hAnsi="宋体" w:eastAsia="宋体" w:cs="宋体"/>
                <w:color w:val="auto"/>
                <w:sz w:val="21"/>
                <w:highlight w:val="none"/>
              </w:rPr>
            </w:pPr>
          </w:p>
          <w:p>
            <w:pPr>
              <w:spacing w:line="253" w:lineRule="auto"/>
              <w:rPr>
                <w:rFonts w:hint="eastAsia" w:ascii="宋体" w:hAnsi="宋体" w:eastAsia="宋体" w:cs="宋体"/>
                <w:color w:val="auto"/>
                <w:sz w:val="21"/>
                <w:highlight w:val="none"/>
              </w:rPr>
            </w:pPr>
          </w:p>
          <w:p>
            <w:pPr>
              <w:spacing w:line="253" w:lineRule="auto"/>
              <w:rPr>
                <w:rFonts w:hint="eastAsia" w:ascii="宋体" w:hAnsi="宋体" w:eastAsia="宋体" w:cs="宋体"/>
                <w:color w:val="auto"/>
                <w:sz w:val="21"/>
                <w:highlight w:val="none"/>
              </w:rPr>
            </w:pPr>
          </w:p>
          <w:p>
            <w:pPr>
              <w:spacing w:line="253" w:lineRule="auto"/>
              <w:rPr>
                <w:rFonts w:hint="eastAsia" w:ascii="宋体" w:hAnsi="宋体" w:eastAsia="宋体" w:cs="宋体"/>
                <w:color w:val="auto"/>
                <w:sz w:val="21"/>
                <w:highlight w:val="none"/>
              </w:rPr>
            </w:pPr>
          </w:p>
          <w:p>
            <w:pPr>
              <w:spacing w:line="253" w:lineRule="auto"/>
              <w:rPr>
                <w:rFonts w:hint="eastAsia" w:ascii="宋体" w:hAnsi="宋体" w:eastAsia="宋体" w:cs="宋体"/>
                <w:color w:val="auto"/>
                <w:sz w:val="21"/>
                <w:highlight w:val="none"/>
              </w:rPr>
            </w:pPr>
          </w:p>
          <w:p>
            <w:pPr>
              <w:spacing w:line="253" w:lineRule="auto"/>
              <w:rPr>
                <w:rFonts w:hint="eastAsia" w:ascii="宋体" w:hAnsi="宋体" w:eastAsia="宋体" w:cs="宋体"/>
                <w:color w:val="auto"/>
                <w:sz w:val="21"/>
                <w:highlight w:val="none"/>
              </w:rPr>
            </w:pPr>
          </w:p>
          <w:p>
            <w:pPr>
              <w:spacing w:line="253" w:lineRule="auto"/>
              <w:rPr>
                <w:rFonts w:hint="eastAsia" w:ascii="宋体" w:hAnsi="宋体" w:eastAsia="宋体" w:cs="宋体"/>
                <w:color w:val="auto"/>
                <w:sz w:val="21"/>
                <w:highlight w:val="none"/>
              </w:rPr>
            </w:pPr>
          </w:p>
          <w:p>
            <w:pPr>
              <w:spacing w:line="254" w:lineRule="auto"/>
              <w:rPr>
                <w:rFonts w:hint="eastAsia" w:ascii="宋体" w:hAnsi="宋体" w:eastAsia="宋体" w:cs="宋体"/>
                <w:color w:val="auto"/>
                <w:sz w:val="21"/>
                <w:highlight w:val="none"/>
              </w:rPr>
            </w:pPr>
          </w:p>
          <w:p>
            <w:pPr>
              <w:spacing w:line="254" w:lineRule="auto"/>
              <w:rPr>
                <w:rFonts w:hint="eastAsia" w:ascii="宋体" w:hAnsi="宋体" w:eastAsia="宋体" w:cs="宋体"/>
                <w:color w:val="auto"/>
                <w:sz w:val="21"/>
                <w:highlight w:val="none"/>
              </w:rPr>
            </w:pPr>
          </w:p>
          <w:p>
            <w:pPr>
              <w:spacing w:line="254" w:lineRule="auto"/>
              <w:rPr>
                <w:rFonts w:hint="eastAsia" w:ascii="宋体" w:hAnsi="宋体" w:eastAsia="宋体" w:cs="宋体"/>
                <w:color w:val="auto"/>
                <w:sz w:val="21"/>
                <w:highlight w:val="none"/>
              </w:rPr>
            </w:pPr>
          </w:p>
          <w:p>
            <w:pPr>
              <w:spacing w:before="68" w:line="396" w:lineRule="auto"/>
              <w:ind w:left="355" w:right="138" w:hanging="207"/>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形</w:t>
            </w:r>
            <w:r>
              <w:rPr>
                <w:rFonts w:hint="eastAsia" w:ascii="宋体" w:hAnsi="宋体" w:eastAsia="宋体" w:cs="宋体"/>
                <w:color w:val="auto"/>
                <w:spacing w:val="-2"/>
                <w:sz w:val="21"/>
                <w:szCs w:val="21"/>
                <w:highlight w:val="none"/>
              </w:rPr>
              <w:t>式评审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标准</w:t>
            </w:r>
          </w:p>
        </w:tc>
        <w:tc>
          <w:tcPr>
            <w:tcW w:w="2476" w:type="dxa"/>
            <w:vAlign w:val="top"/>
          </w:tcPr>
          <w:p>
            <w:pPr>
              <w:spacing w:before="174" w:line="221" w:lineRule="auto"/>
              <w:ind w:left="72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投标人</w:t>
            </w:r>
            <w:r>
              <w:rPr>
                <w:rFonts w:hint="eastAsia" w:ascii="宋体" w:hAnsi="宋体" w:eastAsia="宋体" w:cs="宋体"/>
                <w:color w:val="auto"/>
                <w:spacing w:val="-1"/>
                <w:sz w:val="21"/>
                <w:szCs w:val="21"/>
                <w:highlight w:val="none"/>
              </w:rPr>
              <w:t>名称</w:t>
            </w:r>
          </w:p>
        </w:tc>
        <w:tc>
          <w:tcPr>
            <w:tcW w:w="4683" w:type="dxa"/>
            <w:vAlign w:val="top"/>
          </w:tcPr>
          <w:p>
            <w:pPr>
              <w:spacing w:before="173" w:line="219" w:lineRule="auto"/>
              <w:ind w:left="11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与营业执照、资质证</w:t>
            </w:r>
            <w:r>
              <w:rPr>
                <w:rFonts w:hint="eastAsia" w:ascii="宋体" w:hAnsi="宋体" w:eastAsia="宋体" w:cs="宋体"/>
                <w:color w:val="auto"/>
                <w:sz w:val="21"/>
                <w:szCs w:val="21"/>
                <w:highlight w:val="none"/>
              </w:rPr>
              <w:t>书一致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6"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center"/>
          </w:tcPr>
          <w:p>
            <w:pPr>
              <w:spacing w:before="69" w:line="220" w:lineRule="auto"/>
              <w:ind w:left="50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w:t>
            </w:r>
            <w:r>
              <w:rPr>
                <w:rFonts w:hint="eastAsia" w:ascii="宋体" w:hAnsi="宋体" w:eastAsia="宋体" w:cs="宋体"/>
                <w:color w:val="auto"/>
                <w:spacing w:val="-1"/>
                <w:sz w:val="21"/>
                <w:szCs w:val="21"/>
                <w:highlight w:val="none"/>
              </w:rPr>
              <w:t>标函签字盖章</w:t>
            </w:r>
          </w:p>
        </w:tc>
        <w:tc>
          <w:tcPr>
            <w:tcW w:w="4683" w:type="dxa"/>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有法定代表人(单位负责人) 或其委托代理人签 字或加盖单位章。由法定代表人(单位负责人)签字的，应附法定代表人(单位负责人) 身份证明，由代理人签字的，应附授权委托书，身份证明或授权委托书应符合第六章“投标文件格式”的规定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top"/>
          </w:tcPr>
          <w:p>
            <w:pPr>
              <w:spacing w:before="172" w:line="220" w:lineRule="auto"/>
              <w:ind w:left="61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w:t>
            </w:r>
            <w:r>
              <w:rPr>
                <w:rFonts w:hint="eastAsia" w:ascii="宋体" w:hAnsi="宋体" w:eastAsia="宋体" w:cs="宋体"/>
                <w:color w:val="auto"/>
                <w:spacing w:val="-1"/>
                <w:sz w:val="21"/>
                <w:szCs w:val="21"/>
                <w:highlight w:val="none"/>
              </w:rPr>
              <w:t>文件格式</w:t>
            </w:r>
          </w:p>
        </w:tc>
        <w:tc>
          <w:tcPr>
            <w:tcW w:w="4683" w:type="dxa"/>
            <w:vAlign w:val="top"/>
          </w:tcPr>
          <w:p>
            <w:pPr>
              <w:spacing w:before="172"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符合第六章“投标文</w:t>
            </w:r>
            <w:r>
              <w:rPr>
                <w:rFonts w:hint="eastAsia" w:ascii="宋体" w:hAnsi="宋体" w:eastAsia="宋体" w:cs="宋体"/>
                <w:color w:val="auto"/>
                <w:sz w:val="21"/>
                <w:szCs w:val="21"/>
                <w:highlight w:val="none"/>
              </w:rPr>
              <w:t>件格式”的规定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top"/>
          </w:tcPr>
          <w:p>
            <w:pPr>
              <w:spacing w:line="321" w:lineRule="auto"/>
              <w:rPr>
                <w:rFonts w:hint="eastAsia" w:ascii="宋体" w:hAnsi="宋体" w:eastAsia="宋体" w:cs="宋体"/>
                <w:color w:val="auto"/>
                <w:sz w:val="21"/>
                <w:highlight w:val="none"/>
              </w:rPr>
            </w:pPr>
          </w:p>
          <w:p>
            <w:pPr>
              <w:spacing w:before="68" w:line="221" w:lineRule="auto"/>
              <w:ind w:left="6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联合体投标人</w:t>
            </w:r>
          </w:p>
        </w:tc>
        <w:tc>
          <w:tcPr>
            <w:tcW w:w="4683" w:type="dxa"/>
            <w:vAlign w:val="top"/>
          </w:tcPr>
          <w:p>
            <w:pPr>
              <w:spacing w:before="172" w:line="439" w:lineRule="exact"/>
              <w:ind w:left="114"/>
              <w:rPr>
                <w:rFonts w:hint="eastAsia" w:ascii="宋体" w:hAnsi="宋体" w:eastAsia="宋体" w:cs="宋体"/>
                <w:color w:val="auto"/>
                <w:sz w:val="21"/>
                <w:szCs w:val="21"/>
                <w:highlight w:val="none"/>
              </w:rPr>
            </w:pPr>
            <w:r>
              <w:rPr>
                <w:rFonts w:hint="eastAsia" w:ascii="宋体" w:hAnsi="宋体" w:eastAsia="宋体" w:cs="宋体"/>
                <w:color w:val="auto"/>
                <w:spacing w:val="-4"/>
                <w:position w:val="17"/>
                <w:sz w:val="21"/>
                <w:szCs w:val="21"/>
                <w:highlight w:val="none"/>
              </w:rPr>
              <w:t>提交符合招标文件要</w:t>
            </w:r>
            <w:r>
              <w:rPr>
                <w:rFonts w:hint="eastAsia" w:ascii="宋体" w:hAnsi="宋体" w:eastAsia="宋体" w:cs="宋体"/>
                <w:color w:val="auto"/>
                <w:spacing w:val="-2"/>
                <w:position w:val="17"/>
                <w:sz w:val="21"/>
                <w:szCs w:val="21"/>
                <w:highlight w:val="none"/>
              </w:rPr>
              <w:t>求的联合体协议书，明确各</w:t>
            </w:r>
          </w:p>
          <w:p>
            <w:pPr>
              <w:spacing w:line="217" w:lineRule="auto"/>
              <w:ind w:left="11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方承担连</w:t>
            </w:r>
            <w:r>
              <w:rPr>
                <w:rFonts w:hint="eastAsia" w:ascii="宋体" w:hAnsi="宋体" w:eastAsia="宋体" w:cs="宋体"/>
                <w:color w:val="auto"/>
                <w:sz w:val="21"/>
                <w:szCs w:val="21"/>
                <w:highlight w:val="none"/>
              </w:rPr>
              <w:t>带责任，并明确联合体牵头人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top"/>
          </w:tcPr>
          <w:p>
            <w:pPr>
              <w:spacing w:line="324" w:lineRule="auto"/>
              <w:rPr>
                <w:rFonts w:hint="eastAsia" w:ascii="宋体" w:hAnsi="宋体" w:eastAsia="宋体" w:cs="宋体"/>
                <w:color w:val="auto"/>
                <w:sz w:val="21"/>
                <w:highlight w:val="none"/>
              </w:rPr>
            </w:pPr>
          </w:p>
          <w:p>
            <w:pPr>
              <w:spacing w:before="68" w:line="221" w:lineRule="auto"/>
              <w:ind w:left="61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备选投</w:t>
            </w:r>
            <w:r>
              <w:rPr>
                <w:rFonts w:hint="eastAsia" w:ascii="宋体" w:hAnsi="宋体" w:eastAsia="宋体" w:cs="宋体"/>
                <w:color w:val="auto"/>
                <w:spacing w:val="-1"/>
                <w:sz w:val="21"/>
                <w:szCs w:val="21"/>
                <w:highlight w:val="none"/>
              </w:rPr>
              <w:t>标方案</w:t>
            </w:r>
          </w:p>
        </w:tc>
        <w:tc>
          <w:tcPr>
            <w:tcW w:w="4683" w:type="dxa"/>
            <w:vAlign w:val="top"/>
          </w:tcPr>
          <w:p>
            <w:pPr>
              <w:spacing w:before="176" w:line="439" w:lineRule="exact"/>
              <w:ind w:left="126"/>
              <w:rPr>
                <w:rFonts w:hint="eastAsia" w:ascii="宋体" w:hAnsi="宋体" w:eastAsia="宋体" w:cs="宋体"/>
                <w:color w:val="auto"/>
                <w:sz w:val="21"/>
                <w:szCs w:val="21"/>
                <w:highlight w:val="none"/>
              </w:rPr>
            </w:pPr>
            <w:r>
              <w:rPr>
                <w:rFonts w:hint="eastAsia" w:ascii="宋体" w:hAnsi="宋体" w:eastAsia="宋体" w:cs="宋体"/>
                <w:color w:val="auto"/>
                <w:spacing w:val="2"/>
                <w:position w:val="17"/>
                <w:sz w:val="21"/>
                <w:szCs w:val="21"/>
                <w:highlight w:val="none"/>
              </w:rPr>
              <w:t>除招标文件明确允许提交备选投标方案外，投</w:t>
            </w:r>
            <w:r>
              <w:rPr>
                <w:rFonts w:hint="eastAsia" w:ascii="宋体" w:hAnsi="宋体" w:eastAsia="宋体" w:cs="宋体"/>
                <w:color w:val="auto"/>
                <w:position w:val="17"/>
                <w:sz w:val="21"/>
                <w:szCs w:val="21"/>
                <w:highlight w:val="none"/>
              </w:rPr>
              <w:t>标</w:t>
            </w:r>
          </w:p>
          <w:p>
            <w:pPr>
              <w:spacing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人不得提交备</w:t>
            </w:r>
            <w:r>
              <w:rPr>
                <w:rFonts w:hint="eastAsia" w:ascii="宋体" w:hAnsi="宋体" w:eastAsia="宋体" w:cs="宋体"/>
                <w:color w:val="auto"/>
                <w:sz w:val="21"/>
                <w:szCs w:val="21"/>
                <w:highlight w:val="none"/>
              </w:rPr>
              <w:t>选投标方案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04" w:type="dxa"/>
            <w:vMerge w:val="continue"/>
            <w:tcBorders>
              <w:top w:val="nil"/>
            </w:tcBorders>
            <w:vAlign w:val="top"/>
          </w:tcPr>
          <w:p>
            <w:pPr>
              <w:rPr>
                <w:rFonts w:hint="eastAsia" w:ascii="宋体" w:hAnsi="宋体" w:eastAsia="宋体" w:cs="宋体"/>
                <w:color w:val="auto"/>
                <w:sz w:val="21"/>
                <w:highlight w:val="none"/>
              </w:rPr>
            </w:pPr>
          </w:p>
        </w:tc>
        <w:tc>
          <w:tcPr>
            <w:tcW w:w="1123" w:type="dxa"/>
            <w:vMerge w:val="continue"/>
            <w:tcBorders>
              <w:top w:val="nil"/>
            </w:tcBorders>
            <w:vAlign w:val="top"/>
          </w:tcPr>
          <w:p>
            <w:pPr>
              <w:rPr>
                <w:rFonts w:hint="eastAsia" w:ascii="宋体" w:hAnsi="宋体" w:eastAsia="宋体" w:cs="宋体"/>
                <w:color w:val="auto"/>
                <w:sz w:val="21"/>
                <w:highlight w:val="none"/>
              </w:rPr>
            </w:pPr>
          </w:p>
        </w:tc>
        <w:tc>
          <w:tcPr>
            <w:tcW w:w="2476" w:type="dxa"/>
            <w:vAlign w:val="center"/>
          </w:tcPr>
          <w:p>
            <w:pPr>
              <w:spacing w:before="126" w:line="251" w:lineRule="auto"/>
              <w:ind w:right="110" w:rightChars="0"/>
              <w:jc w:val="center"/>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报价唯一</w:t>
            </w:r>
          </w:p>
        </w:tc>
        <w:tc>
          <w:tcPr>
            <w:tcW w:w="4683" w:type="dxa"/>
            <w:vAlign w:val="center"/>
          </w:tcPr>
          <w:p>
            <w:pPr>
              <w:spacing w:before="126" w:line="251" w:lineRule="auto"/>
              <w:ind w:right="110" w:rightChars="0"/>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只能有一个有效报价且不能高于招标人最高限价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restart"/>
            <w:vAlign w:val="top"/>
          </w:tcPr>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before="60" w:line="187" w:lineRule="auto"/>
              <w:ind w:left="24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1.2</w:t>
            </w:r>
          </w:p>
        </w:tc>
        <w:tc>
          <w:tcPr>
            <w:tcW w:w="1123" w:type="dxa"/>
            <w:vMerge w:val="restart"/>
            <w:vAlign w:val="top"/>
          </w:tcPr>
          <w:p>
            <w:pPr>
              <w:spacing w:line="245" w:lineRule="auto"/>
              <w:rPr>
                <w:rFonts w:hint="eastAsia" w:ascii="宋体" w:hAnsi="宋体" w:eastAsia="宋体" w:cs="宋体"/>
                <w:color w:val="auto"/>
                <w:sz w:val="21"/>
                <w:highlight w:val="none"/>
              </w:rPr>
            </w:pPr>
          </w:p>
          <w:p>
            <w:pPr>
              <w:spacing w:before="68" w:line="394" w:lineRule="auto"/>
              <w:ind w:left="354" w:right="138" w:hanging="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资</w:t>
            </w:r>
            <w:r>
              <w:rPr>
                <w:rFonts w:hint="eastAsia" w:ascii="宋体" w:hAnsi="宋体" w:eastAsia="宋体" w:cs="宋体"/>
                <w:color w:val="auto"/>
                <w:spacing w:val="-3"/>
                <w:sz w:val="21"/>
                <w:szCs w:val="21"/>
                <w:highlight w:val="none"/>
              </w:rPr>
              <w:t>格评审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标准</w:t>
            </w:r>
          </w:p>
        </w:tc>
        <w:tc>
          <w:tcPr>
            <w:tcW w:w="2476" w:type="dxa"/>
            <w:vAlign w:val="top"/>
          </w:tcPr>
          <w:p>
            <w:pPr>
              <w:spacing w:before="174" w:line="440" w:lineRule="exact"/>
              <w:ind w:left="197"/>
              <w:rPr>
                <w:rFonts w:hint="eastAsia" w:ascii="宋体" w:hAnsi="宋体" w:eastAsia="宋体" w:cs="宋体"/>
                <w:color w:val="auto"/>
                <w:sz w:val="21"/>
                <w:szCs w:val="21"/>
                <w:highlight w:val="none"/>
              </w:rPr>
            </w:pPr>
            <w:r>
              <w:rPr>
                <w:rFonts w:hint="eastAsia" w:ascii="宋体" w:hAnsi="宋体" w:eastAsia="宋体" w:cs="宋体"/>
                <w:color w:val="auto"/>
                <w:spacing w:val="-2"/>
                <w:position w:val="17"/>
                <w:sz w:val="21"/>
                <w:szCs w:val="21"/>
                <w:highlight w:val="none"/>
              </w:rPr>
              <w:t>营</w:t>
            </w:r>
            <w:r>
              <w:rPr>
                <w:rFonts w:hint="eastAsia" w:ascii="宋体" w:hAnsi="宋体" w:eastAsia="宋体" w:cs="宋体"/>
                <w:color w:val="auto"/>
                <w:spacing w:val="-1"/>
                <w:position w:val="17"/>
                <w:sz w:val="21"/>
                <w:szCs w:val="21"/>
                <w:highlight w:val="none"/>
              </w:rPr>
              <w:t>业执照和组织机构代</w:t>
            </w:r>
          </w:p>
          <w:p>
            <w:pPr>
              <w:spacing w:line="224" w:lineRule="auto"/>
              <w:ind w:left="103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码</w:t>
            </w:r>
            <w:r>
              <w:rPr>
                <w:rFonts w:hint="eastAsia" w:ascii="宋体" w:hAnsi="宋体" w:eastAsia="宋体" w:cs="宋体"/>
                <w:color w:val="auto"/>
                <w:spacing w:val="-1"/>
                <w:sz w:val="21"/>
                <w:szCs w:val="21"/>
                <w:highlight w:val="none"/>
              </w:rPr>
              <w:t>证</w:t>
            </w:r>
          </w:p>
        </w:tc>
        <w:tc>
          <w:tcPr>
            <w:tcW w:w="4683" w:type="dxa"/>
            <w:vAlign w:val="top"/>
          </w:tcPr>
          <w:p>
            <w:pPr>
              <w:spacing w:before="174" w:line="440" w:lineRule="exact"/>
              <w:ind w:left="11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符合第二章“投标人须知”第 3.5.1 项规定，具备有效的营业执照和组织机构代码证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4" w:type="dxa"/>
            <w:vMerge w:val="continue"/>
            <w:vAlign w:val="top"/>
          </w:tcPr>
          <w:p>
            <w:pPr>
              <w:rPr>
                <w:rFonts w:hint="eastAsia" w:ascii="宋体" w:hAnsi="宋体" w:eastAsia="宋体" w:cs="宋体"/>
                <w:color w:val="auto"/>
                <w:sz w:val="21"/>
                <w:highlight w:val="none"/>
              </w:rPr>
            </w:pPr>
          </w:p>
        </w:tc>
        <w:tc>
          <w:tcPr>
            <w:tcW w:w="1123" w:type="dxa"/>
            <w:vMerge w:val="continue"/>
            <w:vAlign w:val="top"/>
          </w:tcPr>
          <w:p>
            <w:pPr>
              <w:rPr>
                <w:rFonts w:hint="eastAsia" w:ascii="宋体" w:hAnsi="宋体" w:eastAsia="宋体" w:cs="宋体"/>
                <w:color w:val="auto"/>
                <w:sz w:val="21"/>
                <w:highlight w:val="none"/>
              </w:rPr>
            </w:pPr>
          </w:p>
        </w:tc>
        <w:tc>
          <w:tcPr>
            <w:tcW w:w="2476" w:type="dxa"/>
            <w:vAlign w:val="top"/>
          </w:tcPr>
          <w:p>
            <w:pPr>
              <w:spacing w:before="175" w:line="219" w:lineRule="auto"/>
              <w:ind w:left="83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资</w:t>
            </w:r>
            <w:r>
              <w:rPr>
                <w:rFonts w:hint="eastAsia" w:ascii="宋体" w:hAnsi="宋体" w:eastAsia="宋体" w:cs="宋体"/>
                <w:color w:val="auto"/>
                <w:spacing w:val="-3"/>
                <w:sz w:val="21"/>
                <w:szCs w:val="21"/>
                <w:highlight w:val="none"/>
              </w:rPr>
              <w:t>质要求</w:t>
            </w:r>
          </w:p>
        </w:tc>
        <w:tc>
          <w:tcPr>
            <w:tcW w:w="4683" w:type="dxa"/>
            <w:vAlign w:val="top"/>
          </w:tcPr>
          <w:p>
            <w:pPr>
              <w:spacing w:before="175"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符合第</w:t>
            </w:r>
            <w:r>
              <w:rPr>
                <w:rFonts w:hint="eastAsia" w:ascii="宋体" w:hAnsi="宋体" w:eastAsia="宋体" w:cs="宋体"/>
                <w:color w:val="auto"/>
                <w:spacing w:val="-7"/>
                <w:sz w:val="21"/>
                <w:szCs w:val="21"/>
                <w:highlight w:val="none"/>
              </w:rPr>
              <w:t>二</w:t>
            </w:r>
            <w:r>
              <w:rPr>
                <w:rFonts w:hint="eastAsia" w:ascii="宋体" w:hAnsi="宋体" w:eastAsia="宋体" w:cs="宋体"/>
                <w:color w:val="auto"/>
                <w:spacing w:val="-4"/>
                <w:sz w:val="21"/>
                <w:szCs w:val="21"/>
                <w:highlight w:val="none"/>
              </w:rPr>
              <w:t>章“投标人须知”第 1.4. 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4" w:type="dxa"/>
            <w:vMerge w:val="continue"/>
            <w:vAlign w:val="top"/>
          </w:tcPr>
          <w:p>
            <w:pPr>
              <w:rPr>
                <w:rFonts w:hint="eastAsia" w:ascii="宋体" w:hAnsi="宋体" w:eastAsia="宋体" w:cs="宋体"/>
                <w:color w:val="auto"/>
                <w:sz w:val="21"/>
                <w:highlight w:val="none"/>
              </w:rPr>
            </w:pPr>
          </w:p>
        </w:tc>
        <w:tc>
          <w:tcPr>
            <w:tcW w:w="1123" w:type="dxa"/>
            <w:vMerge w:val="continue"/>
            <w:vAlign w:val="top"/>
          </w:tcPr>
          <w:p>
            <w:pPr>
              <w:rPr>
                <w:rFonts w:hint="eastAsia" w:ascii="宋体" w:hAnsi="宋体" w:eastAsia="宋体" w:cs="宋体"/>
                <w:color w:val="auto"/>
                <w:sz w:val="21"/>
                <w:highlight w:val="none"/>
              </w:rPr>
            </w:pPr>
          </w:p>
        </w:tc>
        <w:tc>
          <w:tcPr>
            <w:tcW w:w="2476" w:type="dxa"/>
            <w:vAlign w:val="top"/>
          </w:tcPr>
          <w:p>
            <w:pPr>
              <w:spacing w:before="174" w:line="221" w:lineRule="auto"/>
              <w:ind w:left="82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财务</w:t>
            </w:r>
            <w:r>
              <w:rPr>
                <w:rFonts w:hint="eastAsia" w:ascii="宋体" w:hAnsi="宋体" w:eastAsia="宋体" w:cs="宋体"/>
                <w:color w:val="auto"/>
                <w:spacing w:val="-1"/>
                <w:sz w:val="21"/>
                <w:szCs w:val="21"/>
                <w:highlight w:val="none"/>
              </w:rPr>
              <w:t>要求</w:t>
            </w:r>
          </w:p>
        </w:tc>
        <w:tc>
          <w:tcPr>
            <w:tcW w:w="4683" w:type="dxa"/>
            <w:vAlign w:val="top"/>
          </w:tcPr>
          <w:p>
            <w:pPr>
              <w:spacing w:before="175"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符合第</w:t>
            </w:r>
            <w:r>
              <w:rPr>
                <w:rFonts w:hint="eastAsia" w:ascii="宋体" w:hAnsi="宋体" w:eastAsia="宋体" w:cs="宋体"/>
                <w:color w:val="auto"/>
                <w:spacing w:val="-7"/>
                <w:sz w:val="21"/>
                <w:szCs w:val="21"/>
                <w:highlight w:val="none"/>
              </w:rPr>
              <w:t>二</w:t>
            </w:r>
            <w:r>
              <w:rPr>
                <w:rFonts w:hint="eastAsia" w:ascii="宋体" w:hAnsi="宋体" w:eastAsia="宋体" w:cs="宋体"/>
                <w:color w:val="auto"/>
                <w:spacing w:val="-4"/>
                <w:sz w:val="21"/>
                <w:szCs w:val="21"/>
                <w:highlight w:val="none"/>
              </w:rPr>
              <w:t>章“投标人须知”第 1.4. 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4" w:type="dxa"/>
            <w:vMerge w:val="continue"/>
            <w:vAlign w:val="top"/>
          </w:tcPr>
          <w:p>
            <w:pPr>
              <w:rPr>
                <w:rFonts w:hint="eastAsia" w:ascii="宋体" w:hAnsi="宋体" w:eastAsia="宋体" w:cs="宋体"/>
                <w:color w:val="auto"/>
                <w:sz w:val="21"/>
                <w:highlight w:val="none"/>
              </w:rPr>
            </w:pPr>
          </w:p>
        </w:tc>
        <w:tc>
          <w:tcPr>
            <w:tcW w:w="1123" w:type="dxa"/>
            <w:vMerge w:val="continue"/>
            <w:vAlign w:val="top"/>
          </w:tcPr>
          <w:p>
            <w:pPr>
              <w:rPr>
                <w:rFonts w:hint="eastAsia" w:ascii="宋体" w:hAnsi="宋体" w:eastAsia="宋体" w:cs="宋体"/>
                <w:color w:val="auto"/>
                <w:sz w:val="21"/>
                <w:highlight w:val="none"/>
              </w:rPr>
            </w:pPr>
          </w:p>
        </w:tc>
        <w:tc>
          <w:tcPr>
            <w:tcW w:w="2476" w:type="dxa"/>
            <w:vAlign w:val="top"/>
          </w:tcPr>
          <w:p>
            <w:pPr>
              <w:spacing w:before="175" w:line="218" w:lineRule="auto"/>
              <w:ind w:left="82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业绩要求</w:t>
            </w:r>
          </w:p>
        </w:tc>
        <w:tc>
          <w:tcPr>
            <w:tcW w:w="4683" w:type="dxa"/>
            <w:vAlign w:val="top"/>
          </w:tcPr>
          <w:p>
            <w:pPr>
              <w:spacing w:before="33"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符合第</w:t>
            </w:r>
            <w:r>
              <w:rPr>
                <w:rFonts w:hint="eastAsia" w:ascii="宋体" w:hAnsi="宋体" w:eastAsia="宋体" w:cs="宋体"/>
                <w:color w:val="auto"/>
                <w:spacing w:val="-7"/>
                <w:sz w:val="21"/>
                <w:szCs w:val="21"/>
                <w:highlight w:val="none"/>
              </w:rPr>
              <w:t>二</w:t>
            </w:r>
            <w:r>
              <w:rPr>
                <w:rFonts w:hint="eastAsia" w:ascii="宋体" w:hAnsi="宋体" w:eastAsia="宋体" w:cs="宋体"/>
                <w:color w:val="auto"/>
                <w:spacing w:val="-4"/>
                <w:sz w:val="21"/>
                <w:szCs w:val="21"/>
                <w:highlight w:val="none"/>
              </w:rPr>
              <w:t>章“投标人须知”第 1.4. 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4" w:type="dxa"/>
            <w:vMerge w:val="continue"/>
            <w:vAlign w:val="top"/>
          </w:tcPr>
          <w:p>
            <w:pPr>
              <w:rPr>
                <w:rFonts w:hint="eastAsia" w:ascii="宋体" w:hAnsi="宋体" w:eastAsia="宋体" w:cs="宋体"/>
                <w:color w:val="auto"/>
                <w:sz w:val="21"/>
                <w:highlight w:val="none"/>
              </w:rPr>
            </w:pPr>
          </w:p>
        </w:tc>
        <w:tc>
          <w:tcPr>
            <w:tcW w:w="1123" w:type="dxa"/>
            <w:vMerge w:val="continue"/>
            <w:vAlign w:val="top"/>
          </w:tcPr>
          <w:p>
            <w:pPr>
              <w:rPr>
                <w:rFonts w:hint="eastAsia" w:ascii="宋体" w:hAnsi="宋体" w:eastAsia="宋体" w:cs="宋体"/>
                <w:color w:val="auto"/>
                <w:sz w:val="21"/>
                <w:highlight w:val="none"/>
              </w:rPr>
            </w:pPr>
          </w:p>
        </w:tc>
        <w:tc>
          <w:tcPr>
            <w:tcW w:w="2476" w:type="dxa"/>
            <w:vAlign w:val="top"/>
          </w:tcPr>
          <w:p>
            <w:pPr>
              <w:spacing w:before="175" w:line="220" w:lineRule="auto"/>
              <w:ind w:left="82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信</w:t>
            </w:r>
            <w:r>
              <w:rPr>
                <w:rFonts w:hint="eastAsia" w:ascii="宋体" w:hAnsi="宋体" w:eastAsia="宋体" w:cs="宋体"/>
                <w:color w:val="auto"/>
                <w:spacing w:val="-1"/>
                <w:sz w:val="21"/>
                <w:szCs w:val="21"/>
                <w:highlight w:val="none"/>
              </w:rPr>
              <w:t>誉要求</w:t>
            </w:r>
          </w:p>
        </w:tc>
        <w:tc>
          <w:tcPr>
            <w:tcW w:w="4683" w:type="dxa"/>
            <w:vAlign w:val="top"/>
          </w:tcPr>
          <w:p>
            <w:pPr>
              <w:spacing w:before="33"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符合第</w:t>
            </w:r>
            <w:r>
              <w:rPr>
                <w:rFonts w:hint="eastAsia" w:ascii="宋体" w:hAnsi="宋体" w:eastAsia="宋体" w:cs="宋体"/>
                <w:color w:val="auto"/>
                <w:spacing w:val="-7"/>
                <w:sz w:val="21"/>
                <w:szCs w:val="21"/>
                <w:highlight w:val="none"/>
              </w:rPr>
              <w:t>二</w:t>
            </w:r>
            <w:r>
              <w:rPr>
                <w:rFonts w:hint="eastAsia" w:ascii="宋体" w:hAnsi="宋体" w:eastAsia="宋体" w:cs="宋体"/>
                <w:color w:val="auto"/>
                <w:spacing w:val="-4"/>
                <w:sz w:val="21"/>
                <w:szCs w:val="21"/>
                <w:highlight w:val="none"/>
              </w:rPr>
              <w:t>章“投标人须知”第 1.4. 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04" w:type="dxa"/>
            <w:vMerge w:val="continue"/>
            <w:vAlign w:val="top"/>
          </w:tcPr>
          <w:p>
            <w:pPr>
              <w:rPr>
                <w:rFonts w:hint="eastAsia" w:ascii="宋体" w:hAnsi="宋体" w:eastAsia="宋体" w:cs="宋体"/>
                <w:color w:val="auto"/>
                <w:sz w:val="21"/>
                <w:highlight w:val="none"/>
              </w:rPr>
            </w:pPr>
          </w:p>
        </w:tc>
        <w:tc>
          <w:tcPr>
            <w:tcW w:w="1123" w:type="dxa"/>
            <w:vMerge w:val="continue"/>
            <w:vAlign w:val="top"/>
          </w:tcPr>
          <w:p>
            <w:pPr>
              <w:rPr>
                <w:rFonts w:hint="eastAsia" w:ascii="宋体" w:hAnsi="宋体" w:eastAsia="宋体" w:cs="宋体"/>
                <w:color w:val="auto"/>
                <w:sz w:val="21"/>
                <w:highlight w:val="none"/>
              </w:rPr>
            </w:pPr>
          </w:p>
        </w:tc>
        <w:tc>
          <w:tcPr>
            <w:tcW w:w="2476" w:type="dxa"/>
            <w:vAlign w:val="top"/>
          </w:tcPr>
          <w:p>
            <w:pPr>
              <w:spacing w:before="176" w:line="218" w:lineRule="auto"/>
              <w:ind w:left="82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其他</w:t>
            </w:r>
            <w:r>
              <w:rPr>
                <w:rFonts w:hint="eastAsia" w:ascii="宋体" w:hAnsi="宋体" w:eastAsia="宋体" w:cs="宋体"/>
                <w:color w:val="auto"/>
                <w:spacing w:val="-1"/>
                <w:sz w:val="21"/>
                <w:szCs w:val="21"/>
                <w:highlight w:val="none"/>
              </w:rPr>
              <w:t>要求</w:t>
            </w:r>
          </w:p>
        </w:tc>
        <w:tc>
          <w:tcPr>
            <w:tcW w:w="4683" w:type="dxa"/>
            <w:vAlign w:val="top"/>
          </w:tcPr>
          <w:p>
            <w:pPr>
              <w:spacing w:before="175"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符合第</w:t>
            </w:r>
            <w:r>
              <w:rPr>
                <w:rFonts w:hint="eastAsia" w:ascii="宋体" w:hAnsi="宋体" w:eastAsia="宋体" w:cs="宋体"/>
                <w:color w:val="auto"/>
                <w:spacing w:val="-7"/>
                <w:sz w:val="21"/>
                <w:szCs w:val="21"/>
                <w:highlight w:val="none"/>
              </w:rPr>
              <w:t>二</w:t>
            </w:r>
            <w:r>
              <w:rPr>
                <w:rFonts w:hint="eastAsia" w:ascii="宋体" w:hAnsi="宋体" w:eastAsia="宋体" w:cs="宋体"/>
                <w:color w:val="auto"/>
                <w:spacing w:val="-4"/>
                <w:sz w:val="21"/>
                <w:szCs w:val="21"/>
                <w:highlight w:val="none"/>
              </w:rPr>
              <w:t>章“投标人须知”第 1.4. 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904" w:type="dxa"/>
            <w:vMerge w:val="continue"/>
            <w:vAlign w:val="top"/>
          </w:tcPr>
          <w:p>
            <w:pPr>
              <w:rPr>
                <w:rFonts w:hint="eastAsia" w:ascii="宋体" w:hAnsi="宋体" w:eastAsia="宋体" w:cs="宋体"/>
                <w:color w:val="auto"/>
                <w:sz w:val="21"/>
                <w:highlight w:val="none"/>
              </w:rPr>
            </w:pPr>
          </w:p>
        </w:tc>
        <w:tc>
          <w:tcPr>
            <w:tcW w:w="1123" w:type="dxa"/>
            <w:vMerge w:val="continue"/>
            <w:vAlign w:val="top"/>
          </w:tcPr>
          <w:p>
            <w:pPr>
              <w:rPr>
                <w:rFonts w:hint="eastAsia" w:ascii="宋体" w:hAnsi="宋体" w:eastAsia="宋体" w:cs="宋体"/>
                <w:color w:val="auto"/>
                <w:sz w:val="21"/>
                <w:highlight w:val="none"/>
              </w:rPr>
            </w:pPr>
          </w:p>
        </w:tc>
        <w:tc>
          <w:tcPr>
            <w:tcW w:w="2476" w:type="dxa"/>
            <w:vAlign w:val="top"/>
          </w:tcPr>
          <w:p>
            <w:pPr>
              <w:spacing w:before="176" w:line="221" w:lineRule="auto"/>
              <w:ind w:left="6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联合体投标人</w:t>
            </w:r>
          </w:p>
        </w:tc>
        <w:tc>
          <w:tcPr>
            <w:tcW w:w="4683" w:type="dxa"/>
            <w:vAlign w:val="top"/>
          </w:tcPr>
          <w:p>
            <w:pPr>
              <w:spacing w:before="175"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符合第二章“</w:t>
            </w:r>
            <w:r>
              <w:rPr>
                <w:rFonts w:hint="eastAsia" w:ascii="宋体" w:hAnsi="宋体" w:eastAsia="宋体" w:cs="宋体"/>
                <w:color w:val="auto"/>
                <w:spacing w:val="-3"/>
                <w:sz w:val="21"/>
                <w:szCs w:val="21"/>
                <w:highlight w:val="none"/>
              </w:rPr>
              <w:t>投</w:t>
            </w:r>
            <w:r>
              <w:rPr>
                <w:rFonts w:hint="eastAsia" w:ascii="宋体" w:hAnsi="宋体" w:eastAsia="宋体" w:cs="宋体"/>
                <w:color w:val="auto"/>
                <w:spacing w:val="-2"/>
                <w:sz w:val="21"/>
                <w:szCs w:val="21"/>
                <w:highlight w:val="none"/>
              </w:rPr>
              <w:t>标人须知”第 1.4.2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904" w:type="dxa"/>
            <w:vMerge w:val="continue"/>
            <w:vAlign w:val="top"/>
          </w:tcPr>
          <w:p>
            <w:pPr>
              <w:rPr>
                <w:rFonts w:hint="eastAsia" w:ascii="宋体" w:hAnsi="宋体" w:eastAsia="宋体" w:cs="宋体"/>
                <w:color w:val="auto"/>
                <w:sz w:val="21"/>
                <w:highlight w:val="none"/>
              </w:rPr>
            </w:pPr>
          </w:p>
        </w:tc>
        <w:tc>
          <w:tcPr>
            <w:tcW w:w="1123" w:type="dxa"/>
            <w:vMerge w:val="continue"/>
            <w:vAlign w:val="top"/>
          </w:tcPr>
          <w:p>
            <w:pPr>
              <w:rPr>
                <w:rFonts w:hint="eastAsia" w:ascii="宋体" w:hAnsi="宋体" w:eastAsia="宋体" w:cs="宋体"/>
                <w:color w:val="auto"/>
                <w:sz w:val="21"/>
                <w:highlight w:val="none"/>
              </w:rPr>
            </w:pPr>
          </w:p>
        </w:tc>
        <w:tc>
          <w:tcPr>
            <w:tcW w:w="2476" w:type="dxa"/>
            <w:vAlign w:val="top"/>
          </w:tcPr>
          <w:p>
            <w:pPr>
              <w:spacing w:line="318" w:lineRule="auto"/>
              <w:rPr>
                <w:rFonts w:hint="eastAsia" w:ascii="宋体" w:hAnsi="宋体" w:eastAsia="宋体" w:cs="宋体"/>
                <w:color w:val="auto"/>
                <w:sz w:val="21"/>
                <w:highlight w:val="none"/>
              </w:rPr>
            </w:pPr>
          </w:p>
          <w:p>
            <w:pPr>
              <w:spacing w:before="69" w:line="221" w:lineRule="auto"/>
              <w:ind w:left="19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不存在禁止投标的</w:t>
            </w:r>
            <w:r>
              <w:rPr>
                <w:rFonts w:hint="eastAsia" w:ascii="宋体" w:hAnsi="宋体" w:eastAsia="宋体" w:cs="宋体"/>
                <w:color w:val="auto"/>
                <w:sz w:val="21"/>
                <w:szCs w:val="21"/>
                <w:highlight w:val="none"/>
              </w:rPr>
              <w:t>情形</w:t>
            </w:r>
          </w:p>
        </w:tc>
        <w:tc>
          <w:tcPr>
            <w:tcW w:w="4683" w:type="dxa"/>
            <w:vAlign w:val="top"/>
          </w:tcPr>
          <w:p>
            <w:pPr>
              <w:spacing w:before="171" w:line="439" w:lineRule="exact"/>
              <w:ind w:left="11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不存在第二章“投标人须知”第 1.4.3 项规定的任何一种情形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continue"/>
            <w:vAlign w:val="top"/>
          </w:tcPr>
          <w:p>
            <w:pPr>
              <w:rPr>
                <w:rFonts w:hint="eastAsia" w:ascii="宋体" w:hAnsi="宋体" w:eastAsia="宋体" w:cs="宋体"/>
                <w:color w:val="auto"/>
                <w:sz w:val="21"/>
                <w:highlight w:val="none"/>
              </w:rPr>
            </w:pPr>
          </w:p>
        </w:tc>
        <w:tc>
          <w:tcPr>
            <w:tcW w:w="1123" w:type="dxa"/>
            <w:vMerge w:val="continue"/>
            <w:vAlign w:val="top"/>
          </w:tcPr>
          <w:p>
            <w:pPr>
              <w:rPr>
                <w:rFonts w:hint="eastAsia" w:ascii="宋体" w:hAnsi="宋体" w:eastAsia="宋体" w:cs="宋体"/>
                <w:color w:val="auto"/>
                <w:sz w:val="21"/>
                <w:highlight w:val="none"/>
              </w:rPr>
            </w:pPr>
          </w:p>
        </w:tc>
        <w:tc>
          <w:tcPr>
            <w:tcW w:w="2476" w:type="dxa"/>
            <w:vAlign w:val="top"/>
          </w:tcPr>
          <w:p>
            <w:pPr>
              <w:spacing w:before="173" w:line="439" w:lineRule="exact"/>
              <w:ind w:left="193"/>
              <w:rPr>
                <w:rFonts w:hint="eastAsia" w:ascii="宋体" w:hAnsi="宋体" w:eastAsia="宋体" w:cs="宋体"/>
                <w:color w:val="auto"/>
                <w:sz w:val="21"/>
                <w:szCs w:val="21"/>
                <w:highlight w:val="none"/>
              </w:rPr>
            </w:pPr>
            <w:r>
              <w:rPr>
                <w:rFonts w:hint="eastAsia" w:ascii="宋体" w:hAnsi="宋体" w:eastAsia="宋体" w:cs="宋体"/>
                <w:color w:val="auto"/>
                <w:spacing w:val="-1"/>
                <w:position w:val="17"/>
                <w:sz w:val="21"/>
                <w:szCs w:val="21"/>
                <w:highlight w:val="none"/>
              </w:rPr>
              <w:t>投标设备制造商</w:t>
            </w:r>
            <w:r>
              <w:rPr>
                <w:rFonts w:hint="eastAsia" w:ascii="宋体" w:hAnsi="宋体" w:eastAsia="宋体" w:cs="宋体"/>
                <w:color w:val="auto"/>
                <w:position w:val="17"/>
                <w:sz w:val="21"/>
                <w:szCs w:val="21"/>
                <w:highlight w:val="none"/>
              </w:rPr>
              <w:t>的资质</w:t>
            </w:r>
          </w:p>
          <w:p>
            <w:pPr>
              <w:spacing w:line="221" w:lineRule="auto"/>
              <w:ind w:left="612"/>
              <w:rPr>
                <w:rFonts w:hint="eastAsia" w:ascii="宋体" w:hAnsi="宋体" w:eastAsia="宋体" w:cs="宋体"/>
                <w:color w:val="auto"/>
                <w:sz w:val="21"/>
                <w:szCs w:val="21"/>
                <w:highlight w:val="none"/>
              </w:rPr>
            </w:pPr>
            <w:r>
              <w:rPr>
                <w:rFonts w:hint="eastAsia" w:ascii="宋体" w:hAnsi="宋体" w:eastAsia="宋体" w:cs="宋体"/>
                <w:color w:val="auto"/>
                <w:spacing w:val="19"/>
                <w:sz w:val="21"/>
                <w:szCs w:val="21"/>
                <w:highlight w:val="none"/>
              </w:rPr>
              <w:t>要</w:t>
            </w:r>
            <w:r>
              <w:rPr>
                <w:rFonts w:hint="eastAsia" w:ascii="宋体" w:hAnsi="宋体" w:eastAsia="宋体" w:cs="宋体"/>
                <w:color w:val="auto"/>
                <w:spacing w:val="16"/>
                <w:sz w:val="21"/>
                <w:szCs w:val="21"/>
                <w:highlight w:val="none"/>
              </w:rPr>
              <w:t>求(如有)</w:t>
            </w:r>
          </w:p>
        </w:tc>
        <w:tc>
          <w:tcPr>
            <w:tcW w:w="4683" w:type="dxa"/>
            <w:vAlign w:val="top"/>
          </w:tcPr>
          <w:p>
            <w:pPr>
              <w:spacing w:line="321" w:lineRule="auto"/>
              <w:rPr>
                <w:rFonts w:hint="eastAsia" w:ascii="宋体" w:hAnsi="宋体" w:eastAsia="宋体" w:cs="宋体"/>
                <w:color w:val="auto"/>
                <w:sz w:val="21"/>
                <w:highlight w:val="none"/>
              </w:rPr>
            </w:pPr>
          </w:p>
          <w:p>
            <w:pPr>
              <w:spacing w:before="68"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符合第二章“</w:t>
            </w:r>
            <w:r>
              <w:rPr>
                <w:rFonts w:hint="eastAsia" w:ascii="宋体" w:hAnsi="宋体" w:eastAsia="宋体" w:cs="宋体"/>
                <w:color w:val="auto"/>
                <w:spacing w:val="-3"/>
                <w:sz w:val="21"/>
                <w:szCs w:val="21"/>
                <w:highlight w:val="none"/>
              </w:rPr>
              <w:t>投</w:t>
            </w:r>
            <w:r>
              <w:rPr>
                <w:rFonts w:hint="eastAsia" w:ascii="宋体" w:hAnsi="宋体" w:eastAsia="宋体" w:cs="宋体"/>
                <w:color w:val="auto"/>
                <w:spacing w:val="-2"/>
                <w:sz w:val="21"/>
                <w:szCs w:val="21"/>
                <w:highlight w:val="none"/>
              </w:rPr>
              <w:t>标人须知”第 1.4.1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904" w:type="dxa"/>
            <w:vMerge w:val="continue"/>
            <w:vAlign w:val="top"/>
          </w:tcPr>
          <w:p>
            <w:pPr>
              <w:rPr>
                <w:rFonts w:hint="eastAsia" w:ascii="宋体" w:hAnsi="宋体" w:eastAsia="宋体" w:cs="宋体"/>
                <w:color w:val="auto"/>
                <w:sz w:val="21"/>
                <w:highlight w:val="none"/>
              </w:rPr>
            </w:pPr>
          </w:p>
        </w:tc>
        <w:tc>
          <w:tcPr>
            <w:tcW w:w="1123" w:type="dxa"/>
            <w:vMerge w:val="continue"/>
            <w:vAlign w:val="top"/>
          </w:tcPr>
          <w:p>
            <w:pPr>
              <w:rPr>
                <w:rFonts w:hint="eastAsia" w:ascii="宋体" w:hAnsi="宋体" w:eastAsia="宋体" w:cs="宋体"/>
                <w:color w:val="auto"/>
                <w:sz w:val="21"/>
                <w:highlight w:val="none"/>
              </w:rPr>
            </w:pPr>
          </w:p>
        </w:tc>
        <w:tc>
          <w:tcPr>
            <w:tcW w:w="2476" w:type="dxa"/>
            <w:vAlign w:val="top"/>
          </w:tcPr>
          <w:p>
            <w:pPr>
              <w:spacing w:before="171" w:line="442" w:lineRule="exact"/>
              <w:ind w:left="114"/>
              <w:rPr>
                <w:rFonts w:hint="eastAsia" w:ascii="宋体" w:hAnsi="宋体" w:eastAsia="宋体" w:cs="宋体"/>
                <w:color w:val="auto"/>
                <w:sz w:val="21"/>
                <w:szCs w:val="21"/>
                <w:highlight w:val="none"/>
              </w:rPr>
            </w:pPr>
            <w:r>
              <w:rPr>
                <w:rFonts w:hint="eastAsia" w:ascii="宋体" w:hAnsi="宋体" w:eastAsia="宋体" w:cs="宋体"/>
                <w:color w:val="auto"/>
                <w:spacing w:val="3"/>
                <w:position w:val="17"/>
                <w:sz w:val="21"/>
                <w:szCs w:val="21"/>
                <w:highlight w:val="none"/>
              </w:rPr>
              <w:t>投标设备的业绩要求(</w:t>
            </w:r>
            <w:r>
              <w:rPr>
                <w:rFonts w:hint="eastAsia" w:ascii="宋体" w:hAnsi="宋体" w:eastAsia="宋体" w:cs="宋体"/>
                <w:color w:val="auto"/>
                <w:spacing w:val="2"/>
                <w:position w:val="17"/>
                <w:sz w:val="21"/>
                <w:szCs w:val="21"/>
                <w:highlight w:val="none"/>
              </w:rPr>
              <w:t>如</w:t>
            </w:r>
          </w:p>
          <w:p>
            <w:pPr>
              <w:spacing w:line="221" w:lineRule="auto"/>
              <w:ind w:left="103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有</w:t>
            </w:r>
            <w:r>
              <w:rPr>
                <w:rFonts w:hint="eastAsia" w:ascii="宋体" w:hAnsi="宋体" w:eastAsia="宋体" w:cs="宋体"/>
                <w:color w:val="auto"/>
                <w:spacing w:val="-7"/>
                <w:sz w:val="21"/>
                <w:szCs w:val="21"/>
                <w:highlight w:val="none"/>
              </w:rPr>
              <w:t>)</w:t>
            </w:r>
          </w:p>
        </w:tc>
        <w:tc>
          <w:tcPr>
            <w:tcW w:w="4683" w:type="dxa"/>
            <w:vAlign w:val="top"/>
          </w:tcPr>
          <w:p>
            <w:pPr>
              <w:spacing w:line="321" w:lineRule="auto"/>
              <w:rPr>
                <w:rFonts w:hint="eastAsia" w:ascii="宋体" w:hAnsi="宋体" w:eastAsia="宋体" w:cs="宋体"/>
                <w:color w:val="auto"/>
                <w:sz w:val="21"/>
                <w:highlight w:val="none"/>
              </w:rPr>
            </w:pPr>
          </w:p>
          <w:p>
            <w:pPr>
              <w:spacing w:before="69"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符合第二章“</w:t>
            </w:r>
            <w:r>
              <w:rPr>
                <w:rFonts w:hint="eastAsia" w:ascii="宋体" w:hAnsi="宋体" w:eastAsia="宋体" w:cs="宋体"/>
                <w:color w:val="auto"/>
                <w:spacing w:val="-3"/>
                <w:sz w:val="21"/>
                <w:szCs w:val="21"/>
                <w:highlight w:val="none"/>
              </w:rPr>
              <w:t>投</w:t>
            </w:r>
            <w:r>
              <w:rPr>
                <w:rFonts w:hint="eastAsia" w:ascii="宋体" w:hAnsi="宋体" w:eastAsia="宋体" w:cs="宋体"/>
                <w:color w:val="auto"/>
                <w:spacing w:val="-2"/>
                <w:sz w:val="21"/>
                <w:szCs w:val="21"/>
                <w:highlight w:val="none"/>
              </w:rPr>
              <w:t>标人须知”第 1.4.1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4" w:type="dxa"/>
            <w:vMerge w:val="continue"/>
            <w:vAlign w:val="top"/>
          </w:tcPr>
          <w:p>
            <w:pPr>
              <w:rPr>
                <w:rFonts w:hint="eastAsia" w:ascii="宋体" w:hAnsi="宋体" w:eastAsia="宋体" w:cs="宋体"/>
                <w:color w:val="auto"/>
                <w:sz w:val="21"/>
                <w:highlight w:val="none"/>
              </w:rPr>
            </w:pPr>
          </w:p>
        </w:tc>
        <w:tc>
          <w:tcPr>
            <w:tcW w:w="1123" w:type="dxa"/>
            <w:vMerge w:val="continue"/>
            <w:vAlign w:val="top"/>
          </w:tcPr>
          <w:p>
            <w:pPr>
              <w:rPr>
                <w:rFonts w:hint="eastAsia" w:ascii="宋体" w:hAnsi="宋体" w:eastAsia="宋体" w:cs="宋体"/>
                <w:color w:val="auto"/>
                <w:sz w:val="21"/>
                <w:highlight w:val="none"/>
              </w:rPr>
            </w:pPr>
          </w:p>
        </w:tc>
        <w:tc>
          <w:tcPr>
            <w:tcW w:w="2476" w:type="dxa"/>
            <w:vAlign w:val="top"/>
          </w:tcPr>
          <w:p>
            <w:pPr>
              <w:spacing w:line="270" w:lineRule="auto"/>
              <w:rPr>
                <w:rFonts w:hint="eastAsia" w:ascii="宋体" w:hAnsi="宋体" w:eastAsia="宋体" w:cs="宋体"/>
                <w:color w:val="auto"/>
                <w:sz w:val="21"/>
                <w:highlight w:val="none"/>
              </w:rPr>
            </w:pPr>
          </w:p>
          <w:p>
            <w:pPr>
              <w:spacing w:before="61" w:line="65" w:lineRule="exact"/>
              <w:ind w:left="1047"/>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rPr>
              <w:t>…</w:t>
            </w:r>
            <w:r>
              <w:rPr>
                <w:rFonts w:hint="eastAsia" w:ascii="宋体" w:hAnsi="宋体" w:eastAsia="宋体" w:cs="宋体"/>
                <w:color w:val="auto"/>
                <w:spacing w:val="-5"/>
                <w:position w:val="1"/>
                <w:sz w:val="21"/>
                <w:szCs w:val="21"/>
                <w:highlight w:val="none"/>
              </w:rPr>
              <w:t>…</w:t>
            </w:r>
          </w:p>
        </w:tc>
        <w:tc>
          <w:tcPr>
            <w:tcW w:w="4683" w:type="dxa"/>
            <w:vAlign w:val="top"/>
          </w:tcPr>
          <w:p>
            <w:pPr>
              <w:spacing w:line="270" w:lineRule="auto"/>
              <w:rPr>
                <w:rFonts w:hint="eastAsia" w:ascii="宋体" w:hAnsi="宋体" w:eastAsia="宋体" w:cs="宋体"/>
                <w:color w:val="auto"/>
                <w:sz w:val="21"/>
                <w:highlight w:val="none"/>
              </w:rPr>
            </w:pPr>
          </w:p>
          <w:p>
            <w:pPr>
              <w:spacing w:before="61" w:line="65" w:lineRule="exact"/>
              <w:ind w:left="2150"/>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rPr>
              <w:t>…</w:t>
            </w:r>
            <w:r>
              <w:rPr>
                <w:rFonts w:hint="eastAsia" w:ascii="宋体" w:hAnsi="宋体" w:eastAsia="宋体" w:cs="宋体"/>
                <w:color w:val="auto"/>
                <w:spacing w:val="-5"/>
                <w:position w:val="1"/>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04" w:type="dxa"/>
            <w:vMerge w:val="restart"/>
            <w:tcBorders>
              <w:bottom w:val="nil"/>
            </w:tcBorders>
            <w:vAlign w:val="top"/>
          </w:tcPr>
          <w:p>
            <w:pPr>
              <w:spacing w:line="257" w:lineRule="auto"/>
              <w:rPr>
                <w:rFonts w:hint="eastAsia" w:ascii="宋体" w:hAnsi="宋体" w:eastAsia="宋体" w:cs="宋体"/>
                <w:color w:val="auto"/>
                <w:sz w:val="21"/>
                <w:highlight w:val="none"/>
              </w:rPr>
            </w:pPr>
          </w:p>
          <w:p>
            <w:pPr>
              <w:spacing w:line="257" w:lineRule="auto"/>
              <w:rPr>
                <w:rFonts w:hint="eastAsia" w:ascii="宋体" w:hAnsi="宋体" w:eastAsia="宋体" w:cs="宋体"/>
                <w:color w:val="auto"/>
                <w:sz w:val="21"/>
                <w:highlight w:val="none"/>
              </w:rPr>
            </w:pPr>
          </w:p>
          <w:p>
            <w:pPr>
              <w:spacing w:line="257" w:lineRule="auto"/>
              <w:rPr>
                <w:rFonts w:hint="eastAsia" w:ascii="宋体" w:hAnsi="宋体" w:eastAsia="宋体" w:cs="宋体"/>
                <w:color w:val="auto"/>
                <w:sz w:val="21"/>
                <w:highlight w:val="none"/>
              </w:rPr>
            </w:pPr>
          </w:p>
          <w:p>
            <w:pPr>
              <w:spacing w:line="258" w:lineRule="auto"/>
              <w:rPr>
                <w:rFonts w:hint="eastAsia" w:ascii="宋体" w:hAnsi="宋体" w:eastAsia="宋体" w:cs="宋体"/>
                <w:color w:val="auto"/>
                <w:sz w:val="21"/>
                <w:highlight w:val="none"/>
              </w:rPr>
            </w:pPr>
          </w:p>
          <w:p>
            <w:pPr>
              <w:spacing w:line="258" w:lineRule="auto"/>
              <w:rPr>
                <w:rFonts w:hint="eastAsia" w:ascii="宋体" w:hAnsi="宋体" w:eastAsia="宋体" w:cs="宋体"/>
                <w:color w:val="auto"/>
                <w:sz w:val="21"/>
                <w:highlight w:val="none"/>
              </w:rPr>
            </w:pPr>
          </w:p>
          <w:p>
            <w:pPr>
              <w:spacing w:line="258" w:lineRule="auto"/>
              <w:rPr>
                <w:rFonts w:hint="eastAsia" w:ascii="宋体" w:hAnsi="宋体" w:eastAsia="宋体" w:cs="宋体"/>
                <w:color w:val="auto"/>
                <w:sz w:val="21"/>
                <w:highlight w:val="none"/>
              </w:rPr>
            </w:pPr>
          </w:p>
          <w:p>
            <w:pPr>
              <w:spacing w:line="258" w:lineRule="auto"/>
              <w:rPr>
                <w:rFonts w:hint="eastAsia" w:ascii="宋体" w:hAnsi="宋体" w:eastAsia="宋体" w:cs="宋体"/>
                <w:color w:val="auto"/>
                <w:sz w:val="21"/>
                <w:highlight w:val="none"/>
              </w:rPr>
            </w:pPr>
          </w:p>
          <w:p>
            <w:pPr>
              <w:spacing w:line="258" w:lineRule="auto"/>
              <w:rPr>
                <w:rFonts w:hint="eastAsia" w:ascii="宋体" w:hAnsi="宋体" w:eastAsia="宋体" w:cs="宋体"/>
                <w:color w:val="auto"/>
                <w:sz w:val="21"/>
                <w:highlight w:val="none"/>
              </w:rPr>
            </w:pPr>
          </w:p>
          <w:p>
            <w:pPr>
              <w:spacing w:line="258" w:lineRule="auto"/>
              <w:rPr>
                <w:rFonts w:hint="eastAsia" w:ascii="宋体" w:hAnsi="宋体" w:eastAsia="宋体" w:cs="宋体"/>
                <w:color w:val="auto"/>
                <w:sz w:val="21"/>
                <w:highlight w:val="none"/>
              </w:rPr>
            </w:pPr>
          </w:p>
          <w:p>
            <w:pPr>
              <w:spacing w:line="258" w:lineRule="auto"/>
              <w:rPr>
                <w:rFonts w:hint="eastAsia" w:ascii="宋体" w:hAnsi="宋体" w:eastAsia="宋体" w:cs="宋体"/>
                <w:color w:val="auto"/>
                <w:sz w:val="21"/>
                <w:highlight w:val="none"/>
              </w:rPr>
            </w:pPr>
          </w:p>
          <w:p>
            <w:pPr>
              <w:spacing w:line="258" w:lineRule="auto"/>
              <w:rPr>
                <w:rFonts w:hint="eastAsia" w:ascii="宋体" w:hAnsi="宋体" w:eastAsia="宋体" w:cs="宋体"/>
                <w:color w:val="auto"/>
                <w:sz w:val="21"/>
                <w:highlight w:val="none"/>
              </w:rPr>
            </w:pPr>
          </w:p>
          <w:p>
            <w:pPr>
              <w:spacing w:before="60" w:line="187" w:lineRule="auto"/>
              <w:ind w:left="24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1.3</w:t>
            </w:r>
          </w:p>
        </w:tc>
        <w:tc>
          <w:tcPr>
            <w:tcW w:w="1123" w:type="dxa"/>
            <w:vMerge w:val="restart"/>
            <w:tcBorders>
              <w:bottom w:val="nil"/>
            </w:tcBorders>
            <w:vAlign w:val="top"/>
          </w:tcPr>
          <w:p>
            <w:pPr>
              <w:spacing w:line="256" w:lineRule="auto"/>
              <w:rPr>
                <w:rFonts w:hint="eastAsia" w:ascii="宋体" w:hAnsi="宋体" w:eastAsia="宋体" w:cs="宋体"/>
                <w:color w:val="auto"/>
                <w:sz w:val="21"/>
                <w:highlight w:val="none"/>
              </w:rPr>
            </w:pPr>
          </w:p>
          <w:p>
            <w:pPr>
              <w:spacing w:line="257" w:lineRule="auto"/>
              <w:rPr>
                <w:rFonts w:hint="eastAsia" w:ascii="宋体" w:hAnsi="宋体" w:eastAsia="宋体" w:cs="宋体"/>
                <w:color w:val="auto"/>
                <w:sz w:val="21"/>
                <w:highlight w:val="none"/>
              </w:rPr>
            </w:pPr>
          </w:p>
          <w:p>
            <w:pPr>
              <w:spacing w:line="257" w:lineRule="auto"/>
              <w:rPr>
                <w:rFonts w:hint="eastAsia" w:ascii="宋体" w:hAnsi="宋体" w:eastAsia="宋体" w:cs="宋体"/>
                <w:color w:val="auto"/>
                <w:sz w:val="21"/>
                <w:highlight w:val="none"/>
              </w:rPr>
            </w:pPr>
          </w:p>
          <w:p>
            <w:pPr>
              <w:spacing w:line="257" w:lineRule="auto"/>
              <w:rPr>
                <w:rFonts w:hint="eastAsia" w:ascii="宋体" w:hAnsi="宋体" w:eastAsia="宋体" w:cs="宋体"/>
                <w:color w:val="auto"/>
                <w:sz w:val="21"/>
                <w:highlight w:val="none"/>
              </w:rPr>
            </w:pPr>
          </w:p>
          <w:p>
            <w:pPr>
              <w:spacing w:line="257" w:lineRule="auto"/>
              <w:rPr>
                <w:rFonts w:hint="eastAsia" w:ascii="宋体" w:hAnsi="宋体" w:eastAsia="宋体" w:cs="宋体"/>
                <w:color w:val="auto"/>
                <w:sz w:val="21"/>
                <w:highlight w:val="none"/>
              </w:rPr>
            </w:pPr>
          </w:p>
          <w:p>
            <w:pPr>
              <w:spacing w:line="257" w:lineRule="auto"/>
              <w:rPr>
                <w:rFonts w:hint="eastAsia" w:ascii="宋体" w:hAnsi="宋体" w:eastAsia="宋体" w:cs="宋体"/>
                <w:color w:val="auto"/>
                <w:sz w:val="21"/>
                <w:highlight w:val="none"/>
              </w:rPr>
            </w:pPr>
          </w:p>
          <w:p>
            <w:pPr>
              <w:spacing w:line="257" w:lineRule="auto"/>
              <w:rPr>
                <w:rFonts w:hint="eastAsia" w:ascii="宋体" w:hAnsi="宋体" w:eastAsia="宋体" w:cs="宋体"/>
                <w:color w:val="auto"/>
                <w:sz w:val="21"/>
                <w:highlight w:val="none"/>
              </w:rPr>
            </w:pPr>
          </w:p>
          <w:p>
            <w:pPr>
              <w:spacing w:line="257" w:lineRule="auto"/>
              <w:rPr>
                <w:rFonts w:hint="eastAsia" w:ascii="宋体" w:hAnsi="宋体" w:eastAsia="宋体" w:cs="宋体"/>
                <w:color w:val="auto"/>
                <w:sz w:val="21"/>
                <w:highlight w:val="none"/>
              </w:rPr>
            </w:pPr>
          </w:p>
          <w:p>
            <w:pPr>
              <w:spacing w:line="257" w:lineRule="auto"/>
              <w:rPr>
                <w:rFonts w:hint="eastAsia" w:ascii="宋体" w:hAnsi="宋体" w:eastAsia="宋体" w:cs="宋体"/>
                <w:color w:val="auto"/>
                <w:sz w:val="21"/>
                <w:highlight w:val="none"/>
              </w:rPr>
            </w:pPr>
          </w:p>
          <w:p>
            <w:pPr>
              <w:spacing w:line="257" w:lineRule="auto"/>
              <w:rPr>
                <w:rFonts w:hint="eastAsia" w:ascii="宋体" w:hAnsi="宋体" w:eastAsia="宋体" w:cs="宋体"/>
                <w:color w:val="auto"/>
                <w:sz w:val="21"/>
                <w:highlight w:val="none"/>
              </w:rPr>
            </w:pPr>
          </w:p>
          <w:p>
            <w:pPr>
              <w:spacing w:before="68" w:line="396" w:lineRule="auto"/>
              <w:ind w:left="254" w:right="138" w:hanging="98"/>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响</w:t>
            </w:r>
            <w:r>
              <w:rPr>
                <w:rFonts w:hint="eastAsia" w:ascii="宋体" w:hAnsi="宋体" w:eastAsia="宋体" w:cs="宋体"/>
                <w:color w:val="auto"/>
                <w:spacing w:val="-4"/>
                <w:sz w:val="21"/>
                <w:szCs w:val="21"/>
                <w:highlight w:val="none"/>
              </w:rPr>
              <w:t>应性评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审</w:t>
            </w:r>
            <w:r>
              <w:rPr>
                <w:rFonts w:hint="eastAsia" w:ascii="宋体" w:hAnsi="宋体" w:eastAsia="宋体" w:cs="宋体"/>
                <w:color w:val="auto"/>
                <w:spacing w:val="-2"/>
                <w:sz w:val="21"/>
                <w:szCs w:val="21"/>
                <w:highlight w:val="none"/>
              </w:rPr>
              <w:t>标准</w:t>
            </w:r>
          </w:p>
        </w:tc>
        <w:tc>
          <w:tcPr>
            <w:tcW w:w="2476" w:type="dxa"/>
            <w:vAlign w:val="top"/>
          </w:tcPr>
          <w:p>
            <w:pPr>
              <w:spacing w:before="171" w:line="219" w:lineRule="auto"/>
              <w:ind w:left="82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投标报价</w:t>
            </w:r>
          </w:p>
        </w:tc>
        <w:tc>
          <w:tcPr>
            <w:tcW w:w="4683" w:type="dxa"/>
            <w:vAlign w:val="top"/>
          </w:tcPr>
          <w:p>
            <w:pPr>
              <w:spacing w:before="171"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符合第二章“投标</w:t>
            </w:r>
            <w:r>
              <w:rPr>
                <w:rFonts w:hint="eastAsia" w:ascii="宋体" w:hAnsi="宋体" w:eastAsia="宋体" w:cs="宋体"/>
                <w:color w:val="auto"/>
                <w:spacing w:val="-2"/>
                <w:sz w:val="21"/>
                <w:szCs w:val="21"/>
                <w:highlight w:val="none"/>
              </w:rPr>
              <w:t>人须知”第 3.2 款规定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top"/>
          </w:tcPr>
          <w:p>
            <w:pPr>
              <w:spacing w:before="172" w:line="221" w:lineRule="auto"/>
              <w:ind w:left="82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投标内容</w:t>
            </w:r>
          </w:p>
        </w:tc>
        <w:tc>
          <w:tcPr>
            <w:tcW w:w="4683" w:type="dxa"/>
            <w:vAlign w:val="top"/>
          </w:tcPr>
          <w:p>
            <w:pPr>
              <w:spacing w:before="172"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符合第二章“</w:t>
            </w:r>
            <w:r>
              <w:rPr>
                <w:rFonts w:hint="eastAsia" w:ascii="宋体" w:hAnsi="宋体" w:eastAsia="宋体" w:cs="宋体"/>
                <w:color w:val="auto"/>
                <w:spacing w:val="-3"/>
                <w:sz w:val="21"/>
                <w:szCs w:val="21"/>
                <w:highlight w:val="none"/>
              </w:rPr>
              <w:t>投</w:t>
            </w:r>
            <w:r>
              <w:rPr>
                <w:rFonts w:hint="eastAsia" w:ascii="宋体" w:hAnsi="宋体" w:eastAsia="宋体" w:cs="宋体"/>
                <w:color w:val="auto"/>
                <w:spacing w:val="-2"/>
                <w:sz w:val="21"/>
                <w:szCs w:val="21"/>
                <w:highlight w:val="none"/>
              </w:rPr>
              <w:t>标人须知”第 1.3.1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top"/>
          </w:tcPr>
          <w:p>
            <w:pPr>
              <w:spacing w:before="173" w:line="218" w:lineRule="auto"/>
              <w:ind w:left="93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交货期</w:t>
            </w:r>
          </w:p>
        </w:tc>
        <w:tc>
          <w:tcPr>
            <w:tcW w:w="4683" w:type="dxa"/>
            <w:vAlign w:val="top"/>
          </w:tcPr>
          <w:p>
            <w:pPr>
              <w:spacing w:before="172"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符合第二章“</w:t>
            </w:r>
            <w:r>
              <w:rPr>
                <w:rFonts w:hint="eastAsia" w:ascii="宋体" w:hAnsi="宋体" w:eastAsia="宋体" w:cs="宋体"/>
                <w:color w:val="auto"/>
                <w:spacing w:val="-3"/>
                <w:sz w:val="21"/>
                <w:szCs w:val="21"/>
                <w:highlight w:val="none"/>
              </w:rPr>
              <w:t>投</w:t>
            </w:r>
            <w:r>
              <w:rPr>
                <w:rFonts w:hint="eastAsia" w:ascii="宋体" w:hAnsi="宋体" w:eastAsia="宋体" w:cs="宋体"/>
                <w:color w:val="auto"/>
                <w:spacing w:val="-2"/>
                <w:sz w:val="21"/>
                <w:szCs w:val="21"/>
                <w:highlight w:val="none"/>
              </w:rPr>
              <w:t>标人须知”第 1.3.2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top"/>
          </w:tcPr>
          <w:p>
            <w:pPr>
              <w:spacing w:before="174" w:line="218" w:lineRule="auto"/>
              <w:ind w:left="827"/>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交</w:t>
            </w:r>
            <w:r>
              <w:rPr>
                <w:rFonts w:hint="eastAsia" w:ascii="宋体" w:hAnsi="宋体" w:eastAsia="宋体" w:cs="宋体"/>
                <w:color w:val="auto"/>
                <w:spacing w:val="-2"/>
                <w:sz w:val="21"/>
                <w:szCs w:val="21"/>
                <w:highlight w:val="none"/>
              </w:rPr>
              <w:t>货地点</w:t>
            </w:r>
          </w:p>
        </w:tc>
        <w:tc>
          <w:tcPr>
            <w:tcW w:w="4683" w:type="dxa"/>
            <w:vAlign w:val="top"/>
          </w:tcPr>
          <w:p>
            <w:pPr>
              <w:spacing w:before="173"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符合第二章“</w:t>
            </w:r>
            <w:r>
              <w:rPr>
                <w:rFonts w:hint="eastAsia" w:ascii="宋体" w:hAnsi="宋体" w:eastAsia="宋体" w:cs="宋体"/>
                <w:color w:val="auto"/>
                <w:spacing w:val="-3"/>
                <w:sz w:val="21"/>
                <w:szCs w:val="21"/>
                <w:highlight w:val="none"/>
              </w:rPr>
              <w:t>投</w:t>
            </w:r>
            <w:r>
              <w:rPr>
                <w:rFonts w:hint="eastAsia" w:ascii="宋体" w:hAnsi="宋体" w:eastAsia="宋体" w:cs="宋体"/>
                <w:color w:val="auto"/>
                <w:spacing w:val="-2"/>
                <w:sz w:val="21"/>
                <w:szCs w:val="21"/>
                <w:highlight w:val="none"/>
              </w:rPr>
              <w:t>标人须知”第 1.3.3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top"/>
          </w:tcPr>
          <w:p>
            <w:pPr>
              <w:spacing w:before="173" w:line="221" w:lineRule="auto"/>
              <w:ind w:left="6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技术性能指标</w:t>
            </w:r>
          </w:p>
        </w:tc>
        <w:tc>
          <w:tcPr>
            <w:tcW w:w="4683" w:type="dxa"/>
            <w:vAlign w:val="top"/>
          </w:tcPr>
          <w:p>
            <w:pPr>
              <w:spacing w:before="173"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符合第二章“</w:t>
            </w:r>
            <w:r>
              <w:rPr>
                <w:rFonts w:hint="eastAsia" w:ascii="宋体" w:hAnsi="宋体" w:eastAsia="宋体" w:cs="宋体"/>
                <w:color w:val="auto"/>
                <w:spacing w:val="-3"/>
                <w:sz w:val="21"/>
                <w:szCs w:val="21"/>
                <w:highlight w:val="none"/>
              </w:rPr>
              <w:t>投</w:t>
            </w:r>
            <w:r>
              <w:rPr>
                <w:rFonts w:hint="eastAsia" w:ascii="宋体" w:hAnsi="宋体" w:eastAsia="宋体" w:cs="宋体"/>
                <w:color w:val="auto"/>
                <w:spacing w:val="-2"/>
                <w:sz w:val="21"/>
                <w:szCs w:val="21"/>
                <w:highlight w:val="none"/>
              </w:rPr>
              <w:t>标人须知”第 1.3.4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top"/>
          </w:tcPr>
          <w:p>
            <w:pPr>
              <w:spacing w:before="174" w:line="221" w:lineRule="auto"/>
              <w:ind w:left="72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投标有</w:t>
            </w:r>
            <w:r>
              <w:rPr>
                <w:rFonts w:hint="eastAsia" w:ascii="宋体" w:hAnsi="宋体" w:eastAsia="宋体" w:cs="宋体"/>
                <w:color w:val="auto"/>
                <w:spacing w:val="-1"/>
                <w:sz w:val="21"/>
                <w:szCs w:val="21"/>
                <w:highlight w:val="none"/>
              </w:rPr>
              <w:t>效期</w:t>
            </w:r>
          </w:p>
        </w:tc>
        <w:tc>
          <w:tcPr>
            <w:tcW w:w="4683" w:type="dxa"/>
            <w:vAlign w:val="top"/>
          </w:tcPr>
          <w:p>
            <w:pPr>
              <w:spacing w:before="173"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符合第二章“</w:t>
            </w:r>
            <w:r>
              <w:rPr>
                <w:rFonts w:hint="eastAsia" w:ascii="宋体" w:hAnsi="宋体" w:eastAsia="宋体" w:cs="宋体"/>
                <w:color w:val="auto"/>
                <w:spacing w:val="-3"/>
                <w:sz w:val="21"/>
                <w:szCs w:val="21"/>
                <w:highlight w:val="none"/>
              </w:rPr>
              <w:t>投</w:t>
            </w:r>
            <w:r>
              <w:rPr>
                <w:rFonts w:hint="eastAsia" w:ascii="宋体" w:hAnsi="宋体" w:eastAsia="宋体" w:cs="宋体"/>
                <w:color w:val="auto"/>
                <w:spacing w:val="-2"/>
                <w:sz w:val="21"/>
                <w:szCs w:val="21"/>
                <w:highlight w:val="none"/>
              </w:rPr>
              <w:t>标人须知”第 3.3.1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top"/>
          </w:tcPr>
          <w:p>
            <w:pPr>
              <w:spacing w:before="174" w:line="221" w:lineRule="auto"/>
              <w:ind w:left="72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投标保</w:t>
            </w:r>
            <w:r>
              <w:rPr>
                <w:rFonts w:hint="eastAsia" w:ascii="宋体" w:hAnsi="宋体" w:eastAsia="宋体" w:cs="宋体"/>
                <w:color w:val="auto"/>
                <w:spacing w:val="-1"/>
                <w:sz w:val="21"/>
                <w:szCs w:val="21"/>
                <w:highlight w:val="none"/>
              </w:rPr>
              <w:t>证金</w:t>
            </w:r>
          </w:p>
        </w:tc>
        <w:tc>
          <w:tcPr>
            <w:tcW w:w="4683" w:type="dxa"/>
            <w:vAlign w:val="top"/>
          </w:tcPr>
          <w:p>
            <w:pPr>
              <w:spacing w:before="174"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符合第二章“</w:t>
            </w:r>
            <w:r>
              <w:rPr>
                <w:rFonts w:hint="eastAsia" w:ascii="宋体" w:hAnsi="宋体" w:eastAsia="宋体" w:cs="宋体"/>
                <w:color w:val="auto"/>
                <w:spacing w:val="-2"/>
                <w:sz w:val="21"/>
                <w:szCs w:val="21"/>
                <w:highlight w:val="none"/>
              </w:rPr>
              <w:t>投标人须知”第 3.4.1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center"/>
          </w:tcPr>
          <w:p>
            <w:pPr>
              <w:spacing w:before="173" w:line="221" w:lineRule="auto"/>
              <w:ind w:left="82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权利义务</w:t>
            </w:r>
          </w:p>
        </w:tc>
        <w:tc>
          <w:tcPr>
            <w:tcW w:w="4683" w:type="dxa"/>
            <w:vAlign w:val="top"/>
          </w:tcPr>
          <w:p>
            <w:pPr>
              <w:spacing w:before="173" w:line="442" w:lineRule="exact"/>
              <w:ind w:left="115"/>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符合第二章“投标人须知”第 1.11.1  项规定和第四章“合同条款及格式”中的实质性要求和条件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top"/>
          </w:tcPr>
          <w:p>
            <w:pPr>
              <w:spacing w:before="174" w:line="439" w:lineRule="exact"/>
              <w:ind w:left="193"/>
              <w:rPr>
                <w:rFonts w:hint="eastAsia" w:ascii="宋体" w:hAnsi="宋体" w:eastAsia="宋体" w:cs="宋体"/>
                <w:color w:val="auto"/>
                <w:sz w:val="21"/>
                <w:szCs w:val="21"/>
                <w:highlight w:val="none"/>
              </w:rPr>
            </w:pPr>
            <w:r>
              <w:rPr>
                <w:rFonts w:hint="eastAsia" w:ascii="宋体" w:hAnsi="宋体" w:eastAsia="宋体" w:cs="宋体"/>
                <w:color w:val="auto"/>
                <w:spacing w:val="-1"/>
                <w:position w:val="17"/>
                <w:sz w:val="21"/>
                <w:szCs w:val="21"/>
                <w:highlight w:val="none"/>
              </w:rPr>
              <w:t>投标设备及技术</w:t>
            </w:r>
            <w:r>
              <w:rPr>
                <w:rFonts w:hint="eastAsia" w:ascii="宋体" w:hAnsi="宋体" w:eastAsia="宋体" w:cs="宋体"/>
                <w:color w:val="auto"/>
                <w:position w:val="17"/>
                <w:sz w:val="21"/>
                <w:szCs w:val="21"/>
                <w:highlight w:val="none"/>
              </w:rPr>
              <w:t>服务和</w:t>
            </w:r>
          </w:p>
          <w:p>
            <w:pPr>
              <w:spacing w:line="220" w:lineRule="auto"/>
              <w:ind w:left="71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质</w:t>
            </w:r>
            <w:r>
              <w:rPr>
                <w:rFonts w:hint="eastAsia" w:ascii="宋体" w:hAnsi="宋体" w:eastAsia="宋体" w:cs="宋体"/>
                <w:color w:val="auto"/>
                <w:spacing w:val="-1"/>
                <w:sz w:val="21"/>
                <w:szCs w:val="21"/>
                <w:highlight w:val="none"/>
              </w:rPr>
              <w:t>保期服务</w:t>
            </w:r>
          </w:p>
        </w:tc>
        <w:tc>
          <w:tcPr>
            <w:tcW w:w="4683" w:type="dxa"/>
            <w:vAlign w:val="top"/>
          </w:tcPr>
          <w:p>
            <w:pPr>
              <w:spacing w:before="174" w:line="217"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符合第五章</w:t>
            </w:r>
            <w:r>
              <w:rPr>
                <w:rFonts w:hint="eastAsia" w:ascii="宋体" w:hAnsi="宋体" w:eastAsia="宋体" w:cs="宋体"/>
                <w:color w:val="auto"/>
                <w:sz w:val="21"/>
                <w:szCs w:val="21"/>
                <w:highlight w:val="none"/>
              </w:rPr>
              <w:t>“供货要求”中的实质性要求和条件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top"/>
          </w:tcPr>
          <w:p>
            <w:pPr>
              <w:spacing w:before="174" w:line="219" w:lineRule="auto"/>
              <w:ind w:left="6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技术支持资料</w:t>
            </w:r>
          </w:p>
        </w:tc>
        <w:tc>
          <w:tcPr>
            <w:tcW w:w="4683" w:type="dxa"/>
            <w:vAlign w:val="top"/>
          </w:tcPr>
          <w:p>
            <w:pPr>
              <w:spacing w:before="174"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符合第二章“投标人</w:t>
            </w:r>
            <w:r>
              <w:rPr>
                <w:rFonts w:hint="eastAsia" w:ascii="宋体" w:hAnsi="宋体" w:eastAsia="宋体" w:cs="宋体"/>
                <w:color w:val="auto"/>
                <w:spacing w:val="-3"/>
                <w:sz w:val="21"/>
                <w:szCs w:val="21"/>
                <w:highlight w:val="none"/>
              </w:rPr>
              <w:t>须</w:t>
            </w:r>
            <w:r>
              <w:rPr>
                <w:rFonts w:hint="eastAsia" w:ascii="宋体" w:hAnsi="宋体" w:eastAsia="宋体" w:cs="宋体"/>
                <w:color w:val="auto"/>
                <w:spacing w:val="-2"/>
                <w:sz w:val="21"/>
                <w:szCs w:val="21"/>
                <w:highlight w:val="none"/>
              </w:rPr>
              <w:t>知”第 1.11.3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4" w:type="dxa"/>
            <w:vMerge w:val="continue"/>
            <w:tcBorders>
              <w:top w:val="nil"/>
            </w:tcBorders>
            <w:vAlign w:val="top"/>
          </w:tcPr>
          <w:p>
            <w:pPr>
              <w:rPr>
                <w:rFonts w:hint="eastAsia" w:ascii="宋体" w:hAnsi="宋体" w:eastAsia="宋体" w:cs="宋体"/>
                <w:color w:val="auto"/>
                <w:sz w:val="21"/>
                <w:highlight w:val="none"/>
              </w:rPr>
            </w:pPr>
          </w:p>
        </w:tc>
        <w:tc>
          <w:tcPr>
            <w:tcW w:w="1123" w:type="dxa"/>
            <w:vMerge w:val="continue"/>
            <w:tcBorders>
              <w:top w:val="nil"/>
            </w:tcBorders>
            <w:vAlign w:val="top"/>
          </w:tcPr>
          <w:p>
            <w:pPr>
              <w:rPr>
                <w:rFonts w:hint="eastAsia" w:ascii="宋体" w:hAnsi="宋体" w:eastAsia="宋体" w:cs="宋体"/>
                <w:color w:val="auto"/>
                <w:sz w:val="21"/>
                <w:highlight w:val="none"/>
              </w:rPr>
            </w:pPr>
          </w:p>
        </w:tc>
        <w:tc>
          <w:tcPr>
            <w:tcW w:w="2476" w:type="dxa"/>
            <w:vAlign w:val="top"/>
          </w:tcPr>
          <w:p>
            <w:pPr>
              <w:spacing w:line="288" w:lineRule="auto"/>
              <w:rPr>
                <w:rFonts w:hint="eastAsia" w:ascii="宋体" w:hAnsi="宋体" w:eastAsia="宋体" w:cs="宋体"/>
                <w:color w:val="auto"/>
                <w:sz w:val="21"/>
                <w:highlight w:val="none"/>
              </w:rPr>
            </w:pPr>
          </w:p>
          <w:p>
            <w:pPr>
              <w:spacing w:before="60" w:line="66" w:lineRule="exact"/>
              <w:ind w:left="1047"/>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rPr>
              <w:t>…</w:t>
            </w:r>
            <w:r>
              <w:rPr>
                <w:rFonts w:hint="eastAsia" w:ascii="宋体" w:hAnsi="宋体" w:eastAsia="宋体" w:cs="宋体"/>
                <w:color w:val="auto"/>
                <w:spacing w:val="-5"/>
                <w:position w:val="1"/>
                <w:sz w:val="21"/>
                <w:szCs w:val="21"/>
                <w:highlight w:val="none"/>
              </w:rPr>
              <w:t>…</w:t>
            </w:r>
          </w:p>
        </w:tc>
        <w:tc>
          <w:tcPr>
            <w:tcW w:w="4683" w:type="dxa"/>
            <w:vAlign w:val="top"/>
          </w:tcPr>
          <w:p>
            <w:pPr>
              <w:spacing w:line="288" w:lineRule="auto"/>
              <w:rPr>
                <w:rFonts w:hint="eastAsia" w:ascii="宋体" w:hAnsi="宋体" w:eastAsia="宋体" w:cs="宋体"/>
                <w:color w:val="auto"/>
                <w:sz w:val="21"/>
                <w:highlight w:val="none"/>
              </w:rPr>
            </w:pPr>
          </w:p>
          <w:p>
            <w:pPr>
              <w:spacing w:before="60" w:line="66" w:lineRule="exact"/>
              <w:ind w:left="2150"/>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rPr>
              <w:t>…</w:t>
            </w:r>
            <w:r>
              <w:rPr>
                <w:rFonts w:hint="eastAsia" w:ascii="宋体" w:hAnsi="宋体" w:eastAsia="宋体" w:cs="宋体"/>
                <w:color w:val="auto"/>
                <w:spacing w:val="-5"/>
                <w:position w:val="1"/>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27" w:type="dxa"/>
            <w:gridSpan w:val="2"/>
            <w:vAlign w:val="top"/>
          </w:tcPr>
          <w:p>
            <w:pPr>
              <w:spacing w:before="174" w:line="221" w:lineRule="auto"/>
              <w:ind w:left="70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14:textOutline w14:w="3831" w14:cap="flat" w14:cmpd="sng">
                  <w14:solidFill>
                    <w14:srgbClr w14:val="000000"/>
                  </w14:solidFill>
                  <w14:prstDash w14:val="solid"/>
                  <w14:miter w14:val="0"/>
                </w14:textOutline>
              </w:rPr>
              <w:t>条款</w:t>
            </w:r>
            <w:r>
              <w:rPr>
                <w:rFonts w:hint="eastAsia"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号</w:t>
            </w:r>
          </w:p>
        </w:tc>
        <w:tc>
          <w:tcPr>
            <w:tcW w:w="2476" w:type="dxa"/>
            <w:vAlign w:val="top"/>
          </w:tcPr>
          <w:p>
            <w:pPr>
              <w:spacing w:before="174" w:line="221" w:lineRule="auto"/>
              <w:ind w:left="82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条款内容</w:t>
            </w:r>
          </w:p>
        </w:tc>
        <w:tc>
          <w:tcPr>
            <w:tcW w:w="4683" w:type="dxa"/>
            <w:vAlign w:val="top"/>
          </w:tcPr>
          <w:p>
            <w:pPr>
              <w:spacing w:before="174" w:line="221" w:lineRule="auto"/>
              <w:ind w:left="192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2027" w:type="dxa"/>
            <w:gridSpan w:val="2"/>
            <w:vAlign w:val="center"/>
          </w:tcPr>
          <w:p>
            <w:pPr>
              <w:spacing w:before="61" w:line="187" w:lineRule="auto"/>
              <w:ind w:left="80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2.1</w:t>
            </w:r>
          </w:p>
        </w:tc>
        <w:tc>
          <w:tcPr>
            <w:tcW w:w="2476" w:type="dxa"/>
            <w:vAlign w:val="center"/>
          </w:tcPr>
          <w:p>
            <w:pPr>
              <w:spacing w:before="68" w:line="440" w:lineRule="exact"/>
              <w:ind w:left="825"/>
              <w:rPr>
                <w:rFonts w:hint="eastAsia" w:ascii="宋体" w:hAnsi="宋体" w:eastAsia="宋体" w:cs="宋体"/>
                <w:color w:val="auto"/>
                <w:sz w:val="21"/>
                <w:szCs w:val="21"/>
                <w:highlight w:val="none"/>
              </w:rPr>
            </w:pPr>
            <w:r>
              <w:rPr>
                <w:rFonts w:hint="eastAsia" w:ascii="宋体" w:hAnsi="宋体" w:eastAsia="宋体" w:cs="宋体"/>
                <w:color w:val="auto"/>
                <w:spacing w:val="-2"/>
                <w:position w:val="17"/>
                <w:sz w:val="21"/>
                <w:szCs w:val="21"/>
                <w:highlight w:val="none"/>
              </w:rPr>
              <w:t>分值构成</w:t>
            </w:r>
          </w:p>
          <w:p>
            <w:pPr>
              <w:spacing w:line="213" w:lineRule="auto"/>
              <w:ind w:left="648"/>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8"/>
                <w:sz w:val="21"/>
                <w:szCs w:val="21"/>
                <w:highlight w:val="none"/>
              </w:rPr>
              <w:t>总</w:t>
            </w:r>
            <w:r>
              <w:rPr>
                <w:rFonts w:hint="eastAsia" w:ascii="宋体" w:hAnsi="宋体" w:eastAsia="宋体" w:cs="宋体"/>
                <w:color w:val="auto"/>
                <w:spacing w:val="-5"/>
                <w:sz w:val="21"/>
                <w:szCs w:val="21"/>
                <w:highlight w:val="none"/>
              </w:rPr>
              <w:t>分 100 分)</w:t>
            </w:r>
          </w:p>
        </w:tc>
        <w:tc>
          <w:tcPr>
            <w:tcW w:w="4683" w:type="dxa"/>
            <w:vAlign w:val="center"/>
          </w:tcPr>
          <w:p>
            <w:pPr>
              <w:spacing w:before="22" w:line="221" w:lineRule="auto"/>
              <w:ind w:left="119"/>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 xml:space="preserve">商务部分： </w:t>
            </w:r>
            <w:r>
              <w:rPr>
                <w:rFonts w:hint="eastAsia" w:ascii="宋体" w:hAnsi="宋体" w:eastAsia="宋体" w:cs="宋体"/>
                <w:color w:val="auto"/>
                <w:spacing w:val="-12"/>
                <w:sz w:val="21"/>
                <w:szCs w:val="21"/>
                <w:highlight w:val="none"/>
                <w:lang w:val="en-US" w:eastAsia="zh-CN"/>
              </w:rPr>
              <w:t>20</w:t>
            </w:r>
            <w:r>
              <w:rPr>
                <w:rFonts w:hint="eastAsia" w:ascii="宋体" w:hAnsi="宋体" w:eastAsia="宋体" w:cs="宋体"/>
                <w:color w:val="auto"/>
                <w:spacing w:val="-12"/>
                <w:sz w:val="21"/>
                <w:szCs w:val="21"/>
                <w:highlight w:val="none"/>
              </w:rPr>
              <w:t>.0 分</w:t>
            </w:r>
          </w:p>
          <w:p>
            <w:pPr>
              <w:spacing w:before="22" w:line="221" w:lineRule="auto"/>
              <w:ind w:left="119"/>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 xml:space="preserve">技术部分： </w:t>
            </w:r>
            <w:r>
              <w:rPr>
                <w:rFonts w:hint="eastAsia" w:ascii="宋体" w:hAnsi="宋体" w:eastAsia="宋体" w:cs="宋体"/>
                <w:color w:val="auto"/>
                <w:spacing w:val="-12"/>
                <w:sz w:val="21"/>
                <w:szCs w:val="21"/>
                <w:highlight w:val="none"/>
                <w:lang w:val="en-US" w:eastAsia="zh-CN"/>
              </w:rPr>
              <w:t>30</w:t>
            </w:r>
            <w:r>
              <w:rPr>
                <w:rFonts w:hint="eastAsia" w:ascii="宋体" w:hAnsi="宋体" w:eastAsia="宋体" w:cs="宋体"/>
                <w:color w:val="auto"/>
                <w:spacing w:val="-12"/>
                <w:sz w:val="21"/>
                <w:szCs w:val="21"/>
                <w:highlight w:val="none"/>
              </w:rPr>
              <w:t>.0 分</w:t>
            </w:r>
          </w:p>
          <w:p>
            <w:pPr>
              <w:spacing w:before="22" w:line="221" w:lineRule="auto"/>
              <w:ind w:left="119"/>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投标报价：</w:t>
            </w:r>
            <w:r>
              <w:rPr>
                <w:rFonts w:hint="eastAsia" w:ascii="宋体" w:hAnsi="宋体" w:eastAsia="宋体" w:cs="宋体"/>
                <w:color w:val="auto"/>
                <w:spacing w:val="-12"/>
                <w:sz w:val="21"/>
                <w:szCs w:val="21"/>
                <w:highlight w:val="none"/>
                <w:lang w:val="en-US" w:eastAsia="zh-CN"/>
              </w:rPr>
              <w:t>5</w:t>
            </w:r>
            <w:r>
              <w:rPr>
                <w:rFonts w:hint="eastAsia" w:ascii="宋体" w:hAnsi="宋体" w:eastAsia="宋体" w:cs="宋体"/>
                <w:color w:val="auto"/>
                <w:spacing w:val="-12"/>
                <w:sz w:val="21"/>
                <w:szCs w:val="21"/>
                <w:highlight w:val="none"/>
              </w:rPr>
              <w:t>0.0 分</w:t>
            </w:r>
          </w:p>
          <w:p>
            <w:pPr>
              <w:spacing w:before="22" w:line="221" w:lineRule="auto"/>
              <w:ind w:left="119"/>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其他评分因素： 0.0 分(如有)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27" w:type="dxa"/>
            <w:gridSpan w:val="2"/>
            <w:vAlign w:val="center"/>
          </w:tcPr>
          <w:p>
            <w:pPr>
              <w:spacing w:before="214" w:line="187" w:lineRule="auto"/>
              <w:ind w:left="80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2.2</w:t>
            </w:r>
          </w:p>
        </w:tc>
        <w:tc>
          <w:tcPr>
            <w:tcW w:w="2476" w:type="dxa"/>
            <w:vAlign w:val="center"/>
          </w:tcPr>
          <w:p>
            <w:pPr>
              <w:spacing w:before="175" w:line="219" w:lineRule="auto"/>
              <w:ind w:left="29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评标基准</w:t>
            </w:r>
            <w:r>
              <w:rPr>
                <w:rFonts w:hint="eastAsia" w:ascii="宋体" w:hAnsi="宋体" w:eastAsia="宋体" w:cs="宋体"/>
                <w:color w:val="auto"/>
                <w:sz w:val="21"/>
                <w:szCs w:val="21"/>
                <w:highlight w:val="none"/>
              </w:rPr>
              <w:t>价计算方法</w:t>
            </w:r>
          </w:p>
        </w:tc>
        <w:tc>
          <w:tcPr>
            <w:tcW w:w="4683" w:type="dxa"/>
            <w:vAlign w:val="top"/>
          </w:tcPr>
          <w:p>
            <w:pPr>
              <w:spacing w:before="22" w:line="221" w:lineRule="auto"/>
              <w:ind w:left="119"/>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12"/>
                <w:sz w:val="21"/>
                <w:szCs w:val="21"/>
                <w:highlight w:val="none"/>
                <w:lang w:val="en-US" w:eastAsia="zh-CN"/>
              </w:rPr>
              <w:t>1</w:t>
            </w:r>
            <w:r>
              <w:rPr>
                <w:rFonts w:hint="eastAsia" w:ascii="宋体" w:hAnsi="宋体" w:eastAsia="宋体" w:cs="宋体"/>
                <w:color w:val="auto"/>
                <w:spacing w:val="-12"/>
                <w:sz w:val="21"/>
                <w:szCs w:val="21"/>
                <w:highlight w:val="none"/>
              </w:rPr>
              <w:t>)评标基准价计算方法:</w:t>
            </w:r>
          </w:p>
          <w:p>
            <w:pPr>
              <w:spacing w:before="22" w:line="221" w:lineRule="auto"/>
              <w:ind w:left="119"/>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除按规定被宣布废标的投标报价外，所有有效投标人投标价的算术平均值即为评标基准价。若有效标超过 5 家，可剔除最高、最低标后，进行算术平均，</w:t>
            </w:r>
          </w:p>
          <w:p>
            <w:pPr>
              <w:rPr>
                <w:rFonts w:hint="eastAsia" w:ascii="宋体" w:hAnsi="宋体" w:eastAsia="宋体" w:cs="宋体"/>
                <w:color w:val="auto"/>
                <w:sz w:val="21"/>
                <w:highlight w:val="none"/>
              </w:rPr>
            </w:pPr>
            <w:r>
              <w:rPr>
                <w:rFonts w:hint="eastAsia" w:ascii="宋体" w:hAnsi="宋体" w:eastAsia="宋体" w:cs="宋体"/>
                <w:color w:val="auto"/>
                <w:spacing w:val="-12"/>
                <w:sz w:val="21"/>
                <w:szCs w:val="21"/>
                <w:highlight w:val="none"/>
              </w:rPr>
              <w:t>若设最高限价的，有效投标价应在限价范围内。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2027" w:type="dxa"/>
            <w:gridSpan w:val="2"/>
            <w:vAlign w:val="top"/>
          </w:tcPr>
          <w:p>
            <w:pPr>
              <w:spacing w:line="382" w:lineRule="auto"/>
              <w:rPr>
                <w:rFonts w:hint="eastAsia" w:ascii="宋体" w:hAnsi="宋体" w:eastAsia="宋体" w:cs="宋体"/>
                <w:color w:val="auto"/>
                <w:sz w:val="21"/>
                <w:highlight w:val="none"/>
              </w:rPr>
            </w:pPr>
          </w:p>
          <w:p>
            <w:pPr>
              <w:spacing w:before="60" w:line="187" w:lineRule="auto"/>
              <w:ind w:left="80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2.3</w:t>
            </w:r>
          </w:p>
        </w:tc>
        <w:tc>
          <w:tcPr>
            <w:tcW w:w="2476" w:type="dxa"/>
            <w:vAlign w:val="top"/>
          </w:tcPr>
          <w:p>
            <w:pPr>
              <w:spacing w:before="187" w:line="440" w:lineRule="exact"/>
              <w:ind w:left="405"/>
              <w:rPr>
                <w:rFonts w:hint="eastAsia" w:ascii="宋体" w:hAnsi="宋体" w:eastAsia="宋体" w:cs="宋体"/>
                <w:color w:val="auto"/>
                <w:sz w:val="21"/>
                <w:szCs w:val="21"/>
                <w:highlight w:val="none"/>
              </w:rPr>
            </w:pPr>
            <w:r>
              <w:rPr>
                <w:rFonts w:hint="eastAsia" w:ascii="宋体" w:hAnsi="宋体" w:eastAsia="宋体" w:cs="宋体"/>
                <w:color w:val="auto"/>
                <w:spacing w:val="-1"/>
                <w:position w:val="17"/>
                <w:sz w:val="21"/>
                <w:szCs w:val="21"/>
                <w:highlight w:val="none"/>
              </w:rPr>
              <w:t>投标报价的偏差率</w:t>
            </w:r>
          </w:p>
          <w:p>
            <w:pPr>
              <w:spacing w:line="219" w:lineRule="auto"/>
              <w:ind w:left="82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计</w:t>
            </w:r>
            <w:r>
              <w:rPr>
                <w:rFonts w:hint="eastAsia" w:ascii="宋体" w:hAnsi="宋体" w:eastAsia="宋体" w:cs="宋体"/>
                <w:color w:val="auto"/>
                <w:spacing w:val="-1"/>
                <w:sz w:val="21"/>
                <w:szCs w:val="21"/>
                <w:highlight w:val="none"/>
              </w:rPr>
              <w:t>算公式</w:t>
            </w:r>
          </w:p>
        </w:tc>
        <w:tc>
          <w:tcPr>
            <w:tcW w:w="4683" w:type="dxa"/>
            <w:vAlign w:val="center"/>
          </w:tcPr>
          <w:p>
            <w:pPr>
              <w:spacing w:before="22" w:line="221" w:lineRule="auto"/>
              <w:ind w:left="119"/>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偏差率=100% × (投标人报价 - 评标基准价)</w:t>
            </w:r>
          </w:p>
          <w:p>
            <w:pPr>
              <w:rPr>
                <w:rFonts w:hint="eastAsia" w:ascii="宋体" w:hAnsi="宋体" w:eastAsia="宋体" w:cs="宋体"/>
                <w:color w:val="auto"/>
                <w:sz w:val="21"/>
                <w:highlight w:val="none"/>
              </w:rPr>
            </w:pPr>
            <w:r>
              <w:rPr>
                <w:rFonts w:hint="eastAsia" w:ascii="宋体" w:hAnsi="宋体" w:eastAsia="宋体" w:cs="宋体"/>
                <w:color w:val="auto"/>
                <w:spacing w:val="-12"/>
                <w:sz w:val="21"/>
                <w:szCs w:val="21"/>
                <w:highlight w:val="none"/>
              </w:rPr>
              <w:t>/评标基准价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27" w:type="dxa"/>
            <w:gridSpan w:val="2"/>
            <w:vAlign w:val="top"/>
          </w:tcPr>
          <w:p>
            <w:pPr>
              <w:spacing w:before="171" w:line="221" w:lineRule="auto"/>
              <w:ind w:left="70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14:textOutline w14:w="3831" w14:cap="flat" w14:cmpd="sng">
                  <w14:solidFill>
                    <w14:srgbClr w14:val="000000"/>
                  </w14:solidFill>
                  <w14:prstDash w14:val="solid"/>
                  <w14:miter w14:val="0"/>
                </w14:textOutline>
              </w:rPr>
              <w:t>条款</w:t>
            </w:r>
            <w:r>
              <w:rPr>
                <w:rFonts w:hint="eastAsia"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号</w:t>
            </w:r>
          </w:p>
        </w:tc>
        <w:tc>
          <w:tcPr>
            <w:tcW w:w="2476" w:type="dxa"/>
            <w:vAlign w:val="top"/>
          </w:tcPr>
          <w:p>
            <w:pPr>
              <w:spacing w:before="171" w:line="221" w:lineRule="auto"/>
              <w:ind w:left="29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评分因素</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(偏差率</w:t>
            </w:r>
            <w:r>
              <w:rPr>
                <w:rFonts w:hint="eastAsia" w:ascii="宋体" w:hAnsi="宋体" w:eastAsia="宋体" w:cs="宋体"/>
                <w:color w:val="auto"/>
                <w:sz w:val="21"/>
                <w:szCs w:val="21"/>
                <w:highlight w:val="none"/>
                <w14:textOutline w14:w="3831" w14:cap="flat" w14:cmpd="sng">
                  <w14:solidFill>
                    <w14:srgbClr w14:val="000000"/>
                  </w14:solidFill>
                  <w14:prstDash w14:val="solid"/>
                  <w14:miter w14:val="0"/>
                </w14:textOutline>
              </w:rPr>
              <w:t>)</w:t>
            </w:r>
          </w:p>
        </w:tc>
        <w:tc>
          <w:tcPr>
            <w:tcW w:w="4683" w:type="dxa"/>
            <w:vAlign w:val="top"/>
          </w:tcPr>
          <w:p>
            <w:pPr>
              <w:spacing w:before="172" w:line="221" w:lineRule="auto"/>
              <w:ind w:left="192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评分</w:t>
            </w:r>
            <w:r>
              <w:rPr>
                <w:rFonts w:hint="eastAsia" w:ascii="宋体" w:hAnsi="宋体" w:eastAsia="宋体" w:cs="宋体"/>
                <w:color w:val="auto"/>
                <w:sz w:val="21"/>
                <w:szCs w:val="21"/>
                <w:highlight w:val="none"/>
                <w14:textOutline w14:w="3831" w14:cap="flat" w14:cmpd="sng">
                  <w14:solidFill>
                    <w14:srgbClr w14:val="000000"/>
                  </w14:solidFill>
                  <w14:prstDash w14:val="solid"/>
                  <w14:miter w14:val="0"/>
                </w14:textOutline>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904" w:type="dxa"/>
            <w:vMerge w:val="restart"/>
            <w:tcBorders>
              <w:bottom w:val="nil"/>
            </w:tcBorders>
            <w:vAlign w:val="center"/>
          </w:tcPr>
          <w:p>
            <w:pPr>
              <w:spacing w:line="309" w:lineRule="auto"/>
              <w:rPr>
                <w:rFonts w:hint="eastAsia" w:ascii="宋体" w:hAnsi="宋体" w:eastAsia="宋体" w:cs="宋体"/>
                <w:color w:val="auto"/>
                <w:sz w:val="21"/>
                <w:highlight w:val="none"/>
              </w:rPr>
            </w:pPr>
          </w:p>
          <w:p>
            <w:pPr>
              <w:spacing w:line="310" w:lineRule="auto"/>
              <w:rPr>
                <w:rFonts w:hint="eastAsia" w:ascii="宋体" w:hAnsi="宋体" w:eastAsia="宋体" w:cs="宋体"/>
                <w:color w:val="auto"/>
                <w:sz w:val="21"/>
                <w:highlight w:val="none"/>
              </w:rPr>
            </w:pPr>
          </w:p>
          <w:p>
            <w:pPr>
              <w:spacing w:line="310" w:lineRule="auto"/>
              <w:rPr>
                <w:rFonts w:hint="eastAsia" w:ascii="宋体" w:hAnsi="宋体" w:eastAsia="宋体" w:cs="宋体"/>
                <w:color w:val="auto"/>
                <w:sz w:val="21"/>
                <w:highlight w:val="none"/>
              </w:rPr>
            </w:pPr>
          </w:p>
          <w:p>
            <w:pPr>
              <w:spacing w:before="60" w:line="401" w:lineRule="exact"/>
              <w:ind w:left="244"/>
              <w:rPr>
                <w:rFonts w:hint="eastAsia" w:ascii="宋体" w:hAnsi="宋体" w:eastAsia="宋体" w:cs="宋体"/>
                <w:color w:val="auto"/>
                <w:sz w:val="21"/>
                <w:szCs w:val="21"/>
                <w:highlight w:val="none"/>
              </w:rPr>
            </w:pPr>
            <w:r>
              <w:rPr>
                <w:rFonts w:hint="eastAsia" w:ascii="宋体" w:hAnsi="宋体" w:eastAsia="宋体" w:cs="宋体"/>
                <w:color w:val="auto"/>
                <w:spacing w:val="-1"/>
                <w:position w:val="18"/>
                <w:sz w:val="21"/>
                <w:szCs w:val="21"/>
                <w:highlight w:val="none"/>
              </w:rPr>
              <w:t>2.</w:t>
            </w:r>
            <w:r>
              <w:rPr>
                <w:rFonts w:hint="eastAsia" w:ascii="宋体" w:hAnsi="宋体" w:eastAsia="宋体" w:cs="宋体"/>
                <w:color w:val="auto"/>
                <w:position w:val="18"/>
                <w:sz w:val="21"/>
                <w:szCs w:val="21"/>
                <w:highlight w:val="none"/>
              </w:rPr>
              <w:t>2.4</w:t>
            </w:r>
          </w:p>
          <w:p>
            <w:pPr>
              <w:spacing w:line="223" w:lineRule="auto"/>
              <w:ind w:left="201"/>
              <w:rPr>
                <w:rFonts w:hint="eastAsia" w:ascii="宋体" w:hAnsi="宋体" w:eastAsia="宋体" w:cs="宋体"/>
                <w:color w:val="auto"/>
                <w:sz w:val="21"/>
                <w:szCs w:val="21"/>
                <w:highlight w:val="none"/>
              </w:rPr>
            </w:pPr>
            <w:r>
              <w:rPr>
                <w:rFonts w:hint="eastAsia" w:ascii="宋体" w:hAnsi="宋体" w:eastAsia="宋体" w:cs="宋体"/>
                <w:color w:val="auto"/>
                <w:spacing w:val="32"/>
                <w:sz w:val="21"/>
                <w:szCs w:val="21"/>
                <w:highlight w:val="none"/>
              </w:rPr>
              <w:t>(</w:t>
            </w:r>
            <w:r>
              <w:rPr>
                <w:rFonts w:hint="eastAsia" w:ascii="宋体" w:hAnsi="宋体" w:eastAsia="宋体" w:cs="宋体"/>
                <w:color w:val="auto"/>
                <w:spacing w:val="30"/>
                <w:sz w:val="21"/>
                <w:szCs w:val="21"/>
                <w:highlight w:val="none"/>
              </w:rPr>
              <w:t>1)</w:t>
            </w:r>
          </w:p>
        </w:tc>
        <w:tc>
          <w:tcPr>
            <w:tcW w:w="1123" w:type="dxa"/>
            <w:vMerge w:val="restart"/>
            <w:tcBorders>
              <w:bottom w:val="nil"/>
            </w:tcBorders>
            <w:vAlign w:val="center"/>
          </w:tcPr>
          <w:p>
            <w:pPr>
              <w:spacing w:line="294" w:lineRule="auto"/>
              <w:rPr>
                <w:rFonts w:hint="eastAsia" w:ascii="宋体" w:hAnsi="宋体" w:eastAsia="宋体" w:cs="宋体"/>
                <w:color w:val="auto"/>
                <w:sz w:val="21"/>
                <w:highlight w:val="none"/>
              </w:rPr>
            </w:pPr>
          </w:p>
          <w:p>
            <w:pPr>
              <w:spacing w:line="294" w:lineRule="auto"/>
              <w:rPr>
                <w:rFonts w:hint="eastAsia" w:ascii="宋体" w:hAnsi="宋体" w:eastAsia="宋体" w:cs="宋体"/>
                <w:color w:val="auto"/>
                <w:sz w:val="21"/>
                <w:highlight w:val="none"/>
              </w:rPr>
            </w:pPr>
          </w:p>
          <w:p>
            <w:pPr>
              <w:spacing w:line="295" w:lineRule="auto"/>
              <w:rPr>
                <w:rFonts w:hint="eastAsia" w:ascii="宋体" w:hAnsi="宋体" w:eastAsia="宋体" w:cs="宋体"/>
                <w:color w:val="auto"/>
                <w:sz w:val="21"/>
                <w:highlight w:val="none"/>
              </w:rPr>
            </w:pPr>
          </w:p>
          <w:p>
            <w:pPr>
              <w:spacing w:before="68" w:line="394" w:lineRule="auto"/>
              <w:ind w:left="354" w:right="138" w:hanging="205"/>
              <w:rPr>
                <w:rFonts w:hint="eastAsia" w:ascii="宋体" w:hAnsi="宋体" w:eastAsia="宋体" w:cs="宋体"/>
                <w:color w:val="auto"/>
                <w:spacing w:val="-2"/>
                <w:sz w:val="21"/>
                <w:szCs w:val="21"/>
                <w:highlight w:val="none"/>
              </w:rPr>
            </w:pPr>
            <w:r>
              <w:rPr>
                <w:rFonts w:hint="eastAsia" w:ascii="宋体" w:hAnsi="宋体" w:eastAsia="宋体" w:cs="宋体"/>
                <w:color w:val="auto"/>
                <w:spacing w:val="-4"/>
                <w:sz w:val="21"/>
                <w:szCs w:val="21"/>
                <w:highlight w:val="none"/>
              </w:rPr>
              <w:t>商</w:t>
            </w:r>
            <w:r>
              <w:rPr>
                <w:rFonts w:hint="eastAsia" w:ascii="宋体" w:hAnsi="宋体" w:eastAsia="宋体" w:cs="宋体"/>
                <w:color w:val="auto"/>
                <w:spacing w:val="-2"/>
                <w:sz w:val="21"/>
                <w:szCs w:val="21"/>
                <w:highlight w:val="none"/>
              </w:rPr>
              <w:t>务评分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标准</w:t>
            </w:r>
          </w:p>
          <w:p>
            <w:pPr>
              <w:spacing w:before="68" w:line="394" w:lineRule="auto"/>
              <w:ind w:left="357" w:leftChars="170" w:right="138" w:firstLine="4" w:firstLineChars="2"/>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2"/>
                <w:sz w:val="21"/>
                <w:szCs w:val="21"/>
                <w:highlight w:val="none"/>
                <w:lang w:val="en-US" w:eastAsia="zh-CN"/>
              </w:rPr>
              <w:t>20分</w:t>
            </w:r>
          </w:p>
        </w:tc>
        <w:tc>
          <w:tcPr>
            <w:tcW w:w="2476" w:type="dxa"/>
            <w:vAlign w:val="center"/>
          </w:tcPr>
          <w:p>
            <w:pPr>
              <w:spacing w:before="68" w:line="221" w:lineRule="auto"/>
              <w:ind w:left="111" w:leftChars="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业</w:t>
            </w:r>
            <w:r>
              <w:rPr>
                <w:rFonts w:hint="eastAsia" w:ascii="宋体" w:hAnsi="宋体" w:eastAsia="宋体" w:cs="宋体"/>
                <w:color w:val="auto"/>
                <w:spacing w:val="5"/>
                <w:sz w:val="21"/>
                <w:szCs w:val="21"/>
                <w:highlight w:val="none"/>
              </w:rPr>
              <w:t>绩(</w:t>
            </w:r>
            <w:r>
              <w:rPr>
                <w:rFonts w:hint="eastAsia" w:ascii="宋体" w:hAnsi="宋体" w:eastAsia="宋体" w:cs="宋体"/>
                <w:color w:val="auto"/>
                <w:spacing w:val="5"/>
                <w:sz w:val="21"/>
                <w:szCs w:val="21"/>
                <w:highlight w:val="none"/>
                <w:lang w:val="en-US" w:eastAsia="zh-CN"/>
              </w:rPr>
              <w:t>6</w:t>
            </w:r>
            <w:r>
              <w:rPr>
                <w:rFonts w:hint="eastAsia" w:ascii="宋体" w:hAnsi="宋体" w:eastAsia="宋体" w:cs="宋体"/>
                <w:color w:val="auto"/>
                <w:spacing w:val="5"/>
                <w:sz w:val="21"/>
                <w:szCs w:val="21"/>
                <w:highlight w:val="none"/>
              </w:rPr>
              <w:t>分)</w:t>
            </w:r>
          </w:p>
        </w:tc>
        <w:tc>
          <w:tcPr>
            <w:tcW w:w="4683" w:type="dxa"/>
            <w:vAlign w:val="top"/>
          </w:tcPr>
          <w:p>
            <w:pPr>
              <w:tabs>
                <w:tab w:val="left" w:pos="230"/>
              </w:tabs>
              <w:spacing w:before="126" w:line="243" w:lineRule="auto"/>
              <w:ind w:left="118" w:leftChars="0" w:right="80" w:rightChars="0" w:firstLine="2" w:firstLineChars="0"/>
              <w:rPr>
                <w:rFonts w:hint="eastAsia" w:ascii="宋体" w:hAnsi="宋体" w:eastAsia="宋体" w:cs="宋体"/>
                <w:color w:val="auto"/>
                <w:spacing w:val="-11"/>
                <w:sz w:val="21"/>
                <w:szCs w:val="21"/>
                <w:highlight w:val="none"/>
              </w:rPr>
            </w:pPr>
            <w:r>
              <w:rPr>
                <w:rFonts w:hint="eastAsia" w:ascii="宋体" w:hAnsi="宋体" w:eastAsia="宋体" w:cs="宋体"/>
                <w:color w:val="auto"/>
                <w:spacing w:val="-20"/>
                <w:sz w:val="21"/>
                <w:szCs w:val="21"/>
                <w:highlight w:val="none"/>
              </w:rPr>
              <w:t>投</w:t>
            </w:r>
            <w:r>
              <w:rPr>
                <w:rFonts w:hint="eastAsia" w:ascii="宋体" w:hAnsi="宋体" w:eastAsia="宋体" w:cs="宋体"/>
                <w:color w:val="auto"/>
                <w:spacing w:val="-11"/>
                <w:sz w:val="21"/>
                <w:szCs w:val="21"/>
                <w:highlight w:val="none"/>
              </w:rPr>
              <w:t>标</w:t>
            </w:r>
            <w:r>
              <w:rPr>
                <w:rFonts w:hint="eastAsia" w:ascii="宋体" w:hAnsi="宋体" w:eastAsia="宋体" w:cs="宋体"/>
                <w:color w:val="auto"/>
                <w:spacing w:val="-10"/>
                <w:sz w:val="21"/>
                <w:szCs w:val="21"/>
                <w:highlight w:val="none"/>
              </w:rPr>
              <w:t>人近 5 年(2018年</w:t>
            </w:r>
            <w:r>
              <w:rPr>
                <w:rFonts w:hint="eastAsia" w:ascii="宋体" w:hAnsi="宋体" w:eastAsia="宋体" w:cs="宋体"/>
                <w:color w:val="auto"/>
                <w:spacing w:val="-10"/>
                <w:sz w:val="21"/>
                <w:szCs w:val="21"/>
                <w:highlight w:val="none"/>
                <w:lang w:val="en-US" w:eastAsia="zh-CN"/>
              </w:rPr>
              <w:t>11</w:t>
            </w:r>
            <w:r>
              <w:rPr>
                <w:rFonts w:hint="eastAsia" w:ascii="宋体" w:hAnsi="宋体" w:eastAsia="宋体" w:cs="宋体"/>
                <w:color w:val="auto"/>
                <w:spacing w:val="-10"/>
                <w:sz w:val="21"/>
                <w:szCs w:val="21"/>
                <w:highlight w:val="none"/>
              </w:rPr>
              <w:t>月1日至2023年</w:t>
            </w:r>
            <w:r>
              <w:rPr>
                <w:rFonts w:hint="eastAsia" w:ascii="宋体" w:hAnsi="宋体" w:eastAsia="宋体" w:cs="宋体"/>
                <w:color w:val="auto"/>
                <w:spacing w:val="-10"/>
                <w:sz w:val="21"/>
                <w:szCs w:val="21"/>
                <w:highlight w:val="none"/>
                <w:lang w:val="en-US" w:eastAsia="zh-CN"/>
              </w:rPr>
              <w:t>10</w:t>
            </w:r>
            <w:r>
              <w:rPr>
                <w:rFonts w:hint="eastAsia" w:ascii="宋体" w:hAnsi="宋体" w:eastAsia="宋体" w:cs="宋体"/>
                <w:color w:val="auto"/>
                <w:spacing w:val="-10"/>
                <w:sz w:val="21"/>
                <w:szCs w:val="21"/>
                <w:highlight w:val="none"/>
              </w:rPr>
              <w:t>月31日)至少独</w:t>
            </w:r>
            <w:r>
              <w:rPr>
                <w:rFonts w:hint="eastAsia" w:ascii="宋体" w:hAnsi="宋体" w:eastAsia="宋体" w:cs="宋体"/>
                <w:color w:val="auto"/>
                <w:spacing w:val="-16"/>
                <w:sz w:val="21"/>
                <w:szCs w:val="21"/>
                <w:highlight w:val="none"/>
              </w:rPr>
              <w:t>立</w:t>
            </w:r>
            <w:r>
              <w:rPr>
                <w:rFonts w:hint="eastAsia" w:ascii="宋体" w:hAnsi="宋体" w:eastAsia="宋体" w:cs="宋体"/>
                <w:color w:val="auto"/>
                <w:spacing w:val="-13"/>
                <w:sz w:val="21"/>
                <w:szCs w:val="21"/>
                <w:highlight w:val="none"/>
              </w:rPr>
              <w:t>完</w:t>
            </w:r>
            <w:r>
              <w:rPr>
                <w:rFonts w:hint="eastAsia" w:ascii="宋体" w:hAnsi="宋体" w:eastAsia="宋体" w:cs="宋体"/>
                <w:color w:val="auto"/>
                <w:spacing w:val="-8"/>
                <w:sz w:val="21"/>
                <w:szCs w:val="21"/>
                <w:highlight w:val="none"/>
              </w:rPr>
              <w:t>成过 1 艘长度大于或等于</w:t>
            </w:r>
            <w:r>
              <w:rPr>
                <w:rFonts w:hint="eastAsia" w:ascii="宋体" w:hAnsi="宋体" w:eastAsia="宋体" w:cs="宋体"/>
                <w:color w:val="auto"/>
                <w:spacing w:val="-8"/>
                <w:sz w:val="21"/>
                <w:szCs w:val="21"/>
                <w:highlight w:val="none"/>
                <w:lang w:val="en-US" w:eastAsia="zh-CN"/>
              </w:rPr>
              <w:t>6</w:t>
            </w:r>
            <w:r>
              <w:rPr>
                <w:rFonts w:hint="eastAsia" w:ascii="宋体" w:hAnsi="宋体" w:eastAsia="宋体" w:cs="宋体"/>
                <w:color w:val="auto"/>
                <w:spacing w:val="-8"/>
                <w:sz w:val="21"/>
                <w:szCs w:val="21"/>
                <w:highlight w:val="none"/>
              </w:rPr>
              <w:t>0m 的钢质趸船</w:t>
            </w:r>
            <w:r>
              <w:rPr>
                <w:rFonts w:hint="eastAsia" w:ascii="宋体" w:hAnsi="宋体" w:eastAsia="宋体" w:cs="宋体"/>
                <w:color w:val="auto"/>
                <w:spacing w:val="-23"/>
                <w:sz w:val="21"/>
                <w:szCs w:val="21"/>
                <w:highlight w:val="none"/>
              </w:rPr>
              <w:t>建</w:t>
            </w:r>
            <w:r>
              <w:rPr>
                <w:rFonts w:hint="eastAsia" w:ascii="宋体" w:hAnsi="宋体" w:eastAsia="宋体" w:cs="宋体"/>
                <w:color w:val="auto"/>
                <w:spacing w:val="-15"/>
                <w:sz w:val="21"/>
                <w:szCs w:val="21"/>
                <w:highlight w:val="none"/>
              </w:rPr>
              <w:t>造，得</w:t>
            </w:r>
            <w:r>
              <w:rPr>
                <w:rFonts w:hint="eastAsia" w:ascii="宋体" w:hAnsi="宋体" w:eastAsia="宋体" w:cs="宋体"/>
                <w:color w:val="auto"/>
                <w:spacing w:val="-15"/>
                <w:sz w:val="21"/>
                <w:szCs w:val="21"/>
                <w:highlight w:val="none"/>
                <w:lang w:val="en-US" w:eastAsia="zh-CN"/>
              </w:rPr>
              <w:t xml:space="preserve"> 2</w:t>
            </w:r>
            <w:r>
              <w:rPr>
                <w:rFonts w:hint="eastAsia" w:ascii="宋体" w:hAnsi="宋体" w:eastAsia="宋体" w:cs="宋体"/>
                <w:color w:val="auto"/>
                <w:spacing w:val="-15"/>
                <w:sz w:val="21"/>
                <w:szCs w:val="21"/>
                <w:highlight w:val="none"/>
              </w:rPr>
              <w:t xml:space="preserve"> 分</w:t>
            </w:r>
            <w:r>
              <w:rPr>
                <w:rFonts w:hint="eastAsia" w:ascii="宋体" w:hAnsi="宋体" w:eastAsia="宋体" w:cs="宋体"/>
                <w:color w:val="auto"/>
                <w:spacing w:val="-11"/>
                <w:sz w:val="21"/>
                <w:szCs w:val="21"/>
                <w:highlight w:val="none"/>
              </w:rPr>
              <w:t>；</w:t>
            </w:r>
          </w:p>
          <w:p>
            <w:pPr>
              <w:tabs>
                <w:tab w:val="left" w:pos="230"/>
              </w:tabs>
              <w:spacing w:before="126" w:line="243" w:lineRule="auto"/>
              <w:ind w:left="118" w:leftChars="0" w:right="80" w:rightChars="0" w:firstLine="2" w:firstLineChars="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 xml:space="preserve">1、每增加 1 艘船长 </w:t>
            </w:r>
            <w:r>
              <w:rPr>
                <w:rFonts w:hint="eastAsia" w:ascii="宋体" w:hAnsi="宋体" w:eastAsia="宋体" w:cs="宋体"/>
                <w:color w:val="auto"/>
                <w:spacing w:val="-11"/>
                <w:sz w:val="21"/>
                <w:szCs w:val="21"/>
                <w:highlight w:val="none"/>
                <w:lang w:val="en-US" w:eastAsia="zh-CN"/>
              </w:rPr>
              <w:t>6</w:t>
            </w:r>
            <w:r>
              <w:rPr>
                <w:rFonts w:hint="eastAsia" w:ascii="宋体" w:hAnsi="宋体" w:eastAsia="宋体" w:cs="宋体"/>
                <w:color w:val="auto"/>
                <w:spacing w:val="-11"/>
                <w:sz w:val="21"/>
                <w:szCs w:val="21"/>
                <w:highlight w:val="none"/>
              </w:rPr>
              <w:t>0</w:t>
            </w:r>
            <w:r>
              <w:rPr>
                <w:rFonts w:hint="eastAsia" w:ascii="宋体" w:hAnsi="宋体" w:eastAsia="宋体" w:cs="宋体"/>
                <w:color w:val="auto"/>
                <w:spacing w:val="-11"/>
                <w:sz w:val="21"/>
                <w:szCs w:val="21"/>
                <w:highlight w:val="none"/>
                <w:lang w:val="en-US" w:eastAsia="zh-CN"/>
              </w:rPr>
              <w:t>m</w:t>
            </w:r>
            <w:r>
              <w:rPr>
                <w:rFonts w:hint="eastAsia" w:ascii="宋体" w:hAnsi="宋体" w:eastAsia="宋体" w:cs="宋体"/>
                <w:color w:val="auto"/>
                <w:spacing w:val="-11"/>
                <w:sz w:val="21"/>
                <w:szCs w:val="21"/>
                <w:highlight w:val="none"/>
                <w:lang w:eastAsia="zh-CN"/>
              </w:rPr>
              <w:t>及以上</w:t>
            </w:r>
            <w:r>
              <w:rPr>
                <w:rFonts w:hint="eastAsia" w:ascii="宋体" w:hAnsi="宋体" w:eastAsia="宋体" w:cs="宋体"/>
                <w:color w:val="auto"/>
                <w:spacing w:val="-11"/>
                <w:sz w:val="21"/>
                <w:szCs w:val="21"/>
                <w:highlight w:val="none"/>
              </w:rPr>
              <w:t xml:space="preserve">的类似钢质船舶建造业绩的，每个计1分，本项最多计 </w:t>
            </w:r>
            <w:r>
              <w:rPr>
                <w:rFonts w:hint="eastAsia" w:ascii="宋体" w:hAnsi="宋体" w:eastAsia="宋体" w:cs="宋体"/>
                <w:color w:val="auto"/>
                <w:spacing w:val="-11"/>
                <w:sz w:val="21"/>
                <w:szCs w:val="21"/>
                <w:highlight w:val="none"/>
                <w:lang w:val="en-US" w:eastAsia="zh-CN"/>
              </w:rPr>
              <w:t xml:space="preserve">4 </w:t>
            </w:r>
            <w:r>
              <w:rPr>
                <w:rFonts w:hint="eastAsia" w:ascii="宋体" w:hAnsi="宋体" w:eastAsia="宋体" w:cs="宋体"/>
                <w:color w:val="auto"/>
                <w:spacing w:val="-11"/>
                <w:sz w:val="21"/>
                <w:szCs w:val="21"/>
                <w:highlight w:val="none"/>
              </w:rPr>
              <w:t>分；</w:t>
            </w:r>
          </w:p>
          <w:p>
            <w:pPr>
              <w:tabs>
                <w:tab w:val="left" w:pos="230"/>
              </w:tabs>
              <w:spacing w:before="126" w:line="243" w:lineRule="auto"/>
              <w:ind w:left="118" w:leftChars="0" w:right="80" w:rightChars="0" w:firstLine="2"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1"/>
                <w:sz w:val="21"/>
                <w:szCs w:val="21"/>
                <w:highlight w:val="none"/>
              </w:rPr>
              <w:t>同一项目不重复计分</w:t>
            </w:r>
            <w:r>
              <w:rPr>
                <w:rFonts w:hint="eastAsia" w:ascii="宋体" w:hAnsi="宋体" w:eastAsia="宋体" w:cs="宋体"/>
                <w:color w:val="auto"/>
                <w:spacing w:val="-11"/>
                <w:sz w:val="21"/>
                <w:szCs w:val="21"/>
                <w:highlight w:val="none"/>
                <w:lang w:val="en-US" w:eastAsia="zh-CN"/>
              </w:rPr>
              <w:t>,</w:t>
            </w:r>
            <w:r>
              <w:rPr>
                <w:rFonts w:hint="eastAsia" w:ascii="宋体" w:hAnsi="宋体" w:eastAsia="宋体" w:cs="宋体"/>
                <w:color w:val="auto"/>
                <w:spacing w:val="-11"/>
                <w:sz w:val="21"/>
                <w:szCs w:val="21"/>
                <w:highlight w:val="none"/>
              </w:rPr>
              <w:t xml:space="preserve">得满 </w:t>
            </w:r>
            <w:r>
              <w:rPr>
                <w:rFonts w:hint="eastAsia" w:ascii="宋体" w:hAnsi="宋体" w:eastAsia="宋体" w:cs="宋体"/>
                <w:color w:val="auto"/>
                <w:spacing w:val="-11"/>
                <w:sz w:val="21"/>
                <w:szCs w:val="21"/>
                <w:highlight w:val="none"/>
                <w:lang w:val="en-US" w:eastAsia="zh-CN"/>
              </w:rPr>
              <w:t>6</w:t>
            </w:r>
            <w:r>
              <w:rPr>
                <w:rFonts w:hint="eastAsia" w:ascii="宋体" w:hAnsi="宋体" w:eastAsia="宋体" w:cs="宋体"/>
                <w:color w:val="auto"/>
                <w:spacing w:val="-11"/>
                <w:sz w:val="21"/>
                <w:szCs w:val="21"/>
                <w:highlight w:val="none"/>
              </w:rPr>
              <w:t xml:space="preserve"> 分为止。</w:t>
            </w:r>
            <w:r>
              <w:rPr>
                <w:rFonts w:hint="eastAsia" w:ascii="宋体" w:hAnsi="宋体" w:eastAsia="宋体" w:cs="宋体"/>
                <w:color w:val="auto"/>
                <w:spacing w:val="2"/>
                <w:sz w:val="21"/>
                <w:szCs w:val="21"/>
                <w:highlight w:val="none"/>
                <w:lang w:val="en-US" w:eastAsia="zh-CN"/>
              </w:rPr>
              <w:t>业绩计算时间以</w:t>
            </w:r>
            <w:r>
              <w:rPr>
                <w:rFonts w:hint="eastAsia" w:ascii="宋体" w:hAnsi="宋体" w:eastAsia="宋体" w:cs="宋体"/>
                <w:color w:val="auto"/>
                <w:spacing w:val="2"/>
                <w:sz w:val="22"/>
                <w:szCs w:val="22"/>
                <w:highlight w:val="none"/>
                <w:lang w:val="en-US" w:eastAsia="zh-CN"/>
              </w:rPr>
              <w:t>船舶检验证书上标注的日期为准</w:t>
            </w:r>
            <w:r>
              <w:rPr>
                <w:rFonts w:hint="eastAsia" w:ascii="宋体" w:hAnsi="宋体" w:eastAsia="宋体" w:cs="宋体"/>
                <w:color w:val="auto"/>
                <w:spacing w:val="2"/>
                <w:sz w:val="21"/>
                <w:szCs w:val="21"/>
                <w:highlight w:val="none"/>
                <w:lang w:val="en-US" w:eastAsia="zh-CN"/>
              </w:rPr>
              <w:t>，需同时提供合同及出厂时的船舶证书彩色扫描件，否则不计分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center"/>
          </w:tcPr>
          <w:p>
            <w:pPr>
              <w:spacing w:before="68" w:line="221" w:lineRule="auto"/>
              <w:ind w:left="113" w:leftChars="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财</w:t>
            </w:r>
            <w:r>
              <w:rPr>
                <w:rFonts w:hint="eastAsia" w:ascii="宋体" w:hAnsi="宋体" w:eastAsia="宋体" w:cs="宋体"/>
                <w:color w:val="auto"/>
                <w:spacing w:val="5"/>
                <w:sz w:val="21"/>
                <w:szCs w:val="21"/>
                <w:highlight w:val="none"/>
              </w:rPr>
              <w:t>务</w:t>
            </w:r>
            <w:r>
              <w:rPr>
                <w:rFonts w:hint="eastAsia" w:ascii="宋体" w:hAnsi="宋体" w:eastAsia="宋体" w:cs="宋体"/>
                <w:color w:val="auto"/>
                <w:spacing w:val="4"/>
                <w:sz w:val="21"/>
                <w:szCs w:val="21"/>
                <w:highlight w:val="none"/>
              </w:rPr>
              <w:t>能力(</w:t>
            </w:r>
            <w:r>
              <w:rPr>
                <w:rFonts w:hint="eastAsia" w:ascii="宋体" w:hAnsi="宋体" w:eastAsia="宋体" w:cs="宋体"/>
                <w:color w:val="auto"/>
                <w:spacing w:val="4"/>
                <w:sz w:val="21"/>
                <w:szCs w:val="21"/>
                <w:highlight w:val="none"/>
                <w:lang w:val="en-US" w:eastAsia="zh-CN"/>
              </w:rPr>
              <w:t>2</w:t>
            </w:r>
            <w:r>
              <w:rPr>
                <w:rFonts w:hint="eastAsia" w:ascii="宋体" w:hAnsi="宋体" w:eastAsia="宋体" w:cs="宋体"/>
                <w:color w:val="auto"/>
                <w:spacing w:val="4"/>
                <w:sz w:val="21"/>
                <w:szCs w:val="21"/>
                <w:highlight w:val="none"/>
              </w:rPr>
              <w:t>分)</w:t>
            </w:r>
          </w:p>
        </w:tc>
        <w:tc>
          <w:tcPr>
            <w:tcW w:w="4683" w:type="dxa"/>
            <w:vAlign w:val="top"/>
          </w:tcPr>
          <w:p>
            <w:pPr>
              <w:spacing w:before="128" w:line="246" w:lineRule="auto"/>
              <w:ind w:left="117" w:leftChars="0" w:right="78" w:rightChars="0" w:firstLine="3" w:firstLineChars="0"/>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lang w:val="en-US" w:eastAsia="zh-CN"/>
              </w:rPr>
              <w:t>2022年度</w:t>
            </w:r>
            <w:r>
              <w:rPr>
                <w:rFonts w:hint="eastAsia" w:ascii="宋体" w:hAnsi="宋体" w:eastAsia="宋体" w:cs="宋体"/>
                <w:color w:val="auto"/>
                <w:spacing w:val="-11"/>
                <w:sz w:val="21"/>
                <w:szCs w:val="21"/>
                <w:highlight w:val="none"/>
                <w:lang w:eastAsia="zh-CN"/>
              </w:rPr>
              <w:t>营业收入</w:t>
            </w:r>
            <w:r>
              <w:rPr>
                <w:rFonts w:hint="eastAsia" w:ascii="宋体" w:hAnsi="宋体" w:eastAsia="宋体" w:cs="宋体"/>
                <w:color w:val="auto"/>
                <w:spacing w:val="-11"/>
                <w:sz w:val="21"/>
                <w:szCs w:val="21"/>
                <w:highlight w:val="none"/>
              </w:rPr>
              <w:t xml:space="preserve">不低于 </w:t>
            </w:r>
            <w:r>
              <w:rPr>
                <w:rFonts w:hint="eastAsia" w:ascii="宋体" w:hAnsi="宋体" w:eastAsia="宋体" w:cs="宋体"/>
                <w:color w:val="auto"/>
                <w:spacing w:val="-11"/>
                <w:sz w:val="21"/>
                <w:szCs w:val="21"/>
                <w:highlight w:val="none"/>
                <w:lang w:val="en-US" w:eastAsia="zh-CN"/>
              </w:rPr>
              <w:t>3</w:t>
            </w:r>
            <w:r>
              <w:rPr>
                <w:rFonts w:hint="eastAsia" w:ascii="宋体" w:hAnsi="宋体" w:eastAsia="宋体" w:cs="宋体"/>
                <w:color w:val="auto"/>
                <w:spacing w:val="-11"/>
                <w:sz w:val="21"/>
                <w:szCs w:val="21"/>
                <w:highlight w:val="none"/>
              </w:rPr>
              <w:t>000 万元得 1</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6"/>
                <w:sz w:val="21"/>
                <w:szCs w:val="21"/>
                <w:highlight w:val="none"/>
              </w:rPr>
              <w:t>分</w:t>
            </w:r>
            <w:r>
              <w:rPr>
                <w:rFonts w:hint="eastAsia" w:ascii="宋体" w:hAnsi="宋体" w:eastAsia="宋体" w:cs="宋体"/>
                <w:color w:val="auto"/>
                <w:spacing w:val="-10"/>
                <w:sz w:val="21"/>
                <w:szCs w:val="21"/>
                <w:highlight w:val="none"/>
              </w:rPr>
              <w:t>，每增加 1000 万加</w:t>
            </w:r>
            <w:r>
              <w:rPr>
                <w:rFonts w:hint="eastAsia" w:ascii="宋体" w:hAnsi="宋体" w:eastAsia="宋体" w:cs="宋体"/>
                <w:color w:val="auto"/>
                <w:spacing w:val="-10"/>
                <w:sz w:val="21"/>
                <w:szCs w:val="21"/>
                <w:highlight w:val="none"/>
                <w:lang w:val="en-US" w:eastAsia="zh-CN"/>
              </w:rPr>
              <w:t xml:space="preserve"> </w:t>
            </w:r>
            <w:r>
              <w:rPr>
                <w:rFonts w:hint="eastAsia" w:ascii="宋体" w:hAnsi="宋体" w:eastAsia="宋体" w:cs="宋体"/>
                <w:color w:val="auto"/>
                <w:spacing w:val="-10"/>
                <w:sz w:val="21"/>
                <w:szCs w:val="21"/>
                <w:highlight w:val="none"/>
              </w:rPr>
              <w:t>0.</w:t>
            </w:r>
            <w:r>
              <w:rPr>
                <w:rFonts w:hint="eastAsia" w:ascii="宋体" w:hAnsi="宋体" w:eastAsia="宋体" w:cs="宋体"/>
                <w:color w:val="auto"/>
                <w:spacing w:val="-10"/>
                <w:sz w:val="21"/>
                <w:szCs w:val="21"/>
                <w:highlight w:val="none"/>
                <w:lang w:val="en-US" w:eastAsia="zh-CN"/>
              </w:rPr>
              <w:t>5</w:t>
            </w:r>
            <w:r>
              <w:rPr>
                <w:rFonts w:hint="eastAsia" w:ascii="宋体" w:hAnsi="宋体" w:eastAsia="宋体" w:cs="宋体"/>
                <w:color w:val="auto"/>
                <w:spacing w:val="-10"/>
                <w:sz w:val="21"/>
                <w:szCs w:val="21"/>
                <w:highlight w:val="none"/>
              </w:rPr>
              <w:t>分，得满</w:t>
            </w:r>
            <w:r>
              <w:rPr>
                <w:rFonts w:hint="eastAsia" w:ascii="宋体" w:hAnsi="宋体" w:eastAsia="宋体" w:cs="宋体"/>
                <w:color w:val="auto"/>
                <w:spacing w:val="-10"/>
                <w:sz w:val="21"/>
                <w:szCs w:val="21"/>
                <w:highlight w:val="none"/>
                <w:lang w:val="en-US" w:eastAsia="zh-CN"/>
              </w:rPr>
              <w:t xml:space="preserve"> 2 </w:t>
            </w:r>
            <w:r>
              <w:rPr>
                <w:rFonts w:hint="eastAsia" w:ascii="宋体" w:hAnsi="宋体" w:eastAsia="宋体" w:cs="宋体"/>
                <w:color w:val="auto"/>
                <w:spacing w:val="-10"/>
                <w:sz w:val="21"/>
                <w:szCs w:val="21"/>
                <w:highlight w:val="none"/>
              </w:rPr>
              <w:t>分为止。</w:t>
            </w:r>
            <w:r>
              <w:rPr>
                <w:rFonts w:hint="eastAsia" w:ascii="宋体" w:hAnsi="宋体" w:eastAsia="宋体" w:cs="宋体"/>
                <w:color w:val="auto"/>
                <w:spacing w:val="-8"/>
                <w:sz w:val="21"/>
                <w:szCs w:val="21"/>
                <w:highlight w:val="none"/>
              </w:rPr>
              <w:t>评</w:t>
            </w:r>
            <w:r>
              <w:rPr>
                <w:rFonts w:hint="eastAsia" w:ascii="宋体" w:hAnsi="宋体" w:eastAsia="宋体" w:cs="宋体"/>
                <w:color w:val="auto"/>
                <w:spacing w:val="-5"/>
                <w:sz w:val="21"/>
                <w:szCs w:val="21"/>
                <w:highlight w:val="none"/>
              </w:rPr>
              <w:t>分依据：会计师事务所或审计机构审计的财</w:t>
            </w:r>
            <w:r>
              <w:rPr>
                <w:rFonts w:hint="eastAsia" w:ascii="宋体" w:hAnsi="宋体" w:eastAsia="宋体" w:cs="宋体"/>
                <w:color w:val="auto"/>
                <w:spacing w:val="-1"/>
                <w:sz w:val="21"/>
                <w:szCs w:val="21"/>
                <w:highlight w:val="none"/>
              </w:rPr>
              <w:t>务会</w:t>
            </w:r>
            <w:r>
              <w:rPr>
                <w:rFonts w:hint="eastAsia" w:ascii="宋体" w:hAnsi="宋体" w:eastAsia="宋体" w:cs="宋体"/>
                <w:color w:val="auto"/>
                <w:sz w:val="21"/>
                <w:szCs w:val="21"/>
                <w:highlight w:val="none"/>
              </w:rPr>
              <w:t>计报表。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8"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center"/>
          </w:tcPr>
          <w:p>
            <w:pPr>
              <w:spacing w:before="68" w:line="256" w:lineRule="auto"/>
              <w:ind w:left="118" w:leftChars="0" w:right="245" w:rightChars="0" w:hanging="6" w:firstLineChars="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拟为本项目服</w:t>
            </w:r>
            <w:r>
              <w:rPr>
                <w:rFonts w:hint="eastAsia" w:ascii="宋体" w:hAnsi="宋体" w:eastAsia="宋体" w:cs="宋体"/>
                <w:color w:val="auto"/>
                <w:sz w:val="21"/>
                <w:szCs w:val="21"/>
                <w:highlight w:val="none"/>
              </w:rPr>
              <w:t xml:space="preserve">务的人员 </w:t>
            </w:r>
            <w:r>
              <w:rPr>
                <w:rFonts w:hint="eastAsia" w:ascii="宋体" w:hAnsi="宋体" w:eastAsia="宋体" w:cs="宋体"/>
                <w:color w:val="auto"/>
                <w:spacing w:val="7"/>
                <w:sz w:val="21"/>
                <w:szCs w:val="21"/>
                <w:highlight w:val="none"/>
              </w:rPr>
              <w:t>(6分)</w:t>
            </w:r>
          </w:p>
        </w:tc>
        <w:tc>
          <w:tcPr>
            <w:tcW w:w="4683" w:type="dxa"/>
            <w:vAlign w:val="top"/>
          </w:tcPr>
          <w:p>
            <w:pPr>
              <w:spacing w:before="123" w:line="245" w:lineRule="auto"/>
              <w:ind w:left="118" w:leftChars="0" w:right="109" w:rightChars="0" w:firstLine="101" w:firstLineChars="49"/>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1.</w:t>
            </w:r>
            <w:r>
              <w:rPr>
                <w:rFonts w:hint="eastAsia" w:ascii="宋体" w:hAnsi="宋体" w:eastAsia="宋体" w:cs="宋体"/>
                <w:color w:val="auto"/>
                <w:spacing w:val="-1"/>
                <w:sz w:val="21"/>
                <w:szCs w:val="21"/>
                <w:highlight w:val="none"/>
              </w:rPr>
              <w:t>满足招标</w:t>
            </w:r>
            <w:r>
              <w:rPr>
                <w:rFonts w:hint="eastAsia" w:ascii="宋体" w:hAnsi="宋体" w:eastAsia="宋体" w:cs="宋体"/>
                <w:color w:val="auto"/>
                <w:sz w:val="21"/>
                <w:szCs w:val="21"/>
                <w:highlight w:val="none"/>
              </w:rPr>
              <w:t>文件最低要求</w:t>
            </w:r>
            <w:r>
              <w:rPr>
                <w:rFonts w:hint="eastAsia" w:ascii="宋体" w:hAnsi="宋体" w:eastAsia="宋体" w:cs="宋体"/>
                <w:color w:val="auto"/>
                <w:sz w:val="21"/>
                <w:szCs w:val="21"/>
                <w:highlight w:val="none"/>
                <w:lang w:eastAsia="zh-CN"/>
              </w:rPr>
              <w:t>的得</w:t>
            </w:r>
            <w:r>
              <w:rPr>
                <w:rFonts w:hint="eastAsia" w:ascii="宋体" w:hAnsi="宋体" w:eastAsia="宋体" w:cs="宋体"/>
                <w:color w:val="auto"/>
                <w:sz w:val="21"/>
                <w:szCs w:val="21"/>
                <w:highlight w:val="none"/>
                <w:lang w:val="en-US" w:eastAsia="zh-CN"/>
              </w:rPr>
              <w:t>2分</w:t>
            </w:r>
          </w:p>
          <w:p>
            <w:pPr>
              <w:spacing w:before="123" w:line="245" w:lineRule="auto"/>
              <w:ind w:left="118" w:leftChars="0" w:right="109" w:rightChars="0" w:firstLine="100" w:firstLineChars="48"/>
              <w:rPr>
                <w:rFonts w:hint="eastAsia"/>
                <w:color w:val="auto"/>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投标人拟投入本项目的人员中：每提供 1 名获得</w:t>
            </w:r>
            <w:r>
              <w:rPr>
                <w:rFonts w:hint="eastAsia" w:ascii="宋体" w:hAnsi="宋体" w:eastAsia="宋体" w:cs="宋体"/>
                <w:color w:val="auto"/>
                <w:sz w:val="21"/>
                <w:szCs w:val="21"/>
                <w:highlight w:val="none"/>
                <w:lang w:val="en-US" w:eastAsia="zh-CN"/>
              </w:rPr>
              <w:t>CCS</w:t>
            </w:r>
            <w:r>
              <w:rPr>
                <w:rFonts w:hint="eastAsia" w:ascii="宋体" w:hAnsi="宋体" w:eastAsia="宋体" w:cs="宋体"/>
                <w:color w:val="auto"/>
                <w:sz w:val="21"/>
                <w:szCs w:val="21"/>
                <w:highlight w:val="none"/>
                <w:lang w:eastAsia="zh-CN"/>
              </w:rPr>
              <w:t>认可的焊工资格证书的每提供一个证书计 0.5 分，焊工资格证书上的工厂名称须为投标单位，</w:t>
            </w:r>
            <w:r>
              <w:rPr>
                <w:rFonts w:hint="eastAsia" w:ascii="宋体" w:hAnsi="宋体" w:eastAsia="宋体" w:cs="宋体"/>
                <w:color w:val="auto"/>
                <w:spacing w:val="2"/>
                <w:sz w:val="21"/>
                <w:szCs w:val="21"/>
                <w:highlight w:val="none"/>
                <w:lang w:val="en-US" w:eastAsia="zh-CN"/>
              </w:rPr>
              <w:t>否则不计分,</w:t>
            </w:r>
            <w:r>
              <w:rPr>
                <w:rFonts w:hint="eastAsia" w:ascii="宋体" w:hAnsi="宋体" w:eastAsia="宋体" w:cs="宋体"/>
                <w:color w:val="auto"/>
                <w:sz w:val="21"/>
                <w:szCs w:val="21"/>
                <w:highlight w:val="none"/>
                <w:lang w:eastAsia="zh-CN"/>
              </w:rPr>
              <w:t xml:space="preserve">本项最高计 </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 xml:space="preserve">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4" w:type="dxa"/>
            <w:vMerge w:val="continue"/>
            <w:tcBorders>
              <w:top w:val="nil"/>
              <w:bottom w:val="single" w:color="auto" w:sz="4" w:space="0"/>
            </w:tcBorders>
            <w:vAlign w:val="top"/>
          </w:tcPr>
          <w:p>
            <w:pPr>
              <w:rPr>
                <w:rFonts w:hint="eastAsia" w:ascii="宋体" w:hAnsi="宋体" w:eastAsia="宋体" w:cs="宋体"/>
                <w:color w:val="auto"/>
                <w:sz w:val="21"/>
                <w:highlight w:val="none"/>
              </w:rPr>
            </w:pPr>
          </w:p>
        </w:tc>
        <w:tc>
          <w:tcPr>
            <w:tcW w:w="1123" w:type="dxa"/>
            <w:vMerge w:val="continue"/>
            <w:tcBorders>
              <w:top w:val="nil"/>
              <w:bottom w:val="single" w:color="auto" w:sz="4" w:space="0"/>
            </w:tcBorders>
            <w:vAlign w:val="top"/>
          </w:tcPr>
          <w:p>
            <w:pPr>
              <w:rPr>
                <w:rFonts w:hint="eastAsia" w:ascii="宋体" w:hAnsi="宋体" w:eastAsia="宋体" w:cs="宋体"/>
                <w:color w:val="auto"/>
                <w:sz w:val="21"/>
                <w:highlight w:val="none"/>
              </w:rPr>
            </w:pPr>
          </w:p>
        </w:tc>
        <w:tc>
          <w:tcPr>
            <w:tcW w:w="2476" w:type="dxa"/>
            <w:vAlign w:val="center"/>
          </w:tcPr>
          <w:p>
            <w:pPr>
              <w:spacing w:before="68" w:line="220" w:lineRule="auto"/>
              <w:ind w:left="115" w:leftChars="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企</w:t>
            </w:r>
            <w:r>
              <w:rPr>
                <w:rFonts w:hint="eastAsia" w:ascii="宋体" w:hAnsi="宋体" w:eastAsia="宋体" w:cs="宋体"/>
                <w:color w:val="auto"/>
                <w:spacing w:val="4"/>
                <w:sz w:val="21"/>
                <w:szCs w:val="21"/>
                <w:highlight w:val="none"/>
              </w:rPr>
              <w:t>业信誉(6分)</w:t>
            </w:r>
          </w:p>
        </w:tc>
        <w:tc>
          <w:tcPr>
            <w:tcW w:w="4683" w:type="dxa"/>
            <w:vAlign w:val="top"/>
          </w:tcPr>
          <w:p>
            <w:pPr>
              <w:spacing w:before="122" w:line="233" w:lineRule="auto"/>
              <w:ind w:left="118" w:right="100" w:firstLine="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4"/>
                <w:sz w:val="21"/>
                <w:szCs w:val="21"/>
                <w:highlight w:val="none"/>
                <w:lang w:eastAsia="zh-CN"/>
              </w:rPr>
              <w:t>近三年（</w:t>
            </w:r>
            <w:r>
              <w:rPr>
                <w:rFonts w:hint="eastAsia" w:ascii="宋体" w:hAnsi="宋体" w:eastAsia="宋体" w:cs="宋体"/>
                <w:color w:val="auto"/>
                <w:spacing w:val="-4"/>
                <w:sz w:val="21"/>
                <w:szCs w:val="21"/>
                <w:highlight w:val="none"/>
                <w:lang w:val="en-US" w:eastAsia="zh-CN"/>
              </w:rPr>
              <w:t>2020年、2021年、2022年</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 xml:space="preserve">年度企业纳税信用等级为 A 的得 </w:t>
            </w:r>
            <w:r>
              <w:rPr>
                <w:rFonts w:hint="eastAsia" w:ascii="宋体" w:hAnsi="宋体" w:eastAsia="宋体" w:cs="宋体"/>
                <w:color w:val="auto"/>
                <w:spacing w:val="-4"/>
                <w:sz w:val="21"/>
                <w:szCs w:val="21"/>
                <w:highlight w:val="none"/>
                <w:lang w:val="en-US" w:eastAsia="zh-CN"/>
              </w:rPr>
              <w:t>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6"/>
                <w:sz w:val="21"/>
                <w:szCs w:val="21"/>
                <w:highlight w:val="none"/>
              </w:rPr>
              <w:t>分</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8"/>
                <w:sz w:val="21"/>
                <w:szCs w:val="21"/>
                <w:highlight w:val="none"/>
              </w:rPr>
              <w:t>为 B 的得 1 分， 其他情况不得分(提供税</w:t>
            </w:r>
            <w:r>
              <w:rPr>
                <w:rFonts w:hint="eastAsia" w:ascii="宋体" w:hAnsi="宋体" w:eastAsia="宋体" w:cs="宋体"/>
                <w:color w:val="auto"/>
                <w:spacing w:val="6"/>
                <w:sz w:val="21"/>
                <w:szCs w:val="21"/>
                <w:highlight w:val="none"/>
              </w:rPr>
              <w:t>务部门</w:t>
            </w:r>
            <w:r>
              <w:rPr>
                <w:rFonts w:hint="eastAsia" w:ascii="宋体" w:hAnsi="宋体" w:eastAsia="宋体" w:cs="宋体"/>
                <w:color w:val="auto"/>
                <w:spacing w:val="4"/>
                <w:sz w:val="21"/>
                <w:szCs w:val="21"/>
                <w:highlight w:val="none"/>
              </w:rPr>
              <w:t>发</w:t>
            </w:r>
            <w:r>
              <w:rPr>
                <w:rFonts w:hint="eastAsia" w:ascii="宋体" w:hAnsi="宋体" w:eastAsia="宋体" w:cs="宋体"/>
                <w:color w:val="auto"/>
                <w:spacing w:val="3"/>
                <w:sz w:val="21"/>
                <w:szCs w:val="21"/>
                <w:highlight w:val="none"/>
              </w:rPr>
              <w:t>布评价结果的网址及网页截图)。</w:t>
            </w:r>
          </w:p>
          <w:p>
            <w:pPr>
              <w:spacing w:before="19" w:line="234" w:lineRule="auto"/>
              <w:ind w:left="122" w:leftChars="0" w:right="99" w:rightChars="0" w:firstLine="2"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rPr>
              <w:t>(3) 投标人近 3 年获得</w:t>
            </w:r>
            <w:r>
              <w:rPr>
                <w:rFonts w:hint="eastAsia" w:ascii="宋体" w:hAnsi="宋体" w:eastAsia="宋体" w:cs="宋体"/>
                <w:color w:val="auto"/>
                <w:spacing w:val="-4"/>
                <w:sz w:val="21"/>
                <w:szCs w:val="21"/>
                <w:highlight w:val="none"/>
                <w:lang w:eastAsia="zh-CN"/>
              </w:rPr>
              <w:t>过</w:t>
            </w:r>
            <w:r>
              <w:rPr>
                <w:rFonts w:hint="eastAsia" w:ascii="宋体" w:hAnsi="宋体" w:eastAsia="宋体" w:cs="宋体"/>
                <w:color w:val="auto"/>
                <w:spacing w:val="-4"/>
                <w:sz w:val="21"/>
                <w:szCs w:val="21"/>
                <w:highlight w:val="none"/>
              </w:rPr>
              <w:t>企业信用等级证书 AAA 级计 3 分， AA 级计 2 分， A 级计 1 分， 没有的 不计分。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904" w:type="dxa"/>
            <w:vMerge w:val="restart"/>
            <w:tcBorders>
              <w:top w:val="single" w:color="auto" w:sz="4" w:space="0"/>
              <w:left w:val="single" w:color="auto" w:sz="4" w:space="0"/>
              <w:bottom w:val="single" w:color="auto" w:sz="4" w:space="0"/>
              <w:right w:val="single" w:color="auto" w:sz="4" w:space="0"/>
            </w:tcBorders>
            <w:vAlign w:val="center"/>
          </w:tcPr>
          <w:p>
            <w:pPr>
              <w:spacing w:line="271" w:lineRule="auto"/>
              <w:rPr>
                <w:rFonts w:hint="eastAsia" w:ascii="宋体" w:hAnsi="宋体" w:eastAsia="宋体" w:cs="宋体"/>
                <w:color w:val="auto"/>
                <w:sz w:val="21"/>
                <w:highlight w:val="none"/>
              </w:rPr>
            </w:pPr>
          </w:p>
          <w:p>
            <w:pPr>
              <w:spacing w:line="271" w:lineRule="auto"/>
              <w:rPr>
                <w:rFonts w:hint="eastAsia" w:ascii="宋体" w:hAnsi="宋体" w:eastAsia="宋体" w:cs="宋体"/>
                <w:color w:val="auto"/>
                <w:sz w:val="21"/>
                <w:highlight w:val="none"/>
              </w:rPr>
            </w:pPr>
          </w:p>
          <w:p>
            <w:pPr>
              <w:spacing w:line="271" w:lineRule="auto"/>
              <w:rPr>
                <w:rFonts w:hint="eastAsia" w:ascii="宋体" w:hAnsi="宋体" w:eastAsia="宋体" w:cs="宋体"/>
                <w:color w:val="auto"/>
                <w:sz w:val="21"/>
                <w:highlight w:val="none"/>
              </w:rPr>
            </w:pPr>
          </w:p>
          <w:p>
            <w:pPr>
              <w:spacing w:line="272" w:lineRule="auto"/>
              <w:rPr>
                <w:rFonts w:hint="eastAsia" w:ascii="宋体" w:hAnsi="宋体" w:eastAsia="宋体" w:cs="宋体"/>
                <w:color w:val="auto"/>
                <w:sz w:val="21"/>
                <w:highlight w:val="none"/>
              </w:rPr>
            </w:pPr>
          </w:p>
          <w:p>
            <w:pPr>
              <w:spacing w:before="61" w:line="403" w:lineRule="exact"/>
              <w:ind w:left="244"/>
              <w:rPr>
                <w:rFonts w:hint="eastAsia" w:ascii="宋体" w:hAnsi="宋体" w:eastAsia="宋体" w:cs="宋体"/>
                <w:color w:val="auto"/>
                <w:sz w:val="21"/>
                <w:szCs w:val="21"/>
                <w:highlight w:val="none"/>
              </w:rPr>
            </w:pPr>
            <w:r>
              <w:rPr>
                <w:rFonts w:hint="eastAsia" w:ascii="宋体" w:hAnsi="宋体" w:eastAsia="宋体" w:cs="宋体"/>
                <w:color w:val="auto"/>
                <w:spacing w:val="-1"/>
                <w:position w:val="18"/>
                <w:sz w:val="21"/>
                <w:szCs w:val="21"/>
                <w:highlight w:val="none"/>
              </w:rPr>
              <w:t>2.</w:t>
            </w:r>
            <w:r>
              <w:rPr>
                <w:rFonts w:hint="eastAsia" w:ascii="宋体" w:hAnsi="宋体" w:eastAsia="宋体" w:cs="宋体"/>
                <w:color w:val="auto"/>
                <w:position w:val="18"/>
                <w:sz w:val="21"/>
                <w:szCs w:val="21"/>
                <w:highlight w:val="none"/>
              </w:rPr>
              <w:t>2.4</w:t>
            </w:r>
          </w:p>
          <w:p>
            <w:pPr>
              <w:spacing w:line="223" w:lineRule="auto"/>
              <w:ind w:left="201"/>
              <w:rPr>
                <w:rFonts w:hint="eastAsia" w:ascii="宋体" w:hAnsi="宋体" w:eastAsia="宋体" w:cs="宋体"/>
                <w:color w:val="auto"/>
                <w:sz w:val="21"/>
                <w:szCs w:val="21"/>
                <w:highlight w:val="none"/>
              </w:rPr>
            </w:pPr>
            <w:r>
              <w:rPr>
                <w:rFonts w:hint="eastAsia" w:ascii="宋体" w:hAnsi="宋体" w:eastAsia="宋体" w:cs="宋体"/>
                <w:color w:val="auto"/>
                <w:spacing w:val="32"/>
                <w:sz w:val="21"/>
                <w:szCs w:val="21"/>
                <w:highlight w:val="none"/>
              </w:rPr>
              <w:t>(</w:t>
            </w:r>
            <w:r>
              <w:rPr>
                <w:rFonts w:hint="eastAsia" w:ascii="宋体" w:hAnsi="宋体" w:eastAsia="宋体" w:cs="宋体"/>
                <w:color w:val="auto"/>
                <w:spacing w:val="30"/>
                <w:sz w:val="21"/>
                <w:szCs w:val="21"/>
                <w:highlight w:val="none"/>
              </w:rPr>
              <w:t>2</w:t>
            </w:r>
            <w:bookmarkStart w:id="9" w:name="_GoBack"/>
            <w:bookmarkEnd w:id="9"/>
            <w:r>
              <w:rPr>
                <w:rFonts w:hint="eastAsia" w:ascii="宋体" w:hAnsi="宋体" w:eastAsia="宋体" w:cs="宋体"/>
                <w:color w:val="auto"/>
                <w:spacing w:val="30"/>
                <w:sz w:val="21"/>
                <w:szCs w:val="21"/>
                <w:highlight w:val="none"/>
              </w:rPr>
              <w:t>)</w:t>
            </w:r>
          </w:p>
        </w:tc>
        <w:tc>
          <w:tcPr>
            <w:tcW w:w="1123" w:type="dxa"/>
            <w:vMerge w:val="restart"/>
            <w:tcBorders>
              <w:top w:val="single" w:color="auto" w:sz="4" w:space="0"/>
              <w:left w:val="single" w:color="auto" w:sz="4" w:space="0"/>
              <w:bottom w:val="single" w:color="auto" w:sz="4" w:space="0"/>
              <w:right w:val="single" w:color="auto" w:sz="4" w:space="0"/>
            </w:tcBorders>
            <w:vAlign w:val="center"/>
          </w:tcPr>
          <w:p>
            <w:pPr>
              <w:spacing w:line="259" w:lineRule="auto"/>
              <w:rPr>
                <w:rFonts w:hint="eastAsia" w:ascii="宋体" w:hAnsi="宋体" w:eastAsia="宋体" w:cs="宋体"/>
                <w:color w:val="auto"/>
                <w:sz w:val="21"/>
                <w:highlight w:val="none"/>
              </w:rPr>
            </w:pPr>
          </w:p>
          <w:p>
            <w:pPr>
              <w:spacing w:line="260" w:lineRule="auto"/>
              <w:rPr>
                <w:rFonts w:hint="eastAsia" w:ascii="宋体" w:hAnsi="宋体" w:eastAsia="宋体" w:cs="宋体"/>
                <w:color w:val="auto"/>
                <w:sz w:val="21"/>
                <w:highlight w:val="none"/>
              </w:rPr>
            </w:pPr>
          </w:p>
          <w:p>
            <w:pPr>
              <w:spacing w:line="260" w:lineRule="auto"/>
              <w:rPr>
                <w:rFonts w:hint="eastAsia" w:ascii="宋体" w:hAnsi="宋体" w:eastAsia="宋体" w:cs="宋体"/>
                <w:color w:val="auto"/>
                <w:sz w:val="21"/>
                <w:highlight w:val="none"/>
              </w:rPr>
            </w:pPr>
          </w:p>
          <w:p>
            <w:pPr>
              <w:spacing w:line="260" w:lineRule="auto"/>
              <w:rPr>
                <w:rFonts w:hint="eastAsia" w:ascii="宋体" w:hAnsi="宋体" w:eastAsia="宋体" w:cs="宋体"/>
                <w:color w:val="auto"/>
                <w:sz w:val="21"/>
                <w:highlight w:val="none"/>
              </w:rPr>
            </w:pPr>
          </w:p>
          <w:p>
            <w:pPr>
              <w:spacing w:before="68" w:line="396" w:lineRule="auto"/>
              <w:ind w:left="354" w:right="138" w:hanging="208"/>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2"/>
                <w:sz w:val="21"/>
                <w:szCs w:val="21"/>
                <w:highlight w:val="none"/>
              </w:rPr>
              <w:t>技术评</w:t>
            </w:r>
            <w:r>
              <w:rPr>
                <w:rFonts w:hint="eastAsia" w:ascii="宋体" w:hAnsi="宋体" w:eastAsia="宋体" w:cs="宋体"/>
                <w:color w:val="auto"/>
                <w:spacing w:val="-1"/>
                <w:sz w:val="21"/>
                <w:szCs w:val="21"/>
                <w:highlight w:val="none"/>
              </w:rPr>
              <w:t>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标准</w:t>
            </w:r>
            <w:r>
              <w:rPr>
                <w:rFonts w:hint="eastAsia" w:ascii="宋体" w:hAnsi="宋体" w:eastAsia="宋体" w:cs="宋体"/>
                <w:color w:val="auto"/>
                <w:spacing w:val="-2"/>
                <w:sz w:val="21"/>
                <w:szCs w:val="21"/>
                <w:highlight w:val="none"/>
                <w:lang w:val="en-US" w:eastAsia="zh-CN"/>
              </w:rPr>
              <w:t xml:space="preserve"> 30分</w:t>
            </w:r>
          </w:p>
        </w:tc>
        <w:tc>
          <w:tcPr>
            <w:tcW w:w="2476" w:type="dxa"/>
            <w:tcBorders>
              <w:left w:val="single" w:color="auto" w:sz="4" w:space="0"/>
            </w:tcBorders>
            <w:vAlign w:val="center"/>
          </w:tcPr>
          <w:p>
            <w:pPr>
              <w:spacing w:before="69" w:line="256" w:lineRule="auto"/>
              <w:ind w:left="111" w:leftChars="0" w:right="245" w:rightChars="0" w:firstLine="6" w:firstLineChars="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总体</w:t>
            </w:r>
            <w:r>
              <w:rPr>
                <w:rFonts w:hint="eastAsia" w:ascii="宋体" w:hAnsi="宋体" w:eastAsia="宋体" w:cs="宋体"/>
                <w:color w:val="auto"/>
                <w:spacing w:val="-1"/>
                <w:sz w:val="21"/>
                <w:szCs w:val="21"/>
                <w:highlight w:val="none"/>
              </w:rPr>
              <w:t>建造组织布置及规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划</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7"/>
                <w:sz w:val="21"/>
                <w:szCs w:val="21"/>
                <w:highlight w:val="none"/>
                <w:lang w:val="en-US" w:eastAsia="zh-CN"/>
              </w:rPr>
              <w:t>5</w:t>
            </w:r>
            <w:r>
              <w:rPr>
                <w:rFonts w:hint="eastAsia" w:ascii="宋体" w:hAnsi="宋体" w:eastAsia="宋体" w:cs="宋体"/>
                <w:color w:val="auto"/>
                <w:spacing w:val="7"/>
                <w:sz w:val="21"/>
                <w:szCs w:val="21"/>
                <w:highlight w:val="none"/>
              </w:rPr>
              <w:t>分)</w:t>
            </w:r>
          </w:p>
        </w:tc>
        <w:tc>
          <w:tcPr>
            <w:tcW w:w="4683" w:type="dxa"/>
            <w:vAlign w:val="center"/>
          </w:tcPr>
          <w:p>
            <w:pPr>
              <w:spacing w:before="122" w:line="246" w:lineRule="auto"/>
              <w:ind w:left="119" w:leftChars="0" w:right="109" w:rightChars="0" w:firstLine="2" w:firstLineChars="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项目组织管理机构和管理体系设置合理</w:t>
            </w:r>
            <w:r>
              <w:rPr>
                <w:rFonts w:hint="eastAsia" w:ascii="宋体" w:hAnsi="宋体" w:eastAsia="宋体" w:cs="宋体"/>
                <w:color w:val="auto"/>
                <w:sz w:val="21"/>
                <w:szCs w:val="21"/>
                <w:highlight w:val="none"/>
              </w:rPr>
              <w:t xml:space="preserve">，建设 </w:t>
            </w:r>
            <w:r>
              <w:rPr>
                <w:rFonts w:hint="eastAsia" w:ascii="宋体" w:hAnsi="宋体" w:eastAsia="宋体" w:cs="宋体"/>
                <w:color w:val="auto"/>
                <w:spacing w:val="-1"/>
                <w:sz w:val="21"/>
                <w:szCs w:val="21"/>
                <w:highlight w:val="none"/>
              </w:rPr>
              <w:t>方案编制思</w:t>
            </w:r>
            <w:r>
              <w:rPr>
                <w:rFonts w:hint="eastAsia" w:ascii="宋体" w:hAnsi="宋体" w:eastAsia="宋体" w:cs="宋体"/>
                <w:color w:val="auto"/>
                <w:sz w:val="21"/>
                <w:szCs w:val="21"/>
                <w:highlight w:val="none"/>
              </w:rPr>
              <w:t xml:space="preserve">路清晰、层次分明、文字简练、内 </w:t>
            </w:r>
            <w:r>
              <w:rPr>
                <w:rFonts w:hint="eastAsia" w:ascii="宋体" w:hAnsi="宋体" w:eastAsia="宋体" w:cs="宋体"/>
                <w:color w:val="auto"/>
                <w:spacing w:val="-1"/>
                <w:sz w:val="21"/>
                <w:szCs w:val="21"/>
                <w:highlight w:val="none"/>
              </w:rPr>
              <w:t>容具体，所</w:t>
            </w:r>
            <w:r>
              <w:rPr>
                <w:rFonts w:hint="eastAsia" w:ascii="宋体" w:hAnsi="宋体" w:eastAsia="宋体" w:cs="宋体"/>
                <w:color w:val="auto"/>
                <w:sz w:val="21"/>
                <w:szCs w:val="21"/>
                <w:highlight w:val="none"/>
              </w:rPr>
              <w:t xml:space="preserve">附图表内容完整、合理。一般的得 </w:t>
            </w:r>
            <w:r>
              <w:rPr>
                <w:rFonts w:hint="eastAsia" w:ascii="宋体" w:hAnsi="宋体" w:eastAsia="宋体" w:cs="宋体"/>
                <w:color w:val="auto"/>
                <w:spacing w:val="-6"/>
                <w:sz w:val="21"/>
                <w:szCs w:val="21"/>
                <w:highlight w:val="none"/>
                <w:lang w:val="en-US" w:eastAsia="zh-CN"/>
              </w:rPr>
              <w:t>4</w:t>
            </w:r>
            <w:r>
              <w:rPr>
                <w:rFonts w:hint="eastAsia" w:ascii="宋体" w:hAnsi="宋体" w:eastAsia="宋体" w:cs="宋体"/>
                <w:color w:val="auto"/>
                <w:spacing w:val="-6"/>
                <w:sz w:val="21"/>
                <w:szCs w:val="21"/>
                <w:highlight w:val="none"/>
              </w:rPr>
              <w:t xml:space="preserve"> 分，良</w:t>
            </w:r>
            <w:r>
              <w:rPr>
                <w:rFonts w:hint="eastAsia" w:ascii="宋体" w:hAnsi="宋体" w:eastAsia="宋体" w:cs="宋体"/>
                <w:color w:val="auto"/>
                <w:spacing w:val="-3"/>
                <w:sz w:val="21"/>
                <w:szCs w:val="21"/>
                <w:highlight w:val="none"/>
              </w:rPr>
              <w:t xml:space="preserve">好的得 </w:t>
            </w:r>
            <w:r>
              <w:rPr>
                <w:rFonts w:hint="eastAsia" w:ascii="宋体" w:hAnsi="宋体" w:eastAsia="宋体" w:cs="宋体"/>
                <w:color w:val="auto"/>
                <w:spacing w:val="-3"/>
                <w:sz w:val="21"/>
                <w:szCs w:val="21"/>
                <w:highlight w:val="none"/>
                <w:lang w:val="en-US" w:eastAsia="zh-CN"/>
              </w:rPr>
              <w:t>4.5</w:t>
            </w:r>
            <w:r>
              <w:rPr>
                <w:rFonts w:hint="eastAsia" w:ascii="宋体" w:hAnsi="宋体" w:eastAsia="宋体" w:cs="宋体"/>
                <w:color w:val="auto"/>
                <w:spacing w:val="-3"/>
                <w:sz w:val="21"/>
                <w:szCs w:val="21"/>
                <w:highlight w:val="none"/>
              </w:rPr>
              <w:t xml:space="preserve">分，优秀的得 </w:t>
            </w:r>
            <w:r>
              <w:rPr>
                <w:rFonts w:hint="eastAsia" w:ascii="宋体" w:hAnsi="宋体" w:eastAsia="宋体" w:cs="宋体"/>
                <w:color w:val="auto"/>
                <w:spacing w:val="7"/>
                <w:sz w:val="21"/>
                <w:szCs w:val="21"/>
                <w:highlight w:val="none"/>
                <w:lang w:val="en-US" w:eastAsia="zh-CN"/>
              </w:rPr>
              <w:t>5</w:t>
            </w:r>
            <w:r>
              <w:rPr>
                <w:rFonts w:hint="eastAsia" w:ascii="宋体" w:hAnsi="宋体" w:eastAsia="宋体" w:cs="宋体"/>
                <w:color w:val="auto"/>
                <w:spacing w:val="7"/>
                <w:sz w:val="21"/>
                <w:szCs w:val="21"/>
                <w:highlight w:val="none"/>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904"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21"/>
                <w:highlight w:val="none"/>
              </w:rPr>
            </w:pPr>
          </w:p>
        </w:tc>
        <w:tc>
          <w:tcPr>
            <w:tcW w:w="1123"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21"/>
                <w:highlight w:val="none"/>
              </w:rPr>
            </w:pPr>
          </w:p>
        </w:tc>
        <w:tc>
          <w:tcPr>
            <w:tcW w:w="2476" w:type="dxa"/>
            <w:tcBorders>
              <w:left w:val="single" w:color="auto" w:sz="4" w:space="0"/>
            </w:tcBorders>
            <w:vAlign w:val="center"/>
          </w:tcPr>
          <w:p>
            <w:pPr>
              <w:spacing w:before="68" w:line="256" w:lineRule="auto"/>
              <w:ind w:left="114" w:leftChars="0" w:right="245" w:rightChars="0" w:hanging="1" w:firstLineChars="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制造工艺的先进</w:t>
            </w:r>
            <w:r>
              <w:rPr>
                <w:rFonts w:hint="eastAsia" w:ascii="宋体" w:hAnsi="宋体" w:eastAsia="宋体" w:cs="宋体"/>
                <w:color w:val="auto"/>
                <w:sz w:val="21"/>
                <w:szCs w:val="21"/>
                <w:highlight w:val="none"/>
              </w:rPr>
              <w:t xml:space="preserve">性和合 </w:t>
            </w:r>
            <w:r>
              <w:rPr>
                <w:rFonts w:hint="eastAsia" w:ascii="宋体" w:hAnsi="宋体" w:eastAsia="宋体" w:cs="宋体"/>
                <w:color w:val="auto"/>
                <w:spacing w:val="6"/>
                <w:sz w:val="21"/>
                <w:szCs w:val="21"/>
                <w:highlight w:val="none"/>
              </w:rPr>
              <w:t>理性(</w:t>
            </w:r>
            <w:r>
              <w:rPr>
                <w:rFonts w:hint="eastAsia" w:ascii="宋体" w:hAnsi="宋体" w:eastAsia="宋体" w:cs="宋体"/>
                <w:color w:val="auto"/>
                <w:spacing w:val="6"/>
                <w:sz w:val="21"/>
                <w:szCs w:val="21"/>
                <w:highlight w:val="none"/>
                <w:lang w:val="en-US" w:eastAsia="zh-CN"/>
              </w:rPr>
              <w:t>5</w:t>
            </w:r>
            <w:r>
              <w:rPr>
                <w:rFonts w:hint="eastAsia" w:ascii="宋体" w:hAnsi="宋体" w:eastAsia="宋体" w:cs="宋体"/>
                <w:color w:val="auto"/>
                <w:spacing w:val="6"/>
                <w:sz w:val="21"/>
                <w:szCs w:val="21"/>
                <w:highlight w:val="none"/>
              </w:rPr>
              <w:t>分)</w:t>
            </w:r>
          </w:p>
        </w:tc>
        <w:tc>
          <w:tcPr>
            <w:tcW w:w="4683" w:type="dxa"/>
            <w:vAlign w:val="center"/>
          </w:tcPr>
          <w:p>
            <w:pPr>
              <w:spacing w:before="125" w:line="244" w:lineRule="auto"/>
              <w:ind w:left="119" w:leftChars="0" w:right="110" w:rightChars="0" w:firstLine="2" w:firstLineChars="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关键技术方案合理</w:t>
            </w:r>
            <w:r>
              <w:rPr>
                <w:rFonts w:hint="eastAsia" w:ascii="宋体" w:hAnsi="宋体" w:eastAsia="宋体" w:cs="宋体"/>
                <w:color w:val="auto"/>
                <w:sz w:val="21"/>
                <w:szCs w:val="21"/>
                <w:highlight w:val="none"/>
              </w:rPr>
              <w:t xml:space="preserve">、可靠、有效，对关键工序 </w:t>
            </w:r>
            <w:r>
              <w:rPr>
                <w:rFonts w:hint="eastAsia" w:ascii="宋体" w:hAnsi="宋体" w:eastAsia="宋体" w:cs="宋体"/>
                <w:color w:val="auto"/>
                <w:spacing w:val="-1"/>
                <w:sz w:val="21"/>
                <w:szCs w:val="21"/>
                <w:highlight w:val="none"/>
              </w:rPr>
              <w:t>提出有效的的</w:t>
            </w:r>
            <w:r>
              <w:rPr>
                <w:rFonts w:hint="eastAsia" w:ascii="宋体" w:hAnsi="宋体" w:eastAsia="宋体" w:cs="宋体"/>
                <w:color w:val="auto"/>
                <w:sz w:val="21"/>
                <w:szCs w:val="21"/>
                <w:highlight w:val="none"/>
              </w:rPr>
              <w:t>技术方案，有很强的技术指导</w:t>
            </w:r>
            <w:r>
              <w:rPr>
                <w:rFonts w:hint="eastAsia" w:ascii="宋体" w:hAnsi="宋体" w:eastAsia="宋体" w:cs="宋体"/>
                <w:color w:val="auto"/>
                <w:spacing w:val="-2"/>
                <w:sz w:val="21"/>
                <w:szCs w:val="21"/>
                <w:highlight w:val="none"/>
              </w:rPr>
              <w:t>性。技术工艺上的措施能有效消除质</w:t>
            </w:r>
            <w:r>
              <w:rPr>
                <w:rFonts w:hint="eastAsia" w:ascii="宋体" w:hAnsi="宋体" w:eastAsia="宋体" w:cs="宋体"/>
                <w:color w:val="auto"/>
                <w:spacing w:val="-1"/>
                <w:sz w:val="21"/>
                <w:szCs w:val="21"/>
                <w:highlight w:val="none"/>
              </w:rPr>
              <w:t>量通病、</w:t>
            </w:r>
            <w:r>
              <w:rPr>
                <w:rFonts w:hint="eastAsia" w:ascii="宋体" w:hAnsi="宋体" w:eastAsia="宋体" w:cs="宋体"/>
                <w:color w:val="auto"/>
                <w:spacing w:val="-4"/>
                <w:sz w:val="21"/>
                <w:szCs w:val="21"/>
                <w:highlight w:val="none"/>
              </w:rPr>
              <w:t>保证内在质量</w:t>
            </w:r>
            <w:r>
              <w:rPr>
                <w:rFonts w:hint="eastAsia" w:ascii="宋体" w:hAnsi="宋体" w:eastAsia="宋体" w:cs="宋体"/>
                <w:color w:val="auto"/>
                <w:spacing w:val="-2"/>
                <w:sz w:val="21"/>
                <w:szCs w:val="21"/>
                <w:highlight w:val="none"/>
              </w:rPr>
              <w:t xml:space="preserve">、提高外观质量。一般的得 </w:t>
            </w:r>
            <w:r>
              <w:rPr>
                <w:rFonts w:hint="eastAsia" w:ascii="宋体" w:hAnsi="宋体" w:eastAsia="宋体" w:cs="宋体"/>
                <w:color w:val="auto"/>
                <w:spacing w:val="-2"/>
                <w:sz w:val="21"/>
                <w:szCs w:val="21"/>
                <w:highlight w:val="none"/>
                <w:lang w:val="en-US" w:eastAsia="zh-CN"/>
              </w:rPr>
              <w:t>4</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 xml:space="preserve">分，良好的得 </w:t>
            </w:r>
            <w:r>
              <w:rPr>
                <w:rFonts w:hint="eastAsia" w:ascii="宋体" w:hAnsi="宋体" w:eastAsia="宋体" w:cs="宋体"/>
                <w:color w:val="auto"/>
                <w:spacing w:val="2"/>
                <w:sz w:val="21"/>
                <w:szCs w:val="21"/>
                <w:highlight w:val="none"/>
                <w:lang w:val="en-US" w:eastAsia="zh-CN"/>
              </w:rPr>
              <w:t>4.5</w:t>
            </w:r>
            <w:r>
              <w:rPr>
                <w:rFonts w:hint="eastAsia" w:ascii="宋体" w:hAnsi="宋体" w:eastAsia="宋体" w:cs="宋体"/>
                <w:color w:val="auto"/>
                <w:spacing w:val="2"/>
                <w:sz w:val="21"/>
                <w:szCs w:val="21"/>
                <w:highlight w:val="none"/>
              </w:rPr>
              <w:t xml:space="preserve"> 分，优秀的得 </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分</w:t>
            </w:r>
            <w:r>
              <w:rPr>
                <w:rFonts w:hint="eastAsia" w:ascii="宋体" w:hAnsi="宋体" w:eastAsia="宋体" w:cs="宋体"/>
                <w:color w:val="auto"/>
                <w:spacing w:val="-9"/>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04"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21"/>
                <w:highlight w:val="none"/>
              </w:rPr>
            </w:pPr>
          </w:p>
        </w:tc>
        <w:tc>
          <w:tcPr>
            <w:tcW w:w="1123"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21"/>
                <w:highlight w:val="none"/>
              </w:rPr>
            </w:pPr>
          </w:p>
        </w:tc>
        <w:tc>
          <w:tcPr>
            <w:tcW w:w="2476" w:type="dxa"/>
            <w:tcBorders>
              <w:left w:val="single" w:color="auto" w:sz="4" w:space="0"/>
            </w:tcBorders>
            <w:vAlign w:val="center"/>
          </w:tcPr>
          <w:p>
            <w:pPr>
              <w:spacing w:before="68" w:line="221" w:lineRule="auto"/>
              <w:ind w:left="113" w:leftChars="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质量</w:t>
            </w:r>
            <w:r>
              <w:rPr>
                <w:rFonts w:hint="eastAsia" w:ascii="宋体" w:hAnsi="宋体" w:eastAsia="宋体" w:cs="宋体"/>
                <w:color w:val="auto"/>
                <w:spacing w:val="4"/>
                <w:sz w:val="21"/>
                <w:szCs w:val="21"/>
                <w:highlight w:val="none"/>
              </w:rPr>
              <w:t>保</w:t>
            </w:r>
            <w:r>
              <w:rPr>
                <w:rFonts w:hint="eastAsia" w:ascii="宋体" w:hAnsi="宋体" w:eastAsia="宋体" w:cs="宋体"/>
                <w:color w:val="auto"/>
                <w:spacing w:val="3"/>
                <w:sz w:val="21"/>
                <w:szCs w:val="21"/>
                <w:highlight w:val="none"/>
              </w:rPr>
              <w:t>证措施(</w:t>
            </w:r>
            <w:r>
              <w:rPr>
                <w:rFonts w:hint="eastAsia" w:ascii="宋体" w:hAnsi="宋体" w:eastAsia="宋体" w:cs="宋体"/>
                <w:color w:val="auto"/>
                <w:spacing w:val="3"/>
                <w:sz w:val="21"/>
                <w:szCs w:val="21"/>
                <w:highlight w:val="none"/>
                <w:lang w:val="en-US" w:eastAsia="zh-CN"/>
              </w:rPr>
              <w:t>5</w:t>
            </w:r>
            <w:r>
              <w:rPr>
                <w:rFonts w:hint="eastAsia" w:ascii="宋体" w:hAnsi="宋体" w:eastAsia="宋体" w:cs="宋体"/>
                <w:color w:val="auto"/>
                <w:spacing w:val="3"/>
                <w:sz w:val="21"/>
                <w:szCs w:val="21"/>
                <w:highlight w:val="none"/>
              </w:rPr>
              <w:t>分)</w:t>
            </w:r>
          </w:p>
        </w:tc>
        <w:tc>
          <w:tcPr>
            <w:tcW w:w="4683" w:type="dxa"/>
            <w:vAlign w:val="center"/>
          </w:tcPr>
          <w:p>
            <w:pPr>
              <w:spacing w:before="128" w:line="245" w:lineRule="auto"/>
              <w:ind w:left="117" w:leftChars="0" w:right="96" w:rightChars="0" w:firstLine="1" w:firstLineChars="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质量管理方</w:t>
            </w:r>
            <w:r>
              <w:rPr>
                <w:rFonts w:hint="eastAsia" w:ascii="宋体" w:hAnsi="宋体" w:eastAsia="宋体" w:cs="宋体"/>
                <w:color w:val="auto"/>
                <w:sz w:val="21"/>
                <w:szCs w:val="21"/>
                <w:highlight w:val="none"/>
              </w:rPr>
              <w:t xml:space="preserve">面的措施具体有效、有独创性、有 </w:t>
            </w:r>
            <w:r>
              <w:rPr>
                <w:rFonts w:hint="eastAsia" w:ascii="宋体" w:hAnsi="宋体" w:eastAsia="宋体" w:cs="宋体"/>
                <w:color w:val="auto"/>
                <w:spacing w:val="-18"/>
                <w:sz w:val="21"/>
                <w:szCs w:val="21"/>
                <w:highlight w:val="none"/>
              </w:rPr>
              <w:t>明</w:t>
            </w:r>
            <w:r>
              <w:rPr>
                <w:rFonts w:hint="eastAsia" w:ascii="宋体" w:hAnsi="宋体" w:eastAsia="宋体" w:cs="宋体"/>
                <w:color w:val="auto"/>
                <w:spacing w:val="-10"/>
                <w:sz w:val="21"/>
                <w:szCs w:val="21"/>
                <w:highlight w:val="none"/>
              </w:rPr>
              <w:t>确</w:t>
            </w:r>
            <w:r>
              <w:rPr>
                <w:rFonts w:hint="eastAsia" w:ascii="宋体" w:hAnsi="宋体" w:eastAsia="宋体" w:cs="宋体"/>
                <w:color w:val="auto"/>
                <w:spacing w:val="-9"/>
                <w:sz w:val="21"/>
                <w:szCs w:val="21"/>
                <w:highlight w:val="none"/>
              </w:rPr>
              <w:t>管理目标，管理体系、组织措施功能完善，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质量管</w:t>
            </w:r>
            <w:r>
              <w:rPr>
                <w:rFonts w:hint="eastAsia" w:ascii="宋体" w:hAnsi="宋体" w:eastAsia="宋体" w:cs="宋体"/>
                <w:color w:val="auto"/>
                <w:sz w:val="21"/>
                <w:szCs w:val="21"/>
                <w:highlight w:val="none"/>
              </w:rPr>
              <w:t xml:space="preserve">理措施有较强的针对性和可操作性。一 </w:t>
            </w:r>
            <w:r>
              <w:rPr>
                <w:rFonts w:hint="eastAsia" w:ascii="宋体" w:hAnsi="宋体" w:eastAsia="宋体" w:cs="宋体"/>
                <w:color w:val="auto"/>
                <w:spacing w:val="-14"/>
                <w:sz w:val="21"/>
                <w:szCs w:val="21"/>
                <w:highlight w:val="none"/>
              </w:rPr>
              <w:t>般</w:t>
            </w:r>
            <w:r>
              <w:rPr>
                <w:rFonts w:hint="eastAsia" w:ascii="宋体" w:hAnsi="宋体" w:eastAsia="宋体" w:cs="宋体"/>
                <w:color w:val="auto"/>
                <w:spacing w:val="-7"/>
                <w:sz w:val="21"/>
                <w:szCs w:val="21"/>
                <w:highlight w:val="none"/>
              </w:rPr>
              <w:t xml:space="preserve">的得 </w:t>
            </w:r>
            <w:r>
              <w:rPr>
                <w:rFonts w:hint="eastAsia" w:ascii="宋体" w:hAnsi="宋体" w:eastAsia="宋体" w:cs="宋体"/>
                <w:color w:val="auto"/>
                <w:spacing w:val="-7"/>
                <w:sz w:val="21"/>
                <w:szCs w:val="21"/>
                <w:highlight w:val="none"/>
                <w:lang w:val="en-US" w:eastAsia="zh-CN"/>
              </w:rPr>
              <w:t>4</w:t>
            </w:r>
            <w:r>
              <w:rPr>
                <w:rFonts w:hint="eastAsia" w:ascii="宋体" w:hAnsi="宋体" w:eastAsia="宋体" w:cs="宋体"/>
                <w:color w:val="auto"/>
                <w:spacing w:val="-7"/>
                <w:sz w:val="21"/>
                <w:szCs w:val="21"/>
                <w:highlight w:val="none"/>
              </w:rPr>
              <w:t xml:space="preserve"> 分，良好的得 </w:t>
            </w:r>
            <w:r>
              <w:rPr>
                <w:rFonts w:hint="eastAsia" w:ascii="宋体" w:hAnsi="宋体" w:eastAsia="宋体" w:cs="宋体"/>
                <w:color w:val="auto"/>
                <w:spacing w:val="-7"/>
                <w:sz w:val="21"/>
                <w:szCs w:val="21"/>
                <w:highlight w:val="none"/>
                <w:lang w:val="en-US" w:eastAsia="zh-CN"/>
              </w:rPr>
              <w:t>4.5</w:t>
            </w:r>
            <w:r>
              <w:rPr>
                <w:rFonts w:hint="eastAsia" w:ascii="宋体" w:hAnsi="宋体" w:eastAsia="宋体" w:cs="宋体"/>
                <w:color w:val="auto"/>
                <w:spacing w:val="-7"/>
                <w:sz w:val="21"/>
                <w:szCs w:val="21"/>
                <w:highlight w:val="none"/>
              </w:rPr>
              <w:t xml:space="preserve"> 分，优秀的</w:t>
            </w:r>
            <w:r>
              <w:rPr>
                <w:rFonts w:hint="eastAsia" w:ascii="宋体" w:hAnsi="宋体" w:eastAsia="宋体" w:cs="宋体"/>
                <w:color w:val="auto"/>
                <w:spacing w:val="-2"/>
                <w:sz w:val="21"/>
                <w:szCs w:val="21"/>
                <w:highlight w:val="none"/>
              </w:rPr>
              <w:t xml:space="preserve">得 </w:t>
            </w:r>
            <w:r>
              <w:rPr>
                <w:rFonts w:hint="eastAsia" w:ascii="宋体" w:hAnsi="宋体" w:eastAsia="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21"/>
                <w:highlight w:val="none"/>
              </w:rPr>
            </w:pPr>
          </w:p>
        </w:tc>
        <w:tc>
          <w:tcPr>
            <w:tcW w:w="1123"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21"/>
                <w:highlight w:val="none"/>
              </w:rPr>
            </w:pPr>
          </w:p>
        </w:tc>
        <w:tc>
          <w:tcPr>
            <w:tcW w:w="2476" w:type="dxa"/>
            <w:tcBorders>
              <w:left w:val="single" w:color="auto" w:sz="4" w:space="0"/>
            </w:tcBorders>
            <w:vAlign w:val="center"/>
          </w:tcPr>
          <w:p>
            <w:pPr>
              <w:spacing w:before="68" w:line="221" w:lineRule="auto"/>
              <w:ind w:left="114" w:leftChars="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工期</w:t>
            </w:r>
            <w:r>
              <w:rPr>
                <w:rFonts w:hint="eastAsia" w:ascii="宋体" w:hAnsi="宋体" w:eastAsia="宋体" w:cs="宋体"/>
                <w:color w:val="auto"/>
                <w:spacing w:val="3"/>
                <w:sz w:val="21"/>
                <w:szCs w:val="21"/>
                <w:highlight w:val="none"/>
              </w:rPr>
              <w:t>保障措施(3分)</w:t>
            </w:r>
          </w:p>
        </w:tc>
        <w:tc>
          <w:tcPr>
            <w:tcW w:w="4683" w:type="dxa"/>
            <w:vAlign w:val="center"/>
          </w:tcPr>
          <w:p>
            <w:pPr>
              <w:spacing w:before="126" w:line="248" w:lineRule="auto"/>
              <w:ind w:left="117" w:leftChars="0" w:right="94" w:rightChars="0" w:firstLine="3" w:firstLineChars="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工期安排合理，交</w:t>
            </w:r>
            <w:r>
              <w:rPr>
                <w:rFonts w:hint="eastAsia" w:ascii="宋体" w:hAnsi="宋体" w:eastAsia="宋体" w:cs="宋体"/>
                <w:color w:val="auto"/>
                <w:sz w:val="21"/>
                <w:szCs w:val="21"/>
                <w:highlight w:val="none"/>
              </w:rPr>
              <w:t>货计划能满足航道施工计</w:t>
            </w:r>
            <w:r>
              <w:rPr>
                <w:rFonts w:hint="eastAsia" w:ascii="宋体" w:hAnsi="宋体" w:eastAsia="宋体" w:cs="宋体"/>
                <w:color w:val="auto"/>
                <w:spacing w:val="-1"/>
                <w:sz w:val="21"/>
                <w:szCs w:val="21"/>
                <w:highlight w:val="none"/>
              </w:rPr>
              <w:t>划，明</w:t>
            </w:r>
            <w:r>
              <w:rPr>
                <w:rFonts w:hint="eastAsia" w:ascii="宋体" w:hAnsi="宋体" w:eastAsia="宋体" w:cs="宋体"/>
                <w:color w:val="auto"/>
                <w:sz w:val="21"/>
                <w:szCs w:val="21"/>
                <w:highlight w:val="none"/>
              </w:rPr>
              <w:t>确提出保障工期的措施，且控制措施得</w:t>
            </w:r>
            <w:r>
              <w:rPr>
                <w:rFonts w:hint="eastAsia" w:ascii="宋体" w:hAnsi="宋体" w:eastAsia="宋体" w:cs="宋体"/>
                <w:color w:val="auto"/>
                <w:spacing w:val="-8"/>
                <w:sz w:val="21"/>
                <w:szCs w:val="21"/>
                <w:highlight w:val="none"/>
              </w:rPr>
              <w:t>当</w:t>
            </w:r>
            <w:r>
              <w:rPr>
                <w:rFonts w:hint="eastAsia" w:ascii="宋体" w:hAnsi="宋体" w:eastAsia="宋体" w:cs="宋体"/>
                <w:color w:val="auto"/>
                <w:spacing w:val="-7"/>
                <w:sz w:val="21"/>
                <w:szCs w:val="21"/>
                <w:highlight w:val="none"/>
              </w:rPr>
              <w:t xml:space="preserve">。一般的得 </w:t>
            </w:r>
            <w:r>
              <w:rPr>
                <w:rFonts w:hint="eastAsia" w:ascii="宋体" w:hAnsi="宋体" w:eastAsia="宋体" w:cs="宋体"/>
                <w:color w:val="auto"/>
                <w:spacing w:val="-7"/>
                <w:sz w:val="21"/>
                <w:szCs w:val="21"/>
                <w:highlight w:val="none"/>
                <w:lang w:val="en-US" w:eastAsia="zh-CN"/>
              </w:rPr>
              <w:t>2.4</w:t>
            </w:r>
            <w:r>
              <w:rPr>
                <w:rFonts w:hint="eastAsia" w:ascii="宋体" w:hAnsi="宋体" w:eastAsia="宋体" w:cs="宋体"/>
                <w:color w:val="auto"/>
                <w:spacing w:val="-7"/>
                <w:sz w:val="21"/>
                <w:szCs w:val="21"/>
                <w:highlight w:val="none"/>
              </w:rPr>
              <w:t xml:space="preserve"> 分，良好的得 </w:t>
            </w:r>
            <w:r>
              <w:rPr>
                <w:rFonts w:hint="eastAsia" w:ascii="宋体" w:hAnsi="宋体" w:eastAsia="宋体" w:cs="宋体"/>
                <w:color w:val="auto"/>
                <w:spacing w:val="-7"/>
                <w:sz w:val="21"/>
                <w:szCs w:val="21"/>
                <w:highlight w:val="none"/>
                <w:lang w:val="en-US" w:eastAsia="zh-CN"/>
              </w:rPr>
              <w:t>2.7</w:t>
            </w:r>
            <w:r>
              <w:rPr>
                <w:rFonts w:hint="eastAsia" w:ascii="宋体" w:hAnsi="宋体" w:eastAsia="宋体" w:cs="宋体"/>
                <w:color w:val="auto"/>
                <w:spacing w:val="-7"/>
                <w:sz w:val="21"/>
                <w:szCs w:val="21"/>
                <w:highlight w:val="none"/>
              </w:rPr>
              <w:t xml:space="preserve"> 分，</w:t>
            </w:r>
            <w:r>
              <w:rPr>
                <w:rFonts w:hint="eastAsia" w:ascii="宋体" w:hAnsi="宋体" w:eastAsia="宋体" w:cs="宋体"/>
                <w:color w:val="auto"/>
                <w:spacing w:val="-1"/>
                <w:sz w:val="21"/>
                <w:szCs w:val="21"/>
                <w:highlight w:val="none"/>
              </w:rPr>
              <w:t>优秀的得 3 分</w:t>
            </w:r>
            <w:r>
              <w:rPr>
                <w:rFonts w:hint="eastAsia" w:ascii="宋体" w:hAnsi="宋体" w:eastAsia="宋体" w:cs="宋体"/>
                <w:color w:val="auto"/>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21"/>
                <w:highlight w:val="none"/>
              </w:rPr>
            </w:pPr>
          </w:p>
        </w:tc>
        <w:tc>
          <w:tcPr>
            <w:tcW w:w="1123"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21"/>
                <w:highlight w:val="none"/>
              </w:rPr>
            </w:pPr>
          </w:p>
        </w:tc>
        <w:tc>
          <w:tcPr>
            <w:tcW w:w="2476" w:type="dxa"/>
            <w:tcBorders>
              <w:left w:val="single" w:color="auto" w:sz="4" w:space="0"/>
            </w:tcBorders>
            <w:vAlign w:val="center"/>
          </w:tcPr>
          <w:p>
            <w:pPr>
              <w:spacing w:before="261" w:line="256" w:lineRule="auto"/>
              <w:ind w:left="111" w:leftChars="0" w:right="101" w:rightChars="0" w:firstLine="5" w:firstLineChars="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安全、文明和环保生产措</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施</w:t>
            </w:r>
            <w:r>
              <w:rPr>
                <w:rFonts w:hint="eastAsia" w:ascii="宋体" w:hAnsi="宋体" w:eastAsia="宋体" w:cs="宋体"/>
                <w:color w:val="auto"/>
                <w:spacing w:val="7"/>
                <w:sz w:val="21"/>
                <w:szCs w:val="21"/>
                <w:highlight w:val="none"/>
              </w:rPr>
              <w:t>(3分)</w:t>
            </w:r>
          </w:p>
        </w:tc>
        <w:tc>
          <w:tcPr>
            <w:tcW w:w="4683" w:type="dxa"/>
            <w:vAlign w:val="center"/>
          </w:tcPr>
          <w:p>
            <w:pPr>
              <w:spacing w:before="128" w:line="248" w:lineRule="auto"/>
              <w:ind w:left="118" w:leftChars="0" w:right="94" w:rightChars="0" w:firstLine="4" w:firstLineChars="0"/>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安</w:t>
            </w:r>
            <w:r>
              <w:rPr>
                <w:rFonts w:hint="eastAsia" w:ascii="宋体" w:hAnsi="宋体" w:eastAsia="宋体" w:cs="宋体"/>
                <w:color w:val="auto"/>
                <w:spacing w:val="-13"/>
                <w:sz w:val="21"/>
                <w:szCs w:val="21"/>
                <w:highlight w:val="none"/>
              </w:rPr>
              <w:t>全</w:t>
            </w:r>
            <w:r>
              <w:rPr>
                <w:rFonts w:hint="eastAsia" w:ascii="宋体" w:hAnsi="宋体" w:eastAsia="宋体" w:cs="宋体"/>
                <w:color w:val="auto"/>
                <w:spacing w:val="-9"/>
                <w:sz w:val="21"/>
                <w:szCs w:val="21"/>
                <w:highlight w:val="none"/>
              </w:rPr>
              <w:t>文明、环保生产保证体系完善，目标明确，</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 xml:space="preserve">措施切实可行。一般的得 </w:t>
            </w:r>
            <w:r>
              <w:rPr>
                <w:rFonts w:hint="eastAsia" w:ascii="宋体" w:hAnsi="宋体" w:eastAsia="宋体" w:cs="宋体"/>
                <w:color w:val="auto"/>
                <w:spacing w:val="-12"/>
                <w:sz w:val="21"/>
                <w:szCs w:val="21"/>
                <w:highlight w:val="none"/>
                <w:lang w:val="en-US" w:eastAsia="zh-CN"/>
              </w:rPr>
              <w:t>2.4</w:t>
            </w:r>
            <w:r>
              <w:rPr>
                <w:rFonts w:hint="eastAsia" w:ascii="宋体" w:hAnsi="宋体" w:eastAsia="宋体" w:cs="宋体"/>
                <w:color w:val="auto"/>
                <w:spacing w:val="-12"/>
                <w:sz w:val="21"/>
                <w:szCs w:val="21"/>
                <w:highlight w:val="none"/>
              </w:rPr>
              <w:t xml:space="preserve"> 分，良好的得 </w:t>
            </w:r>
            <w:r>
              <w:rPr>
                <w:rFonts w:hint="eastAsia" w:ascii="宋体" w:hAnsi="宋体" w:eastAsia="宋体" w:cs="宋体"/>
                <w:color w:val="auto"/>
                <w:spacing w:val="-12"/>
                <w:sz w:val="21"/>
                <w:szCs w:val="21"/>
                <w:highlight w:val="none"/>
                <w:lang w:val="en-US" w:eastAsia="zh-CN"/>
              </w:rPr>
              <w:t>2.7</w:t>
            </w:r>
            <w:r>
              <w:rPr>
                <w:rFonts w:hint="eastAsia" w:ascii="宋体" w:hAnsi="宋体" w:eastAsia="宋体" w:cs="宋体"/>
                <w:color w:val="auto"/>
                <w:spacing w:val="2"/>
                <w:sz w:val="21"/>
                <w:szCs w:val="21"/>
                <w:highlight w:val="none"/>
              </w:rPr>
              <w:t xml:space="preserve"> 分，优秀的得 3 分</w:t>
            </w:r>
            <w:r>
              <w:rPr>
                <w:rFonts w:hint="eastAsia" w:ascii="宋体" w:hAnsi="宋体" w:eastAsia="宋体" w:cs="宋体"/>
                <w:color w:val="auto"/>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21"/>
                <w:highlight w:val="none"/>
              </w:rPr>
            </w:pPr>
          </w:p>
        </w:tc>
        <w:tc>
          <w:tcPr>
            <w:tcW w:w="1123"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21"/>
                <w:highlight w:val="none"/>
              </w:rPr>
            </w:pPr>
          </w:p>
        </w:tc>
        <w:tc>
          <w:tcPr>
            <w:tcW w:w="2476" w:type="dxa"/>
            <w:tcBorders>
              <w:left w:val="single" w:color="auto" w:sz="4" w:space="0"/>
            </w:tcBorders>
            <w:vAlign w:val="center"/>
          </w:tcPr>
          <w:p>
            <w:pPr>
              <w:spacing w:before="68" w:line="221" w:lineRule="auto"/>
              <w:ind w:left="114" w:left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组</w:t>
            </w:r>
            <w:r>
              <w:rPr>
                <w:rFonts w:hint="eastAsia" w:ascii="宋体" w:hAnsi="宋体" w:eastAsia="宋体" w:cs="宋体"/>
                <w:color w:val="auto"/>
                <w:spacing w:val="4"/>
                <w:sz w:val="21"/>
                <w:szCs w:val="21"/>
                <w:highlight w:val="none"/>
              </w:rPr>
              <w:t>装和调试(3分)</w:t>
            </w:r>
          </w:p>
        </w:tc>
        <w:tc>
          <w:tcPr>
            <w:tcW w:w="4683" w:type="dxa"/>
            <w:vAlign w:val="center"/>
          </w:tcPr>
          <w:p>
            <w:pPr>
              <w:spacing w:before="126" w:line="249" w:lineRule="auto"/>
              <w:ind w:left="125" w:leftChars="0" w:right="109" w:rightChars="0" w:hanging="4" w:firstLineChars="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组装和调试方案</w:t>
            </w:r>
            <w:r>
              <w:rPr>
                <w:rFonts w:hint="eastAsia" w:ascii="宋体" w:hAnsi="宋体" w:eastAsia="宋体" w:cs="宋体"/>
                <w:color w:val="auto"/>
                <w:sz w:val="21"/>
                <w:szCs w:val="21"/>
                <w:highlight w:val="none"/>
              </w:rPr>
              <w:t>合理、可操作性强。</w:t>
            </w:r>
            <w:r>
              <w:rPr>
                <w:rFonts w:hint="eastAsia" w:ascii="宋体" w:hAnsi="宋体" w:eastAsia="宋体" w:cs="宋体"/>
                <w:color w:val="auto"/>
                <w:spacing w:val="-12"/>
                <w:sz w:val="21"/>
                <w:szCs w:val="21"/>
                <w:highlight w:val="none"/>
              </w:rPr>
              <w:t xml:space="preserve">一般的得 </w:t>
            </w:r>
            <w:r>
              <w:rPr>
                <w:rFonts w:hint="eastAsia" w:ascii="宋体" w:hAnsi="宋体" w:eastAsia="宋体" w:cs="宋体"/>
                <w:color w:val="auto"/>
                <w:spacing w:val="-12"/>
                <w:sz w:val="21"/>
                <w:szCs w:val="21"/>
                <w:highlight w:val="none"/>
                <w:lang w:val="en-US" w:eastAsia="zh-CN"/>
              </w:rPr>
              <w:t>2.4</w:t>
            </w:r>
            <w:r>
              <w:rPr>
                <w:rFonts w:hint="eastAsia" w:ascii="宋体" w:hAnsi="宋体" w:eastAsia="宋体" w:cs="宋体"/>
                <w:color w:val="auto"/>
                <w:spacing w:val="-12"/>
                <w:sz w:val="21"/>
                <w:szCs w:val="21"/>
                <w:highlight w:val="none"/>
              </w:rPr>
              <w:t xml:space="preserve"> 分，良好的得 </w:t>
            </w:r>
            <w:r>
              <w:rPr>
                <w:rFonts w:hint="eastAsia" w:ascii="宋体" w:hAnsi="宋体" w:eastAsia="宋体" w:cs="宋体"/>
                <w:color w:val="auto"/>
                <w:spacing w:val="-12"/>
                <w:sz w:val="21"/>
                <w:szCs w:val="21"/>
                <w:highlight w:val="none"/>
                <w:lang w:val="en-US" w:eastAsia="zh-CN"/>
              </w:rPr>
              <w:t>2.7</w:t>
            </w:r>
            <w:r>
              <w:rPr>
                <w:rFonts w:hint="eastAsia" w:ascii="宋体" w:hAnsi="宋体" w:eastAsia="宋体" w:cs="宋体"/>
                <w:color w:val="auto"/>
                <w:spacing w:val="2"/>
                <w:sz w:val="21"/>
                <w:szCs w:val="21"/>
                <w:highlight w:val="none"/>
              </w:rPr>
              <w:t xml:space="preserve"> 分，优秀的得 3 分</w:t>
            </w:r>
            <w:r>
              <w:rPr>
                <w:rFonts w:hint="eastAsia" w:ascii="宋体" w:hAnsi="宋体" w:eastAsia="宋体" w:cs="宋体"/>
                <w:color w:val="auto"/>
                <w:spacing w:val="6"/>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21"/>
                <w:highlight w:val="none"/>
              </w:rPr>
            </w:pPr>
          </w:p>
        </w:tc>
        <w:tc>
          <w:tcPr>
            <w:tcW w:w="1123"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21"/>
                <w:highlight w:val="none"/>
              </w:rPr>
            </w:pPr>
          </w:p>
        </w:tc>
        <w:tc>
          <w:tcPr>
            <w:tcW w:w="2476" w:type="dxa"/>
            <w:tcBorders>
              <w:left w:val="single" w:color="auto" w:sz="4" w:space="0"/>
            </w:tcBorders>
            <w:vAlign w:val="center"/>
          </w:tcPr>
          <w:p>
            <w:pPr>
              <w:spacing w:line="327" w:lineRule="auto"/>
              <w:rPr>
                <w:rFonts w:hint="eastAsia" w:ascii="宋体" w:hAnsi="宋体" w:eastAsia="宋体" w:cs="宋体"/>
                <w:color w:val="auto"/>
                <w:sz w:val="21"/>
                <w:highlight w:val="none"/>
              </w:rPr>
            </w:pPr>
          </w:p>
          <w:p>
            <w:pPr>
              <w:spacing w:before="69" w:line="252" w:lineRule="auto"/>
              <w:ind w:left="114" w:leftChars="0" w:right="138" w:rightChars="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备品备件和专用工具(</w:t>
            </w:r>
            <w:r>
              <w:rPr>
                <w:rFonts w:hint="eastAsia" w:ascii="宋体" w:hAnsi="宋体" w:eastAsia="宋体" w:cs="宋体"/>
                <w:color w:val="auto"/>
                <w:spacing w:val="8"/>
                <w:sz w:val="21"/>
                <w:szCs w:val="21"/>
                <w:highlight w:val="none"/>
              </w:rPr>
              <w:t>1</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分</w:t>
            </w:r>
            <w:r>
              <w:rPr>
                <w:rFonts w:hint="eastAsia" w:ascii="宋体" w:hAnsi="宋体" w:eastAsia="宋体" w:cs="宋体"/>
                <w:color w:val="auto"/>
                <w:spacing w:val="-7"/>
                <w:sz w:val="21"/>
                <w:szCs w:val="21"/>
                <w:highlight w:val="none"/>
              </w:rPr>
              <w:t>)</w:t>
            </w:r>
          </w:p>
        </w:tc>
        <w:tc>
          <w:tcPr>
            <w:tcW w:w="4683" w:type="dxa"/>
            <w:vAlign w:val="center"/>
          </w:tcPr>
          <w:p>
            <w:pPr>
              <w:spacing w:before="124" w:line="247" w:lineRule="auto"/>
              <w:ind w:left="117" w:leftChars="0" w:right="100" w:rightChars="0" w:firstLine="3" w:firstLineChars="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备品备件与专用</w:t>
            </w:r>
            <w:r>
              <w:rPr>
                <w:rFonts w:hint="eastAsia" w:ascii="宋体" w:hAnsi="宋体" w:eastAsia="宋体" w:cs="宋体"/>
                <w:color w:val="auto"/>
                <w:sz w:val="21"/>
                <w:szCs w:val="21"/>
                <w:highlight w:val="none"/>
              </w:rPr>
              <w:t xml:space="preserve">工具配置合理、具有相应产品 </w:t>
            </w:r>
            <w:r>
              <w:rPr>
                <w:rFonts w:hint="eastAsia" w:ascii="宋体" w:hAnsi="宋体" w:eastAsia="宋体" w:cs="宋体"/>
                <w:color w:val="auto"/>
                <w:spacing w:val="-1"/>
                <w:sz w:val="21"/>
                <w:szCs w:val="21"/>
                <w:highlight w:val="none"/>
              </w:rPr>
              <w:t>生产许</w:t>
            </w:r>
            <w:r>
              <w:rPr>
                <w:rFonts w:hint="eastAsia" w:ascii="宋体" w:hAnsi="宋体" w:eastAsia="宋体" w:cs="宋体"/>
                <w:color w:val="auto"/>
                <w:sz w:val="21"/>
                <w:szCs w:val="21"/>
                <w:highlight w:val="none"/>
              </w:rPr>
              <w:t xml:space="preserve">可证的制造厂生产且有产品合格证。一 </w:t>
            </w:r>
            <w:r>
              <w:rPr>
                <w:rFonts w:hint="eastAsia" w:ascii="宋体" w:hAnsi="宋体" w:eastAsia="宋体" w:cs="宋体"/>
                <w:color w:val="auto"/>
                <w:spacing w:val="-14"/>
                <w:sz w:val="21"/>
                <w:szCs w:val="21"/>
                <w:highlight w:val="none"/>
              </w:rPr>
              <w:t>般</w:t>
            </w:r>
            <w:r>
              <w:rPr>
                <w:rFonts w:hint="eastAsia" w:ascii="宋体" w:hAnsi="宋体" w:eastAsia="宋体" w:cs="宋体"/>
                <w:color w:val="auto"/>
                <w:spacing w:val="-7"/>
                <w:sz w:val="21"/>
                <w:szCs w:val="21"/>
                <w:highlight w:val="none"/>
              </w:rPr>
              <w:t>的得 0.</w:t>
            </w:r>
            <w:r>
              <w:rPr>
                <w:rFonts w:hint="eastAsia" w:ascii="宋体" w:hAnsi="宋体" w:eastAsia="宋体" w:cs="宋体"/>
                <w:color w:val="auto"/>
                <w:spacing w:val="-7"/>
                <w:sz w:val="21"/>
                <w:szCs w:val="21"/>
                <w:highlight w:val="none"/>
                <w:lang w:val="en-US" w:eastAsia="zh-CN"/>
              </w:rPr>
              <w:t>8</w:t>
            </w:r>
            <w:r>
              <w:rPr>
                <w:rFonts w:hint="eastAsia" w:ascii="宋体" w:hAnsi="宋体" w:eastAsia="宋体" w:cs="宋体"/>
                <w:color w:val="auto"/>
                <w:spacing w:val="-7"/>
                <w:sz w:val="21"/>
                <w:szCs w:val="21"/>
                <w:highlight w:val="none"/>
              </w:rPr>
              <w:t xml:space="preserve"> 分，良好的得 </w:t>
            </w:r>
            <w:r>
              <w:rPr>
                <w:rFonts w:hint="eastAsia" w:ascii="宋体" w:hAnsi="宋体" w:eastAsia="宋体" w:cs="宋体"/>
                <w:color w:val="auto"/>
                <w:spacing w:val="-7"/>
                <w:sz w:val="21"/>
                <w:szCs w:val="21"/>
                <w:highlight w:val="none"/>
                <w:lang w:val="en-US" w:eastAsia="zh-CN"/>
              </w:rPr>
              <w:t>0.9</w:t>
            </w:r>
            <w:r>
              <w:rPr>
                <w:rFonts w:hint="eastAsia" w:ascii="宋体" w:hAnsi="宋体" w:eastAsia="宋体" w:cs="宋体"/>
                <w:color w:val="auto"/>
                <w:spacing w:val="-7"/>
                <w:sz w:val="21"/>
                <w:szCs w:val="21"/>
                <w:highlight w:val="none"/>
              </w:rPr>
              <w:t xml:space="preserve"> 分，优秀的</w:t>
            </w:r>
            <w:r>
              <w:rPr>
                <w:rFonts w:hint="eastAsia" w:ascii="宋体" w:hAnsi="宋体" w:eastAsia="宋体" w:cs="宋体"/>
                <w:color w:val="auto"/>
                <w:spacing w:val="-2"/>
                <w:sz w:val="21"/>
                <w:szCs w:val="21"/>
                <w:highlight w:val="none"/>
              </w:rPr>
              <w:t xml:space="preserve">得 </w:t>
            </w:r>
            <w:r>
              <w:rPr>
                <w:rFonts w:hint="eastAsia" w:ascii="宋体" w:hAnsi="宋体" w:eastAsia="宋体" w:cs="宋体"/>
                <w:color w:val="auto"/>
                <w:spacing w:val="-1"/>
                <w:sz w:val="21"/>
                <w:szCs w:val="21"/>
                <w:highlight w:val="none"/>
              </w:rPr>
              <w:t>1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21"/>
                <w:highlight w:val="none"/>
              </w:rPr>
            </w:pPr>
          </w:p>
        </w:tc>
        <w:tc>
          <w:tcPr>
            <w:tcW w:w="1123"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21"/>
                <w:highlight w:val="none"/>
              </w:rPr>
            </w:pPr>
          </w:p>
        </w:tc>
        <w:tc>
          <w:tcPr>
            <w:tcW w:w="2476" w:type="dxa"/>
            <w:tcBorders>
              <w:left w:val="single" w:color="auto" w:sz="4" w:space="0"/>
            </w:tcBorders>
            <w:vAlign w:val="center"/>
          </w:tcPr>
          <w:p>
            <w:pPr>
              <w:spacing w:before="257" w:line="256" w:lineRule="auto"/>
              <w:ind w:left="114" w:leftChars="0" w:right="138" w:rightChars="0" w:hanging="2" w:firstLineChars="0"/>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运</w:t>
            </w:r>
            <w:r>
              <w:rPr>
                <w:rFonts w:hint="eastAsia" w:ascii="宋体" w:hAnsi="宋体" w:eastAsia="宋体" w:cs="宋体"/>
                <w:color w:val="auto"/>
                <w:spacing w:val="9"/>
                <w:sz w:val="21"/>
                <w:szCs w:val="21"/>
                <w:highlight w:val="none"/>
              </w:rPr>
              <w:t>输及现场安装方案(3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分</w:t>
            </w:r>
            <w:r>
              <w:rPr>
                <w:rFonts w:hint="eastAsia" w:ascii="宋体" w:hAnsi="宋体" w:eastAsia="宋体" w:cs="宋体"/>
                <w:color w:val="auto"/>
                <w:spacing w:val="-7"/>
                <w:sz w:val="21"/>
                <w:szCs w:val="21"/>
                <w:highlight w:val="none"/>
              </w:rPr>
              <w:t>)</w:t>
            </w:r>
          </w:p>
        </w:tc>
        <w:tc>
          <w:tcPr>
            <w:tcW w:w="4683" w:type="dxa"/>
            <w:vAlign w:val="center"/>
          </w:tcPr>
          <w:p>
            <w:pPr>
              <w:spacing w:before="125" w:line="248" w:lineRule="auto"/>
              <w:ind w:left="120" w:leftChars="0" w:right="110" w:rightChars="0" w:hanging="2" w:firstLineChars="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船舶运输</w:t>
            </w:r>
            <w:r>
              <w:rPr>
                <w:rFonts w:hint="eastAsia" w:ascii="宋体" w:hAnsi="宋体" w:eastAsia="宋体" w:cs="宋体"/>
                <w:color w:val="auto"/>
                <w:sz w:val="21"/>
                <w:szCs w:val="21"/>
                <w:highlight w:val="none"/>
              </w:rPr>
              <w:t xml:space="preserve">及现场安装方案合理，配备船舶及设 </w:t>
            </w:r>
            <w:r>
              <w:rPr>
                <w:rFonts w:hint="eastAsia" w:ascii="宋体" w:hAnsi="宋体" w:eastAsia="宋体" w:cs="宋体"/>
                <w:color w:val="auto"/>
                <w:spacing w:val="-12"/>
                <w:sz w:val="21"/>
                <w:szCs w:val="21"/>
                <w:highlight w:val="none"/>
              </w:rPr>
              <w:t>备满</w:t>
            </w:r>
            <w:r>
              <w:rPr>
                <w:rFonts w:hint="eastAsia" w:ascii="宋体" w:hAnsi="宋体" w:eastAsia="宋体" w:cs="宋体"/>
                <w:color w:val="auto"/>
                <w:spacing w:val="-7"/>
                <w:sz w:val="21"/>
                <w:szCs w:val="21"/>
                <w:highlight w:val="none"/>
              </w:rPr>
              <w:t>足</w:t>
            </w:r>
            <w:r>
              <w:rPr>
                <w:rFonts w:hint="eastAsia" w:ascii="宋体" w:hAnsi="宋体" w:eastAsia="宋体" w:cs="宋体"/>
                <w:color w:val="auto"/>
                <w:spacing w:val="-6"/>
                <w:sz w:val="21"/>
                <w:szCs w:val="21"/>
                <w:highlight w:val="none"/>
              </w:rPr>
              <w:t>需要。</w:t>
            </w:r>
            <w:r>
              <w:rPr>
                <w:rFonts w:hint="eastAsia" w:ascii="宋体" w:hAnsi="宋体" w:eastAsia="宋体" w:cs="宋体"/>
                <w:color w:val="auto"/>
                <w:spacing w:val="-12"/>
                <w:sz w:val="21"/>
                <w:szCs w:val="21"/>
                <w:highlight w:val="none"/>
              </w:rPr>
              <w:t xml:space="preserve">一般的得 </w:t>
            </w:r>
            <w:r>
              <w:rPr>
                <w:rFonts w:hint="eastAsia" w:ascii="宋体" w:hAnsi="宋体" w:eastAsia="宋体" w:cs="宋体"/>
                <w:color w:val="auto"/>
                <w:spacing w:val="-12"/>
                <w:sz w:val="21"/>
                <w:szCs w:val="21"/>
                <w:highlight w:val="none"/>
                <w:lang w:val="en-US" w:eastAsia="zh-CN"/>
              </w:rPr>
              <w:t>2.4</w:t>
            </w:r>
            <w:r>
              <w:rPr>
                <w:rFonts w:hint="eastAsia" w:ascii="宋体" w:hAnsi="宋体" w:eastAsia="宋体" w:cs="宋体"/>
                <w:color w:val="auto"/>
                <w:spacing w:val="-12"/>
                <w:sz w:val="21"/>
                <w:szCs w:val="21"/>
                <w:highlight w:val="none"/>
              </w:rPr>
              <w:t xml:space="preserve"> 分，良好的得 </w:t>
            </w:r>
            <w:r>
              <w:rPr>
                <w:rFonts w:hint="eastAsia" w:ascii="宋体" w:hAnsi="宋体" w:eastAsia="宋体" w:cs="宋体"/>
                <w:color w:val="auto"/>
                <w:spacing w:val="-12"/>
                <w:sz w:val="21"/>
                <w:szCs w:val="21"/>
                <w:highlight w:val="none"/>
                <w:lang w:val="en-US" w:eastAsia="zh-CN"/>
              </w:rPr>
              <w:t>2.7</w:t>
            </w:r>
            <w:r>
              <w:rPr>
                <w:rFonts w:hint="eastAsia" w:ascii="宋体" w:hAnsi="宋体" w:eastAsia="宋体" w:cs="宋体"/>
                <w:color w:val="auto"/>
                <w:spacing w:val="2"/>
                <w:sz w:val="21"/>
                <w:szCs w:val="21"/>
                <w:highlight w:val="none"/>
              </w:rPr>
              <w:t xml:space="preserve"> 分，优秀的得 3 分</w:t>
            </w:r>
            <w:r>
              <w:rPr>
                <w:rFonts w:hint="eastAsia" w:ascii="宋体" w:hAnsi="宋体" w:eastAsia="宋体" w:cs="宋体"/>
                <w:color w:val="auto"/>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904"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21"/>
                <w:highlight w:val="none"/>
              </w:rPr>
            </w:pPr>
          </w:p>
        </w:tc>
        <w:tc>
          <w:tcPr>
            <w:tcW w:w="1123"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21"/>
                <w:highlight w:val="none"/>
              </w:rPr>
            </w:pPr>
          </w:p>
        </w:tc>
        <w:tc>
          <w:tcPr>
            <w:tcW w:w="2476" w:type="dxa"/>
            <w:tcBorders>
              <w:left w:val="single" w:color="auto" w:sz="4" w:space="0"/>
            </w:tcBorders>
            <w:vAlign w:val="center"/>
          </w:tcPr>
          <w:p>
            <w:pPr>
              <w:spacing w:before="68" w:line="221" w:lineRule="auto"/>
              <w:ind w:left="113" w:leftChars="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合</w:t>
            </w:r>
            <w:r>
              <w:rPr>
                <w:rFonts w:hint="eastAsia" w:ascii="宋体" w:hAnsi="宋体" w:eastAsia="宋体" w:cs="宋体"/>
                <w:color w:val="auto"/>
                <w:spacing w:val="4"/>
                <w:sz w:val="21"/>
                <w:szCs w:val="21"/>
                <w:highlight w:val="none"/>
              </w:rPr>
              <w:t>理化建议(2 分)</w:t>
            </w:r>
          </w:p>
        </w:tc>
        <w:tc>
          <w:tcPr>
            <w:tcW w:w="4683" w:type="dxa"/>
            <w:vAlign w:val="center"/>
          </w:tcPr>
          <w:p>
            <w:pPr>
              <w:spacing w:before="120" w:line="248" w:lineRule="auto"/>
              <w:ind w:left="120" w:leftChars="0" w:right="99" w:rightChars="0" w:hanging="1" w:firstLineChars="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提供的合理</w:t>
            </w:r>
            <w:r>
              <w:rPr>
                <w:rFonts w:hint="eastAsia" w:ascii="宋体" w:hAnsi="宋体" w:eastAsia="宋体" w:cs="宋体"/>
                <w:color w:val="auto"/>
                <w:sz w:val="21"/>
                <w:szCs w:val="21"/>
                <w:highlight w:val="none"/>
              </w:rPr>
              <w:t xml:space="preserve">化建议符合本项目实际且具有操作 </w:t>
            </w:r>
            <w:r>
              <w:rPr>
                <w:rFonts w:hint="eastAsia" w:ascii="宋体" w:hAnsi="宋体" w:eastAsia="宋体" w:cs="宋体"/>
                <w:color w:val="auto"/>
                <w:spacing w:val="-9"/>
                <w:sz w:val="21"/>
                <w:szCs w:val="21"/>
                <w:highlight w:val="none"/>
              </w:rPr>
              <w:t xml:space="preserve">性，有利于项目建设目标的实现。一般的得 </w:t>
            </w:r>
            <w:r>
              <w:rPr>
                <w:rFonts w:hint="eastAsia" w:ascii="宋体" w:hAnsi="宋体" w:eastAsia="宋体" w:cs="宋体"/>
                <w:color w:val="auto"/>
                <w:spacing w:val="-9"/>
                <w:sz w:val="21"/>
                <w:szCs w:val="21"/>
                <w:highlight w:val="none"/>
                <w:lang w:val="en-US" w:eastAsia="zh-CN"/>
              </w:rPr>
              <w:t>1.6</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 xml:space="preserve">分，良好的得 </w:t>
            </w:r>
            <w:r>
              <w:rPr>
                <w:rFonts w:hint="eastAsia" w:ascii="宋体" w:hAnsi="宋体" w:eastAsia="宋体" w:cs="宋体"/>
                <w:color w:val="auto"/>
                <w:spacing w:val="2"/>
                <w:sz w:val="21"/>
                <w:szCs w:val="21"/>
                <w:highlight w:val="none"/>
                <w:lang w:val="en-US" w:eastAsia="zh-CN"/>
              </w:rPr>
              <w:t>1.8</w:t>
            </w:r>
            <w:r>
              <w:rPr>
                <w:rFonts w:hint="eastAsia" w:ascii="宋体" w:hAnsi="宋体" w:eastAsia="宋体" w:cs="宋体"/>
                <w:color w:val="auto"/>
                <w:spacing w:val="2"/>
                <w:sz w:val="21"/>
                <w:szCs w:val="21"/>
                <w:highlight w:val="none"/>
              </w:rPr>
              <w:t xml:space="preserve"> 分，优秀的</w:t>
            </w:r>
            <w:r>
              <w:rPr>
                <w:rFonts w:hint="eastAsia" w:ascii="宋体" w:hAnsi="宋体" w:eastAsia="宋体" w:cs="宋体"/>
                <w:color w:val="auto"/>
                <w:spacing w:val="1"/>
                <w:sz w:val="21"/>
                <w:szCs w:val="21"/>
                <w:highlight w:val="none"/>
              </w:rPr>
              <w:t>得 2</w:t>
            </w:r>
            <w:r>
              <w:rPr>
                <w:rFonts w:hint="eastAsia" w:ascii="宋体" w:hAnsi="宋体" w:eastAsia="宋体" w:cs="宋体"/>
                <w:color w:val="auto"/>
                <w:sz w:val="21"/>
                <w:szCs w:val="21"/>
                <w:highlight w:val="none"/>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904" w:type="dxa"/>
            <w:tcBorders>
              <w:top w:val="single" w:color="auto" w:sz="4" w:space="0"/>
              <w:bottom w:val="single" w:color="auto" w:sz="4" w:space="0"/>
            </w:tcBorders>
            <w:vAlign w:val="top"/>
          </w:tcPr>
          <w:p>
            <w:pPr>
              <w:spacing w:before="219" w:line="403" w:lineRule="exact"/>
              <w:ind w:left="244"/>
              <w:rPr>
                <w:rFonts w:hint="eastAsia" w:ascii="宋体" w:hAnsi="宋体" w:eastAsia="宋体" w:cs="宋体"/>
                <w:color w:val="auto"/>
                <w:sz w:val="21"/>
                <w:szCs w:val="21"/>
                <w:highlight w:val="none"/>
              </w:rPr>
            </w:pPr>
            <w:r>
              <w:rPr>
                <w:rFonts w:hint="eastAsia" w:ascii="宋体" w:hAnsi="宋体" w:eastAsia="宋体" w:cs="宋体"/>
                <w:color w:val="auto"/>
                <w:spacing w:val="-1"/>
                <w:position w:val="18"/>
                <w:sz w:val="21"/>
                <w:szCs w:val="21"/>
                <w:highlight w:val="none"/>
              </w:rPr>
              <w:t>2.</w:t>
            </w:r>
            <w:r>
              <w:rPr>
                <w:rFonts w:hint="eastAsia" w:ascii="宋体" w:hAnsi="宋体" w:eastAsia="宋体" w:cs="宋体"/>
                <w:color w:val="auto"/>
                <w:position w:val="18"/>
                <w:sz w:val="21"/>
                <w:szCs w:val="21"/>
                <w:highlight w:val="none"/>
              </w:rPr>
              <w:t>2.4</w:t>
            </w:r>
          </w:p>
          <w:p>
            <w:pPr>
              <w:spacing w:line="223" w:lineRule="auto"/>
              <w:ind w:left="201"/>
              <w:rPr>
                <w:rFonts w:hint="eastAsia" w:ascii="宋体" w:hAnsi="宋体" w:eastAsia="宋体" w:cs="宋体"/>
                <w:color w:val="auto"/>
                <w:sz w:val="21"/>
                <w:szCs w:val="21"/>
                <w:highlight w:val="none"/>
              </w:rPr>
            </w:pPr>
            <w:r>
              <w:rPr>
                <w:rFonts w:hint="eastAsia" w:ascii="宋体" w:hAnsi="宋体" w:eastAsia="宋体" w:cs="宋体"/>
                <w:color w:val="auto"/>
                <w:spacing w:val="32"/>
                <w:sz w:val="21"/>
                <w:szCs w:val="21"/>
                <w:highlight w:val="none"/>
              </w:rPr>
              <w:t>(</w:t>
            </w:r>
            <w:r>
              <w:rPr>
                <w:rFonts w:hint="eastAsia" w:ascii="宋体" w:hAnsi="宋体" w:eastAsia="宋体" w:cs="宋体"/>
                <w:color w:val="auto"/>
                <w:spacing w:val="30"/>
                <w:sz w:val="21"/>
                <w:szCs w:val="21"/>
                <w:highlight w:val="none"/>
              </w:rPr>
              <w:t>3)</w:t>
            </w:r>
          </w:p>
        </w:tc>
        <w:tc>
          <w:tcPr>
            <w:tcW w:w="1123" w:type="dxa"/>
            <w:tcBorders>
              <w:top w:val="single" w:color="auto" w:sz="4" w:space="0"/>
              <w:bottom w:val="single" w:color="auto" w:sz="4" w:space="0"/>
            </w:tcBorders>
            <w:vAlign w:val="center"/>
          </w:tcPr>
          <w:p>
            <w:pPr>
              <w:spacing w:before="180" w:line="442" w:lineRule="exact"/>
              <w:ind w:left="148"/>
              <w:rPr>
                <w:rFonts w:hint="eastAsia" w:ascii="宋体" w:hAnsi="宋体" w:eastAsia="宋体" w:cs="宋体"/>
                <w:color w:val="auto"/>
                <w:sz w:val="21"/>
                <w:szCs w:val="21"/>
                <w:highlight w:val="none"/>
              </w:rPr>
            </w:pPr>
            <w:r>
              <w:rPr>
                <w:rFonts w:hint="eastAsia" w:ascii="宋体" w:hAnsi="宋体" w:eastAsia="宋体" w:cs="宋体"/>
                <w:color w:val="auto"/>
                <w:spacing w:val="-2"/>
                <w:position w:val="17"/>
                <w:sz w:val="21"/>
                <w:szCs w:val="21"/>
                <w:highlight w:val="none"/>
              </w:rPr>
              <w:t>投标报价</w:t>
            </w:r>
          </w:p>
          <w:p>
            <w:pPr>
              <w:spacing w:line="221" w:lineRule="auto"/>
              <w:ind w:left="144"/>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rPr>
              <w:t>评分标准</w:t>
            </w:r>
            <w:r>
              <w:rPr>
                <w:rFonts w:hint="eastAsia" w:ascii="宋体" w:hAnsi="宋体" w:eastAsia="宋体" w:cs="宋体"/>
                <w:color w:val="auto"/>
                <w:spacing w:val="-1"/>
                <w:sz w:val="21"/>
                <w:szCs w:val="21"/>
                <w:highlight w:val="none"/>
                <w:lang w:val="en-US" w:eastAsia="zh-CN"/>
              </w:rPr>
              <w:t xml:space="preserve"> </w:t>
            </w:r>
          </w:p>
          <w:p>
            <w:pPr>
              <w:pStyle w:val="23"/>
              <w:ind w:left="0" w:leftChars="0" w:firstLine="412" w:firstLineChars="200"/>
              <w:rPr>
                <w:rFonts w:hint="default"/>
                <w:lang w:val="en-US" w:eastAsia="zh-CN"/>
              </w:rPr>
            </w:pPr>
            <w:r>
              <w:rPr>
                <w:rFonts w:hint="eastAsia" w:ascii="宋体" w:hAnsi="宋体" w:eastAsia="宋体" w:cs="宋体"/>
                <w:snapToGrid w:val="0"/>
                <w:color w:val="auto"/>
                <w:spacing w:val="-2"/>
                <w:kern w:val="0"/>
                <w:position w:val="17"/>
                <w:sz w:val="21"/>
                <w:szCs w:val="21"/>
                <w:highlight w:val="none"/>
                <w:lang w:val="en-US" w:eastAsia="zh-CN"/>
              </w:rPr>
              <w:t>50分</w:t>
            </w:r>
          </w:p>
        </w:tc>
        <w:tc>
          <w:tcPr>
            <w:tcW w:w="2476" w:type="dxa"/>
            <w:tcBorders>
              <w:bottom w:val="single" w:color="auto" w:sz="4" w:space="0"/>
            </w:tcBorders>
            <w:vAlign w:val="center"/>
          </w:tcPr>
          <w:p>
            <w:pPr>
              <w:spacing w:before="68" w:line="221" w:lineRule="auto"/>
              <w:ind w:left="112"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偏</w:t>
            </w:r>
            <w:r>
              <w:rPr>
                <w:rFonts w:hint="eastAsia" w:ascii="宋体" w:hAnsi="宋体" w:eastAsia="宋体" w:cs="宋体"/>
                <w:color w:val="auto"/>
                <w:spacing w:val="-1"/>
                <w:sz w:val="21"/>
                <w:szCs w:val="21"/>
                <w:highlight w:val="none"/>
              </w:rPr>
              <w:t>差率</w:t>
            </w:r>
          </w:p>
        </w:tc>
        <w:tc>
          <w:tcPr>
            <w:tcW w:w="4683" w:type="dxa"/>
            <w:vAlign w:val="top"/>
          </w:tcPr>
          <w:p>
            <w:pPr>
              <w:spacing w:before="123"/>
              <w:ind w:left="117" w:right="10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评标</w:t>
            </w:r>
            <w:r>
              <w:rPr>
                <w:rFonts w:hint="eastAsia" w:ascii="宋体" w:hAnsi="宋体" w:eastAsia="宋体" w:cs="宋体"/>
                <w:color w:val="auto"/>
                <w:sz w:val="21"/>
                <w:szCs w:val="21"/>
                <w:highlight w:val="none"/>
              </w:rPr>
              <w:t xml:space="preserve">价得分计算公式：                    </w:t>
            </w:r>
            <w:r>
              <w:rPr>
                <w:rFonts w:hint="eastAsia" w:ascii="宋体" w:hAnsi="宋体" w:eastAsia="宋体" w:cs="宋体"/>
                <w:color w:val="auto"/>
                <w:spacing w:val="-1"/>
                <w:sz w:val="21"/>
                <w:szCs w:val="21"/>
                <w:highlight w:val="none"/>
              </w:rPr>
              <w:t>(1)</w:t>
            </w:r>
            <w:r>
              <w:rPr>
                <w:rFonts w:hint="eastAsia" w:ascii="宋体" w:hAnsi="宋体" w:eastAsia="宋体" w:cs="宋体"/>
                <w:color w:val="auto"/>
                <w:sz w:val="21"/>
                <w:szCs w:val="21"/>
                <w:highlight w:val="none"/>
              </w:rPr>
              <w:t xml:space="preserve">若评标价&gt;评标基准价，则评标价得分=P- </w:t>
            </w:r>
            <w:r>
              <w:rPr>
                <w:rFonts w:hint="eastAsia" w:ascii="宋体" w:hAnsi="宋体" w:eastAsia="宋体" w:cs="宋体"/>
                <w:color w:val="auto"/>
                <w:spacing w:val="-1"/>
                <w:sz w:val="21"/>
                <w:szCs w:val="21"/>
                <w:highlight w:val="none"/>
              </w:rPr>
              <w:t>偏差率×1</w:t>
            </w:r>
            <w:r>
              <w:rPr>
                <w:rFonts w:hint="eastAsia" w:ascii="宋体" w:hAnsi="宋体" w:eastAsia="宋体" w:cs="宋体"/>
                <w:color w:val="auto"/>
                <w:sz w:val="21"/>
                <w:szCs w:val="21"/>
                <w:highlight w:val="none"/>
              </w:rPr>
              <w:t xml:space="preserve">00×E1；                       </w:t>
            </w:r>
          </w:p>
          <w:p>
            <w:pPr>
              <w:spacing w:before="123"/>
              <w:ind w:left="117" w:right="10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 xml:space="preserve">若评标价≤评标基准价，则评标价得分=P+ </w:t>
            </w:r>
            <w:r>
              <w:rPr>
                <w:rFonts w:hint="eastAsia" w:ascii="宋体" w:hAnsi="宋体" w:eastAsia="宋体" w:cs="宋体"/>
                <w:color w:val="auto"/>
                <w:spacing w:val="-1"/>
                <w:sz w:val="21"/>
                <w:szCs w:val="21"/>
                <w:highlight w:val="none"/>
              </w:rPr>
              <w:t>偏差率×1</w:t>
            </w:r>
            <w:r>
              <w:rPr>
                <w:rFonts w:hint="eastAsia" w:ascii="宋体" w:hAnsi="宋体" w:eastAsia="宋体" w:cs="宋体"/>
                <w:color w:val="auto"/>
                <w:sz w:val="21"/>
                <w:szCs w:val="21"/>
                <w:highlight w:val="none"/>
              </w:rPr>
              <w:t>00×E2；</w:t>
            </w:r>
          </w:p>
          <w:p>
            <w:pPr>
              <w:spacing w:line="238" w:lineRule="auto"/>
              <w:ind w:left="121" w:right="269" w:hanging="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E</w:t>
            </w:r>
            <w:r>
              <w:rPr>
                <w:rFonts w:hint="eastAsia" w:ascii="宋体" w:hAnsi="宋体" w:eastAsia="宋体" w:cs="宋体"/>
                <w:color w:val="auto"/>
                <w:spacing w:val="-4"/>
                <w:sz w:val="21"/>
                <w:szCs w:val="21"/>
                <w:highlight w:val="none"/>
              </w:rPr>
              <w:t>1 是评标价</w:t>
            </w:r>
            <w:r>
              <w:rPr>
                <w:rFonts w:hint="eastAsia" w:ascii="宋体" w:hAnsi="宋体" w:eastAsia="宋体" w:cs="宋体"/>
                <w:color w:val="auto"/>
                <w:spacing w:val="-3"/>
                <w:sz w:val="21"/>
                <w:szCs w:val="21"/>
                <w:highlight w:val="none"/>
              </w:rPr>
              <w:t>每</w:t>
            </w:r>
            <w:r>
              <w:rPr>
                <w:rFonts w:hint="eastAsia" w:ascii="宋体" w:hAnsi="宋体" w:eastAsia="宋体" w:cs="宋体"/>
                <w:color w:val="auto"/>
                <w:spacing w:val="-2"/>
                <w:sz w:val="21"/>
                <w:szCs w:val="21"/>
                <w:highlight w:val="none"/>
              </w:rPr>
              <w:t>高于评标基准价一个百分点的</w:t>
            </w:r>
            <w:r>
              <w:rPr>
                <w:rFonts w:hint="eastAsia" w:ascii="宋体" w:hAnsi="宋体" w:eastAsia="宋体" w:cs="宋体"/>
                <w:color w:val="auto"/>
                <w:spacing w:val="-15"/>
                <w:sz w:val="21"/>
                <w:szCs w:val="21"/>
                <w:highlight w:val="none"/>
              </w:rPr>
              <w:t>扣</w:t>
            </w:r>
            <w:r>
              <w:rPr>
                <w:rFonts w:hint="eastAsia" w:ascii="宋体" w:hAnsi="宋体" w:eastAsia="宋体" w:cs="宋体"/>
                <w:color w:val="auto"/>
                <w:spacing w:val="-9"/>
                <w:sz w:val="21"/>
                <w:szCs w:val="21"/>
                <w:highlight w:val="none"/>
              </w:rPr>
              <w:t>分值， E1=1.0；</w:t>
            </w:r>
          </w:p>
          <w:p>
            <w:pPr>
              <w:spacing w:before="1"/>
              <w:ind w:left="121" w:right="267" w:hanging="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E</w:t>
            </w:r>
            <w:r>
              <w:rPr>
                <w:rFonts w:hint="eastAsia" w:ascii="宋体" w:hAnsi="宋体" w:eastAsia="宋体" w:cs="宋体"/>
                <w:color w:val="auto"/>
                <w:spacing w:val="-4"/>
                <w:sz w:val="21"/>
                <w:szCs w:val="21"/>
                <w:highlight w:val="none"/>
              </w:rPr>
              <w:t>2 是评标</w:t>
            </w:r>
            <w:r>
              <w:rPr>
                <w:rFonts w:hint="eastAsia" w:ascii="宋体" w:hAnsi="宋体" w:eastAsia="宋体" w:cs="宋体"/>
                <w:color w:val="auto"/>
                <w:spacing w:val="-3"/>
                <w:sz w:val="21"/>
                <w:szCs w:val="21"/>
                <w:highlight w:val="none"/>
              </w:rPr>
              <w:t>价</w:t>
            </w:r>
            <w:r>
              <w:rPr>
                <w:rFonts w:hint="eastAsia" w:ascii="宋体" w:hAnsi="宋体" w:eastAsia="宋体" w:cs="宋体"/>
                <w:color w:val="auto"/>
                <w:spacing w:val="-2"/>
                <w:sz w:val="21"/>
                <w:szCs w:val="21"/>
                <w:highlight w:val="none"/>
              </w:rPr>
              <w:t>每低于评标基准价一个百分点的</w:t>
            </w:r>
            <w:r>
              <w:rPr>
                <w:rFonts w:hint="eastAsia" w:ascii="宋体" w:hAnsi="宋体" w:eastAsia="宋体" w:cs="宋体"/>
                <w:color w:val="auto"/>
                <w:spacing w:val="-15"/>
                <w:sz w:val="21"/>
                <w:szCs w:val="21"/>
                <w:highlight w:val="none"/>
              </w:rPr>
              <w:t>扣</w:t>
            </w:r>
            <w:r>
              <w:rPr>
                <w:rFonts w:hint="eastAsia" w:ascii="宋体" w:hAnsi="宋体" w:eastAsia="宋体" w:cs="宋体"/>
                <w:color w:val="auto"/>
                <w:spacing w:val="-9"/>
                <w:sz w:val="21"/>
                <w:szCs w:val="21"/>
                <w:highlight w:val="none"/>
              </w:rPr>
              <w:t>分值， E2=0.5。</w:t>
            </w:r>
          </w:p>
          <w:p>
            <w:pPr>
              <w:spacing w:line="239" w:lineRule="auto"/>
              <w:ind w:left="116" w:right="163" w:firstLine="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4"/>
                <w:sz w:val="21"/>
                <w:szCs w:val="21"/>
                <w:highlight w:val="none"/>
              </w:rPr>
              <w:t>其</w:t>
            </w:r>
            <w:r>
              <w:rPr>
                <w:rFonts w:hint="eastAsia" w:ascii="宋体" w:hAnsi="宋体" w:eastAsia="宋体" w:cs="宋体"/>
                <w:color w:val="auto"/>
                <w:spacing w:val="-9"/>
                <w:sz w:val="21"/>
                <w:szCs w:val="21"/>
                <w:highlight w:val="none"/>
              </w:rPr>
              <w:t>中</w:t>
            </w:r>
            <w:r>
              <w:rPr>
                <w:rFonts w:hint="eastAsia" w:ascii="宋体" w:hAnsi="宋体" w:eastAsia="宋体" w:cs="宋体"/>
                <w:color w:val="auto"/>
                <w:spacing w:val="-7"/>
                <w:sz w:val="21"/>
                <w:szCs w:val="21"/>
                <w:highlight w:val="none"/>
              </w:rPr>
              <w:t>： P 为评标价所占权重分值。招标人可依</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据项目特</w:t>
            </w:r>
            <w:r>
              <w:rPr>
                <w:rFonts w:hint="eastAsia" w:ascii="宋体" w:hAnsi="宋体" w:eastAsia="宋体" w:cs="宋体"/>
                <w:color w:val="auto"/>
                <w:sz w:val="21"/>
                <w:szCs w:val="21"/>
                <w:highlight w:val="none"/>
              </w:rPr>
              <w:t>点和实际情况选择适合本项目的</w:t>
            </w:r>
            <w:r>
              <w:rPr>
                <w:rFonts w:hint="eastAsia" w:ascii="宋体" w:hAnsi="宋体" w:eastAsia="宋体" w:cs="宋体"/>
                <w:color w:val="auto"/>
                <w:spacing w:val="-6"/>
                <w:sz w:val="21"/>
                <w:szCs w:val="21"/>
                <w:highlight w:val="none"/>
              </w:rPr>
              <w:t>E</w:t>
            </w:r>
            <w:r>
              <w:rPr>
                <w:rFonts w:hint="eastAsia" w:ascii="宋体" w:hAnsi="宋体" w:eastAsia="宋体" w:cs="宋体"/>
                <w:color w:val="auto"/>
                <w:spacing w:val="-11"/>
                <w:sz w:val="21"/>
                <w:szCs w:val="21"/>
                <w:highlight w:val="none"/>
              </w:rPr>
              <w:t>1</w:t>
            </w:r>
            <w:r>
              <w:rPr>
                <w:rFonts w:hint="eastAsia" w:ascii="宋体" w:hAnsi="宋体" w:eastAsia="宋体" w:cs="宋体"/>
                <w:color w:val="auto"/>
                <w:spacing w:val="-6"/>
                <w:sz w:val="21"/>
                <w:szCs w:val="21"/>
                <w:highlight w:val="none"/>
              </w:rPr>
              <w:t>、E2 值</w:t>
            </w:r>
            <w:r>
              <w:rPr>
                <w:rFonts w:hint="eastAsia" w:ascii="宋体" w:hAnsi="宋体" w:eastAsia="宋体" w:cs="宋体"/>
                <w:color w:val="auto"/>
                <w:spacing w:val="-6"/>
                <w:sz w:val="21"/>
                <w:szCs w:val="21"/>
                <w:highlight w:val="none"/>
                <w:lang w:eastAsia="zh-CN"/>
              </w:rPr>
              <w:t>。</w:t>
            </w:r>
          </w:p>
        </w:tc>
      </w:tr>
    </w:tbl>
    <w:p>
      <w:pPr>
        <w:rPr>
          <w:rFonts w:hint="eastAsia" w:ascii="宋体" w:hAnsi="宋体" w:eastAsia="宋体" w:cs="宋体"/>
          <w:color w:val="auto"/>
          <w:sz w:val="21"/>
          <w:highlight w:val="none"/>
        </w:rPr>
      </w:pPr>
    </w:p>
    <w:p>
      <w:pPr>
        <w:spacing w:before="141" w:line="238" w:lineRule="auto"/>
        <w:ind w:left="13"/>
        <w:outlineLvl w:val="0"/>
        <w:rPr>
          <w:rFonts w:hint="eastAsia" w:ascii="宋体" w:hAnsi="宋体" w:eastAsia="宋体" w:cs="宋体"/>
          <w:b/>
          <w:bCs/>
          <w:color w:val="auto"/>
          <w:spacing w:val="8"/>
          <w:sz w:val="31"/>
          <w:szCs w:val="31"/>
          <w:highlight w:val="none"/>
        </w:rPr>
      </w:pPr>
    </w:p>
    <w:p>
      <w:pPr>
        <w:spacing w:before="141" w:line="238" w:lineRule="auto"/>
        <w:ind w:left="13"/>
        <w:outlineLvl w:val="0"/>
        <w:rPr>
          <w:rFonts w:hint="eastAsia" w:ascii="宋体" w:hAnsi="宋体" w:eastAsia="宋体" w:cs="宋体"/>
          <w:color w:val="auto"/>
          <w:sz w:val="31"/>
          <w:szCs w:val="31"/>
          <w:highlight w:val="none"/>
        </w:rPr>
      </w:pPr>
      <w:r>
        <w:rPr>
          <w:rFonts w:hint="eastAsia" w:ascii="宋体" w:hAnsi="宋体" w:eastAsia="宋体" w:cs="宋体"/>
          <w:b/>
          <w:bCs/>
          <w:color w:val="auto"/>
          <w:spacing w:val="8"/>
          <w:sz w:val="31"/>
          <w:szCs w:val="31"/>
          <w:highlight w:val="none"/>
        </w:rPr>
        <w:t>1</w:t>
      </w:r>
      <w:r>
        <w:rPr>
          <w:rFonts w:hint="eastAsia" w:ascii="宋体" w:hAnsi="宋体" w:eastAsia="宋体" w:cs="宋体"/>
          <w:b/>
          <w:bCs/>
          <w:color w:val="auto"/>
          <w:spacing w:val="4"/>
          <w:sz w:val="31"/>
          <w:szCs w:val="31"/>
          <w:highlight w:val="none"/>
        </w:rPr>
        <w:t>.</w:t>
      </w:r>
      <w:r>
        <w:rPr>
          <w:rFonts w:hint="eastAsia" w:ascii="宋体" w:hAnsi="宋体" w:eastAsia="宋体" w:cs="宋体"/>
          <w:color w:val="auto"/>
          <w:spacing w:val="4"/>
          <w:sz w:val="31"/>
          <w:szCs w:val="31"/>
          <w:highlight w:val="none"/>
        </w:rPr>
        <w:t xml:space="preserve">  </w:t>
      </w:r>
      <w:r>
        <w:rPr>
          <w:rFonts w:hint="eastAsia" w:ascii="宋体" w:hAnsi="宋体" w:eastAsia="宋体" w:cs="宋体"/>
          <w:color w:val="auto"/>
          <w:spacing w:val="4"/>
          <w:sz w:val="31"/>
          <w:szCs w:val="31"/>
          <w:highlight w:val="none"/>
          <w14:textOutline w14:w="5791" w14:cap="flat" w14:cmpd="sng">
            <w14:solidFill>
              <w14:srgbClr w14:val="000000"/>
            </w14:solidFill>
            <w14:prstDash w14:val="solid"/>
            <w14:miter w14:val="0"/>
          </w14:textOutline>
        </w:rPr>
        <w:t>评标方法</w:t>
      </w:r>
    </w:p>
    <w:p>
      <w:pPr>
        <w:spacing w:line="241" w:lineRule="auto"/>
        <w:rPr>
          <w:rFonts w:hint="eastAsia" w:ascii="宋体" w:hAnsi="宋体" w:eastAsia="宋体" w:cs="宋体"/>
          <w:color w:val="auto"/>
          <w:sz w:val="21"/>
          <w:highlight w:val="none"/>
        </w:rPr>
      </w:pPr>
    </w:p>
    <w:p>
      <w:pPr>
        <w:spacing w:before="68" w:line="363" w:lineRule="auto"/>
        <w:ind w:firstLine="42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本次评标采用综合评估法。评标委员会对满足招标文</w:t>
      </w:r>
      <w:r>
        <w:rPr>
          <w:rFonts w:hint="eastAsia" w:ascii="宋体" w:hAnsi="宋体" w:eastAsia="宋体" w:cs="宋体"/>
          <w:color w:val="auto"/>
          <w:sz w:val="21"/>
          <w:szCs w:val="21"/>
          <w:highlight w:val="none"/>
        </w:rPr>
        <w:t xml:space="preserve">件实质性要求的投标文件，按照本章 </w:t>
      </w:r>
      <w:r>
        <w:rPr>
          <w:rFonts w:hint="eastAsia" w:ascii="宋体" w:hAnsi="宋体" w:eastAsia="宋体" w:cs="宋体"/>
          <w:color w:val="auto"/>
          <w:spacing w:val="-2"/>
          <w:sz w:val="21"/>
          <w:szCs w:val="21"/>
          <w:highlight w:val="none"/>
        </w:rPr>
        <w:t>第 2.2 款规定的评分标准进行打分，并按得分由高到低顺序推荐</w:t>
      </w:r>
      <w:r>
        <w:rPr>
          <w:rFonts w:hint="eastAsia" w:ascii="宋体" w:hAnsi="宋体" w:eastAsia="宋体" w:cs="宋体"/>
          <w:color w:val="auto"/>
          <w:spacing w:val="-1"/>
          <w:sz w:val="21"/>
          <w:szCs w:val="21"/>
          <w:highlight w:val="none"/>
        </w:rPr>
        <w:t>中标候选人，或根据招标人授</w:t>
      </w:r>
      <w:r>
        <w:rPr>
          <w:rFonts w:hint="eastAsia" w:ascii="宋体" w:hAnsi="宋体" w:eastAsia="宋体" w:cs="宋体"/>
          <w:color w:val="auto"/>
          <w:spacing w:val="1"/>
          <w:sz w:val="21"/>
          <w:szCs w:val="21"/>
          <w:highlight w:val="none"/>
        </w:rPr>
        <w:t>权直接确定中标人，但投标报价低于其成本的除外。综合评</w:t>
      </w:r>
      <w:r>
        <w:rPr>
          <w:rFonts w:hint="eastAsia" w:ascii="宋体" w:hAnsi="宋体" w:eastAsia="宋体" w:cs="宋体"/>
          <w:color w:val="auto"/>
          <w:sz w:val="21"/>
          <w:szCs w:val="21"/>
          <w:highlight w:val="none"/>
        </w:rPr>
        <w:t xml:space="preserve">分相等时，以投标报价低的优先； </w:t>
      </w:r>
      <w:r>
        <w:rPr>
          <w:rFonts w:hint="eastAsia" w:ascii="宋体" w:hAnsi="宋体" w:eastAsia="宋体" w:cs="宋体"/>
          <w:color w:val="auto"/>
          <w:spacing w:val="1"/>
          <w:sz w:val="21"/>
          <w:szCs w:val="21"/>
          <w:highlight w:val="none"/>
        </w:rPr>
        <w:t>投标报价也相等的，以技术得分高的优先；如果技术得分也</w:t>
      </w:r>
      <w:r>
        <w:rPr>
          <w:rFonts w:hint="eastAsia" w:ascii="宋体" w:hAnsi="宋体" w:eastAsia="宋体" w:cs="宋体"/>
          <w:color w:val="auto"/>
          <w:sz w:val="21"/>
          <w:szCs w:val="21"/>
          <w:highlight w:val="none"/>
        </w:rPr>
        <w:t>相等，按照评标办法前附表的规定</w:t>
      </w:r>
      <w:r>
        <w:rPr>
          <w:rFonts w:hint="eastAsia" w:ascii="宋体" w:hAnsi="宋体" w:eastAsia="宋体" w:cs="宋体"/>
          <w:color w:val="auto"/>
          <w:spacing w:val="-1"/>
          <w:sz w:val="21"/>
          <w:szCs w:val="21"/>
          <w:highlight w:val="none"/>
        </w:rPr>
        <w:t>确定中标</w:t>
      </w:r>
      <w:r>
        <w:rPr>
          <w:rFonts w:hint="eastAsia" w:ascii="宋体" w:hAnsi="宋体" w:eastAsia="宋体" w:cs="宋体"/>
          <w:color w:val="auto"/>
          <w:sz w:val="21"/>
          <w:szCs w:val="21"/>
          <w:highlight w:val="none"/>
        </w:rPr>
        <w:t>候选人顺序。</w:t>
      </w:r>
    </w:p>
    <w:p>
      <w:pPr>
        <w:spacing w:before="256" w:line="239" w:lineRule="auto"/>
        <w:outlineLvl w:val="0"/>
        <w:rPr>
          <w:rFonts w:hint="eastAsia" w:ascii="宋体" w:hAnsi="宋体" w:eastAsia="宋体" w:cs="宋体"/>
          <w:color w:val="auto"/>
          <w:sz w:val="31"/>
          <w:szCs w:val="31"/>
          <w:highlight w:val="none"/>
        </w:rPr>
      </w:pPr>
      <w:r>
        <w:rPr>
          <w:rFonts w:hint="eastAsia" w:ascii="宋体" w:hAnsi="宋体" w:eastAsia="宋体" w:cs="宋体"/>
          <w:b/>
          <w:bCs/>
          <w:color w:val="auto"/>
          <w:spacing w:val="7"/>
          <w:sz w:val="31"/>
          <w:szCs w:val="31"/>
          <w:highlight w:val="none"/>
        </w:rPr>
        <w:t>2</w:t>
      </w:r>
      <w:r>
        <w:rPr>
          <w:rFonts w:hint="eastAsia" w:ascii="宋体" w:hAnsi="宋体" w:eastAsia="宋体" w:cs="宋体"/>
          <w:b/>
          <w:bCs/>
          <w:color w:val="auto"/>
          <w:spacing w:val="6"/>
          <w:sz w:val="31"/>
          <w:szCs w:val="31"/>
          <w:highlight w:val="none"/>
        </w:rPr>
        <w:t>.</w:t>
      </w:r>
      <w:r>
        <w:rPr>
          <w:rFonts w:hint="eastAsia" w:ascii="宋体" w:hAnsi="宋体" w:eastAsia="宋体" w:cs="宋体"/>
          <w:color w:val="auto"/>
          <w:spacing w:val="6"/>
          <w:sz w:val="31"/>
          <w:szCs w:val="31"/>
          <w:highlight w:val="none"/>
        </w:rPr>
        <w:t xml:space="preserve">  </w:t>
      </w:r>
      <w:r>
        <w:rPr>
          <w:rFonts w:hint="eastAsia" w:ascii="宋体" w:hAnsi="宋体" w:eastAsia="宋体" w:cs="宋体"/>
          <w:color w:val="auto"/>
          <w:spacing w:val="6"/>
          <w:sz w:val="31"/>
          <w:szCs w:val="31"/>
          <w:highlight w:val="none"/>
          <w14:textOutline w14:w="5791" w14:cap="flat" w14:cmpd="sng">
            <w14:solidFill>
              <w14:srgbClr w14:val="000000"/>
            </w14:solidFill>
            <w14:prstDash w14:val="solid"/>
            <w14:miter w14:val="0"/>
          </w14:textOutline>
        </w:rPr>
        <w:t>评审标准</w:t>
      </w:r>
    </w:p>
    <w:p>
      <w:pPr>
        <w:spacing w:line="472" w:lineRule="auto"/>
        <w:rPr>
          <w:rFonts w:hint="eastAsia" w:ascii="宋体" w:hAnsi="宋体" w:eastAsia="宋体" w:cs="宋体"/>
          <w:color w:val="auto"/>
          <w:sz w:val="21"/>
          <w:highlight w:val="none"/>
        </w:rPr>
      </w:pPr>
    </w:p>
    <w:p>
      <w:pPr>
        <w:spacing w:before="91" w:line="219" w:lineRule="auto"/>
        <w:ind w:left="135"/>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2.1</w:t>
      </w:r>
      <w:r>
        <w:rPr>
          <w:rFonts w:hint="eastAsia" w:ascii="宋体" w:hAnsi="宋体" w:eastAsia="宋体" w:cs="宋体"/>
          <w:color w:val="auto"/>
          <w:sz w:val="28"/>
          <w:szCs w:val="28"/>
          <w:highlight w:val="none"/>
        </w:rPr>
        <w:t xml:space="preserve">  初步评审标准</w:t>
      </w:r>
    </w:p>
    <w:p>
      <w:pPr>
        <w:spacing w:line="316" w:lineRule="auto"/>
        <w:rPr>
          <w:rFonts w:hint="eastAsia" w:ascii="宋体" w:hAnsi="宋体" w:eastAsia="宋体" w:cs="宋体"/>
          <w:color w:val="auto"/>
          <w:sz w:val="21"/>
          <w:highlight w:val="none"/>
        </w:rPr>
      </w:pPr>
    </w:p>
    <w:p>
      <w:pPr>
        <w:spacing w:before="69" w:line="220" w:lineRule="auto"/>
        <w:ind w:left="41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1.1  形式评审标准：见评标办法前附表。</w:t>
      </w:r>
    </w:p>
    <w:p>
      <w:pPr>
        <w:spacing w:before="150" w:line="219" w:lineRule="auto"/>
        <w:ind w:left="41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2.1.2  资格评审标准：见评</w:t>
      </w:r>
      <w:r>
        <w:rPr>
          <w:rFonts w:hint="eastAsia" w:ascii="宋体" w:hAnsi="宋体" w:eastAsia="宋体" w:cs="宋体"/>
          <w:color w:val="auto"/>
          <w:sz w:val="21"/>
          <w:szCs w:val="21"/>
          <w:highlight w:val="none"/>
        </w:rPr>
        <w:t>标办法前附表。</w:t>
      </w:r>
    </w:p>
    <w:p>
      <w:pPr>
        <w:spacing w:before="151" w:line="220" w:lineRule="auto"/>
        <w:ind w:left="416"/>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4"/>
          <w:sz w:val="21"/>
          <w:szCs w:val="21"/>
          <w:highlight w:val="none"/>
        </w:rPr>
        <w:t>1.3  响应性评审标准： 见评标办法前附表。</w:t>
      </w:r>
    </w:p>
    <w:p>
      <w:pPr>
        <w:spacing w:before="310" w:line="219" w:lineRule="auto"/>
        <w:ind w:left="135"/>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 xml:space="preserve">2.2 </w:t>
      </w:r>
      <w:r>
        <w:rPr>
          <w:rFonts w:hint="eastAsia" w:ascii="宋体" w:hAnsi="宋体" w:eastAsia="宋体" w:cs="宋体"/>
          <w:color w:val="auto"/>
          <w:sz w:val="28"/>
          <w:szCs w:val="28"/>
          <w:highlight w:val="none"/>
        </w:rPr>
        <w:t xml:space="preserve"> 分值构成与评分标准</w:t>
      </w:r>
    </w:p>
    <w:p>
      <w:pPr>
        <w:spacing w:line="318" w:lineRule="auto"/>
        <w:rPr>
          <w:rFonts w:hint="eastAsia" w:ascii="宋体" w:hAnsi="宋体" w:eastAsia="宋体" w:cs="宋体"/>
          <w:color w:val="auto"/>
          <w:sz w:val="21"/>
          <w:highlight w:val="none"/>
        </w:rPr>
      </w:pPr>
    </w:p>
    <w:p>
      <w:pPr>
        <w:spacing w:before="69" w:line="221" w:lineRule="auto"/>
        <w:ind w:left="41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2.1  分值构成</w:t>
      </w:r>
    </w:p>
    <w:p>
      <w:pPr>
        <w:spacing w:before="150" w:line="220"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 商务部分：见评标办法前附表</w:t>
      </w:r>
      <w:r>
        <w:rPr>
          <w:rFonts w:hint="eastAsia" w:ascii="宋体" w:hAnsi="宋体" w:eastAsia="宋体" w:cs="宋体"/>
          <w:color w:val="auto"/>
          <w:spacing w:val="1"/>
          <w:sz w:val="21"/>
          <w:szCs w:val="21"/>
          <w:highlight w:val="none"/>
        </w:rPr>
        <w:t>；</w:t>
      </w:r>
    </w:p>
    <w:p>
      <w:pPr>
        <w:spacing w:before="151" w:line="220"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 技术部分：见评标办法前附表</w:t>
      </w:r>
      <w:r>
        <w:rPr>
          <w:rFonts w:hint="eastAsia" w:ascii="宋体" w:hAnsi="宋体" w:eastAsia="宋体" w:cs="宋体"/>
          <w:color w:val="auto"/>
          <w:spacing w:val="1"/>
          <w:sz w:val="21"/>
          <w:szCs w:val="21"/>
          <w:highlight w:val="none"/>
        </w:rPr>
        <w:t>；</w:t>
      </w:r>
    </w:p>
    <w:p>
      <w:pPr>
        <w:spacing w:before="148" w:line="219"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 投标报价：见评标办法前附表</w:t>
      </w:r>
      <w:r>
        <w:rPr>
          <w:rFonts w:hint="eastAsia" w:ascii="宋体" w:hAnsi="宋体" w:eastAsia="宋体" w:cs="宋体"/>
          <w:color w:val="auto"/>
          <w:spacing w:val="1"/>
          <w:sz w:val="21"/>
          <w:szCs w:val="21"/>
          <w:highlight w:val="none"/>
        </w:rPr>
        <w:t>；</w:t>
      </w:r>
    </w:p>
    <w:p>
      <w:pPr>
        <w:spacing w:before="152" w:line="218"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(4) 其他评分因素：见评标办法前附表</w:t>
      </w:r>
      <w:r>
        <w:rPr>
          <w:rFonts w:hint="eastAsia" w:ascii="宋体" w:hAnsi="宋体" w:eastAsia="宋体" w:cs="宋体"/>
          <w:color w:val="auto"/>
          <w:spacing w:val="2"/>
          <w:sz w:val="21"/>
          <w:szCs w:val="21"/>
          <w:highlight w:val="none"/>
        </w:rPr>
        <w:t>。</w:t>
      </w:r>
    </w:p>
    <w:p>
      <w:pPr>
        <w:spacing w:before="153" w:line="219" w:lineRule="auto"/>
        <w:ind w:left="41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2.2  评标基准价计算</w:t>
      </w:r>
    </w:p>
    <w:p>
      <w:pPr>
        <w:spacing w:before="150" w:line="219" w:lineRule="auto"/>
        <w:ind w:left="41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评标</w:t>
      </w:r>
      <w:r>
        <w:rPr>
          <w:rFonts w:hint="eastAsia" w:ascii="宋体" w:hAnsi="宋体" w:eastAsia="宋体" w:cs="宋体"/>
          <w:color w:val="auto"/>
          <w:sz w:val="21"/>
          <w:szCs w:val="21"/>
          <w:highlight w:val="none"/>
        </w:rPr>
        <w:t>基准价计算方法：见评标办法前附表。</w:t>
      </w:r>
    </w:p>
    <w:p>
      <w:pPr>
        <w:spacing w:before="151" w:line="219" w:lineRule="auto"/>
        <w:ind w:left="41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2.2</w:t>
      </w:r>
      <w:r>
        <w:rPr>
          <w:rFonts w:hint="eastAsia" w:ascii="宋体" w:hAnsi="宋体" w:eastAsia="宋体" w:cs="宋体"/>
          <w:color w:val="auto"/>
          <w:sz w:val="21"/>
          <w:szCs w:val="21"/>
          <w:highlight w:val="none"/>
        </w:rPr>
        <w:t>.3  投标报价的偏差率计算</w:t>
      </w:r>
    </w:p>
    <w:p>
      <w:pPr>
        <w:spacing w:before="152" w:line="219" w:lineRule="auto"/>
        <w:ind w:left="42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投标报价的偏差率计算公式：见评标办法前附表</w:t>
      </w:r>
      <w:r>
        <w:rPr>
          <w:rFonts w:hint="eastAsia" w:ascii="宋体" w:hAnsi="宋体" w:eastAsia="宋体" w:cs="宋体"/>
          <w:color w:val="auto"/>
          <w:sz w:val="21"/>
          <w:szCs w:val="21"/>
          <w:highlight w:val="none"/>
        </w:rPr>
        <w:t>。</w:t>
      </w:r>
    </w:p>
    <w:p>
      <w:pPr>
        <w:spacing w:before="149" w:line="221" w:lineRule="auto"/>
        <w:ind w:left="41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2.4  评分标准</w:t>
      </w:r>
    </w:p>
    <w:p>
      <w:pPr>
        <w:spacing w:before="149" w:line="220"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w:t>
      </w:r>
      <w:r>
        <w:rPr>
          <w:rFonts w:hint="eastAsia" w:ascii="宋体" w:hAnsi="宋体" w:eastAsia="宋体" w:cs="宋体"/>
          <w:color w:val="auto"/>
          <w:spacing w:val="3"/>
          <w:sz w:val="21"/>
          <w:szCs w:val="21"/>
          <w:highlight w:val="none"/>
        </w:rPr>
        <w:t xml:space="preserve"> 商务评分标准：见评标办法前附表；</w:t>
      </w:r>
    </w:p>
    <w:p>
      <w:pPr>
        <w:spacing w:before="151" w:line="220"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w:t>
      </w:r>
      <w:r>
        <w:rPr>
          <w:rFonts w:hint="eastAsia" w:ascii="宋体" w:hAnsi="宋体" w:eastAsia="宋体" w:cs="宋体"/>
          <w:color w:val="auto"/>
          <w:spacing w:val="3"/>
          <w:sz w:val="21"/>
          <w:szCs w:val="21"/>
          <w:highlight w:val="none"/>
        </w:rPr>
        <w:t xml:space="preserve"> 技术评分标准：见评标办法前附表；</w:t>
      </w:r>
    </w:p>
    <w:p>
      <w:pPr>
        <w:spacing w:before="148" w:line="219"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3"/>
          <w:sz w:val="21"/>
          <w:szCs w:val="21"/>
          <w:highlight w:val="none"/>
        </w:rPr>
        <w:t>3) 投标报价评分标准：见评标办法前附表；</w:t>
      </w:r>
    </w:p>
    <w:p>
      <w:pPr>
        <w:spacing w:before="153" w:line="218" w:lineRule="auto"/>
        <w:ind w:left="427"/>
        <w:rPr>
          <w:rFonts w:hint="eastAsia" w:ascii="宋体" w:hAnsi="宋体" w:eastAsia="宋体" w:cs="宋体"/>
          <w:color w:val="auto"/>
          <w:spacing w:val="3"/>
          <w:sz w:val="21"/>
          <w:szCs w:val="21"/>
          <w:highlight w:val="none"/>
        </w:rPr>
      </w:pPr>
      <w:r>
        <w:rPr>
          <w:rFonts w:hint="eastAsia" w:ascii="宋体" w:hAnsi="宋体" w:eastAsia="宋体" w:cs="宋体"/>
          <w:color w:val="auto"/>
          <w:spacing w:val="6"/>
          <w:sz w:val="21"/>
          <w:szCs w:val="21"/>
          <w:highlight w:val="none"/>
        </w:rPr>
        <w:t xml:space="preserve">(4) </w:t>
      </w:r>
      <w:r>
        <w:rPr>
          <w:rFonts w:hint="eastAsia" w:ascii="宋体" w:hAnsi="宋体" w:eastAsia="宋体" w:cs="宋体"/>
          <w:color w:val="auto"/>
          <w:spacing w:val="3"/>
          <w:sz w:val="21"/>
          <w:szCs w:val="21"/>
          <w:highlight w:val="none"/>
        </w:rPr>
        <w:t>其他因素评分标准：见评标办法前附表。</w:t>
      </w:r>
    </w:p>
    <w:p>
      <w:pPr>
        <w:pStyle w:val="23"/>
        <w:rPr>
          <w:rFonts w:hint="eastAsia"/>
          <w:color w:val="auto"/>
          <w:highlight w:val="none"/>
        </w:rPr>
      </w:pPr>
    </w:p>
    <w:p>
      <w:pPr>
        <w:spacing w:before="140" w:line="239" w:lineRule="auto"/>
        <w:outlineLvl w:val="0"/>
        <w:rPr>
          <w:rFonts w:hint="eastAsia" w:ascii="宋体" w:hAnsi="宋体" w:eastAsia="宋体" w:cs="宋体"/>
          <w:color w:val="auto"/>
          <w:sz w:val="31"/>
          <w:szCs w:val="31"/>
          <w:highlight w:val="none"/>
        </w:rPr>
      </w:pPr>
      <w:r>
        <w:rPr>
          <w:rFonts w:hint="eastAsia" w:ascii="宋体" w:hAnsi="宋体" w:eastAsia="宋体" w:cs="宋体"/>
          <w:b/>
          <w:bCs/>
          <w:color w:val="auto"/>
          <w:spacing w:val="10"/>
          <w:sz w:val="31"/>
          <w:szCs w:val="31"/>
          <w:highlight w:val="none"/>
        </w:rPr>
        <w:t>3</w:t>
      </w:r>
      <w:r>
        <w:rPr>
          <w:rFonts w:hint="eastAsia" w:ascii="宋体" w:hAnsi="宋体" w:eastAsia="宋体" w:cs="宋体"/>
          <w:b/>
          <w:bCs/>
          <w:color w:val="auto"/>
          <w:spacing w:val="6"/>
          <w:sz w:val="31"/>
          <w:szCs w:val="31"/>
          <w:highlight w:val="none"/>
        </w:rPr>
        <w:t>.</w:t>
      </w:r>
      <w:r>
        <w:rPr>
          <w:rFonts w:hint="eastAsia" w:ascii="宋体" w:hAnsi="宋体" w:eastAsia="宋体" w:cs="宋体"/>
          <w:color w:val="auto"/>
          <w:spacing w:val="6"/>
          <w:sz w:val="31"/>
          <w:szCs w:val="31"/>
          <w:highlight w:val="none"/>
        </w:rPr>
        <w:t xml:space="preserve">  </w:t>
      </w:r>
      <w:r>
        <w:rPr>
          <w:rFonts w:hint="eastAsia" w:ascii="宋体" w:hAnsi="宋体" w:eastAsia="宋体" w:cs="宋体"/>
          <w:color w:val="auto"/>
          <w:spacing w:val="6"/>
          <w:sz w:val="31"/>
          <w:szCs w:val="31"/>
          <w:highlight w:val="none"/>
          <w14:textOutline w14:w="5791" w14:cap="flat" w14:cmpd="sng">
            <w14:solidFill>
              <w14:srgbClr w14:val="000000"/>
            </w14:solidFill>
            <w14:prstDash w14:val="solid"/>
            <w14:miter w14:val="0"/>
          </w14:textOutline>
        </w:rPr>
        <w:t>评标程序</w:t>
      </w:r>
    </w:p>
    <w:p>
      <w:pPr>
        <w:spacing w:before="91" w:line="219" w:lineRule="auto"/>
        <w:ind w:left="143"/>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3.1  初步评</w:t>
      </w:r>
      <w:r>
        <w:rPr>
          <w:rFonts w:hint="eastAsia" w:ascii="宋体" w:hAnsi="宋体" w:eastAsia="宋体" w:cs="宋体"/>
          <w:color w:val="auto"/>
          <w:sz w:val="28"/>
          <w:szCs w:val="28"/>
          <w:highlight w:val="none"/>
        </w:rPr>
        <w:t>审</w:t>
      </w:r>
    </w:p>
    <w:p>
      <w:pPr>
        <w:spacing w:line="318" w:lineRule="auto"/>
        <w:rPr>
          <w:rFonts w:hint="eastAsia" w:ascii="宋体" w:hAnsi="宋体" w:eastAsia="宋体" w:cs="宋体"/>
          <w:color w:val="auto"/>
          <w:sz w:val="21"/>
          <w:highlight w:val="none"/>
        </w:rPr>
      </w:pPr>
    </w:p>
    <w:p>
      <w:pPr>
        <w:spacing w:before="68" w:line="352" w:lineRule="auto"/>
        <w:ind w:left="2" w:right="18" w:firstLine="42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3.1.1  评标委员会可以要求投标人提交第二章“投标人须知”规定的有关证明和证件的原件， </w:t>
      </w:r>
      <w:r>
        <w:rPr>
          <w:rFonts w:hint="eastAsia" w:ascii="宋体" w:hAnsi="宋体" w:eastAsia="宋体" w:cs="宋体"/>
          <w:color w:val="auto"/>
          <w:spacing w:val="1"/>
          <w:sz w:val="21"/>
          <w:szCs w:val="21"/>
          <w:highlight w:val="none"/>
        </w:rPr>
        <w:t>以便核验。评标委员会依据本章第 2.1 款规定的标准对投</w:t>
      </w:r>
      <w:r>
        <w:rPr>
          <w:rFonts w:hint="eastAsia" w:ascii="宋体" w:hAnsi="宋体" w:eastAsia="宋体" w:cs="宋体"/>
          <w:color w:val="auto"/>
          <w:sz w:val="21"/>
          <w:szCs w:val="21"/>
          <w:highlight w:val="none"/>
        </w:rPr>
        <w:t>标文件进行初步评审。有一项不符合</w:t>
      </w:r>
      <w:r>
        <w:rPr>
          <w:rFonts w:hint="eastAsia" w:ascii="宋体" w:hAnsi="宋体" w:eastAsia="宋体" w:cs="宋体"/>
          <w:color w:val="auto"/>
          <w:spacing w:val="-1"/>
          <w:sz w:val="21"/>
          <w:szCs w:val="21"/>
          <w:highlight w:val="none"/>
        </w:rPr>
        <w:t>评审标</w:t>
      </w:r>
      <w:r>
        <w:rPr>
          <w:rFonts w:hint="eastAsia" w:ascii="宋体" w:hAnsi="宋体" w:eastAsia="宋体" w:cs="宋体"/>
          <w:color w:val="auto"/>
          <w:sz w:val="21"/>
          <w:szCs w:val="21"/>
          <w:highlight w:val="none"/>
        </w:rPr>
        <w:t>准的，评标委员会应当否决其投标。</w:t>
      </w:r>
    </w:p>
    <w:p>
      <w:pPr>
        <w:spacing w:before="1" w:line="216" w:lineRule="auto"/>
        <w:ind w:left="423"/>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w:t>
      </w:r>
      <w:r>
        <w:rPr>
          <w:rFonts w:hint="eastAsia" w:ascii="宋体" w:hAnsi="宋体" w:eastAsia="宋体" w:cs="宋体"/>
          <w:color w:val="auto"/>
          <w:spacing w:val="-4"/>
          <w:sz w:val="21"/>
          <w:szCs w:val="21"/>
          <w:highlight w:val="none"/>
        </w:rPr>
        <w:t>.1.2  投标人有以下情形之一的， 评标委员会应当否决其投标：</w:t>
      </w:r>
    </w:p>
    <w:p>
      <w:pPr>
        <w:spacing w:before="152" w:line="352" w:lineRule="auto"/>
        <w:ind w:left="3" w:right="73" w:firstLine="42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 投标文件没有对招标文件的实质性要求和条件作出响应，或者对招标文件的偏差超出</w:t>
      </w:r>
      <w:r>
        <w:rPr>
          <w:rFonts w:hint="eastAsia" w:ascii="宋体" w:hAnsi="宋体" w:eastAsia="宋体" w:cs="宋体"/>
          <w:color w:val="auto"/>
          <w:spacing w:val="-1"/>
          <w:sz w:val="21"/>
          <w:szCs w:val="21"/>
          <w:highlight w:val="none"/>
        </w:rPr>
        <w:t>招标文件</w:t>
      </w:r>
      <w:r>
        <w:rPr>
          <w:rFonts w:hint="eastAsia" w:ascii="宋体" w:hAnsi="宋体" w:eastAsia="宋体" w:cs="宋体"/>
          <w:color w:val="auto"/>
          <w:sz w:val="21"/>
          <w:szCs w:val="21"/>
          <w:highlight w:val="none"/>
        </w:rPr>
        <w:t>规定的偏差范围或最高项数；</w:t>
      </w:r>
    </w:p>
    <w:p>
      <w:pPr>
        <w:spacing w:before="1" w:line="219" w:lineRule="auto"/>
        <w:ind w:left="42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4"/>
          <w:sz w:val="21"/>
          <w:szCs w:val="21"/>
          <w:highlight w:val="none"/>
        </w:rPr>
        <w:t>2) 有串通投标、弄虚作假、行贿等违法行为。</w:t>
      </w:r>
    </w:p>
    <w:p>
      <w:pPr>
        <w:spacing w:before="149" w:line="352" w:lineRule="auto"/>
        <w:ind w:left="6" w:right="72" w:firstLine="41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3.1.3  投标报价有算术错误及其他错误的，评标委员会按以下原则要</w:t>
      </w:r>
      <w:r>
        <w:rPr>
          <w:rFonts w:hint="eastAsia" w:ascii="宋体" w:hAnsi="宋体" w:eastAsia="宋体" w:cs="宋体"/>
          <w:color w:val="auto"/>
          <w:spacing w:val="-1"/>
          <w:sz w:val="21"/>
          <w:szCs w:val="21"/>
          <w:highlight w:val="none"/>
        </w:rPr>
        <w:t>求投标人对投标报价进行修正，</w:t>
      </w:r>
      <w:r>
        <w:rPr>
          <w:rFonts w:hint="eastAsia" w:ascii="宋体" w:hAnsi="宋体" w:eastAsia="宋体" w:cs="宋体"/>
          <w:color w:val="auto"/>
          <w:sz w:val="21"/>
          <w:szCs w:val="21"/>
          <w:highlight w:val="none"/>
        </w:rPr>
        <w:t>并要求投标人书面澄清确认。投标人拒不澄清确认的，评标委员会应当否决其投标：</w:t>
      </w:r>
    </w:p>
    <w:p>
      <w:pPr>
        <w:spacing w:line="219" w:lineRule="auto"/>
        <w:ind w:left="42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 投标文件中的</w:t>
      </w:r>
      <w:r>
        <w:rPr>
          <w:rFonts w:hint="eastAsia" w:ascii="宋体" w:hAnsi="宋体" w:eastAsia="宋体" w:cs="宋体"/>
          <w:color w:val="auto"/>
          <w:sz w:val="21"/>
          <w:szCs w:val="21"/>
          <w:highlight w:val="none"/>
        </w:rPr>
        <w:t>大写金额与小写金额不一致的，以大写金额为准；</w:t>
      </w:r>
    </w:p>
    <w:p>
      <w:pPr>
        <w:spacing w:before="148" w:line="353" w:lineRule="auto"/>
        <w:ind w:left="7" w:right="75" w:firstLine="42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2"/>
          <w:sz w:val="21"/>
          <w:szCs w:val="21"/>
          <w:highlight w:val="none"/>
        </w:rPr>
        <w:t>2) 总价金额与单价金额不一致的，以单价金额为准，但单价金额小数点有明显错误的除</w:t>
      </w:r>
      <w:r>
        <w:rPr>
          <w:rFonts w:hint="eastAsia" w:ascii="宋体" w:hAnsi="宋体" w:eastAsia="宋体" w:cs="宋体"/>
          <w:color w:val="auto"/>
          <w:spacing w:val="-7"/>
          <w:sz w:val="21"/>
          <w:szCs w:val="21"/>
          <w:highlight w:val="none"/>
        </w:rPr>
        <w:t>外</w:t>
      </w:r>
      <w:r>
        <w:rPr>
          <w:rFonts w:hint="eastAsia" w:ascii="宋体" w:hAnsi="宋体" w:eastAsia="宋体" w:cs="宋体"/>
          <w:color w:val="auto"/>
          <w:spacing w:val="-5"/>
          <w:sz w:val="21"/>
          <w:szCs w:val="21"/>
          <w:highlight w:val="none"/>
        </w:rPr>
        <w:t>；</w:t>
      </w:r>
    </w:p>
    <w:p>
      <w:pPr>
        <w:spacing w:before="1" w:line="351" w:lineRule="auto"/>
        <w:ind w:left="3" w:right="73" w:firstLine="42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 投标报价为各分项报价金额之和，投标</w:t>
      </w:r>
      <w:r>
        <w:rPr>
          <w:rFonts w:hint="eastAsia" w:ascii="宋体" w:hAnsi="宋体" w:eastAsia="宋体" w:cs="宋体"/>
          <w:color w:val="auto"/>
          <w:sz w:val="21"/>
          <w:szCs w:val="21"/>
          <w:highlight w:val="none"/>
        </w:rPr>
        <w:t>报价与分项报价的合价不一致的，应以各分项</w:t>
      </w:r>
      <w:r>
        <w:rPr>
          <w:rFonts w:hint="eastAsia" w:ascii="宋体" w:hAnsi="宋体" w:eastAsia="宋体" w:cs="宋体"/>
          <w:color w:val="auto"/>
          <w:spacing w:val="-1"/>
          <w:sz w:val="21"/>
          <w:szCs w:val="21"/>
          <w:highlight w:val="none"/>
        </w:rPr>
        <w:t>合价累计</w:t>
      </w:r>
      <w:r>
        <w:rPr>
          <w:rFonts w:hint="eastAsia" w:ascii="宋体" w:hAnsi="宋体" w:eastAsia="宋体" w:cs="宋体"/>
          <w:color w:val="auto"/>
          <w:sz w:val="21"/>
          <w:szCs w:val="21"/>
          <w:highlight w:val="none"/>
        </w:rPr>
        <w:t>数为准，修正投标报价；</w:t>
      </w:r>
    </w:p>
    <w:p>
      <w:pPr>
        <w:spacing w:before="2" w:line="455" w:lineRule="auto"/>
        <w:ind w:left="143" w:right="658" w:firstLine="28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(4) 如果分项报价中存在缺漏项，则视为缺漏项价格已包含</w:t>
      </w:r>
      <w:r>
        <w:rPr>
          <w:rFonts w:hint="eastAsia" w:ascii="宋体" w:hAnsi="宋体" w:eastAsia="宋体" w:cs="宋体"/>
          <w:color w:val="auto"/>
          <w:spacing w:val="1"/>
          <w:sz w:val="21"/>
          <w:szCs w:val="21"/>
          <w:highlight w:val="none"/>
        </w:rPr>
        <w:t>在其他分项报价之中。</w:t>
      </w:r>
      <w:r>
        <w:rPr>
          <w:rFonts w:hint="eastAsia" w:ascii="宋体" w:hAnsi="宋体" w:eastAsia="宋体" w:cs="宋体"/>
          <w:color w:val="auto"/>
          <w:sz w:val="21"/>
          <w:szCs w:val="21"/>
          <w:highlight w:val="none"/>
        </w:rPr>
        <w:t xml:space="preserve"> </w:t>
      </w:r>
    </w:p>
    <w:p>
      <w:pPr>
        <w:spacing w:before="2" w:line="455" w:lineRule="auto"/>
        <w:ind w:left="143" w:right="658" w:firstLine="286"/>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3.2  详细评</w:t>
      </w:r>
      <w:r>
        <w:rPr>
          <w:rFonts w:hint="eastAsia" w:ascii="宋体" w:hAnsi="宋体" w:eastAsia="宋体" w:cs="宋体"/>
          <w:color w:val="auto"/>
          <w:sz w:val="28"/>
          <w:szCs w:val="28"/>
          <w:highlight w:val="none"/>
        </w:rPr>
        <w:t>审</w:t>
      </w:r>
    </w:p>
    <w:p>
      <w:pPr>
        <w:spacing w:before="74" w:line="217" w:lineRule="auto"/>
        <w:ind w:left="42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3.2.1</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4"/>
          <w:sz w:val="21"/>
          <w:szCs w:val="21"/>
          <w:highlight w:val="none"/>
        </w:rPr>
        <w:t xml:space="preserve"> 评标委员会按本章第 2.2 款规定的量化因素和分值进行打分，并计算出综合评估得分。</w:t>
      </w:r>
    </w:p>
    <w:p>
      <w:pPr>
        <w:spacing w:before="152" w:line="220" w:lineRule="auto"/>
        <w:ind w:left="42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 按本章第 2.2.</w:t>
      </w:r>
      <w:r>
        <w:rPr>
          <w:rFonts w:hint="eastAsia" w:ascii="宋体" w:hAnsi="宋体" w:eastAsia="宋体" w:cs="宋体"/>
          <w:color w:val="auto"/>
          <w:sz w:val="21"/>
          <w:szCs w:val="21"/>
          <w:highlight w:val="none"/>
        </w:rPr>
        <w:t>4  (1) 目规定的评审因素和分值对商务部分计算出得分 A；</w:t>
      </w:r>
    </w:p>
    <w:p>
      <w:pPr>
        <w:spacing w:before="151" w:line="220" w:lineRule="auto"/>
        <w:ind w:left="42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 xml:space="preserve">(2) </w:t>
      </w:r>
      <w:r>
        <w:rPr>
          <w:rFonts w:hint="eastAsia" w:ascii="宋体" w:hAnsi="宋体" w:eastAsia="宋体" w:cs="宋体"/>
          <w:color w:val="auto"/>
          <w:spacing w:val="2"/>
          <w:sz w:val="21"/>
          <w:szCs w:val="21"/>
          <w:highlight w:val="none"/>
        </w:rPr>
        <w:t>按本章第 2.2.4  (2) 目规定的评审因素和分值对技术部分计算出得分</w:t>
      </w:r>
      <w:r>
        <w:rPr>
          <w:rFonts w:hint="eastAsia" w:ascii="宋体" w:hAnsi="宋体" w:eastAsia="宋体" w:cs="宋体"/>
          <w:color w:val="auto"/>
          <w:sz w:val="21"/>
          <w:szCs w:val="21"/>
          <w:highlight w:val="none"/>
        </w:rPr>
        <w:t>B</w:t>
      </w:r>
      <w:r>
        <w:rPr>
          <w:rFonts w:hint="eastAsia" w:ascii="宋体" w:hAnsi="宋体" w:eastAsia="宋体" w:cs="宋体"/>
          <w:color w:val="auto"/>
          <w:spacing w:val="2"/>
          <w:sz w:val="21"/>
          <w:szCs w:val="21"/>
          <w:highlight w:val="none"/>
        </w:rPr>
        <w:t>；</w:t>
      </w:r>
    </w:p>
    <w:p>
      <w:pPr>
        <w:spacing w:before="151" w:line="219" w:lineRule="auto"/>
        <w:ind w:left="42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 xml:space="preserve">(3) </w:t>
      </w:r>
      <w:r>
        <w:rPr>
          <w:rFonts w:hint="eastAsia" w:ascii="宋体" w:hAnsi="宋体" w:eastAsia="宋体" w:cs="宋体"/>
          <w:color w:val="auto"/>
          <w:spacing w:val="2"/>
          <w:sz w:val="21"/>
          <w:szCs w:val="21"/>
          <w:highlight w:val="none"/>
        </w:rPr>
        <w:t>按本章第 2.2.4  (3) 目规定的评审因素和分值对投标报价计算出得分</w:t>
      </w:r>
      <w:r>
        <w:rPr>
          <w:rFonts w:hint="eastAsia" w:ascii="宋体" w:hAnsi="宋体" w:eastAsia="宋体" w:cs="宋体"/>
          <w:color w:val="auto"/>
          <w:sz w:val="21"/>
          <w:szCs w:val="21"/>
          <w:highlight w:val="none"/>
        </w:rPr>
        <w:t>C</w:t>
      </w:r>
      <w:r>
        <w:rPr>
          <w:rFonts w:hint="eastAsia" w:ascii="宋体" w:hAnsi="宋体" w:eastAsia="宋体" w:cs="宋体"/>
          <w:color w:val="auto"/>
          <w:spacing w:val="2"/>
          <w:sz w:val="21"/>
          <w:szCs w:val="21"/>
          <w:highlight w:val="none"/>
        </w:rPr>
        <w:t>；</w:t>
      </w:r>
    </w:p>
    <w:p>
      <w:pPr>
        <w:spacing w:before="149" w:line="218" w:lineRule="auto"/>
        <w:ind w:left="42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 按本章第 2.2.</w:t>
      </w:r>
      <w:r>
        <w:rPr>
          <w:rFonts w:hint="eastAsia" w:ascii="宋体" w:hAnsi="宋体" w:eastAsia="宋体" w:cs="宋体"/>
          <w:color w:val="auto"/>
          <w:sz w:val="21"/>
          <w:szCs w:val="21"/>
          <w:highlight w:val="none"/>
        </w:rPr>
        <w:t>4  (4) 目规定的评审因素和分值对其他部分计算出得分 D。</w:t>
      </w:r>
    </w:p>
    <w:p>
      <w:pPr>
        <w:spacing w:before="152" w:line="221" w:lineRule="auto"/>
        <w:ind w:left="42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3.2.</w:t>
      </w:r>
      <w:r>
        <w:rPr>
          <w:rFonts w:hint="eastAsia" w:ascii="宋体" w:hAnsi="宋体" w:eastAsia="宋体" w:cs="宋体"/>
          <w:color w:val="auto"/>
          <w:sz w:val="21"/>
          <w:szCs w:val="21"/>
          <w:highlight w:val="none"/>
        </w:rPr>
        <w:t>2  评分分值计算保留小数点后两位，小数点后第三位“四舍五入”。</w:t>
      </w:r>
    </w:p>
    <w:p>
      <w:pPr>
        <w:spacing w:before="151" w:line="234" w:lineRule="auto"/>
        <w:ind w:left="42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3.2.3  投</w:t>
      </w:r>
      <w:r>
        <w:rPr>
          <w:rFonts w:hint="eastAsia" w:ascii="宋体" w:hAnsi="宋体" w:eastAsia="宋体" w:cs="宋体"/>
          <w:color w:val="auto"/>
          <w:sz w:val="21"/>
          <w:szCs w:val="21"/>
          <w:highlight w:val="none"/>
        </w:rPr>
        <w:t>标人得分=A+B+C+D。</w:t>
      </w:r>
    </w:p>
    <w:p>
      <w:pPr>
        <w:spacing w:before="149" w:line="352" w:lineRule="auto"/>
        <w:ind w:left="6" w:right="72" w:firstLine="416"/>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23"/>
        <w:rPr>
          <w:rFonts w:hint="eastAsia" w:ascii="宋体" w:hAnsi="宋体" w:eastAsia="宋体" w:cs="宋体"/>
          <w:color w:val="auto"/>
          <w:spacing w:val="-5"/>
          <w:sz w:val="21"/>
          <w:szCs w:val="21"/>
          <w:highlight w:val="none"/>
        </w:rPr>
      </w:pPr>
    </w:p>
    <w:p>
      <w:pPr>
        <w:pStyle w:val="23"/>
        <w:rPr>
          <w:rFonts w:hint="eastAsia" w:ascii="宋体" w:hAnsi="宋体" w:eastAsia="宋体" w:cs="宋体"/>
          <w:color w:val="auto"/>
          <w:spacing w:val="-5"/>
          <w:sz w:val="21"/>
          <w:szCs w:val="21"/>
          <w:highlight w:val="none"/>
        </w:rPr>
      </w:pPr>
    </w:p>
    <w:p>
      <w:pPr>
        <w:spacing w:before="134" w:line="219" w:lineRule="auto"/>
        <w:ind w:left="140"/>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3.3  投标文件</w:t>
      </w:r>
      <w:r>
        <w:rPr>
          <w:rFonts w:hint="eastAsia" w:ascii="宋体" w:hAnsi="宋体" w:eastAsia="宋体" w:cs="宋体"/>
          <w:color w:val="auto"/>
          <w:sz w:val="28"/>
          <w:szCs w:val="28"/>
          <w:highlight w:val="none"/>
        </w:rPr>
        <w:t>的澄清</w:t>
      </w:r>
    </w:p>
    <w:p>
      <w:pPr>
        <w:spacing w:line="318" w:lineRule="auto"/>
        <w:rPr>
          <w:rFonts w:hint="eastAsia" w:ascii="宋体" w:hAnsi="宋体" w:eastAsia="宋体" w:cs="宋体"/>
          <w:color w:val="auto"/>
          <w:sz w:val="21"/>
          <w:highlight w:val="none"/>
        </w:rPr>
      </w:pPr>
    </w:p>
    <w:p>
      <w:pPr>
        <w:spacing w:before="68" w:line="352" w:lineRule="auto"/>
        <w:ind w:right="74" w:firstLine="42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w:t>
      </w:r>
      <w:r>
        <w:rPr>
          <w:rFonts w:hint="eastAsia" w:ascii="宋体" w:hAnsi="宋体" w:eastAsia="宋体" w:cs="宋体"/>
          <w:color w:val="auto"/>
          <w:spacing w:val="-4"/>
          <w:sz w:val="21"/>
          <w:szCs w:val="21"/>
          <w:highlight w:val="none"/>
        </w:rPr>
        <w:t>.3.1  在评标过程中， 评标委员会可以书面形式要求投标人对投标文件中含义不明确、对同</w:t>
      </w:r>
      <w:r>
        <w:rPr>
          <w:rFonts w:hint="eastAsia" w:ascii="宋体" w:hAnsi="宋体" w:eastAsia="宋体" w:cs="宋体"/>
          <w:color w:val="auto"/>
          <w:spacing w:val="1"/>
          <w:sz w:val="21"/>
          <w:szCs w:val="21"/>
          <w:highlight w:val="none"/>
        </w:rPr>
        <w:t>类问题表述不一致或者有明显文字和计算错误的内容作必</w:t>
      </w:r>
      <w:r>
        <w:rPr>
          <w:rFonts w:hint="eastAsia" w:ascii="宋体" w:hAnsi="宋体" w:eastAsia="宋体" w:cs="宋体"/>
          <w:color w:val="auto"/>
          <w:sz w:val="21"/>
          <w:szCs w:val="21"/>
          <w:highlight w:val="none"/>
        </w:rPr>
        <w:t>要的澄清、说明或补正。澄清、说明</w:t>
      </w:r>
      <w:r>
        <w:rPr>
          <w:rFonts w:hint="eastAsia" w:ascii="宋体" w:hAnsi="宋体" w:eastAsia="宋体" w:cs="宋体"/>
          <w:color w:val="auto"/>
          <w:spacing w:val="-1"/>
          <w:sz w:val="21"/>
          <w:szCs w:val="21"/>
          <w:highlight w:val="none"/>
        </w:rPr>
        <w:t>或</w:t>
      </w:r>
      <w:r>
        <w:rPr>
          <w:rFonts w:hint="eastAsia" w:ascii="宋体" w:hAnsi="宋体" w:eastAsia="宋体" w:cs="宋体"/>
          <w:color w:val="auto"/>
          <w:sz w:val="21"/>
          <w:szCs w:val="21"/>
          <w:highlight w:val="none"/>
        </w:rPr>
        <w:t>补正应以书面方式进行。评标委员会不接受投标人主动提出的澄清、说明或补正。</w:t>
      </w:r>
    </w:p>
    <w:p>
      <w:pPr>
        <w:spacing w:line="351" w:lineRule="auto"/>
        <w:ind w:left="1" w:right="74" w:firstLine="41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3.3.2  澄清、说明或补正不得超出投标文件的范围且不得改变投标文</w:t>
      </w:r>
      <w:r>
        <w:rPr>
          <w:rFonts w:hint="eastAsia" w:ascii="宋体" w:hAnsi="宋体" w:eastAsia="宋体" w:cs="宋体"/>
          <w:color w:val="auto"/>
          <w:spacing w:val="-1"/>
          <w:sz w:val="21"/>
          <w:szCs w:val="21"/>
          <w:highlight w:val="none"/>
        </w:rPr>
        <w:t>件的实质性内容，并构</w:t>
      </w:r>
      <w:r>
        <w:rPr>
          <w:rFonts w:hint="eastAsia" w:ascii="宋体" w:hAnsi="宋体" w:eastAsia="宋体" w:cs="宋体"/>
          <w:color w:val="auto"/>
          <w:spacing w:val="-2"/>
          <w:sz w:val="21"/>
          <w:szCs w:val="21"/>
          <w:highlight w:val="none"/>
        </w:rPr>
        <w:t>成投标文件的组成部分。</w:t>
      </w:r>
    </w:p>
    <w:p>
      <w:pPr>
        <w:spacing w:before="2" w:line="361" w:lineRule="auto"/>
        <w:ind w:left="2" w:firstLine="417"/>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3.3.3  评</w:t>
      </w:r>
      <w:r>
        <w:rPr>
          <w:rFonts w:hint="eastAsia" w:ascii="宋体" w:hAnsi="宋体" w:eastAsia="宋体" w:cs="宋体"/>
          <w:color w:val="auto"/>
          <w:spacing w:val="-5"/>
          <w:sz w:val="21"/>
          <w:szCs w:val="21"/>
          <w:highlight w:val="none"/>
        </w:rPr>
        <w:t>标</w:t>
      </w:r>
      <w:r>
        <w:rPr>
          <w:rFonts w:hint="eastAsia" w:ascii="宋体" w:hAnsi="宋体" w:eastAsia="宋体" w:cs="宋体"/>
          <w:color w:val="auto"/>
          <w:spacing w:val="-4"/>
          <w:sz w:val="21"/>
          <w:szCs w:val="21"/>
          <w:highlight w:val="none"/>
        </w:rPr>
        <w:t>委员会对投标人提交的澄清、说明或补正有疑问的，可以要求投标人进一步澄清、</w:t>
      </w:r>
      <w:r>
        <w:rPr>
          <w:rFonts w:hint="eastAsia" w:ascii="宋体" w:hAnsi="宋体" w:eastAsia="宋体" w:cs="宋体"/>
          <w:color w:val="auto"/>
          <w:spacing w:val="-1"/>
          <w:sz w:val="21"/>
          <w:szCs w:val="21"/>
          <w:highlight w:val="none"/>
        </w:rPr>
        <w:t>说明或补正，</w:t>
      </w:r>
      <w:r>
        <w:rPr>
          <w:rFonts w:hint="eastAsia" w:ascii="宋体" w:hAnsi="宋体" w:eastAsia="宋体" w:cs="宋体"/>
          <w:color w:val="auto"/>
          <w:sz w:val="21"/>
          <w:szCs w:val="21"/>
          <w:highlight w:val="none"/>
        </w:rPr>
        <w:t>直至满足评标委员会的要求。</w:t>
      </w:r>
    </w:p>
    <w:p>
      <w:pPr>
        <w:spacing w:before="137" w:line="219" w:lineRule="auto"/>
        <w:ind w:left="140"/>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3.4  评标结</w:t>
      </w:r>
      <w:r>
        <w:rPr>
          <w:rFonts w:hint="eastAsia" w:ascii="宋体" w:hAnsi="宋体" w:eastAsia="宋体" w:cs="宋体"/>
          <w:color w:val="auto"/>
          <w:sz w:val="28"/>
          <w:szCs w:val="28"/>
          <w:highlight w:val="none"/>
        </w:rPr>
        <w:t>果</w:t>
      </w:r>
    </w:p>
    <w:p>
      <w:pPr>
        <w:spacing w:line="320" w:lineRule="auto"/>
        <w:rPr>
          <w:rFonts w:hint="eastAsia" w:ascii="宋体" w:hAnsi="宋体" w:eastAsia="宋体" w:cs="宋体"/>
          <w:color w:val="auto"/>
          <w:sz w:val="21"/>
          <w:highlight w:val="none"/>
        </w:rPr>
      </w:pPr>
    </w:p>
    <w:p>
      <w:pPr>
        <w:spacing w:before="68" w:line="352" w:lineRule="auto"/>
        <w:ind w:left="17" w:right="76" w:firstLine="40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3.4.1  除第二章“</w:t>
      </w:r>
      <w:r>
        <w:rPr>
          <w:rFonts w:hint="eastAsia" w:ascii="宋体" w:hAnsi="宋体" w:eastAsia="宋体" w:cs="宋体"/>
          <w:color w:val="auto"/>
          <w:spacing w:val="-1"/>
          <w:sz w:val="21"/>
          <w:szCs w:val="21"/>
          <w:highlight w:val="none"/>
        </w:rPr>
        <w:t>投标人须知”前附表授权直接确定中标人外，评标委员会按照得分由高到低</w:t>
      </w:r>
      <w:r>
        <w:rPr>
          <w:rFonts w:hint="eastAsia" w:ascii="宋体" w:hAnsi="宋体" w:eastAsia="宋体" w:cs="宋体"/>
          <w:color w:val="auto"/>
          <w:spacing w:val="-7"/>
          <w:sz w:val="21"/>
          <w:szCs w:val="21"/>
          <w:highlight w:val="none"/>
        </w:rPr>
        <w:t>的顺序推荐中标候选人，并标明排序。</w:t>
      </w:r>
    </w:p>
    <w:p>
      <w:pPr>
        <w:spacing w:before="1" w:line="216" w:lineRule="auto"/>
        <w:ind w:left="42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3.4.2  评标委员会完成评标后，应当向招标</w:t>
      </w:r>
      <w:r>
        <w:rPr>
          <w:rFonts w:hint="eastAsia" w:ascii="宋体" w:hAnsi="宋体" w:eastAsia="宋体" w:cs="宋体"/>
          <w:color w:val="auto"/>
          <w:sz w:val="21"/>
          <w:szCs w:val="21"/>
          <w:highlight w:val="none"/>
        </w:rPr>
        <w:t>人提交书面评标报告和中标候选人名单。</w:t>
      </w:r>
    </w:p>
    <w:p>
      <w:pPr>
        <w:rPr>
          <w:rFonts w:hint="default" w:ascii="宋体" w:hAnsi="宋体" w:eastAsia="宋体" w:cs="宋体"/>
          <w:color w:val="auto"/>
          <w:kern w:val="0"/>
          <w:sz w:val="22"/>
          <w:szCs w:val="22"/>
          <w:highlight w:val="none"/>
          <w:u w:val="none"/>
          <w:lang w:val="en-US" w:eastAsia="zh-CN" w:bidi="zh-CN"/>
        </w:rPr>
      </w:pPr>
      <w:r>
        <w:rPr>
          <w:rFonts w:hint="default" w:ascii="宋体" w:hAnsi="宋体" w:eastAsia="宋体" w:cs="宋体"/>
          <w:color w:val="auto"/>
          <w:kern w:val="0"/>
          <w:sz w:val="22"/>
          <w:szCs w:val="22"/>
          <w:highlight w:val="none"/>
          <w:u w:val="none"/>
          <w:lang w:val="en-US" w:eastAsia="zh-CN" w:bidi="zh-CN"/>
        </w:rPr>
        <w:t xml:space="preserve">   </w:t>
      </w: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pStyle w:val="7"/>
        <w:numPr>
          <w:ilvl w:val="0"/>
          <w:numId w:val="0"/>
        </w:numPr>
        <w:spacing w:line="360" w:lineRule="auto"/>
        <w:rPr>
          <w:rFonts w:hint="eastAsia" w:ascii="宋体" w:hAnsi="宋体" w:eastAsia="宋体" w:cs="宋体"/>
          <w:bCs w:val="0"/>
          <w:i w:val="0"/>
          <w:iCs w:val="0"/>
          <w:snapToGrid w:val="0"/>
          <w:color w:val="auto"/>
          <w:kern w:val="2"/>
          <w:sz w:val="32"/>
          <w:szCs w:val="32"/>
          <w:highlight w:val="none"/>
          <w:lang w:val="en-US" w:eastAsia="zh-CN" w:bidi="ar-SA"/>
        </w:rPr>
      </w:pPr>
      <w:r>
        <w:rPr>
          <w:rFonts w:hint="eastAsia" w:ascii="宋体" w:hAnsi="宋体" w:eastAsia="宋体" w:cs="宋体"/>
          <w:bCs w:val="0"/>
          <w:i w:val="0"/>
          <w:iCs w:val="0"/>
          <w:snapToGrid w:val="0"/>
          <w:color w:val="auto"/>
          <w:kern w:val="2"/>
          <w:sz w:val="32"/>
          <w:szCs w:val="32"/>
          <w:highlight w:val="none"/>
          <w:lang w:val="en-US" w:eastAsia="zh-CN" w:bidi="ar-SA"/>
        </w:rPr>
        <w:t>附件3：项目概况</w:t>
      </w:r>
    </w:p>
    <w:p>
      <w:pPr>
        <w:spacing w:before="68" w:line="357" w:lineRule="auto"/>
        <w:ind w:right="2"/>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1、 项目概况</w:t>
      </w:r>
    </w:p>
    <w:p>
      <w:pPr>
        <w:spacing w:before="68" w:line="357" w:lineRule="auto"/>
        <w:ind w:left="7" w:right="2" w:firstLine="421"/>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工程位于长江右岸、华容县境东北部塔市驿镇，属岳阳港华容港区塔市驿作业区。从塔市沿长江顺流而下 90km 至城陵矶，其间 13km 处与湖北监利隔江相望；逆流而上 62km 抵湖北省石首港。本项目水工部分于已建设完工（主要建设内容包括件杂货泊位水工部分、散货泊位江侧钢引桥墩台、趸船定位墩）。现就散货泊位采购一艘 80m×15m×2.8m 钢质80米趸船。</w:t>
      </w:r>
    </w:p>
    <w:p>
      <w:pPr>
        <w:spacing w:before="68" w:line="357" w:lineRule="auto"/>
        <w:ind w:right="2"/>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2 、招标范围</w:t>
      </w:r>
    </w:p>
    <w:p>
      <w:pPr>
        <w:spacing w:before="68" w:line="357" w:lineRule="auto"/>
        <w:ind w:left="7" w:right="2" w:firstLine="421"/>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本次招标的主要内容为：散货泊位采购一艘 80m×15m×2.8m 钢质趸船的采购。</w:t>
      </w:r>
    </w:p>
    <w:p>
      <w:pPr>
        <w:spacing w:before="68" w:line="357" w:lineRule="auto"/>
        <w:ind w:left="7" w:right="2" w:firstLine="421"/>
        <w:rPr>
          <w:rFonts w:hint="eastAsia" w:ascii="宋体" w:hAnsi="宋体" w:eastAsia="宋体" w:cs="宋体"/>
          <w:color w:val="auto"/>
          <w:spacing w:val="2"/>
          <w:sz w:val="22"/>
          <w:szCs w:val="22"/>
          <w:highlight w:val="none"/>
          <w:lang w:val="en-US" w:eastAsia="zh-CN"/>
        </w:rPr>
      </w:pPr>
    </w:p>
    <w:p>
      <w:pPr>
        <w:pStyle w:val="5"/>
        <w:ind w:left="0" w:leftChars="0" w:firstLine="0" w:firstLineChars="0"/>
        <w:rPr>
          <w:rFonts w:hint="eastAsia"/>
          <w:lang w:val="en-US" w:eastAsia="zh-CN"/>
        </w:rPr>
      </w:pPr>
      <w:r>
        <w:rPr>
          <w:rFonts w:hint="eastAsia" w:ascii="宋体" w:hAnsi="宋体" w:eastAsia="宋体" w:cs="宋体"/>
          <w:bCs w:val="0"/>
          <w:i w:val="0"/>
          <w:iCs w:val="0"/>
          <w:snapToGrid w:val="0"/>
          <w:color w:val="auto"/>
          <w:kern w:val="2"/>
          <w:sz w:val="32"/>
          <w:szCs w:val="32"/>
          <w:highlight w:val="none"/>
          <w:lang w:val="en-US" w:eastAsia="zh-CN" w:bidi="ar-SA"/>
        </w:rPr>
        <w:t>附件</w:t>
      </w:r>
      <w:r>
        <w:rPr>
          <w:rFonts w:hint="eastAsia" w:ascii="宋体" w:hAnsi="宋体" w:cs="宋体"/>
          <w:bCs w:val="0"/>
          <w:i w:val="0"/>
          <w:iCs w:val="0"/>
          <w:snapToGrid w:val="0"/>
          <w:color w:val="auto"/>
          <w:kern w:val="2"/>
          <w:sz w:val="32"/>
          <w:szCs w:val="32"/>
          <w:highlight w:val="none"/>
          <w:lang w:val="en-US" w:eastAsia="zh-CN" w:bidi="ar-SA"/>
        </w:rPr>
        <w:t>4</w:t>
      </w:r>
      <w:r>
        <w:rPr>
          <w:rFonts w:hint="eastAsia" w:ascii="宋体" w:hAnsi="宋体" w:eastAsia="宋体" w:cs="宋体"/>
          <w:bCs w:val="0"/>
          <w:i w:val="0"/>
          <w:iCs w:val="0"/>
          <w:snapToGrid w:val="0"/>
          <w:color w:val="auto"/>
          <w:kern w:val="2"/>
          <w:sz w:val="32"/>
          <w:szCs w:val="32"/>
          <w:highlight w:val="none"/>
          <w:lang w:val="en-US" w:eastAsia="zh-CN" w:bidi="ar-SA"/>
        </w:rPr>
        <w:t>：</w:t>
      </w:r>
      <w:r>
        <w:rPr>
          <w:rFonts w:hint="eastAsia" w:ascii="宋体" w:hAnsi="宋体" w:cs="宋体"/>
          <w:bCs w:val="0"/>
          <w:i w:val="0"/>
          <w:iCs w:val="0"/>
          <w:snapToGrid w:val="0"/>
          <w:color w:val="auto"/>
          <w:kern w:val="2"/>
          <w:sz w:val="32"/>
          <w:szCs w:val="32"/>
          <w:highlight w:val="none"/>
          <w:lang w:val="en-US" w:eastAsia="zh-CN" w:bidi="ar-SA"/>
        </w:rPr>
        <w:t>总平面布置图</w:t>
      </w:r>
    </w:p>
    <w:p>
      <w:pPr>
        <w:rPr>
          <w:rFonts w:hint="default" w:ascii="宋体" w:hAnsi="宋体" w:eastAsia="宋体" w:cs="宋体"/>
          <w:color w:val="auto"/>
          <w:kern w:val="0"/>
          <w:sz w:val="22"/>
          <w:szCs w:val="22"/>
          <w:highlight w:val="none"/>
          <w:u w:val="none"/>
          <w:lang w:val="en-US" w:eastAsia="zh-CN" w:bidi="zh-CN"/>
        </w:rPr>
      </w:pPr>
      <w:r>
        <w:drawing>
          <wp:anchor distT="0" distB="0" distL="114300" distR="114300" simplePos="0" relativeHeight="251659264" behindDoc="1" locked="0" layoutInCell="1" allowOverlap="1">
            <wp:simplePos x="0" y="0"/>
            <wp:positionH relativeFrom="column">
              <wp:posOffset>-91440</wp:posOffset>
            </wp:positionH>
            <wp:positionV relativeFrom="paragraph">
              <wp:posOffset>20320</wp:posOffset>
            </wp:positionV>
            <wp:extent cx="5939790" cy="4851400"/>
            <wp:effectExtent l="0" t="0" r="381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939790" cy="4851400"/>
                    </a:xfrm>
                    <a:prstGeom prst="rect">
                      <a:avLst/>
                    </a:prstGeom>
                    <a:noFill/>
                    <a:ln>
                      <a:noFill/>
                    </a:ln>
                  </pic:spPr>
                </pic:pic>
              </a:graphicData>
            </a:graphic>
          </wp:anchor>
        </w:drawing>
      </w:r>
    </w:p>
    <w:sectPr>
      <w:pgSz w:w="12240" w:h="15840"/>
      <w:pgMar w:top="1346" w:right="1440" w:bottom="1101" w:left="1440" w:header="0" w:footer="93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E3MGQyOTc3NjM0YmYyMTEzZmYzNzdhNjFiNmUxOTEifQ=="/>
  </w:docVars>
  <w:rsids>
    <w:rsidRoot w:val="00000000"/>
    <w:rsid w:val="022114BB"/>
    <w:rsid w:val="0BBC0D77"/>
    <w:rsid w:val="0F51628B"/>
    <w:rsid w:val="15D63A86"/>
    <w:rsid w:val="16DD5CB3"/>
    <w:rsid w:val="180E295A"/>
    <w:rsid w:val="1AF35E37"/>
    <w:rsid w:val="1F9B4EE5"/>
    <w:rsid w:val="21C3045F"/>
    <w:rsid w:val="23912DAE"/>
    <w:rsid w:val="25AD47E4"/>
    <w:rsid w:val="2A75298A"/>
    <w:rsid w:val="331D61ED"/>
    <w:rsid w:val="3B5D3111"/>
    <w:rsid w:val="3F613E5D"/>
    <w:rsid w:val="456C2D8F"/>
    <w:rsid w:val="47610BFD"/>
    <w:rsid w:val="47BF370E"/>
    <w:rsid w:val="49BF7296"/>
    <w:rsid w:val="51E2547A"/>
    <w:rsid w:val="520E4157"/>
    <w:rsid w:val="5737070D"/>
    <w:rsid w:val="5E5F18BF"/>
    <w:rsid w:val="5F902EC2"/>
    <w:rsid w:val="62965695"/>
    <w:rsid w:val="6312732D"/>
    <w:rsid w:val="6B517AA4"/>
    <w:rsid w:val="6D611D5A"/>
    <w:rsid w:val="6DF50D86"/>
    <w:rsid w:val="6E867293"/>
    <w:rsid w:val="721A43F0"/>
    <w:rsid w:val="7CBF48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6"/>
      <w:szCs w:val="26"/>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First Indent"/>
    <w:basedOn w:val="6"/>
    <w:qFormat/>
    <w:uiPriority w:val="0"/>
    <w:pPr>
      <w:adjustRightInd w:val="0"/>
      <w:spacing w:after="120"/>
      <w:ind w:firstLine="420"/>
      <w:textAlignment w:val="baseline"/>
    </w:pPr>
    <w:rPr>
      <w:sz w:val="34"/>
      <w:szCs w:val="20"/>
      <w:lang w:val="en-US"/>
    </w:rPr>
  </w:style>
  <w:style w:type="paragraph" w:customStyle="1" w:styleId="6">
    <w:name w:val="正文文本_0"/>
    <w:basedOn w:val="7"/>
    <w:next w:val="8"/>
    <w:qFormat/>
    <w:uiPriority w:val="0"/>
    <w:pPr>
      <w:spacing w:after="120"/>
    </w:pPr>
    <w:rPr>
      <w:rFonts w:ascii="Times New Roman" w:hAnsi="Times New Roman" w:eastAsia="宋体" w:cs="Times New Roman"/>
      <w:szCs w:val="24"/>
    </w:rPr>
  </w:style>
  <w:style w:type="paragraph" w:customStyle="1" w:styleId="7">
    <w:name w:val="正文_0"/>
    <w:next w:val="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
    <w:name w:val="正文首行缩进1"/>
    <w:basedOn w:val="7"/>
    <w:qFormat/>
    <w:uiPriority w:val="99"/>
    <w:pPr>
      <w:spacing w:after="120"/>
      <w:ind w:firstLine="420" w:firstLineChars="100"/>
    </w:pPr>
  </w:style>
  <w:style w:type="character" w:styleId="11">
    <w:name w:val="FollowedHyperlink"/>
    <w:basedOn w:val="10"/>
    <w:qFormat/>
    <w:uiPriority w:val="0"/>
    <w:rPr>
      <w:color w:val="666666"/>
      <w:u w:val="none"/>
    </w:rPr>
  </w:style>
  <w:style w:type="character" w:styleId="12">
    <w:name w:val="Emphasis"/>
    <w:basedOn w:val="10"/>
    <w:qFormat/>
    <w:uiPriority w:val="0"/>
  </w:style>
  <w:style w:type="character" w:styleId="13">
    <w:name w:val="HTML Definition"/>
    <w:basedOn w:val="10"/>
    <w:qFormat/>
    <w:uiPriority w:val="0"/>
  </w:style>
  <w:style w:type="character" w:styleId="14">
    <w:name w:val="HTML Typewriter"/>
    <w:basedOn w:val="10"/>
    <w:qFormat/>
    <w:uiPriority w:val="0"/>
    <w:rPr>
      <w:rFonts w:ascii="monospace" w:hAnsi="monospace" w:eastAsia="monospace" w:cs="monospace"/>
      <w:sz w:val="20"/>
    </w:rPr>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666666"/>
      <w:u w:val="none"/>
    </w:rPr>
  </w:style>
  <w:style w:type="character" w:styleId="18">
    <w:name w:val="HTML Code"/>
    <w:basedOn w:val="10"/>
    <w:qFormat/>
    <w:uiPriority w:val="0"/>
    <w:rPr>
      <w:rFonts w:hint="default" w:ascii="monospace" w:hAnsi="monospace" w:eastAsia="monospace" w:cs="monospace"/>
      <w:sz w:val="20"/>
    </w:rPr>
  </w:style>
  <w:style w:type="character" w:styleId="19">
    <w:name w:val="HTML Cite"/>
    <w:basedOn w:val="10"/>
    <w:qFormat/>
    <w:uiPriority w:val="0"/>
  </w:style>
  <w:style w:type="character" w:styleId="20">
    <w:name w:val="HTML Keyboard"/>
    <w:basedOn w:val="10"/>
    <w:qFormat/>
    <w:uiPriority w:val="0"/>
    <w:rPr>
      <w:rFonts w:hint="default" w:ascii="monospace" w:hAnsi="monospace" w:eastAsia="monospace" w:cs="monospace"/>
      <w:sz w:val="20"/>
    </w:rPr>
  </w:style>
  <w:style w:type="character" w:styleId="21">
    <w:name w:val="HTML Sample"/>
    <w:basedOn w:val="10"/>
    <w:qFormat/>
    <w:uiPriority w:val="0"/>
    <w:rPr>
      <w:rFonts w:hint="default" w:ascii="monospace" w:hAnsi="monospace" w:eastAsia="monospace" w:cs="monospace"/>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正文格式"/>
    <w:basedOn w:val="1"/>
    <w:qFormat/>
    <w:uiPriority w:val="99"/>
    <w:pPr>
      <w:adjustRightInd w:val="0"/>
      <w:snapToGrid w:val="0"/>
      <w:spacing w:line="360" w:lineRule="auto"/>
      <w:ind w:firstLine="228" w:firstLineChars="228"/>
    </w:pPr>
    <w:rPr>
      <w:sz w:val="28"/>
      <w:szCs w:val="28"/>
    </w:rPr>
  </w:style>
  <w:style w:type="character" w:customStyle="1" w:styleId="24">
    <w:name w:val="标题 1 Char_0"/>
    <w:qFormat/>
    <w:uiPriority w:val="0"/>
    <w:rPr>
      <w:b/>
      <w:bCs/>
      <w:kern w:val="44"/>
      <w:sz w:val="44"/>
      <w:szCs w:val="44"/>
    </w:rPr>
  </w:style>
  <w:style w:type="paragraph" w:customStyle="1" w:styleId="25">
    <w:name w:val="标题 2_0"/>
    <w:basedOn w:val="7"/>
    <w:next w:val="26"/>
    <w:qFormat/>
    <w:uiPriority w:val="0"/>
    <w:pPr>
      <w:keepNext/>
      <w:keepLines/>
      <w:spacing w:before="260" w:after="260" w:line="480" w:lineRule="exact"/>
      <w:jc w:val="center"/>
      <w:outlineLvl w:val="1"/>
    </w:pPr>
    <w:rPr>
      <w:rFonts w:ascii="宋体" w:hAnsi="宋体" w:eastAsia="黑体" w:cs="Times New Roman"/>
      <w:bCs/>
      <w:i/>
      <w:iCs/>
      <w:sz w:val="24"/>
      <w:szCs w:val="20"/>
    </w:rPr>
  </w:style>
  <w:style w:type="paragraph" w:customStyle="1" w:styleId="26">
    <w:name w:val="正文缩进_0"/>
    <w:basedOn w:val="7"/>
    <w:qFormat/>
    <w:uiPriority w:val="0"/>
    <w:pPr>
      <w:ind w:firstLine="420" w:firstLineChars="200"/>
    </w:pPr>
    <w:rPr>
      <w:rFonts w:ascii="Times New Roman" w:hAnsi="Times New Roman" w:eastAsia="宋体" w:cs="Times New Roman"/>
      <w:szCs w:val="24"/>
    </w:rPr>
  </w:style>
  <w:style w:type="paragraph" w:customStyle="1" w:styleId="27">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28">
    <w:name w:val="hover7"/>
    <w:basedOn w:val="10"/>
    <w:qFormat/>
    <w:uiPriority w:val="0"/>
    <w:rPr>
      <w:color w:val="000000"/>
      <w:shd w:val="clear" w:fill="FFFFFF"/>
    </w:rPr>
  </w:style>
  <w:style w:type="character" w:customStyle="1" w:styleId="29">
    <w:name w:val="bsharetext"/>
    <w:basedOn w:val="10"/>
    <w:qFormat/>
    <w:uiPriority w:val="0"/>
  </w:style>
  <w:style w:type="character" w:customStyle="1" w:styleId="30">
    <w:name w:val="wx-space"/>
    <w:basedOn w:val="10"/>
    <w:qFormat/>
    <w:uiPriority w:val="0"/>
  </w:style>
  <w:style w:type="character" w:customStyle="1" w:styleId="31">
    <w:name w:val="wx-space1"/>
    <w:basedOn w:val="10"/>
    <w:qFormat/>
    <w:uiPriority w:val="0"/>
  </w:style>
  <w:style w:type="character" w:customStyle="1" w:styleId="32">
    <w:name w:val="hover8"/>
    <w:basedOn w:val="10"/>
    <w:qFormat/>
    <w:uiPriority w:val="0"/>
    <w:rPr>
      <w:color w:val="000000"/>
      <w:shd w:val="clear"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94</Pages>
  <Words>40647</Words>
  <Characters>43964</Characters>
  <TotalTime>32</TotalTime>
  <ScaleCrop>false</ScaleCrop>
  <LinksUpToDate>false</LinksUpToDate>
  <CharactersWithSpaces>50329</CharactersWithSpaces>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2017-09-05T16:00:00Z</dcterms:created>
  <dc:creator>袁静</dc:creator>
  <cp:lastModifiedBy>Lee</cp:lastModifiedBy>
  <dcterms:modified xsi:type="dcterms:W3CDTF">2023-12-20T01:32:22Z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2023-06-25T12:58:25Z</vt:filetime>
  </property>
  <property fmtid="{D5CDD505-2E9C-101B-9397-08002B2CF9AE}" pid="4" name="KSOProductBuildVer">
    <vt:lpwstr>2052-12.1.0.15990</vt:lpwstr>
  </property>
  <property fmtid="{D5CDD505-2E9C-101B-9397-08002B2CF9AE}" pid="5" name="ICV">
    <vt:lpwstr>E84B39CB066C48638A92A43208B94310_13</vt:lpwstr>
  </property>
</Properties>
</file>