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9082A">
      <w:pPr>
        <w:keepNext w:val="0"/>
        <w:keepLines w:val="0"/>
        <w:pageBreakBefore w:val="0"/>
        <w:widowControl/>
        <w:suppressLineNumbers w:val="0"/>
        <w:kinsoku w:val="0"/>
        <w:wordWrap w:val="0"/>
        <w:overflowPunct w:val="0"/>
        <w:topLinePunct w:val="0"/>
        <w:autoSpaceDE/>
        <w:autoSpaceDN/>
        <w:bidi w:val="0"/>
        <w:spacing w:before="312" w:beforeLines="100" w:beforeAutospacing="0" w:after="0" w:afterAutospacing="0" w:line="520" w:lineRule="exact"/>
        <w:ind w:left="0" w:right="0"/>
        <w:jc w:val="right"/>
        <w:textAlignment w:val="auto"/>
        <w:rPr>
          <w:rFonts w:hint="eastAsia" w:ascii="仿宋" w:hAnsi="仿宋" w:eastAsia="仿宋" w:cs="仿宋"/>
          <w:b w:val="0"/>
          <w:bCs w:val="0"/>
          <w:color w:val="auto"/>
          <w:spacing w:val="-20"/>
          <w:kern w:val="0"/>
          <w:sz w:val="32"/>
          <w:szCs w:val="32"/>
          <w:highlight w:val="none"/>
          <w:u w:val="none" w:color="auto"/>
          <w:lang w:val="en-US" w:eastAsia="zh-CN" w:bidi="ar"/>
        </w:rPr>
      </w:pPr>
    </w:p>
    <w:p w14:paraId="4D5EC642">
      <w:pPr>
        <w:keepNext w:val="0"/>
        <w:keepLines w:val="0"/>
        <w:pageBreakBefore w:val="0"/>
        <w:widowControl/>
        <w:suppressLineNumbers w:val="0"/>
        <w:kinsoku w:val="0"/>
        <w:wordWrap w:val="0"/>
        <w:overflowPunct w:val="0"/>
        <w:topLinePunct w:val="0"/>
        <w:autoSpaceDE/>
        <w:autoSpaceDN/>
        <w:bidi w:val="0"/>
        <w:spacing w:before="312" w:beforeLines="100" w:beforeAutospacing="0" w:after="0" w:afterAutospacing="0" w:line="520" w:lineRule="exact"/>
        <w:ind w:left="0" w:right="0"/>
        <w:jc w:val="right"/>
        <w:textAlignment w:val="auto"/>
        <w:rPr>
          <w:rFonts w:hint="eastAsia" w:ascii="仿宋" w:hAnsi="仿宋" w:eastAsia="仿宋" w:cs="仿宋"/>
          <w:b w:val="0"/>
          <w:bCs w:val="0"/>
          <w:color w:val="auto"/>
          <w:spacing w:val="-20"/>
          <w:kern w:val="0"/>
          <w:sz w:val="32"/>
          <w:szCs w:val="32"/>
          <w:highlight w:val="none"/>
          <w:u w:val="none" w:color="auto"/>
          <w:lang w:val="en-US" w:eastAsia="zh-CN" w:bidi="ar"/>
        </w:rPr>
      </w:pPr>
    </w:p>
    <w:p w14:paraId="2C9B1660">
      <w:pPr>
        <w:keepNext w:val="0"/>
        <w:keepLines w:val="0"/>
        <w:pageBreakBefore w:val="0"/>
        <w:widowControl/>
        <w:suppressLineNumbers w:val="0"/>
        <w:kinsoku w:val="0"/>
        <w:wordWrap w:val="0"/>
        <w:overflowPunct w:val="0"/>
        <w:topLinePunct w:val="0"/>
        <w:autoSpaceDE/>
        <w:autoSpaceDN/>
        <w:bidi w:val="0"/>
        <w:spacing w:before="312" w:beforeLines="100" w:beforeAutospacing="0" w:after="0" w:afterAutospacing="0" w:line="520" w:lineRule="exact"/>
        <w:ind w:left="0" w:right="0"/>
        <w:jc w:val="center"/>
        <w:textAlignment w:val="auto"/>
        <w:rPr>
          <w:rFonts w:hint="eastAsia" w:ascii="仿宋" w:hAnsi="仿宋" w:eastAsia="仿宋" w:cs="仿宋"/>
          <w:b w:val="0"/>
          <w:bCs w:val="0"/>
          <w:color w:val="auto"/>
          <w:spacing w:val="-20"/>
          <w:kern w:val="2"/>
          <w:sz w:val="30"/>
          <w:szCs w:val="30"/>
          <w:highlight w:val="none"/>
          <w:u w:val="none" w:color="auto"/>
          <w:lang w:val="en-US" w:eastAsia="zh-CN" w:bidi="ar"/>
        </w:rPr>
      </w:pPr>
      <w:r>
        <w:rPr>
          <w:rFonts w:hint="eastAsia" w:ascii="仿宋" w:hAnsi="仿宋" w:eastAsia="仿宋" w:cs="仿宋"/>
          <w:b w:val="0"/>
          <w:bCs w:val="0"/>
          <w:color w:val="auto"/>
          <w:spacing w:val="-20"/>
          <w:kern w:val="0"/>
          <w:sz w:val="30"/>
          <w:szCs w:val="30"/>
          <w:highlight w:val="none"/>
          <w:u w:val="none" w:color="auto"/>
          <w:lang w:val="en-US" w:eastAsia="zh-CN" w:bidi="ar"/>
        </w:rPr>
        <w:t xml:space="preserve">                                                岳环评〔2024〕33号</w:t>
      </w:r>
    </w:p>
    <w:p w14:paraId="0ED443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pacing w:val="-34"/>
          <w:sz w:val="44"/>
          <w:szCs w:val="44"/>
          <w:highlight w:val="none"/>
          <w:u w:val="none" w:color="auto"/>
          <w:lang w:val="en-US"/>
        </w:rPr>
      </w:pPr>
      <w:r>
        <w:rPr>
          <w:rFonts w:hint="eastAsia" w:ascii="仿宋" w:hAnsi="仿宋" w:eastAsia="仿宋" w:cs="仿宋"/>
          <w:b/>
          <w:bCs/>
          <w:color w:val="auto"/>
          <w:spacing w:val="-34"/>
          <w:w w:val="98"/>
          <w:kern w:val="0"/>
          <w:sz w:val="44"/>
          <w:szCs w:val="44"/>
          <w:highlight w:val="none"/>
          <w:u w:val="none" w:color="auto"/>
          <w:lang w:val="en-US" w:eastAsia="zh-CN" w:bidi="ar"/>
        </w:rPr>
        <w:t>关于</w:t>
      </w:r>
      <w:r>
        <w:rPr>
          <w:rFonts w:hint="eastAsia" w:ascii="仿宋" w:hAnsi="仿宋" w:eastAsia="仿宋" w:cs="仿宋"/>
          <w:b/>
          <w:bCs/>
          <w:color w:val="auto"/>
          <w:spacing w:val="-34"/>
          <w:sz w:val="44"/>
          <w:szCs w:val="44"/>
          <w:highlight w:val="none"/>
          <w:u w:val="none" w:color="auto"/>
          <w:lang w:eastAsia="zh-CN"/>
        </w:rPr>
        <w:t>湖南贤恩新能源科技有限公司</w:t>
      </w:r>
      <w:r>
        <w:rPr>
          <w:rFonts w:hint="eastAsia" w:ascii="仿宋" w:hAnsi="仿宋" w:eastAsia="仿宋" w:cs="仿宋"/>
          <w:b/>
          <w:bCs/>
          <w:color w:val="auto"/>
          <w:spacing w:val="-34"/>
          <w:sz w:val="44"/>
          <w:szCs w:val="44"/>
          <w:highlight w:val="none"/>
          <w:u w:val="none" w:color="auto"/>
        </w:rPr>
        <w:t>动力电池梯次利用及储能电池组项目环境影响报告书</w:t>
      </w:r>
      <w:r>
        <w:rPr>
          <w:rFonts w:hint="eastAsia" w:ascii="仿宋" w:hAnsi="仿宋" w:eastAsia="仿宋" w:cs="仿宋"/>
          <w:b/>
          <w:bCs/>
          <w:color w:val="auto"/>
          <w:spacing w:val="-34"/>
          <w:w w:val="98"/>
          <w:kern w:val="0"/>
          <w:sz w:val="44"/>
          <w:szCs w:val="44"/>
          <w:highlight w:val="none"/>
          <w:u w:val="none" w:color="auto"/>
          <w:lang w:val="en-US" w:eastAsia="zh-CN" w:bidi="ar"/>
        </w:rPr>
        <w:t>的批复</w:t>
      </w:r>
    </w:p>
    <w:p w14:paraId="36671C6F">
      <w:pPr>
        <w:keepNext w:val="0"/>
        <w:keepLines w:val="0"/>
        <w:pageBreakBefore w:val="0"/>
        <w:widowControl/>
        <w:suppressLineNumbers w:val="0"/>
        <w:tabs>
          <w:tab w:val="right" w:leader="dot" w:pos="9736"/>
        </w:tabs>
        <w:kinsoku w:val="0"/>
        <w:wordWrap w:val="0"/>
        <w:overflowPunct w:val="0"/>
        <w:topLinePunct w:val="0"/>
        <w:autoSpaceDE/>
        <w:autoSpaceDN/>
        <w:bidi w:val="0"/>
        <w:adjustRightInd/>
        <w:snapToGrid/>
        <w:spacing w:before="120" w:beforeAutospacing="0" w:after="0" w:afterAutospacing="0" w:line="540" w:lineRule="exact"/>
        <w:ind w:left="0" w:right="0"/>
        <w:jc w:val="left"/>
        <w:textAlignment w:val="auto"/>
        <w:rPr>
          <w:rFonts w:hint="eastAsia" w:ascii="仿宋" w:hAnsi="仿宋" w:eastAsia="仿宋" w:cs="仿宋"/>
          <w:b w:val="0"/>
          <w:bCs w:val="0"/>
          <w:caps/>
          <w:color w:val="auto"/>
          <w:kern w:val="2"/>
          <w:sz w:val="32"/>
          <w:szCs w:val="32"/>
          <w:highlight w:val="none"/>
          <w:u w:val="none" w:color="auto"/>
          <w:lang w:val="en-US" w:eastAsia="zh-CN" w:bidi="ar"/>
        </w:rPr>
      </w:pPr>
      <w:r>
        <w:rPr>
          <w:rFonts w:hint="eastAsia" w:ascii="仿宋" w:hAnsi="仿宋" w:eastAsia="仿宋" w:cs="仿宋"/>
          <w:b w:val="0"/>
          <w:bCs w:val="0"/>
          <w:color w:val="auto"/>
          <w:sz w:val="32"/>
          <w:szCs w:val="32"/>
          <w:highlight w:val="none"/>
          <w:u w:val="none" w:color="auto"/>
          <w:lang w:eastAsia="zh-CN"/>
        </w:rPr>
        <w:t>湖南贤恩新能源科技有限公司</w:t>
      </w:r>
      <w:r>
        <w:rPr>
          <w:rFonts w:hint="eastAsia" w:ascii="仿宋" w:hAnsi="仿宋" w:eastAsia="仿宋" w:cs="仿宋"/>
          <w:b w:val="0"/>
          <w:bCs w:val="0"/>
          <w:caps/>
          <w:color w:val="auto"/>
          <w:kern w:val="2"/>
          <w:sz w:val="32"/>
          <w:szCs w:val="32"/>
          <w:highlight w:val="none"/>
          <w:u w:val="none" w:color="auto"/>
          <w:lang w:val="en-US" w:eastAsia="zh-CN" w:bidi="ar"/>
        </w:rPr>
        <w:t>：</w:t>
      </w:r>
    </w:p>
    <w:p w14:paraId="4DEFDDC5">
      <w:pPr>
        <w:keepNext w:val="0"/>
        <w:keepLines w:val="0"/>
        <w:pageBreakBefore w:val="0"/>
        <w:autoSpaceDE/>
        <w:autoSpaceDN/>
        <w:bidi w:val="0"/>
        <w:spacing w:line="540" w:lineRule="exact"/>
        <w:ind w:firstLine="640" w:firstLineChars="200"/>
        <w:jc w:val="left"/>
        <w:textAlignment w:val="auto"/>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sz w:val="32"/>
          <w:szCs w:val="32"/>
          <w:highlight w:val="none"/>
          <w:u w:val="none" w:color="auto"/>
          <w:lang w:eastAsia="zh-CN"/>
        </w:rPr>
        <w:t>你公司《</w:t>
      </w:r>
      <w:r>
        <w:rPr>
          <w:rFonts w:hint="eastAsia" w:ascii="仿宋" w:hAnsi="仿宋" w:eastAsia="仿宋" w:cs="仿宋"/>
          <w:b w:val="0"/>
          <w:bCs w:val="0"/>
          <w:color w:val="auto"/>
          <w:sz w:val="32"/>
          <w:szCs w:val="32"/>
          <w:highlight w:val="none"/>
          <w:u w:val="none" w:color="auto"/>
        </w:rPr>
        <w:t>动力电池梯次利用及储能电池组项目环境影响报告书</w:t>
      </w:r>
      <w:r>
        <w:rPr>
          <w:rFonts w:hint="eastAsia" w:ascii="仿宋" w:hAnsi="仿宋" w:eastAsia="仿宋" w:cs="仿宋"/>
          <w:b w:val="0"/>
          <w:bCs w:val="0"/>
          <w:color w:val="auto"/>
          <w:sz w:val="32"/>
          <w:szCs w:val="32"/>
          <w:highlight w:val="none"/>
          <w:u w:val="none" w:color="auto"/>
          <w:lang w:eastAsia="zh-CN"/>
        </w:rPr>
        <w:t>报批申请书》、岳阳市生态环境事务中心《湖南贤恩新能源科技有限公司</w:t>
      </w:r>
      <w:r>
        <w:rPr>
          <w:rFonts w:hint="eastAsia" w:ascii="仿宋" w:hAnsi="仿宋" w:eastAsia="仿宋" w:cs="仿宋"/>
          <w:b w:val="0"/>
          <w:bCs w:val="0"/>
          <w:color w:val="auto"/>
          <w:sz w:val="32"/>
          <w:szCs w:val="32"/>
          <w:highlight w:val="none"/>
          <w:u w:val="none" w:color="auto"/>
        </w:rPr>
        <w:t>动力电池梯次利用及储能电池组项目</w:t>
      </w:r>
      <w:r>
        <w:rPr>
          <w:rFonts w:hint="eastAsia" w:ascii="仿宋" w:hAnsi="仿宋" w:eastAsia="仿宋" w:cs="仿宋"/>
          <w:b w:val="0"/>
          <w:bCs w:val="0"/>
          <w:spacing w:val="-20"/>
          <w:sz w:val="32"/>
          <w:szCs w:val="32"/>
          <w:highlight w:val="none"/>
          <w:u w:val="none" w:color="auto"/>
        </w:rPr>
        <w:t>环境影响报告书技术评估报告</w:t>
      </w:r>
      <w:r>
        <w:rPr>
          <w:rFonts w:hint="eastAsia" w:ascii="仿宋" w:hAnsi="仿宋" w:eastAsia="仿宋" w:cs="仿宋"/>
          <w:b w:val="0"/>
          <w:bCs w:val="0"/>
          <w:color w:val="auto"/>
          <w:sz w:val="32"/>
          <w:szCs w:val="32"/>
          <w:highlight w:val="none"/>
          <w:u w:val="none" w:color="auto"/>
          <w:lang w:eastAsia="zh-CN"/>
        </w:rPr>
        <w:t>》（岳环事评估〔</w:t>
      </w:r>
      <w:r>
        <w:rPr>
          <w:rFonts w:hint="eastAsia" w:ascii="仿宋" w:hAnsi="仿宋" w:eastAsia="仿宋" w:cs="仿宋"/>
          <w:b w:val="0"/>
          <w:bCs w:val="0"/>
          <w:color w:val="auto"/>
          <w:sz w:val="32"/>
          <w:szCs w:val="32"/>
          <w:highlight w:val="none"/>
          <w:u w:val="none" w:color="auto"/>
          <w:lang w:val="en-US"/>
        </w:rPr>
        <w:t>202</w:t>
      </w:r>
      <w:r>
        <w:rPr>
          <w:rFonts w:hint="eastAsia" w:ascii="仿宋" w:hAnsi="仿宋" w:eastAsia="仿宋" w:cs="仿宋"/>
          <w:b w:val="0"/>
          <w:bCs w:val="0"/>
          <w:color w:val="auto"/>
          <w:sz w:val="32"/>
          <w:szCs w:val="32"/>
          <w:highlight w:val="none"/>
          <w:u w:val="none" w:color="auto"/>
          <w:lang w:val="en-US" w:eastAsia="zh-CN"/>
        </w:rPr>
        <w:t>4</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32</w:t>
      </w:r>
      <w:r>
        <w:rPr>
          <w:rFonts w:hint="eastAsia" w:ascii="仿宋" w:hAnsi="仿宋" w:eastAsia="仿宋" w:cs="仿宋"/>
          <w:b w:val="0"/>
          <w:bCs w:val="0"/>
          <w:color w:val="auto"/>
          <w:sz w:val="32"/>
          <w:szCs w:val="32"/>
          <w:highlight w:val="none"/>
          <w:u w:val="none" w:color="auto"/>
          <w:lang w:eastAsia="zh-CN"/>
        </w:rPr>
        <w:t>号）、岳阳市生态环境局</w:t>
      </w:r>
      <w:r>
        <w:rPr>
          <w:rFonts w:hint="eastAsia" w:ascii="仿宋" w:hAnsi="仿宋" w:eastAsia="仿宋" w:cs="仿宋"/>
          <w:b w:val="0"/>
          <w:bCs w:val="0"/>
          <w:color w:val="auto"/>
          <w:sz w:val="32"/>
          <w:szCs w:val="32"/>
          <w:highlight w:val="none"/>
          <w:u w:val="none" w:color="auto"/>
          <w:lang w:val="en-US" w:eastAsia="zh-CN"/>
        </w:rPr>
        <w:t>岳阳县</w:t>
      </w:r>
      <w:r>
        <w:rPr>
          <w:rFonts w:hint="eastAsia" w:ascii="仿宋" w:hAnsi="仿宋" w:eastAsia="仿宋" w:cs="仿宋"/>
          <w:b w:val="0"/>
          <w:bCs w:val="0"/>
          <w:color w:val="auto"/>
          <w:sz w:val="32"/>
          <w:szCs w:val="32"/>
          <w:highlight w:val="none"/>
          <w:u w:val="none" w:color="auto"/>
          <w:lang w:eastAsia="zh-CN"/>
        </w:rPr>
        <w:t>分局预审意见及有关附件收悉。经研究，批复如下：</w:t>
      </w:r>
    </w:p>
    <w:p w14:paraId="6E290EDE">
      <w:pPr>
        <w:keepNext w:val="0"/>
        <w:keepLines w:val="0"/>
        <w:pageBreakBefore w:val="0"/>
        <w:bidi w:val="0"/>
        <w:spacing w:line="540" w:lineRule="exact"/>
        <w:ind w:firstLine="640" w:firstLineChars="200"/>
        <w:rPr>
          <w:rFonts w:hint="eastAsia" w:ascii="仿宋" w:hAnsi="仿宋" w:eastAsia="仿宋" w:cs="仿宋"/>
          <w:color w:val="auto"/>
          <w:sz w:val="32"/>
          <w:szCs w:val="32"/>
          <w:highlight w:val="none"/>
          <w:u w:val="none" w:color="auto"/>
          <w:lang w:val="en-US" w:eastAsia="zh-CN"/>
        </w:rPr>
        <w:sectPr>
          <w:pgSz w:w="11906" w:h="16838"/>
          <w:pgMar w:top="1304" w:right="1474" w:bottom="1247" w:left="1531" w:header="851" w:footer="992" w:gutter="0"/>
          <w:pgNumType w:start="2"/>
          <w:cols w:space="425" w:num="1"/>
          <w:docGrid w:type="lines" w:linePitch="312" w:charSpace="0"/>
        </w:sectPr>
      </w:pPr>
      <w:r>
        <w:rPr>
          <w:rFonts w:hint="eastAsia" w:ascii="仿宋" w:hAnsi="仿宋" w:eastAsia="仿宋" w:cs="仿宋"/>
          <w:b w:val="0"/>
          <w:bCs w:val="0"/>
          <w:color w:val="auto"/>
          <w:sz w:val="32"/>
          <w:szCs w:val="32"/>
          <w:highlight w:val="none"/>
          <w:u w:val="none" w:color="auto"/>
          <w:lang w:val="en-US" w:eastAsia="zh-CN"/>
        </w:rPr>
        <w:t>一、</w:t>
      </w:r>
      <w:r>
        <w:rPr>
          <w:rFonts w:hint="eastAsia" w:ascii="仿宋" w:hAnsi="仿宋" w:eastAsia="仿宋" w:cs="仿宋"/>
          <w:b w:val="0"/>
          <w:bCs w:val="0"/>
          <w:color w:val="auto"/>
          <w:sz w:val="32"/>
          <w:szCs w:val="32"/>
          <w:highlight w:val="none"/>
          <w:u w:val="none" w:color="auto"/>
          <w:lang w:eastAsia="zh-CN"/>
        </w:rPr>
        <w:t>湖南贤恩新能源科技有限公司</w:t>
      </w:r>
      <w:r>
        <w:rPr>
          <w:rFonts w:hint="eastAsia" w:ascii="仿宋" w:hAnsi="仿宋" w:eastAsia="仿宋" w:cs="仿宋"/>
          <w:color w:val="auto"/>
          <w:sz w:val="32"/>
          <w:szCs w:val="32"/>
          <w:highlight w:val="none"/>
          <w:u w:val="none" w:color="auto"/>
          <w:lang w:val="en-US" w:eastAsia="zh-CN"/>
        </w:rPr>
        <w:t>租赁</w:t>
      </w:r>
      <w:r>
        <w:rPr>
          <w:rFonts w:hint="eastAsia" w:ascii="仿宋" w:hAnsi="仿宋" w:eastAsia="仿宋" w:cs="仿宋"/>
          <w:b w:val="0"/>
          <w:bCs w:val="0"/>
          <w:color w:val="auto"/>
          <w:sz w:val="32"/>
          <w:szCs w:val="32"/>
          <w:highlight w:val="none"/>
          <w:u w:val="none" w:color="auto"/>
          <w:lang w:val="en-US" w:eastAsia="zh-CN"/>
        </w:rPr>
        <w:t>位于</w:t>
      </w:r>
      <w:r>
        <w:rPr>
          <w:rFonts w:hint="eastAsia" w:ascii="仿宋" w:hAnsi="仿宋" w:eastAsia="仿宋" w:cs="仿宋"/>
          <w:color w:val="auto"/>
          <w:sz w:val="32"/>
          <w:szCs w:val="32"/>
          <w:highlight w:val="none"/>
          <w:u w:val="none" w:color="auto"/>
          <w:lang w:val="en-US" w:eastAsia="zh-CN"/>
        </w:rPr>
        <w:t>岳阳县荣家湾镇高新技术产业园区</w:t>
      </w:r>
      <w:r>
        <w:rPr>
          <w:rFonts w:hint="eastAsia" w:ascii="仿宋" w:hAnsi="仿宋" w:eastAsia="仿宋" w:cs="仿宋"/>
          <w:b w:val="0"/>
          <w:bCs w:val="0"/>
          <w:color w:val="auto"/>
          <w:sz w:val="32"/>
          <w:szCs w:val="32"/>
          <w:highlight w:val="none"/>
          <w:u w:val="none" w:color="auto"/>
          <w:lang w:val="en-US" w:eastAsia="zh-CN"/>
        </w:rPr>
        <w:t>的</w:t>
      </w:r>
      <w:r>
        <w:rPr>
          <w:rFonts w:hint="eastAsia" w:ascii="仿宋" w:hAnsi="仿宋" w:eastAsia="仿宋" w:cs="仿宋"/>
          <w:color w:val="auto"/>
          <w:sz w:val="32"/>
          <w:szCs w:val="32"/>
          <w:highlight w:val="none"/>
          <w:u w:val="none" w:color="auto"/>
          <w:lang w:val="en-US" w:eastAsia="zh-CN"/>
        </w:rPr>
        <w:t>岳阳中水环保服务有限公司闲置土地32952.98平方米土地建设标准化厂房（总建筑面积为26470.00平方米），</w:t>
      </w:r>
      <w:r>
        <w:rPr>
          <w:rFonts w:hint="eastAsia" w:ascii="仿宋" w:hAnsi="仿宋" w:eastAsia="仿宋" w:cs="仿宋"/>
          <w:b w:val="0"/>
          <w:bCs w:val="0"/>
          <w:color w:val="auto"/>
          <w:sz w:val="32"/>
          <w:szCs w:val="32"/>
          <w:highlight w:val="none"/>
          <w:u w:val="none" w:color="auto"/>
          <w:lang w:val="en-US" w:eastAsia="zh-CN"/>
        </w:rPr>
        <w:t>拟投资5000万元（其中环保投资</w:t>
      </w:r>
      <w:r>
        <w:rPr>
          <w:rFonts w:hint="eastAsia" w:ascii="仿宋" w:hAnsi="仿宋" w:eastAsia="仿宋" w:cs="仿宋"/>
          <w:bCs/>
          <w:kern w:val="2"/>
          <w:sz w:val="32"/>
          <w:szCs w:val="32"/>
          <w:highlight w:val="none"/>
          <w:u w:val="none" w:color="auto"/>
          <w:lang w:val="en-US" w:eastAsia="zh-CN" w:bidi="ar-SA"/>
        </w:rPr>
        <w:t>200</w:t>
      </w:r>
      <w:r>
        <w:rPr>
          <w:rFonts w:hint="eastAsia" w:ascii="仿宋" w:hAnsi="仿宋" w:eastAsia="仿宋" w:cs="仿宋"/>
          <w:b w:val="0"/>
          <w:bCs w:val="0"/>
          <w:color w:val="auto"/>
          <w:sz w:val="32"/>
          <w:szCs w:val="32"/>
          <w:highlight w:val="none"/>
          <w:u w:val="none" w:color="auto"/>
          <w:lang w:val="en-US" w:eastAsia="zh-CN"/>
        </w:rPr>
        <w:t>万元）生产</w:t>
      </w:r>
      <w:r>
        <w:rPr>
          <w:rFonts w:hint="eastAsia" w:ascii="仿宋" w:hAnsi="仿宋" w:eastAsia="仿宋" w:cs="仿宋"/>
          <w:color w:val="auto"/>
          <w:sz w:val="32"/>
          <w:szCs w:val="32"/>
          <w:highlight w:val="none"/>
          <w:u w:val="none" w:color="auto"/>
          <w:lang w:val="en-US" w:eastAsia="zh-CN"/>
        </w:rPr>
        <w:t>动力电池梯次利用1000吨</w:t>
      </w:r>
      <w:r>
        <w:rPr>
          <w:rFonts w:hint="eastAsia" w:ascii="仿宋" w:hAnsi="仿宋" w:eastAsia="仿宋" w:cs="仿宋"/>
          <w:b w:val="0"/>
          <w:bCs w:val="0"/>
          <w:color w:val="auto"/>
          <w:sz w:val="32"/>
          <w:szCs w:val="32"/>
          <w:highlight w:val="none"/>
          <w:u w:val="none" w:color="auto"/>
          <w:lang w:val="en-US" w:eastAsia="zh-CN"/>
        </w:rPr>
        <w:t>/a</w:t>
      </w:r>
      <w:r>
        <w:rPr>
          <w:rFonts w:hint="eastAsia" w:ascii="仿宋" w:hAnsi="仿宋" w:eastAsia="仿宋" w:cs="仿宋"/>
          <w:color w:val="auto"/>
          <w:sz w:val="32"/>
          <w:szCs w:val="32"/>
          <w:highlight w:val="none"/>
          <w:u w:val="none" w:color="auto"/>
          <w:lang w:val="en-US" w:eastAsia="zh-CN"/>
        </w:rPr>
        <w:t>（均为磷酸铁锂动力锂电池）、储能电池组10000组</w:t>
      </w:r>
      <w:r>
        <w:rPr>
          <w:rFonts w:hint="eastAsia" w:ascii="仿宋" w:hAnsi="仿宋" w:eastAsia="仿宋" w:cs="仿宋"/>
          <w:b w:val="0"/>
          <w:bCs w:val="0"/>
          <w:color w:val="auto"/>
          <w:sz w:val="32"/>
          <w:szCs w:val="32"/>
          <w:highlight w:val="none"/>
          <w:u w:val="none" w:color="auto"/>
          <w:lang w:val="en-US" w:eastAsia="zh-CN"/>
        </w:rPr>
        <w:t>/a</w:t>
      </w:r>
      <w:r>
        <w:rPr>
          <w:rFonts w:hint="eastAsia" w:ascii="仿宋" w:hAnsi="仿宋" w:eastAsia="仿宋" w:cs="仿宋"/>
          <w:color w:val="auto"/>
          <w:sz w:val="32"/>
          <w:szCs w:val="32"/>
          <w:highlight w:val="none"/>
          <w:u w:val="none" w:color="auto"/>
          <w:lang w:val="en-US" w:eastAsia="zh-CN"/>
        </w:rPr>
        <w:t>。主</w:t>
      </w:r>
      <w:r>
        <w:rPr>
          <w:rFonts w:hint="eastAsia" w:ascii="仿宋" w:hAnsi="仿宋" w:eastAsia="仿宋" w:cs="仿宋"/>
          <w:b w:val="0"/>
          <w:bCs w:val="0"/>
          <w:color w:val="auto"/>
          <w:sz w:val="32"/>
          <w:szCs w:val="32"/>
          <w:highlight w:val="none"/>
          <w:u w:val="none" w:color="auto"/>
          <w:lang w:val="en-US" w:eastAsia="zh-CN"/>
        </w:rPr>
        <w:t>要工程内容：</w:t>
      </w:r>
      <w:r>
        <w:rPr>
          <w:rFonts w:hint="eastAsia" w:ascii="仿宋" w:hAnsi="仿宋" w:eastAsia="仿宋" w:cs="仿宋"/>
          <w:color w:val="auto"/>
          <w:sz w:val="32"/>
          <w:szCs w:val="32"/>
          <w:highlight w:val="none"/>
          <w:u w:val="none" w:color="auto"/>
          <w:lang w:val="en-US" w:eastAsia="zh-CN"/>
        </w:rPr>
        <w:t>生产车间（</w:t>
      </w:r>
      <w:r>
        <w:rPr>
          <w:rFonts w:hint="eastAsia" w:ascii="仿宋" w:hAnsi="仿宋" w:eastAsia="仿宋" w:cs="仿宋"/>
          <w:color w:val="auto"/>
          <w:spacing w:val="4"/>
          <w:sz w:val="32"/>
          <w:szCs w:val="32"/>
          <w:highlight w:val="none"/>
          <w:u w:val="none" w:color="auto"/>
          <w:lang w:val="en-US" w:eastAsia="zh-CN"/>
        </w:rPr>
        <w:t>布置在</w:t>
      </w:r>
      <w:r>
        <w:rPr>
          <w:rFonts w:hint="eastAsia" w:ascii="仿宋" w:hAnsi="仿宋" w:eastAsia="仿宋" w:cs="仿宋"/>
          <w:color w:val="auto"/>
          <w:spacing w:val="4"/>
          <w:sz w:val="32"/>
          <w:szCs w:val="32"/>
          <w:highlight w:val="none"/>
          <w:u w:val="none" w:color="auto"/>
          <w:lang w:eastAsia="zh-CN"/>
        </w:rPr>
        <w:t>车间</w:t>
      </w:r>
      <w:r>
        <w:rPr>
          <w:rFonts w:hint="eastAsia" w:ascii="仿宋" w:hAnsi="仿宋" w:eastAsia="仿宋" w:cs="仿宋"/>
          <w:color w:val="auto"/>
          <w:spacing w:val="4"/>
          <w:sz w:val="32"/>
          <w:szCs w:val="32"/>
          <w:highlight w:val="none"/>
          <w:u w:val="none" w:color="auto"/>
          <w:lang w:val="en-US" w:eastAsia="zh-CN"/>
        </w:rPr>
        <w:t>二，</w:t>
      </w:r>
      <w:r>
        <w:rPr>
          <w:rFonts w:hint="eastAsia" w:ascii="仿宋" w:hAnsi="仿宋" w:eastAsia="仿宋" w:cs="仿宋"/>
          <w:color w:val="auto"/>
          <w:spacing w:val="4"/>
          <w:sz w:val="32"/>
          <w:szCs w:val="32"/>
          <w:highlight w:val="none"/>
          <w:u w:val="none" w:color="auto"/>
        </w:rPr>
        <w:t>面积</w:t>
      </w:r>
      <w:r>
        <w:rPr>
          <w:rFonts w:hint="eastAsia" w:ascii="仿宋" w:hAnsi="仿宋" w:eastAsia="仿宋" w:cs="仿宋"/>
          <w:color w:val="auto"/>
          <w:spacing w:val="4"/>
          <w:sz w:val="32"/>
          <w:szCs w:val="32"/>
          <w:highlight w:val="none"/>
          <w:u w:val="none" w:color="auto"/>
          <w:lang w:val="en-US" w:eastAsia="zh-CN"/>
        </w:rPr>
        <w:t>5760</w:t>
      </w:r>
      <w:r>
        <w:rPr>
          <w:rFonts w:hint="eastAsia" w:ascii="仿宋" w:hAnsi="仿宋" w:eastAsia="仿宋" w:cs="仿宋"/>
          <w:color w:val="auto"/>
          <w:spacing w:val="4"/>
          <w:sz w:val="32"/>
          <w:szCs w:val="32"/>
          <w:highlight w:val="none"/>
          <w:u w:val="none" w:color="auto"/>
        </w:rPr>
        <w:t>m</w:t>
      </w:r>
      <w:r>
        <w:rPr>
          <w:rFonts w:hint="eastAsia" w:ascii="仿宋" w:hAnsi="仿宋" w:eastAsia="仿宋" w:cs="仿宋"/>
          <w:color w:val="auto"/>
          <w:spacing w:val="4"/>
          <w:sz w:val="32"/>
          <w:szCs w:val="32"/>
          <w:highlight w:val="none"/>
          <w:u w:val="none" w:color="auto"/>
          <w:vertAlign w:val="superscript"/>
          <w:lang w:val="en-US" w:eastAsia="zh-CN"/>
        </w:rPr>
        <w:t>2</w:t>
      </w:r>
      <w:r>
        <w:rPr>
          <w:rFonts w:hint="eastAsia" w:ascii="仿宋" w:hAnsi="仿宋" w:eastAsia="仿宋" w:cs="仿宋"/>
          <w:color w:val="auto"/>
          <w:spacing w:val="4"/>
          <w:sz w:val="32"/>
          <w:szCs w:val="32"/>
          <w:highlight w:val="none"/>
          <w:u w:val="none" w:color="auto"/>
        </w:rPr>
        <w:t>，主要包括中转区、电池包拆解区、分容区</w:t>
      </w:r>
      <w:r>
        <w:rPr>
          <w:rFonts w:hint="eastAsia" w:ascii="仿宋" w:hAnsi="仿宋" w:eastAsia="仿宋" w:cs="仿宋"/>
          <w:color w:val="auto"/>
          <w:spacing w:val="4"/>
          <w:sz w:val="32"/>
          <w:szCs w:val="32"/>
          <w:highlight w:val="none"/>
          <w:u w:val="none" w:color="auto"/>
          <w:lang w:eastAsia="zh-CN"/>
        </w:rPr>
        <w:t>、</w:t>
      </w:r>
      <w:r>
        <w:rPr>
          <w:rFonts w:hint="eastAsia" w:ascii="仿宋" w:hAnsi="仿宋" w:eastAsia="仿宋" w:cs="仿宋"/>
          <w:color w:val="auto"/>
          <w:spacing w:val="4"/>
          <w:sz w:val="32"/>
          <w:szCs w:val="32"/>
          <w:highlight w:val="none"/>
          <w:u w:val="none" w:color="auto"/>
          <w:lang w:val="en-US" w:eastAsia="zh-CN"/>
        </w:rPr>
        <w:t>储能电池组组装</w:t>
      </w:r>
      <w:r>
        <w:rPr>
          <w:rFonts w:hint="eastAsia" w:ascii="仿宋" w:hAnsi="仿宋" w:eastAsia="仿宋" w:cs="仿宋"/>
          <w:color w:val="auto"/>
          <w:spacing w:val="4"/>
          <w:sz w:val="32"/>
          <w:szCs w:val="32"/>
          <w:highlight w:val="none"/>
          <w:u w:val="none" w:color="auto"/>
        </w:rPr>
        <w:t>等</w:t>
      </w:r>
      <w:r>
        <w:rPr>
          <w:rFonts w:hint="eastAsia" w:ascii="仿宋" w:hAnsi="仿宋" w:eastAsia="仿宋" w:cs="仿宋"/>
          <w:color w:val="auto"/>
          <w:spacing w:val="4"/>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、产品车间（</w:t>
      </w:r>
      <w:r>
        <w:rPr>
          <w:rFonts w:hint="eastAsia" w:ascii="仿宋" w:hAnsi="仿宋" w:eastAsia="仿宋" w:cs="仿宋"/>
          <w:color w:val="auto"/>
          <w:spacing w:val="4"/>
          <w:sz w:val="32"/>
          <w:szCs w:val="32"/>
          <w:highlight w:val="none"/>
          <w:u w:val="none" w:color="auto"/>
          <w:lang w:val="en-US" w:eastAsia="zh-CN"/>
        </w:rPr>
        <w:t>布置在</w:t>
      </w:r>
      <w:r>
        <w:rPr>
          <w:rFonts w:hint="eastAsia" w:ascii="仿宋" w:hAnsi="仿宋" w:eastAsia="仿宋" w:cs="仿宋"/>
          <w:color w:val="auto"/>
          <w:spacing w:val="5"/>
          <w:sz w:val="32"/>
          <w:szCs w:val="32"/>
          <w:highlight w:val="none"/>
          <w:u w:val="none" w:color="auto"/>
          <w:lang w:eastAsia="zh-CN"/>
        </w:rPr>
        <w:t>车间</w:t>
      </w:r>
      <w:r>
        <w:rPr>
          <w:rFonts w:hint="eastAsia" w:ascii="仿宋" w:hAnsi="仿宋" w:eastAsia="仿宋" w:cs="仿宋"/>
          <w:color w:val="auto"/>
          <w:spacing w:val="5"/>
          <w:sz w:val="32"/>
          <w:szCs w:val="32"/>
          <w:highlight w:val="none"/>
          <w:u w:val="none" w:color="auto"/>
          <w:lang w:val="en-US" w:eastAsia="zh-CN"/>
        </w:rPr>
        <w:t>三，</w:t>
      </w:r>
      <w:r>
        <w:rPr>
          <w:rFonts w:hint="eastAsia" w:ascii="仿宋" w:hAnsi="仿宋" w:eastAsia="仿宋" w:cs="仿宋"/>
          <w:color w:val="auto"/>
          <w:spacing w:val="5"/>
          <w:sz w:val="32"/>
          <w:szCs w:val="32"/>
          <w:highlight w:val="none"/>
          <w:u w:val="none" w:color="auto"/>
        </w:rPr>
        <w:t>面积</w:t>
      </w:r>
      <w:r>
        <w:rPr>
          <w:rFonts w:hint="eastAsia" w:ascii="仿宋" w:hAnsi="仿宋" w:eastAsia="仿宋" w:cs="仿宋"/>
          <w:color w:val="auto"/>
          <w:spacing w:val="5"/>
          <w:sz w:val="32"/>
          <w:szCs w:val="32"/>
          <w:highlight w:val="none"/>
          <w:u w:val="none" w:color="auto"/>
          <w:lang w:val="en-US" w:eastAsia="zh-CN"/>
        </w:rPr>
        <w:t>5760</w:t>
      </w:r>
      <w:r>
        <w:rPr>
          <w:rFonts w:hint="eastAsia" w:ascii="仿宋" w:hAnsi="仿宋" w:eastAsia="仿宋" w:cs="仿宋"/>
          <w:color w:val="auto"/>
          <w:spacing w:val="4"/>
          <w:sz w:val="32"/>
          <w:szCs w:val="32"/>
          <w:highlight w:val="none"/>
          <w:u w:val="none" w:color="auto"/>
        </w:rPr>
        <w:t>m</w:t>
      </w:r>
      <w:r>
        <w:rPr>
          <w:rFonts w:hint="eastAsia" w:ascii="仿宋" w:hAnsi="仿宋" w:eastAsia="仿宋" w:cs="仿宋"/>
          <w:color w:val="auto"/>
          <w:spacing w:val="4"/>
          <w:sz w:val="32"/>
          <w:szCs w:val="32"/>
          <w:highlight w:val="none"/>
          <w:u w:val="none" w:color="auto"/>
          <w:vertAlign w:val="superscript"/>
          <w:lang w:val="en-US" w:eastAsia="zh-CN"/>
        </w:rPr>
        <w:t>2</w:t>
      </w:r>
      <w:r>
        <w:rPr>
          <w:rFonts w:hint="eastAsia" w:ascii="仿宋" w:hAnsi="仿宋" w:eastAsia="仿宋" w:cs="仿宋"/>
          <w:color w:val="auto"/>
          <w:spacing w:val="5"/>
          <w:sz w:val="32"/>
          <w:szCs w:val="32"/>
          <w:highlight w:val="none"/>
          <w:u w:val="none" w:color="auto"/>
        </w:rPr>
        <w:t>，</w:t>
      </w:r>
      <w:r>
        <w:rPr>
          <w:rFonts w:hint="eastAsia" w:ascii="仿宋" w:hAnsi="仿宋" w:eastAsia="仿宋" w:cs="仿宋"/>
          <w:color w:val="auto"/>
          <w:spacing w:val="5"/>
          <w:sz w:val="32"/>
          <w:szCs w:val="32"/>
          <w:highlight w:val="none"/>
          <w:u w:val="none" w:color="auto"/>
          <w:lang w:val="en-US" w:eastAsia="zh-CN"/>
        </w:rPr>
        <w:t>部分用于成品堆放，部分闲置待用）</w:t>
      </w:r>
      <w:r>
        <w:rPr>
          <w:rFonts w:hint="eastAsia" w:ascii="仿宋" w:hAnsi="仿宋" w:eastAsia="仿宋" w:cs="仿宋"/>
          <w:color w:val="auto"/>
          <w:sz w:val="32"/>
          <w:szCs w:val="32"/>
          <w:highlight w:val="none"/>
          <w:u w:val="none" w:color="auto"/>
          <w:lang w:val="en-US" w:eastAsia="zh-CN"/>
        </w:rPr>
        <w:t>、原料车间（</w:t>
      </w:r>
      <w:r>
        <w:rPr>
          <w:rFonts w:hint="eastAsia" w:ascii="仿宋" w:hAnsi="仿宋" w:eastAsia="仿宋" w:cs="仿宋"/>
          <w:color w:val="auto"/>
          <w:spacing w:val="4"/>
          <w:sz w:val="32"/>
          <w:szCs w:val="32"/>
          <w:highlight w:val="none"/>
          <w:u w:val="none" w:color="auto"/>
          <w:lang w:val="en-US" w:eastAsia="zh-CN"/>
        </w:rPr>
        <w:t>布置在</w:t>
      </w:r>
      <w:r>
        <w:rPr>
          <w:rFonts w:hint="eastAsia" w:ascii="仿宋" w:hAnsi="仿宋" w:eastAsia="仿宋" w:cs="仿宋"/>
          <w:color w:val="auto"/>
          <w:spacing w:val="4"/>
          <w:sz w:val="32"/>
          <w:szCs w:val="32"/>
          <w:highlight w:val="none"/>
          <w:u w:val="none" w:color="auto"/>
          <w:lang w:eastAsia="zh-CN"/>
        </w:rPr>
        <w:t>车间</w:t>
      </w:r>
      <w:r>
        <w:rPr>
          <w:rFonts w:hint="eastAsia" w:ascii="仿宋" w:hAnsi="仿宋" w:eastAsia="仿宋" w:cs="仿宋"/>
          <w:color w:val="auto"/>
          <w:spacing w:val="4"/>
          <w:sz w:val="32"/>
          <w:szCs w:val="32"/>
          <w:highlight w:val="none"/>
          <w:u w:val="none" w:color="auto"/>
          <w:lang w:val="en-US" w:eastAsia="zh-CN"/>
        </w:rPr>
        <w:t>一，</w:t>
      </w:r>
      <w:r>
        <w:rPr>
          <w:rFonts w:hint="eastAsia" w:ascii="仿宋" w:hAnsi="仿宋" w:eastAsia="仿宋" w:cs="仿宋"/>
          <w:color w:val="auto"/>
          <w:spacing w:val="5"/>
          <w:sz w:val="32"/>
          <w:szCs w:val="32"/>
          <w:highlight w:val="none"/>
          <w:u w:val="none" w:color="auto"/>
        </w:rPr>
        <w:t>面积</w:t>
      </w:r>
      <w:r>
        <w:rPr>
          <w:rFonts w:hint="eastAsia" w:ascii="仿宋" w:hAnsi="仿宋" w:eastAsia="仿宋" w:cs="仿宋"/>
          <w:color w:val="auto"/>
          <w:spacing w:val="5"/>
          <w:sz w:val="32"/>
          <w:szCs w:val="32"/>
          <w:highlight w:val="none"/>
          <w:u w:val="none" w:color="auto"/>
          <w:lang w:val="en-US" w:eastAsia="zh-CN"/>
        </w:rPr>
        <w:t>3095.40</w:t>
      </w:r>
      <w:r>
        <w:rPr>
          <w:rFonts w:hint="eastAsia" w:ascii="仿宋" w:hAnsi="仿宋" w:eastAsia="仿宋" w:cs="仿宋"/>
          <w:color w:val="auto"/>
          <w:spacing w:val="4"/>
          <w:sz w:val="32"/>
          <w:szCs w:val="32"/>
          <w:highlight w:val="none"/>
          <w:u w:val="none" w:color="auto"/>
        </w:rPr>
        <w:t>m</w:t>
      </w:r>
      <w:r>
        <w:rPr>
          <w:rFonts w:hint="eastAsia" w:ascii="仿宋" w:hAnsi="仿宋" w:eastAsia="仿宋" w:cs="仿宋"/>
          <w:color w:val="auto"/>
          <w:spacing w:val="4"/>
          <w:sz w:val="32"/>
          <w:szCs w:val="32"/>
          <w:highlight w:val="none"/>
          <w:u w:val="none" w:color="auto"/>
          <w:vertAlign w:val="superscript"/>
          <w:lang w:val="en-US" w:eastAsia="zh-CN"/>
        </w:rPr>
        <w:t>2</w:t>
      </w:r>
      <w:r>
        <w:rPr>
          <w:rFonts w:hint="eastAsia" w:ascii="仿宋" w:hAnsi="仿宋" w:eastAsia="仿宋" w:cs="仿宋"/>
          <w:color w:val="auto"/>
          <w:spacing w:val="5"/>
          <w:sz w:val="32"/>
          <w:szCs w:val="32"/>
          <w:highlight w:val="none"/>
          <w:u w:val="none" w:color="auto"/>
        </w:rPr>
        <w:t>，</w:t>
      </w:r>
      <w:r>
        <w:rPr>
          <w:rFonts w:hint="eastAsia" w:ascii="仿宋" w:hAnsi="仿宋" w:eastAsia="仿宋" w:cs="仿宋"/>
          <w:color w:val="auto"/>
          <w:spacing w:val="5"/>
          <w:sz w:val="32"/>
          <w:szCs w:val="32"/>
          <w:highlight w:val="none"/>
          <w:u w:val="none" w:color="auto"/>
          <w:lang w:val="en-US" w:eastAsia="zh-CN"/>
        </w:rPr>
        <w:t>部分用于原料堆放，部分闲置待用）</w:t>
      </w:r>
      <w:r>
        <w:rPr>
          <w:rFonts w:hint="eastAsia" w:ascii="仿宋" w:hAnsi="仿宋" w:eastAsia="仿宋" w:cs="仿宋"/>
          <w:color w:val="auto"/>
          <w:sz w:val="32"/>
          <w:szCs w:val="32"/>
          <w:highlight w:val="none"/>
          <w:u w:val="none" w:color="auto"/>
          <w:lang w:val="en-US" w:eastAsia="zh-CN"/>
        </w:rPr>
        <w:t>、研发车间、环保工程，公用工程依托现有。本项目所拆解的电池主要为汽车退役动力锂电池</w:t>
      </w:r>
      <w:r>
        <w:rPr>
          <w:rFonts w:hint="eastAsia" w:ascii="仿宋" w:hAnsi="仿宋" w:eastAsia="仿宋" w:cs="仿宋"/>
          <w:color w:val="auto"/>
          <w:sz w:val="32"/>
          <w:szCs w:val="32"/>
          <w:highlight w:val="none"/>
          <w:u w:val="none" w:color="auto"/>
          <w:lang w:eastAsia="zh-CN"/>
        </w:rPr>
        <w:t>为磷酸铁锂动力锂电池，</w:t>
      </w:r>
      <w:r>
        <w:rPr>
          <w:rFonts w:hint="eastAsia" w:ascii="仿宋" w:hAnsi="仿宋" w:eastAsia="仿宋" w:cs="仿宋"/>
          <w:color w:val="auto"/>
          <w:sz w:val="32"/>
          <w:szCs w:val="32"/>
          <w:highlight w:val="none"/>
          <w:u w:val="none" w:color="auto"/>
          <w:lang w:val="en-US" w:eastAsia="zh-CN"/>
        </w:rPr>
        <w:t>仅拆解至模组；通过对拆解出来的模组进行检验来决定是否进行梯级利用，不能梯级利</w:t>
      </w:r>
    </w:p>
    <w:p w14:paraId="7A44A098">
      <w:pPr>
        <w:keepNext w:val="0"/>
        <w:keepLines w:val="0"/>
        <w:pageBreakBefore w:val="0"/>
        <w:bidi w:val="0"/>
        <w:spacing w:line="540" w:lineRule="exact"/>
        <w:ind w:firstLine="640" w:firstLineChars="200"/>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color w:val="auto"/>
          <w:sz w:val="32"/>
          <w:szCs w:val="32"/>
          <w:highlight w:val="none"/>
          <w:u w:val="none" w:color="auto"/>
          <w:lang w:val="en-US" w:eastAsia="zh-CN"/>
        </w:rPr>
        <w:t>用的模组由企业收集后定期交由有资质的资源化再生企业处置；本项目不会涉及到锂电池模组、锂电池单体和电池电芯的拆解。</w:t>
      </w:r>
      <w:r>
        <w:rPr>
          <w:rFonts w:hint="eastAsia" w:ascii="仿宋" w:hAnsi="仿宋" w:eastAsia="仿宋" w:cs="仿宋"/>
          <w:b w:val="0"/>
          <w:bCs w:val="0"/>
          <w:color w:val="auto"/>
          <w:sz w:val="32"/>
          <w:szCs w:val="32"/>
          <w:highlight w:val="none"/>
          <w:u w:val="none" w:color="auto"/>
          <w:lang w:val="en-US" w:eastAsia="zh-CN"/>
        </w:rPr>
        <w:t>生产</w:t>
      </w:r>
      <w:r>
        <w:rPr>
          <w:rFonts w:hint="eastAsia" w:ascii="仿宋" w:hAnsi="仿宋" w:eastAsia="仿宋" w:cs="仿宋"/>
          <w:color w:val="auto"/>
          <w:sz w:val="32"/>
          <w:szCs w:val="32"/>
          <w:highlight w:val="none"/>
          <w:u w:val="none" w:color="auto"/>
          <w:lang w:val="en-US" w:eastAsia="zh-CN"/>
        </w:rPr>
        <w:t>动力电池梯次利用主要</w:t>
      </w:r>
      <w:r>
        <w:rPr>
          <w:rFonts w:hint="eastAsia" w:ascii="仿宋" w:hAnsi="仿宋" w:eastAsia="仿宋" w:cs="仿宋"/>
          <w:color w:val="auto"/>
          <w:spacing w:val="-3"/>
          <w:sz w:val="32"/>
          <w:szCs w:val="32"/>
          <w:highlight w:val="none"/>
          <w:u w:val="none" w:color="auto"/>
        </w:rPr>
        <w:t>生产工艺为分选</w:t>
      </w:r>
      <w:r>
        <w:rPr>
          <w:rFonts w:hint="eastAsia" w:ascii="仿宋" w:hAnsi="仿宋" w:eastAsia="仿宋" w:cs="仿宋"/>
          <w:color w:val="auto"/>
          <w:spacing w:val="-3"/>
          <w:sz w:val="32"/>
          <w:szCs w:val="32"/>
          <w:highlight w:val="none"/>
          <w:u w:val="none" w:color="auto"/>
          <w:lang w:eastAsia="zh-CN"/>
        </w:rPr>
        <w:t>、</w:t>
      </w:r>
      <w:r>
        <w:rPr>
          <w:rFonts w:hint="eastAsia" w:ascii="仿宋" w:hAnsi="仿宋" w:eastAsia="仿宋" w:cs="仿宋"/>
          <w:color w:val="auto"/>
          <w:spacing w:val="-3"/>
          <w:sz w:val="32"/>
          <w:szCs w:val="32"/>
          <w:highlight w:val="none"/>
          <w:u w:val="none" w:color="auto"/>
        </w:rPr>
        <w:t>拆卸、检测</w:t>
      </w:r>
      <w:r>
        <w:rPr>
          <w:rFonts w:hint="eastAsia" w:ascii="仿宋" w:hAnsi="仿宋" w:eastAsia="仿宋" w:cs="仿宋"/>
          <w:color w:val="auto"/>
          <w:spacing w:val="-3"/>
          <w:sz w:val="32"/>
          <w:szCs w:val="32"/>
          <w:highlight w:val="none"/>
          <w:u w:val="none" w:color="auto"/>
          <w:lang w:val="en-US" w:eastAsia="zh-CN"/>
        </w:rPr>
        <w:t>、</w:t>
      </w:r>
      <w:r>
        <w:rPr>
          <w:rFonts w:hint="eastAsia" w:ascii="仿宋" w:hAnsi="仿宋" w:eastAsia="仿宋" w:cs="仿宋"/>
          <w:color w:val="auto"/>
          <w:spacing w:val="-3"/>
          <w:sz w:val="32"/>
          <w:szCs w:val="32"/>
          <w:highlight w:val="none"/>
          <w:u w:val="none" w:color="auto"/>
        </w:rPr>
        <w:t>组装</w:t>
      </w:r>
      <w:r>
        <w:rPr>
          <w:rFonts w:hint="eastAsia" w:ascii="仿宋" w:hAnsi="仿宋" w:eastAsia="仿宋" w:cs="仿宋"/>
          <w:color w:val="auto"/>
          <w:spacing w:val="-3"/>
          <w:sz w:val="32"/>
          <w:szCs w:val="32"/>
          <w:highlight w:val="none"/>
          <w:u w:val="none" w:color="auto"/>
          <w:lang w:eastAsia="zh-CN"/>
        </w:rPr>
        <w:t>、</w:t>
      </w:r>
      <w:r>
        <w:rPr>
          <w:rFonts w:hint="eastAsia" w:ascii="仿宋" w:hAnsi="仿宋" w:eastAsia="仿宋" w:cs="仿宋"/>
          <w:color w:val="auto"/>
          <w:spacing w:val="-3"/>
          <w:sz w:val="32"/>
          <w:szCs w:val="32"/>
          <w:highlight w:val="none"/>
          <w:u w:val="none" w:color="auto"/>
          <w:lang w:val="en-US" w:eastAsia="zh-CN"/>
        </w:rPr>
        <w:t>测试</w:t>
      </w:r>
      <w:r>
        <w:rPr>
          <w:rFonts w:hint="eastAsia" w:ascii="仿宋" w:hAnsi="仿宋" w:eastAsia="仿宋" w:cs="仿宋"/>
          <w:color w:val="auto"/>
          <w:spacing w:val="-3"/>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具体工艺流程见</w:t>
      </w:r>
      <w:r>
        <w:rPr>
          <w:rFonts w:hint="eastAsia" w:ascii="仿宋" w:hAnsi="仿宋" w:eastAsia="仿宋" w:cs="仿宋"/>
          <w:b w:val="0"/>
          <w:bCs w:val="0"/>
          <w:color w:val="auto"/>
          <w:sz w:val="32"/>
          <w:szCs w:val="32"/>
          <w:highlight w:val="none"/>
          <w:u w:val="none" w:color="auto"/>
        </w:rPr>
        <w:t>环境影响报告书</w:t>
      </w:r>
      <w:r>
        <w:rPr>
          <w:rFonts w:hint="eastAsia" w:ascii="仿宋" w:hAnsi="仿宋" w:eastAsia="仿宋" w:cs="仿宋"/>
          <w:color w:val="auto"/>
          <w:sz w:val="32"/>
          <w:szCs w:val="32"/>
          <w:highlight w:val="none"/>
          <w:u w:val="none" w:color="auto"/>
          <w:lang w:val="en-US" w:eastAsia="zh-CN"/>
        </w:rPr>
        <w:t>中生产工艺流程图；</w:t>
      </w:r>
      <w:r>
        <w:rPr>
          <w:rFonts w:hint="eastAsia" w:ascii="仿宋" w:hAnsi="仿宋" w:eastAsia="仿宋" w:cs="仿宋"/>
          <w:b w:val="0"/>
          <w:bCs w:val="0"/>
          <w:color w:val="auto"/>
          <w:sz w:val="32"/>
          <w:szCs w:val="32"/>
          <w:highlight w:val="none"/>
          <w:u w:val="none" w:color="auto"/>
          <w:lang w:val="en-US" w:eastAsia="zh-CN"/>
        </w:rPr>
        <w:t>储能电池组生产为单纯的组装工序，仅有少量焊接工序，无涂胶、喷涂、机加工等工序。</w:t>
      </w:r>
      <w:r>
        <w:rPr>
          <w:rFonts w:hint="eastAsia" w:ascii="仿宋" w:hAnsi="仿宋" w:eastAsia="仿宋" w:cs="仿宋"/>
          <w:b w:val="0"/>
          <w:bCs w:val="0"/>
          <w:color w:val="auto"/>
          <w:kern w:val="2"/>
          <w:sz w:val="32"/>
          <w:szCs w:val="32"/>
          <w:highlight w:val="none"/>
          <w:u w:val="none" w:color="auto"/>
          <w:lang w:val="en-US" w:eastAsia="zh-CN" w:bidi="ar"/>
        </w:rPr>
        <w:t>根据</w:t>
      </w:r>
      <w:r>
        <w:rPr>
          <w:rFonts w:hint="eastAsia" w:ascii="仿宋" w:hAnsi="仿宋" w:eastAsia="仿宋" w:cs="仿宋"/>
          <w:b w:val="0"/>
          <w:bCs w:val="0"/>
          <w:color w:val="auto"/>
          <w:sz w:val="32"/>
          <w:szCs w:val="32"/>
          <w:highlight w:val="none"/>
          <w:u w:val="none" w:color="auto"/>
          <w:lang w:val="en-US" w:eastAsia="zh-CN"/>
        </w:rPr>
        <w:t>湖南霖昇工程技术咨询</w:t>
      </w:r>
      <w:r>
        <w:rPr>
          <w:rFonts w:hint="eastAsia" w:ascii="仿宋" w:hAnsi="仿宋" w:eastAsia="仿宋" w:cs="仿宋"/>
          <w:b w:val="0"/>
          <w:bCs w:val="0"/>
          <w:color w:val="auto"/>
          <w:sz w:val="32"/>
          <w:szCs w:val="32"/>
          <w:highlight w:val="none"/>
          <w:u w:val="none" w:color="auto"/>
        </w:rPr>
        <w:t>有限公司</w:t>
      </w:r>
      <w:r>
        <w:rPr>
          <w:rFonts w:hint="eastAsia" w:ascii="仿宋" w:hAnsi="仿宋" w:eastAsia="仿宋" w:cs="仿宋"/>
          <w:b w:val="0"/>
          <w:bCs w:val="0"/>
          <w:color w:val="auto"/>
          <w:kern w:val="2"/>
          <w:sz w:val="32"/>
          <w:szCs w:val="32"/>
          <w:highlight w:val="none"/>
          <w:u w:val="none" w:color="auto"/>
          <w:lang w:val="en-US" w:eastAsia="zh-CN" w:bidi="ar"/>
        </w:rPr>
        <w:t>编制的《</w:t>
      </w:r>
      <w:r>
        <w:rPr>
          <w:rFonts w:hint="eastAsia" w:ascii="仿宋" w:hAnsi="仿宋" w:eastAsia="仿宋" w:cs="仿宋"/>
          <w:b w:val="0"/>
          <w:bCs w:val="0"/>
          <w:color w:val="auto"/>
          <w:sz w:val="32"/>
          <w:szCs w:val="32"/>
          <w:highlight w:val="none"/>
          <w:u w:val="none" w:color="auto"/>
        </w:rPr>
        <w:t>动力电池梯次利用及储能电池组项目环境影响报告书</w:t>
      </w:r>
      <w:r>
        <w:rPr>
          <w:rFonts w:hint="eastAsia" w:ascii="仿宋" w:hAnsi="仿宋" w:eastAsia="仿宋" w:cs="仿宋"/>
          <w:b w:val="0"/>
          <w:bCs w:val="0"/>
          <w:color w:val="auto"/>
          <w:kern w:val="2"/>
          <w:sz w:val="32"/>
          <w:szCs w:val="32"/>
          <w:highlight w:val="none"/>
          <w:u w:val="none" w:color="auto"/>
          <w:lang w:val="en-US" w:eastAsia="zh-CN" w:bidi="ar"/>
        </w:rPr>
        <w:t>》（报批稿）基本内容、结论和专家评审意见及岳阳市生态环境局岳阳县分局预审意见，从环境保护角度考虑，我局原则同意你公司环境影响报告书中所列建设项目的环境影响评价结论和环境保护对策措施。</w:t>
      </w:r>
    </w:p>
    <w:p w14:paraId="49AA14E2">
      <w:pPr>
        <w:keepNext w:val="0"/>
        <w:keepLines w:val="0"/>
        <w:pageBreakBefore w:val="0"/>
        <w:widowControl w:val="0"/>
        <w:numPr>
          <w:ilvl w:val="0"/>
          <w:numId w:val="1"/>
        </w:numPr>
        <w:suppressLineNumbers w:val="0"/>
        <w:kinsoku/>
        <w:wordWrap w:val="0"/>
        <w:overflowPunct/>
        <w:topLinePunct/>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kern w:val="2"/>
          <w:sz w:val="32"/>
          <w:szCs w:val="32"/>
          <w:highlight w:val="none"/>
          <w:u w:val="none" w:color="auto"/>
          <w:lang w:val="en-US" w:eastAsia="zh-CN" w:bidi="ar"/>
        </w:rPr>
        <w:t>认真落实专家及环境影响报告书中提出的各项污染防治措施，并应着重注意以下问题：</w:t>
      </w:r>
    </w:p>
    <w:p w14:paraId="27328F66">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sz w:val="32"/>
          <w:szCs w:val="32"/>
          <w:highlight w:val="none"/>
          <w:u w:val="none" w:color="auto"/>
          <w:lang w:val="en-US" w:eastAsia="zh-CN"/>
        </w:rPr>
        <w:t>1、做好施工期的扬尘控制措施；</w:t>
      </w:r>
      <w:r>
        <w:rPr>
          <w:rFonts w:hint="eastAsia" w:ascii="仿宋" w:hAnsi="仿宋" w:eastAsia="仿宋" w:cs="仿宋"/>
          <w:color w:val="auto"/>
          <w:sz w:val="32"/>
          <w:szCs w:val="32"/>
          <w:highlight w:val="none"/>
          <w:u w:val="none" w:color="auto"/>
        </w:rPr>
        <w:t>对含油量高的施工机械冲洗水或悬浮物含量高的其它施工废水经沉淀池、隔油池处理后回用</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砂浆、石灰浆等废水宜集中处理，干燥后与固体废物一起处置；生活污水利用区域现有的生活污水预</w:t>
      </w:r>
      <w:r>
        <w:rPr>
          <w:rFonts w:hint="eastAsia" w:ascii="仿宋" w:hAnsi="仿宋" w:eastAsia="仿宋" w:cs="仿宋"/>
          <w:color w:val="auto"/>
          <w:sz w:val="32"/>
          <w:szCs w:val="32"/>
          <w:highlight w:val="none"/>
          <w:u w:val="none" w:color="auto"/>
          <w:lang w:eastAsia="zh-CN"/>
        </w:rPr>
        <w:t>处理</w:t>
      </w:r>
      <w:r>
        <w:rPr>
          <w:rFonts w:hint="eastAsia" w:ascii="仿宋" w:hAnsi="仿宋" w:eastAsia="仿宋" w:cs="仿宋"/>
          <w:color w:val="auto"/>
          <w:sz w:val="32"/>
          <w:szCs w:val="32"/>
          <w:highlight w:val="none"/>
          <w:u w:val="none" w:color="auto"/>
        </w:rPr>
        <w:t>设施，经预处理后综合利用</w:t>
      </w:r>
      <w:r>
        <w:rPr>
          <w:rFonts w:hint="eastAsia" w:ascii="仿宋" w:hAnsi="仿宋" w:eastAsia="仿宋" w:cs="仿宋"/>
          <w:color w:val="auto"/>
          <w:sz w:val="32"/>
          <w:szCs w:val="32"/>
          <w:highlight w:val="none"/>
          <w:u w:val="none" w:color="auto"/>
          <w:lang w:val="en-US" w:eastAsia="zh-CN"/>
        </w:rPr>
        <w:t>；</w:t>
      </w:r>
      <w:r>
        <w:rPr>
          <w:rFonts w:hint="eastAsia" w:ascii="仿宋" w:hAnsi="仿宋" w:eastAsia="仿宋" w:cs="仿宋"/>
          <w:sz w:val="32"/>
          <w:szCs w:val="32"/>
          <w:highlight w:val="none"/>
          <w:u w:val="none" w:color="auto"/>
        </w:rPr>
        <w:t>尽量选用低噪音的设备</w:t>
      </w:r>
      <w:r>
        <w:rPr>
          <w:rFonts w:hint="eastAsia" w:ascii="仿宋" w:hAnsi="仿宋" w:eastAsia="仿宋" w:cs="仿宋"/>
          <w:sz w:val="32"/>
          <w:szCs w:val="32"/>
          <w:highlight w:val="none"/>
          <w:u w:val="none" w:color="auto"/>
          <w:lang w:eastAsia="zh-CN"/>
        </w:rPr>
        <w:t>、</w:t>
      </w:r>
      <w:r>
        <w:rPr>
          <w:rFonts w:hint="eastAsia" w:ascii="仿宋" w:hAnsi="仿宋" w:eastAsia="仿宋" w:cs="仿宋"/>
          <w:color w:val="auto"/>
          <w:sz w:val="32"/>
          <w:szCs w:val="32"/>
          <w:highlight w:val="none"/>
          <w:u w:val="none" w:color="auto"/>
        </w:rPr>
        <w:t>合理安排施工作业时间</w:t>
      </w:r>
      <w:r>
        <w:rPr>
          <w:rFonts w:hint="eastAsia" w:ascii="仿宋" w:hAnsi="仿宋" w:eastAsia="仿宋" w:cs="仿宋"/>
          <w:b w:val="0"/>
          <w:bCs w:val="0"/>
          <w:color w:val="auto"/>
          <w:sz w:val="32"/>
          <w:szCs w:val="32"/>
          <w:highlight w:val="none"/>
          <w:u w:val="none" w:color="auto"/>
          <w:lang w:val="en-US" w:eastAsia="zh-CN"/>
        </w:rPr>
        <w:t>等措施确保施工厂界噪声满足</w:t>
      </w:r>
      <w:r>
        <w:rPr>
          <w:rFonts w:hint="eastAsia" w:ascii="仿宋" w:hAnsi="仿宋" w:eastAsia="仿宋" w:cs="仿宋"/>
          <w:b w:val="0"/>
          <w:bCs w:val="0"/>
          <w:color w:val="auto"/>
          <w:sz w:val="32"/>
          <w:szCs w:val="32"/>
          <w:highlight w:val="none"/>
          <w:u w:val="none" w:color="auto"/>
        </w:rPr>
        <w:t>《建筑施工场界环境噪声排放标准》（GB12523-2011）</w:t>
      </w:r>
      <w:r>
        <w:rPr>
          <w:rFonts w:hint="eastAsia" w:ascii="仿宋" w:hAnsi="仿宋" w:eastAsia="仿宋" w:cs="仿宋"/>
          <w:b w:val="0"/>
          <w:bCs w:val="0"/>
          <w:color w:val="auto"/>
          <w:sz w:val="32"/>
          <w:szCs w:val="32"/>
          <w:highlight w:val="none"/>
          <w:u w:val="none" w:color="auto"/>
          <w:lang w:val="en-US" w:eastAsia="zh-CN"/>
        </w:rPr>
        <w:t>；建筑垃圾及生活垃圾妥善处理。</w:t>
      </w:r>
    </w:p>
    <w:p w14:paraId="7842E7C0">
      <w:pPr>
        <w:keepNext w:val="0"/>
        <w:keepLines w:val="0"/>
        <w:pageBreakBefore w:val="0"/>
        <w:numPr>
          <w:ilvl w:val="0"/>
          <w:numId w:val="0"/>
        </w:numPr>
        <w:tabs>
          <w:tab w:val="left" w:pos="0"/>
        </w:tabs>
        <w:autoSpaceDE/>
        <w:autoSpaceDN/>
        <w:bidi w:val="0"/>
        <w:adjustRightInd w:val="0"/>
        <w:snapToGrid w:val="0"/>
        <w:spacing w:before="0" w:after="0" w:line="540" w:lineRule="exact"/>
        <w:ind w:firstLine="640" w:firstLineChars="200"/>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kern w:val="2"/>
          <w:sz w:val="32"/>
          <w:szCs w:val="32"/>
          <w:highlight w:val="none"/>
          <w:u w:val="none" w:color="auto"/>
          <w:lang w:val="en-US" w:eastAsia="zh-CN" w:bidi="ar"/>
        </w:rPr>
        <w:t>2、加强营运期大气污染防治。</w:t>
      </w:r>
      <w:r>
        <w:rPr>
          <w:rFonts w:hint="eastAsia" w:ascii="仿宋" w:hAnsi="仿宋" w:eastAsia="仿宋" w:cs="仿宋"/>
          <w:color w:val="auto"/>
          <w:sz w:val="32"/>
          <w:szCs w:val="32"/>
          <w:highlight w:val="none"/>
          <w:u w:val="none" w:color="auto"/>
        </w:rPr>
        <w:t>激光焊接烟尘，主要污染因子为颗粒物</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通过在</w:t>
      </w:r>
      <w:r>
        <w:rPr>
          <w:rFonts w:hint="eastAsia" w:ascii="仿宋" w:hAnsi="仿宋" w:eastAsia="仿宋" w:cs="仿宋"/>
          <w:color w:val="auto"/>
          <w:kern w:val="0"/>
          <w:sz w:val="32"/>
          <w:szCs w:val="32"/>
          <w:highlight w:val="none"/>
          <w:u w:val="none" w:color="auto"/>
          <w:lang w:val="en-US" w:eastAsia="zh-CN" w:bidi="ar"/>
        </w:rPr>
        <w:t>焊接点位配套烟尘净化器，对焊接烟尘初步处理后再无组织排放。</w:t>
      </w:r>
      <w:r>
        <w:rPr>
          <w:rFonts w:hint="eastAsia" w:ascii="仿宋" w:hAnsi="仿宋" w:eastAsia="仿宋" w:cs="仿宋"/>
          <w:b w:val="0"/>
          <w:bCs w:val="0"/>
          <w:color w:val="auto"/>
          <w:kern w:val="2"/>
          <w:sz w:val="32"/>
          <w:szCs w:val="32"/>
          <w:highlight w:val="none"/>
          <w:u w:val="none" w:color="auto"/>
          <w:lang w:val="en-US" w:eastAsia="zh-CN" w:bidi="ar"/>
        </w:rPr>
        <w:t>定期对设备、管道、阀门等进行维护和管理，杜绝生产过程中的跑、冒、滴、漏，最大限度减少生产过程中的废气无组织排放,确保厂界颗粒物满足</w:t>
      </w:r>
      <w:r>
        <w:rPr>
          <w:rFonts w:hint="eastAsia" w:ascii="仿宋" w:hAnsi="仿宋" w:eastAsia="仿宋" w:cs="仿宋"/>
          <w:b w:val="0"/>
          <w:bCs w:val="0"/>
          <w:color w:val="auto"/>
          <w:sz w:val="32"/>
          <w:szCs w:val="32"/>
          <w:highlight w:val="none"/>
          <w:u w:val="none" w:color="auto"/>
        </w:rPr>
        <w:t>《大气污染物</w:t>
      </w:r>
      <w:bookmarkStart w:id="0" w:name="_GoBack"/>
      <w:bookmarkEnd w:id="0"/>
      <w:r>
        <w:rPr>
          <w:rFonts w:hint="eastAsia" w:ascii="仿宋" w:hAnsi="仿宋" w:eastAsia="仿宋" w:cs="仿宋"/>
          <w:b w:val="0"/>
          <w:bCs w:val="0"/>
          <w:color w:val="auto"/>
          <w:sz w:val="32"/>
          <w:szCs w:val="32"/>
          <w:highlight w:val="none"/>
          <w:u w:val="none" w:color="auto"/>
          <w:lang w:val="en-US" w:eastAsia="zh-CN"/>
        </w:rPr>
        <w:t>综合</w:t>
      </w:r>
      <w:r>
        <w:rPr>
          <w:rFonts w:hint="eastAsia" w:ascii="仿宋" w:hAnsi="仿宋" w:eastAsia="仿宋" w:cs="仿宋"/>
          <w:b w:val="0"/>
          <w:bCs w:val="0"/>
          <w:color w:val="auto"/>
          <w:sz w:val="32"/>
          <w:szCs w:val="32"/>
          <w:highlight w:val="none"/>
          <w:u w:val="none" w:color="auto"/>
        </w:rPr>
        <w:t>排放标准》（GB16297-1996）表2的无组织排放浓度限值</w:t>
      </w:r>
      <w:r>
        <w:rPr>
          <w:rFonts w:hint="eastAsia" w:ascii="仿宋" w:hAnsi="仿宋" w:eastAsia="仿宋" w:cs="仿宋"/>
          <w:b w:val="0"/>
          <w:bCs w:val="0"/>
          <w:color w:val="auto"/>
          <w:sz w:val="32"/>
          <w:szCs w:val="32"/>
          <w:highlight w:val="none"/>
          <w:u w:val="none" w:color="auto"/>
          <w:lang w:eastAsia="zh-CN"/>
        </w:rPr>
        <w:t>。</w:t>
      </w:r>
    </w:p>
    <w:p w14:paraId="4CB38B92">
      <w:pPr>
        <w:keepNext w:val="0"/>
        <w:keepLines w:val="0"/>
        <w:pageBreakBefore w:val="0"/>
        <w:autoSpaceDE/>
        <w:autoSpaceDN/>
        <w:bidi w:val="0"/>
        <w:adjustRightInd w:val="0"/>
        <w:snapToGrid w:val="0"/>
        <w:spacing w:line="540" w:lineRule="exact"/>
        <w:ind w:firstLine="640" w:firstLineChars="200"/>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kern w:val="2"/>
          <w:sz w:val="32"/>
          <w:szCs w:val="32"/>
          <w:highlight w:val="none"/>
          <w:u w:val="none" w:color="auto"/>
          <w:lang w:val="en-US" w:eastAsia="zh-CN" w:bidi="ar"/>
        </w:rPr>
        <w:t>3、加强营运期水污染防治。严格按照“雨污分流、清污分流、污污分流”的原则规范建设厂区雨水及污水收集设施。</w:t>
      </w:r>
      <w:r>
        <w:rPr>
          <w:rFonts w:hint="eastAsia" w:ascii="仿宋" w:hAnsi="仿宋" w:eastAsia="仿宋" w:cs="仿宋"/>
          <w:b w:val="0"/>
          <w:bCs w:val="0"/>
          <w:color w:val="auto"/>
          <w:sz w:val="32"/>
          <w:szCs w:val="32"/>
          <w:highlight w:val="none"/>
          <w:u w:val="none" w:color="auto"/>
        </w:rPr>
        <w:t>本项目</w:t>
      </w:r>
      <w:r>
        <w:rPr>
          <w:rFonts w:hint="eastAsia" w:ascii="仿宋" w:hAnsi="仿宋" w:eastAsia="仿宋" w:cs="仿宋"/>
          <w:b w:val="0"/>
          <w:bCs w:val="0"/>
          <w:color w:val="auto"/>
          <w:sz w:val="32"/>
          <w:szCs w:val="32"/>
          <w:highlight w:val="none"/>
          <w:u w:val="none" w:color="auto"/>
          <w:lang w:val="en-US" w:eastAsia="zh-CN"/>
        </w:rPr>
        <w:t>无生产废水；</w:t>
      </w:r>
      <w:r>
        <w:rPr>
          <w:rFonts w:hint="eastAsia" w:ascii="仿宋" w:hAnsi="仿宋" w:eastAsia="仿宋" w:cs="仿宋"/>
          <w:color w:val="auto"/>
          <w:sz w:val="32"/>
          <w:szCs w:val="32"/>
          <w:highlight w:val="none"/>
          <w:u w:val="none" w:color="auto"/>
        </w:rPr>
        <w:t>生活污水经园区化粪池预处理后</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满足《污水综合排放标准》（GB8978-1996）三级标准、</w:t>
      </w:r>
      <w:r>
        <w:rPr>
          <w:rFonts w:hint="eastAsia" w:ascii="仿宋" w:hAnsi="仿宋" w:eastAsia="仿宋" w:cs="仿宋"/>
          <w:color w:val="auto"/>
          <w:sz w:val="32"/>
          <w:szCs w:val="32"/>
          <w:highlight w:val="none"/>
          <w:u w:val="none" w:color="auto"/>
        </w:rPr>
        <w:t>氨氮满足《污水排入城镇下水道水质标准》（GB/T31962-2015）B级标准</w:t>
      </w:r>
      <w:r>
        <w:rPr>
          <w:rFonts w:hint="eastAsia" w:ascii="仿宋" w:hAnsi="仿宋" w:eastAsia="仿宋" w:cs="仿宋"/>
          <w:b w:val="0"/>
          <w:bCs w:val="0"/>
          <w:color w:val="auto"/>
          <w:sz w:val="32"/>
          <w:szCs w:val="32"/>
          <w:highlight w:val="none"/>
          <w:u w:val="none" w:color="auto"/>
          <w:lang w:val="en-US" w:eastAsia="zh-CN"/>
        </w:rPr>
        <w:t>后，</w:t>
      </w:r>
      <w:r>
        <w:rPr>
          <w:rFonts w:hint="eastAsia" w:ascii="仿宋" w:hAnsi="仿宋" w:eastAsia="仿宋" w:cs="仿宋"/>
          <w:b w:val="0"/>
          <w:bCs w:val="0"/>
          <w:color w:val="auto"/>
          <w:sz w:val="32"/>
          <w:szCs w:val="32"/>
          <w:highlight w:val="none"/>
          <w:u w:val="none" w:color="auto"/>
        </w:rPr>
        <w:t>经</w:t>
      </w:r>
      <w:r>
        <w:rPr>
          <w:rFonts w:hint="eastAsia" w:ascii="仿宋" w:hAnsi="仿宋" w:eastAsia="仿宋" w:cs="仿宋"/>
          <w:b w:val="0"/>
          <w:bCs w:val="0"/>
          <w:color w:val="auto"/>
          <w:sz w:val="32"/>
          <w:szCs w:val="32"/>
          <w:highlight w:val="none"/>
          <w:u w:val="none" w:color="auto"/>
          <w:lang w:val="en-US" w:eastAsia="zh-CN"/>
        </w:rPr>
        <w:t>岳阳高新技术产业园区污水处理厂</w:t>
      </w:r>
      <w:r>
        <w:rPr>
          <w:rFonts w:hint="eastAsia" w:ascii="仿宋" w:hAnsi="仿宋" w:eastAsia="仿宋" w:cs="仿宋"/>
          <w:b w:val="0"/>
          <w:bCs w:val="0"/>
          <w:color w:val="auto"/>
          <w:sz w:val="32"/>
          <w:szCs w:val="32"/>
          <w:highlight w:val="none"/>
          <w:u w:val="none" w:color="auto"/>
        </w:rPr>
        <w:t>处理达</w:t>
      </w:r>
      <w:r>
        <w:rPr>
          <w:rFonts w:hint="eastAsia" w:ascii="仿宋" w:hAnsi="仿宋" w:eastAsia="仿宋" w:cs="仿宋"/>
          <w:b w:val="0"/>
          <w:bCs w:val="0"/>
          <w:color w:val="auto"/>
          <w:sz w:val="32"/>
          <w:szCs w:val="32"/>
          <w:highlight w:val="none"/>
          <w:u w:val="none" w:color="auto"/>
          <w:lang w:val="en-US" w:eastAsia="zh-CN"/>
        </w:rPr>
        <w:t>到</w:t>
      </w:r>
      <w:r>
        <w:rPr>
          <w:rFonts w:hint="eastAsia" w:ascii="仿宋" w:hAnsi="仿宋" w:eastAsia="仿宋" w:cs="仿宋"/>
          <w:color w:val="auto"/>
          <w:sz w:val="32"/>
          <w:szCs w:val="32"/>
          <w:highlight w:val="none"/>
          <w:u w:val="none" w:color="auto"/>
        </w:rPr>
        <w:t>《湖南省城镇污水处理厂主要水污染物排放标准》(DB43T 1546-2018)一级标准、其余未包含指标</w:t>
      </w:r>
      <w:r>
        <w:rPr>
          <w:rFonts w:hint="eastAsia" w:ascii="仿宋" w:hAnsi="仿宋" w:eastAsia="仿宋" w:cs="仿宋"/>
          <w:color w:val="auto"/>
          <w:sz w:val="32"/>
          <w:szCs w:val="32"/>
          <w:highlight w:val="none"/>
          <w:u w:val="none" w:color="auto"/>
          <w:lang w:val="en-US" w:eastAsia="zh-CN"/>
        </w:rPr>
        <w:t>满足</w:t>
      </w:r>
      <w:r>
        <w:rPr>
          <w:rFonts w:hint="eastAsia" w:ascii="仿宋" w:hAnsi="仿宋" w:eastAsia="仿宋" w:cs="仿宋"/>
          <w:color w:val="auto"/>
          <w:sz w:val="32"/>
          <w:szCs w:val="32"/>
          <w:highlight w:val="none"/>
          <w:u w:val="none" w:color="auto"/>
        </w:rPr>
        <w:t>《城镇污水处理厂污染物排放标准》(GB18918-2002)一级A标准</w:t>
      </w:r>
      <w:r>
        <w:rPr>
          <w:rFonts w:hint="eastAsia" w:ascii="仿宋" w:hAnsi="仿宋" w:eastAsia="仿宋" w:cs="仿宋"/>
          <w:b w:val="0"/>
          <w:bCs w:val="0"/>
          <w:color w:val="auto"/>
          <w:sz w:val="32"/>
          <w:szCs w:val="32"/>
          <w:highlight w:val="none"/>
          <w:u w:val="none" w:color="auto"/>
          <w:lang w:val="en-US" w:eastAsia="zh-CN"/>
        </w:rPr>
        <w:t>后排入新墙河。</w:t>
      </w:r>
    </w:p>
    <w:p w14:paraId="179B9161">
      <w:pPr>
        <w:keepNext w:val="0"/>
        <w:keepLines w:val="0"/>
        <w:pageBreakBefore w:val="0"/>
        <w:widowControl w:val="0"/>
        <w:suppressLineNumbers w:val="0"/>
        <w:kinsoku/>
        <w:wordWrap w:val="0"/>
        <w:overflowPunct/>
        <w:topLinePunct/>
        <w:autoSpaceDE/>
        <w:autoSpaceDN/>
        <w:bidi w:val="0"/>
        <w:spacing w:before="0" w:beforeAutospacing="0" w:after="0" w:afterAutospacing="0" w:line="540" w:lineRule="exact"/>
        <w:ind w:left="0" w:right="0" w:firstLine="640" w:firstLineChars="200"/>
        <w:jc w:val="both"/>
        <w:textAlignment w:val="auto"/>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按照“源头控制、分区防治、污染监控、应急响应”相结合的原则落实报告书提出的地下水污染防治措施。做好</w:t>
      </w:r>
      <w:r>
        <w:rPr>
          <w:rFonts w:hint="eastAsia" w:ascii="仿宋" w:hAnsi="仿宋" w:eastAsia="仿宋" w:cs="仿宋"/>
          <w:b w:val="0"/>
          <w:bCs w:val="0"/>
          <w:color w:val="auto"/>
          <w:sz w:val="32"/>
          <w:szCs w:val="32"/>
          <w:highlight w:val="none"/>
          <w:u w:val="none" w:color="auto"/>
        </w:rPr>
        <w:t>危险废物暂存间、</w:t>
      </w:r>
      <w:r>
        <w:rPr>
          <w:rFonts w:hint="eastAsia" w:ascii="仿宋" w:hAnsi="仿宋" w:eastAsia="仿宋" w:cs="仿宋"/>
          <w:color w:val="auto"/>
          <w:spacing w:val="7"/>
          <w:sz w:val="32"/>
          <w:szCs w:val="32"/>
          <w:highlight w:val="none"/>
          <w:u w:val="none" w:color="auto"/>
        </w:rPr>
        <w:t>生产区</w:t>
      </w:r>
      <w:r>
        <w:rPr>
          <w:rFonts w:hint="eastAsia" w:ascii="仿宋" w:hAnsi="仿宋" w:eastAsia="仿宋" w:cs="仿宋"/>
          <w:b w:val="0"/>
          <w:bCs w:val="0"/>
          <w:color w:val="auto"/>
          <w:sz w:val="32"/>
          <w:szCs w:val="32"/>
          <w:highlight w:val="none"/>
          <w:u w:val="none" w:color="auto"/>
        </w:rPr>
        <w:t>区域</w:t>
      </w:r>
      <w:r>
        <w:rPr>
          <w:rFonts w:hint="eastAsia" w:ascii="仿宋" w:hAnsi="仿宋" w:eastAsia="仿宋" w:cs="仿宋"/>
          <w:b w:val="0"/>
          <w:bCs w:val="0"/>
          <w:color w:val="auto"/>
          <w:sz w:val="32"/>
          <w:szCs w:val="32"/>
          <w:highlight w:val="none"/>
          <w:u w:val="none" w:color="auto"/>
          <w:lang w:val="en-US" w:eastAsia="zh-CN" w:bidi="ar"/>
        </w:rPr>
        <w:t>的</w:t>
      </w:r>
      <w:r>
        <w:rPr>
          <w:rFonts w:hint="eastAsia" w:ascii="仿宋" w:hAnsi="仿宋" w:eastAsia="仿宋" w:cs="仿宋"/>
          <w:b w:val="0"/>
          <w:bCs w:val="0"/>
          <w:color w:val="auto"/>
          <w:kern w:val="2"/>
          <w:sz w:val="32"/>
          <w:szCs w:val="32"/>
          <w:highlight w:val="none"/>
          <w:u w:val="none" w:color="auto"/>
          <w:lang w:val="en-US" w:eastAsia="zh-CN" w:bidi="ar"/>
        </w:rPr>
        <w:t>防渗工作和</w:t>
      </w:r>
      <w:r>
        <w:rPr>
          <w:rFonts w:hint="eastAsia" w:ascii="仿宋" w:hAnsi="仿宋" w:eastAsia="仿宋" w:cs="仿宋"/>
          <w:color w:val="auto"/>
          <w:spacing w:val="8"/>
          <w:sz w:val="32"/>
          <w:szCs w:val="32"/>
          <w:highlight w:val="none"/>
          <w:u w:val="none" w:color="auto"/>
        </w:rPr>
        <w:t>办公区等配套工程区</w:t>
      </w:r>
      <w:r>
        <w:rPr>
          <w:rFonts w:hint="eastAsia" w:ascii="仿宋" w:hAnsi="仿宋" w:eastAsia="仿宋" w:cs="仿宋"/>
          <w:b w:val="0"/>
          <w:bCs w:val="0"/>
          <w:color w:val="auto"/>
          <w:kern w:val="2"/>
          <w:sz w:val="32"/>
          <w:szCs w:val="32"/>
          <w:highlight w:val="none"/>
          <w:u w:val="none" w:color="auto"/>
          <w:lang w:val="en-US" w:eastAsia="zh-CN" w:bidi="ar"/>
        </w:rPr>
        <w:t>的地面硬化，避免由于防渗层破损造成污染物下渗污染地下水。根据《环境影响评价技术导则 地下水环境》(HJ610-2016)要求，跟踪监测地下水水质情况，确保地下水环境安全。</w:t>
      </w:r>
    </w:p>
    <w:p w14:paraId="21B3A049">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4、加强营运期噪声污染防治。采用低噪声设备，合理布局，</w:t>
      </w:r>
      <w:r>
        <w:rPr>
          <w:rFonts w:hint="eastAsia" w:ascii="仿宋" w:hAnsi="仿宋" w:eastAsia="仿宋" w:cs="仿宋"/>
          <w:b w:val="0"/>
          <w:bCs w:val="0"/>
          <w:color w:val="auto"/>
          <w:sz w:val="32"/>
          <w:szCs w:val="32"/>
          <w:highlight w:val="none"/>
          <w:u w:val="none" w:color="auto"/>
        </w:rPr>
        <w:t>加强设备维护</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生产设备</w:t>
      </w:r>
      <w:r>
        <w:rPr>
          <w:rFonts w:hint="eastAsia" w:ascii="仿宋" w:hAnsi="仿宋" w:eastAsia="仿宋" w:cs="仿宋"/>
          <w:b w:val="0"/>
          <w:bCs w:val="0"/>
          <w:color w:val="auto"/>
          <w:sz w:val="32"/>
          <w:szCs w:val="32"/>
          <w:highlight w:val="none"/>
          <w:u w:val="none" w:color="auto"/>
          <w:lang w:val="en-US" w:eastAsia="zh-CN"/>
        </w:rPr>
        <w:t>采取</w:t>
      </w:r>
      <w:r>
        <w:rPr>
          <w:rFonts w:hint="eastAsia" w:ascii="仿宋" w:hAnsi="仿宋" w:eastAsia="仿宋" w:cs="仿宋"/>
          <w:b w:val="0"/>
          <w:bCs w:val="0"/>
          <w:color w:val="auto"/>
          <w:sz w:val="32"/>
          <w:szCs w:val="32"/>
          <w:highlight w:val="none"/>
          <w:u w:val="none" w:color="auto"/>
        </w:rPr>
        <w:t>基础减震</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消声，</w:t>
      </w:r>
      <w:r>
        <w:rPr>
          <w:rFonts w:hint="eastAsia" w:ascii="仿宋" w:hAnsi="仿宋" w:eastAsia="仿宋" w:cs="仿宋"/>
          <w:b w:val="0"/>
          <w:bCs w:val="0"/>
          <w:color w:val="auto"/>
          <w:sz w:val="32"/>
          <w:szCs w:val="32"/>
          <w:highlight w:val="none"/>
          <w:u w:val="none" w:color="auto"/>
        </w:rPr>
        <w:t>厂房墙体隔声等降噪</w:t>
      </w:r>
      <w:r>
        <w:rPr>
          <w:rFonts w:hint="eastAsia" w:ascii="仿宋" w:hAnsi="仿宋" w:eastAsia="仿宋" w:cs="仿宋"/>
          <w:b w:val="0"/>
          <w:bCs w:val="0"/>
          <w:color w:val="auto"/>
          <w:kern w:val="0"/>
          <w:sz w:val="32"/>
          <w:szCs w:val="32"/>
          <w:highlight w:val="none"/>
          <w:u w:val="none" w:color="auto"/>
          <w:lang w:val="en-US" w:eastAsia="zh-CN" w:bidi="ar"/>
        </w:rPr>
        <w:t>措施</w:t>
      </w:r>
      <w:r>
        <w:rPr>
          <w:rFonts w:hint="eastAsia" w:ascii="仿宋" w:hAnsi="仿宋" w:eastAsia="仿宋" w:cs="仿宋"/>
          <w:b w:val="0"/>
          <w:bCs w:val="0"/>
          <w:color w:val="auto"/>
          <w:kern w:val="2"/>
          <w:sz w:val="32"/>
          <w:szCs w:val="32"/>
          <w:highlight w:val="none"/>
          <w:u w:val="none" w:color="auto"/>
          <w:lang w:val="en-US" w:eastAsia="zh-CN" w:bidi="ar"/>
        </w:rPr>
        <w:t>，确保厂界噪声达到</w:t>
      </w:r>
      <w:r>
        <w:rPr>
          <w:rFonts w:hint="eastAsia" w:ascii="仿宋" w:hAnsi="仿宋" w:eastAsia="仿宋" w:cs="仿宋"/>
          <w:b w:val="0"/>
          <w:bCs w:val="0"/>
          <w:color w:val="auto"/>
          <w:sz w:val="32"/>
          <w:szCs w:val="32"/>
          <w:highlight w:val="none"/>
          <w:u w:val="none" w:color="auto"/>
        </w:rPr>
        <w:t>《工业企业厂界环境噪声排放标准》（GB12348-2008）中的3类标准</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color w:val="auto"/>
          <w:spacing w:val="-1"/>
          <w:sz w:val="32"/>
          <w:szCs w:val="32"/>
          <w:highlight w:val="none"/>
          <w:u w:val="none" w:color="auto"/>
        </w:rPr>
        <w:t>周边敏感目标噪声执行《工业企业厂</w:t>
      </w:r>
      <w:r>
        <w:rPr>
          <w:rFonts w:hint="eastAsia" w:ascii="仿宋" w:hAnsi="仿宋" w:eastAsia="仿宋" w:cs="仿宋"/>
          <w:color w:val="auto"/>
          <w:spacing w:val="-6"/>
          <w:position w:val="2"/>
          <w:sz w:val="32"/>
          <w:szCs w:val="32"/>
          <w:highlight w:val="none"/>
          <w:u w:val="none" w:color="auto"/>
        </w:rPr>
        <w:t>界环境噪声排放标准》（GB12348-2008）</w:t>
      </w:r>
      <w:r>
        <w:rPr>
          <w:rFonts w:hint="eastAsia" w:ascii="仿宋" w:hAnsi="仿宋" w:eastAsia="仿宋" w:cs="仿宋"/>
          <w:color w:val="auto"/>
          <w:spacing w:val="1"/>
          <w:sz w:val="32"/>
          <w:szCs w:val="32"/>
          <w:highlight w:val="none"/>
          <w:u w:val="none" w:color="auto"/>
        </w:rPr>
        <w:t>中2类区标准</w:t>
      </w:r>
      <w:r>
        <w:rPr>
          <w:rFonts w:hint="eastAsia" w:ascii="仿宋" w:hAnsi="仿宋" w:eastAsia="仿宋" w:cs="仿宋"/>
          <w:b w:val="0"/>
          <w:bCs w:val="0"/>
          <w:color w:val="auto"/>
          <w:kern w:val="2"/>
          <w:sz w:val="32"/>
          <w:szCs w:val="32"/>
          <w:highlight w:val="none"/>
          <w:u w:val="none" w:color="auto"/>
          <w:lang w:val="en-US" w:eastAsia="zh-CN" w:bidi="ar"/>
        </w:rPr>
        <w:t>。</w:t>
      </w:r>
    </w:p>
    <w:p w14:paraId="34CC7D90">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0" w:firstLineChars="200"/>
        <w:jc w:val="left"/>
        <w:textAlignment w:val="baseline"/>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sz w:val="32"/>
          <w:szCs w:val="32"/>
          <w:highlight w:val="none"/>
          <w:u w:val="none" w:color="auto"/>
          <w:lang w:val="en-US" w:eastAsia="zh-CN"/>
        </w:rPr>
        <w:t>5</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kern w:val="2"/>
          <w:sz w:val="32"/>
          <w:szCs w:val="32"/>
          <w:highlight w:val="none"/>
          <w:u w:val="none" w:color="auto"/>
          <w:lang w:val="en-US" w:eastAsia="zh-CN" w:bidi="ar"/>
        </w:rPr>
        <w:t>加强营运期</w:t>
      </w:r>
      <w:r>
        <w:rPr>
          <w:rFonts w:hint="eastAsia" w:ascii="仿宋" w:hAnsi="仿宋" w:eastAsia="仿宋" w:cs="仿宋"/>
          <w:b w:val="0"/>
          <w:bCs w:val="0"/>
          <w:color w:val="auto"/>
          <w:sz w:val="32"/>
          <w:szCs w:val="32"/>
          <w:highlight w:val="none"/>
          <w:u w:val="none" w:color="auto"/>
          <w:lang w:eastAsia="zh-CN"/>
        </w:rPr>
        <w:t>固体废物管理工作。按“无害化、减量化、资源化”原则，做好固体分类收集和综合利用，并建立固体废物产生、储存、处置管理台账，落实危险废物转移联单制度。</w:t>
      </w:r>
      <w:r>
        <w:rPr>
          <w:rFonts w:hint="eastAsia" w:ascii="仿宋" w:hAnsi="仿宋" w:eastAsia="仿宋" w:cs="仿宋"/>
          <w:color w:val="auto"/>
          <w:sz w:val="32"/>
          <w:szCs w:val="32"/>
          <w:highlight w:val="none"/>
          <w:u w:val="none" w:color="auto"/>
          <w:lang w:val="en-US" w:eastAsia="zh-CN"/>
        </w:rPr>
        <w:t>废铁外壳、铜线材、塑料件、导流排、废模组</w:t>
      </w:r>
      <w:r>
        <w:rPr>
          <w:rFonts w:hint="eastAsia" w:ascii="仿宋" w:hAnsi="仿宋" w:eastAsia="仿宋" w:cs="仿宋"/>
          <w:b w:val="0"/>
          <w:bCs w:val="0"/>
          <w:color w:val="auto"/>
          <w:kern w:val="2"/>
          <w:sz w:val="32"/>
          <w:szCs w:val="32"/>
          <w:highlight w:val="none"/>
          <w:u w:val="none" w:color="auto"/>
          <w:lang w:eastAsia="zh-CN"/>
        </w:rPr>
        <w:t>等</w:t>
      </w:r>
      <w:r>
        <w:rPr>
          <w:rFonts w:hint="eastAsia" w:ascii="仿宋" w:hAnsi="仿宋" w:eastAsia="仿宋" w:cs="仿宋"/>
          <w:b w:val="0"/>
          <w:bCs w:val="0"/>
          <w:color w:val="auto"/>
          <w:sz w:val="32"/>
          <w:szCs w:val="32"/>
          <w:highlight w:val="none"/>
          <w:u w:val="none" w:color="auto"/>
          <w:lang w:eastAsia="zh-CN"/>
        </w:rPr>
        <w:t>一般固体废物严格按《一般工业固体废物贮存和填埋污染控制标准》（GB 18599-2020）要求集中收集后</w:t>
      </w:r>
      <w:r>
        <w:rPr>
          <w:rFonts w:hint="eastAsia" w:ascii="仿宋" w:hAnsi="仿宋" w:eastAsia="仿宋" w:cs="仿宋"/>
          <w:b w:val="0"/>
          <w:bCs w:val="0"/>
          <w:color w:val="auto"/>
          <w:sz w:val="32"/>
          <w:szCs w:val="32"/>
          <w:highlight w:val="none"/>
          <w:u w:val="none" w:color="auto"/>
          <w:lang w:val="en-US" w:eastAsia="zh-CN"/>
        </w:rPr>
        <w:t>外售和</w:t>
      </w:r>
      <w:r>
        <w:rPr>
          <w:rFonts w:hint="eastAsia" w:ascii="仿宋" w:hAnsi="仿宋" w:eastAsia="仿宋" w:cs="仿宋"/>
          <w:color w:val="auto"/>
          <w:spacing w:val="7"/>
          <w:sz w:val="32"/>
          <w:szCs w:val="32"/>
          <w:highlight w:val="none"/>
          <w:u w:val="none" w:color="auto"/>
          <w:lang w:eastAsia="en-US"/>
        </w:rPr>
        <w:t>交资源化再生企业进行</w:t>
      </w:r>
      <w:r>
        <w:rPr>
          <w:rFonts w:hint="eastAsia" w:ascii="仿宋" w:hAnsi="仿宋" w:eastAsia="仿宋" w:cs="仿宋"/>
          <w:color w:val="auto"/>
          <w:spacing w:val="2"/>
          <w:kern w:val="2"/>
          <w:sz w:val="32"/>
          <w:szCs w:val="32"/>
          <w:highlight w:val="none"/>
          <w:u w:val="none" w:color="auto"/>
          <w:lang w:val="en-US" w:eastAsia="en-US" w:bidi="ar-SA"/>
        </w:rPr>
        <w:t>处置</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废旧锂电池电解液、废弃BMS线路板</w:t>
      </w:r>
      <w:r>
        <w:rPr>
          <w:rFonts w:hint="eastAsia" w:ascii="仿宋" w:hAnsi="仿宋" w:eastAsia="仿宋" w:cs="仿宋"/>
          <w:b w:val="0"/>
          <w:bCs w:val="0"/>
          <w:color w:val="auto"/>
          <w:sz w:val="32"/>
          <w:szCs w:val="32"/>
          <w:highlight w:val="none"/>
          <w:u w:val="none" w:color="auto"/>
          <w:lang w:val="en-US" w:eastAsia="zh-CN"/>
        </w:rPr>
        <w:t>等</w:t>
      </w:r>
      <w:r>
        <w:rPr>
          <w:rFonts w:hint="eastAsia" w:ascii="仿宋" w:hAnsi="仿宋" w:eastAsia="仿宋" w:cs="仿宋"/>
          <w:b w:val="0"/>
          <w:bCs w:val="0"/>
          <w:color w:val="auto"/>
          <w:sz w:val="32"/>
          <w:szCs w:val="32"/>
          <w:highlight w:val="none"/>
          <w:u w:val="none" w:color="auto"/>
          <w:lang w:eastAsia="zh-CN"/>
        </w:rPr>
        <w:t>危险废物严格按</w:t>
      </w:r>
      <w:r>
        <w:rPr>
          <w:rFonts w:hint="eastAsia" w:ascii="仿宋" w:hAnsi="仿宋" w:eastAsia="仿宋" w:cs="仿宋"/>
          <w:b w:val="0"/>
          <w:bCs w:val="0"/>
          <w:color w:val="auto"/>
          <w:sz w:val="32"/>
          <w:szCs w:val="32"/>
          <w:highlight w:val="none"/>
          <w:u w:val="none" w:color="auto"/>
        </w:rPr>
        <w:t>《危险废物贮存污染控制标准》（GB 18597—2023）</w:t>
      </w:r>
      <w:r>
        <w:rPr>
          <w:rFonts w:hint="eastAsia" w:ascii="仿宋" w:hAnsi="仿宋" w:eastAsia="仿宋" w:cs="仿宋"/>
          <w:b w:val="0"/>
          <w:bCs w:val="0"/>
          <w:color w:val="auto"/>
          <w:sz w:val="32"/>
          <w:szCs w:val="32"/>
          <w:highlight w:val="none"/>
          <w:u w:val="none" w:color="auto"/>
          <w:lang w:eastAsia="zh-CN"/>
        </w:rPr>
        <w:t>要求暂存，委托有资质的单位处置；生活垃圾交</w:t>
      </w:r>
      <w:r>
        <w:rPr>
          <w:rFonts w:hint="eastAsia" w:ascii="仿宋" w:hAnsi="仿宋" w:eastAsia="仿宋" w:cs="仿宋"/>
          <w:b w:val="0"/>
          <w:bCs w:val="0"/>
          <w:color w:val="auto"/>
          <w:kern w:val="2"/>
          <w:sz w:val="32"/>
          <w:szCs w:val="32"/>
          <w:highlight w:val="none"/>
          <w:u w:val="none" w:color="auto"/>
          <w:lang w:val="en-US" w:eastAsia="zh-CN"/>
        </w:rPr>
        <w:t>由环卫部门收集处理</w:t>
      </w:r>
      <w:r>
        <w:rPr>
          <w:rFonts w:hint="eastAsia" w:ascii="仿宋" w:hAnsi="仿宋" w:eastAsia="仿宋" w:cs="仿宋"/>
          <w:b w:val="0"/>
          <w:bCs w:val="0"/>
          <w:color w:val="auto"/>
          <w:sz w:val="32"/>
          <w:szCs w:val="32"/>
          <w:highlight w:val="none"/>
          <w:u w:val="none" w:color="auto"/>
          <w:lang w:eastAsia="zh-CN"/>
        </w:rPr>
        <w:t>。</w:t>
      </w:r>
    </w:p>
    <w:p w14:paraId="072B18D0">
      <w:pPr>
        <w:keepNext w:val="0"/>
        <w:keepLines w:val="0"/>
        <w:pageBreakBefore w:val="0"/>
        <w:widowControl w:val="0"/>
        <w:suppressLineNumbers w:val="0"/>
        <w:kinsoku/>
        <w:wordWrap w:val="0"/>
        <w:overflowPunct/>
        <w:topLinePunct/>
        <w:autoSpaceDE/>
        <w:autoSpaceDN/>
        <w:bidi w:val="0"/>
        <w:spacing w:before="0" w:beforeAutospacing="0" w:after="0" w:afterAutospacing="0" w:line="540" w:lineRule="exact"/>
        <w:ind w:left="0" w:right="0" w:firstLine="640"/>
        <w:jc w:val="both"/>
        <w:textAlignment w:val="auto"/>
        <w:rPr>
          <w:rFonts w:hint="eastAsia" w:ascii="仿宋" w:hAnsi="仿宋" w:eastAsia="仿宋" w:cs="仿宋"/>
          <w:b w:val="0"/>
          <w:bCs w:val="0"/>
          <w:color w:val="auto"/>
          <w:kern w:val="2"/>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
        </w:rPr>
        <w:t>6、加强营运期环境风险防范。严格落实报告书提出的各项环境风险防范措施，</w:t>
      </w:r>
      <w:r>
        <w:rPr>
          <w:rFonts w:hint="eastAsia" w:ascii="仿宋" w:hAnsi="仿宋" w:eastAsia="仿宋" w:cs="仿宋"/>
          <w:b w:val="0"/>
          <w:bCs w:val="0"/>
          <w:color w:val="auto"/>
          <w:kern w:val="0"/>
          <w:sz w:val="32"/>
          <w:szCs w:val="32"/>
          <w:highlight w:val="none"/>
          <w:u w:val="none" w:color="auto"/>
          <w:lang w:bidi="ar"/>
        </w:rPr>
        <w:t>按</w:t>
      </w:r>
      <w:r>
        <w:rPr>
          <w:rFonts w:hint="eastAsia" w:ascii="仿宋" w:hAnsi="仿宋" w:eastAsia="仿宋" w:cs="仿宋"/>
          <w:b w:val="0"/>
          <w:bCs w:val="0"/>
          <w:color w:val="auto"/>
          <w:kern w:val="0"/>
          <w:sz w:val="32"/>
          <w:szCs w:val="32"/>
          <w:highlight w:val="none"/>
          <w:u w:val="none" w:color="auto"/>
          <w:lang w:val="en-US" w:eastAsia="zh-CN" w:bidi="ar"/>
        </w:rPr>
        <w:t>相关</w:t>
      </w:r>
      <w:r>
        <w:rPr>
          <w:rFonts w:hint="eastAsia" w:ascii="仿宋" w:hAnsi="仿宋" w:eastAsia="仿宋" w:cs="仿宋"/>
          <w:b w:val="0"/>
          <w:bCs w:val="0"/>
          <w:color w:val="auto"/>
          <w:kern w:val="0"/>
          <w:sz w:val="32"/>
          <w:szCs w:val="32"/>
          <w:highlight w:val="none"/>
          <w:u w:val="none" w:color="auto"/>
          <w:lang w:bidi="ar"/>
        </w:rPr>
        <w:t>要求进行企业突发环境事件应急预案的编制和备案</w:t>
      </w:r>
      <w:r>
        <w:rPr>
          <w:rFonts w:hint="eastAsia" w:ascii="仿宋" w:hAnsi="仿宋" w:eastAsia="仿宋" w:cs="仿宋"/>
          <w:b w:val="0"/>
          <w:bCs w:val="0"/>
          <w:color w:val="auto"/>
          <w:kern w:val="2"/>
          <w:sz w:val="32"/>
          <w:szCs w:val="32"/>
          <w:highlight w:val="none"/>
          <w:u w:val="none" w:color="auto"/>
          <w:lang w:val="en-US" w:eastAsia="zh-CN" w:bidi="ar"/>
        </w:rPr>
        <w:t>。</w:t>
      </w:r>
    </w:p>
    <w:p w14:paraId="6CB784EF">
      <w:pPr>
        <w:keepNext w:val="0"/>
        <w:keepLines w:val="0"/>
        <w:pageBreakBefore w:val="0"/>
        <w:widowControl w:val="0"/>
        <w:suppressLineNumbers w:val="0"/>
        <w:kinsoku/>
        <w:wordWrap w:val="0"/>
        <w:overflowPunct/>
        <w:topLinePunct/>
        <w:autoSpaceDE/>
        <w:autoSpaceDN/>
        <w:bidi w:val="0"/>
        <w:spacing w:before="0" w:beforeAutospacing="0" w:after="0" w:afterAutospacing="0" w:line="540" w:lineRule="exact"/>
        <w:ind w:left="0" w:right="0" w:firstLine="640"/>
        <w:jc w:val="both"/>
        <w:textAlignment w:val="auto"/>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7、加强营运期环境管理。设立</w:t>
      </w:r>
      <w:r>
        <w:rPr>
          <w:rFonts w:hint="eastAsia" w:ascii="仿宋" w:hAnsi="仿宋" w:eastAsia="仿宋" w:cs="仿宋"/>
          <w:b w:val="0"/>
          <w:bCs w:val="0"/>
          <w:color w:val="auto"/>
          <w:sz w:val="32"/>
          <w:szCs w:val="32"/>
          <w:highlight w:val="none"/>
          <w:u w:val="none" w:color="auto"/>
          <w:lang w:val="en-US" w:eastAsia="zh-CN"/>
        </w:rPr>
        <w:t>环境管理机构</w:t>
      </w:r>
      <w:r>
        <w:rPr>
          <w:rFonts w:hint="eastAsia" w:ascii="仿宋" w:hAnsi="仿宋" w:eastAsia="仿宋" w:cs="仿宋"/>
          <w:b w:val="0"/>
          <w:bCs w:val="0"/>
          <w:color w:val="auto"/>
          <w:kern w:val="2"/>
          <w:sz w:val="32"/>
          <w:szCs w:val="32"/>
          <w:highlight w:val="none"/>
          <w:u w:val="none" w:color="auto"/>
          <w:lang w:val="en-US" w:eastAsia="zh-CN" w:bidi="ar"/>
        </w:rPr>
        <w:t>及环保人员，建立健全污染防治设施运行管理台帐，确保各项污染防治设施的正常运行，各类污染物稳定达标排放。</w:t>
      </w:r>
    </w:p>
    <w:p w14:paraId="6CC50326">
      <w:pPr>
        <w:keepNext w:val="0"/>
        <w:keepLines w:val="0"/>
        <w:pageBreakBefore w:val="0"/>
        <w:bidi w:val="0"/>
        <w:spacing w:line="540" w:lineRule="exact"/>
        <w:ind w:firstLine="640" w:firstLineChars="200"/>
        <w:rPr>
          <w:rFonts w:hint="eastAsia" w:ascii="仿宋" w:hAnsi="仿宋" w:eastAsia="仿宋" w:cs="仿宋"/>
          <w:b w:val="0"/>
          <w:bCs w:val="0"/>
          <w:color w:val="auto"/>
          <w:kern w:val="28"/>
          <w:sz w:val="32"/>
          <w:szCs w:val="32"/>
          <w:highlight w:val="none"/>
          <w:u w:val="none" w:color="auto"/>
          <w:lang w:val="en-US" w:eastAsia="zh-CN" w:bidi="ar-SA"/>
        </w:rPr>
      </w:pPr>
      <w:r>
        <w:rPr>
          <w:rFonts w:hint="eastAsia" w:ascii="仿宋" w:hAnsi="仿宋" w:eastAsia="仿宋" w:cs="仿宋"/>
          <w:b w:val="0"/>
          <w:bCs w:val="0"/>
          <w:color w:val="auto"/>
          <w:kern w:val="2"/>
          <w:sz w:val="32"/>
          <w:szCs w:val="32"/>
          <w:highlight w:val="none"/>
          <w:u w:val="none" w:color="auto"/>
          <w:lang w:val="en-US" w:eastAsia="zh-CN" w:bidi="ar"/>
        </w:rPr>
        <w:t>8、你公司核定的总量指标为：</w:t>
      </w:r>
      <w:r>
        <w:rPr>
          <w:rFonts w:hint="eastAsia" w:ascii="仿宋" w:hAnsi="仿宋" w:eastAsia="仿宋" w:cs="仿宋"/>
          <w:color w:val="auto"/>
          <w:sz w:val="32"/>
          <w:szCs w:val="32"/>
          <w:highlight w:val="none"/>
          <w:u w:val="none" w:color="auto"/>
          <w:lang w:val="en-US" w:eastAsia="zh-CN"/>
        </w:rPr>
        <w:t>COD：0.07t/a；氨氮：0.01t/a，</w:t>
      </w:r>
      <w:r>
        <w:rPr>
          <w:rFonts w:hint="eastAsia" w:ascii="仿宋" w:hAnsi="仿宋" w:eastAsia="仿宋" w:cs="仿宋"/>
          <w:b w:val="0"/>
          <w:bCs w:val="0"/>
          <w:color w:val="auto"/>
          <w:kern w:val="28"/>
          <w:sz w:val="32"/>
          <w:szCs w:val="32"/>
          <w:highlight w:val="none"/>
          <w:lang w:val="en-US" w:eastAsia="zh-CN" w:bidi="ar-SA"/>
        </w:rPr>
        <w:t>均为生活污水产生，</w:t>
      </w:r>
      <w:r>
        <w:rPr>
          <w:rFonts w:hint="eastAsia" w:ascii="仿宋" w:hAnsi="仿宋" w:eastAsia="仿宋" w:cs="仿宋"/>
          <w:b w:val="0"/>
          <w:bCs w:val="0"/>
          <w:color w:val="auto"/>
          <w:kern w:val="28"/>
          <w:sz w:val="32"/>
          <w:szCs w:val="32"/>
          <w:highlight w:val="none"/>
          <w:lang w:val="en-US" w:eastAsia="zh-CN"/>
        </w:rPr>
        <w:t>无需单独购买</w:t>
      </w:r>
      <w:r>
        <w:rPr>
          <w:rFonts w:hint="eastAsia" w:ascii="仿宋" w:hAnsi="仿宋" w:eastAsia="仿宋" w:cs="仿宋"/>
          <w:color w:val="auto"/>
          <w:sz w:val="32"/>
          <w:szCs w:val="32"/>
          <w:highlight w:val="none"/>
          <w:u w:val="none" w:color="auto"/>
          <w:lang w:val="en-US" w:eastAsia="zh-CN"/>
        </w:rPr>
        <w:t>。</w:t>
      </w:r>
    </w:p>
    <w:p w14:paraId="78BC02A0">
      <w:pPr>
        <w:keepNext w:val="0"/>
        <w:keepLines w:val="0"/>
        <w:pageBreakBefore w:val="0"/>
        <w:kinsoku/>
        <w:overflowPunct/>
        <w:autoSpaceDE/>
        <w:autoSpaceDN/>
        <w:bidi w:val="0"/>
        <w:adjustRightInd w:val="0"/>
        <w:spacing w:line="540" w:lineRule="exact"/>
        <w:ind w:firstLine="640" w:firstLineChars="200"/>
        <w:jc w:val="left"/>
        <w:textAlignment w:val="auto"/>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三、你公司应在收到本批复后15个工作日内，将批复及批准的环评报告文本送至岳阳市生态环境局岳阳县分局、湖南霖昇工程技术咨询有限公司。</w:t>
      </w:r>
    </w:p>
    <w:p w14:paraId="6C8A4920">
      <w:pPr>
        <w:keepNext w:val="0"/>
        <w:keepLines w:val="0"/>
        <w:pageBreakBefore w:val="0"/>
        <w:widowControl w:val="0"/>
        <w:suppressLineNumbers w:val="0"/>
        <w:kinsoku/>
        <w:wordWrap w:val="0"/>
        <w:overflowPunct/>
        <w:topLinePunct/>
        <w:autoSpaceDE/>
        <w:autoSpaceDN/>
        <w:bidi w:val="0"/>
        <w:spacing w:before="0" w:beforeAutospacing="0" w:after="0" w:afterAutospacing="0" w:line="540" w:lineRule="exact"/>
        <w:ind w:left="0" w:right="0" w:firstLine="640" w:firstLineChars="200"/>
        <w:jc w:val="both"/>
        <w:textAlignment w:val="auto"/>
        <w:rPr>
          <w:rFonts w:hint="eastAsia" w:ascii="仿宋" w:hAnsi="仿宋" w:eastAsia="仿宋" w:cs="仿宋"/>
          <w:b w:val="0"/>
          <w:bCs w:val="0"/>
          <w:color w:val="auto"/>
          <w:kern w:val="2"/>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
        </w:rPr>
        <w:t>四、请岳阳市生态环境局岳阳县分局负责项目建设期和运营期的日常环境监管。</w:t>
      </w:r>
    </w:p>
    <w:p w14:paraId="5689B058">
      <w:pPr>
        <w:keepNext w:val="0"/>
        <w:keepLines w:val="0"/>
        <w:pageBreakBefore w:val="0"/>
        <w:widowControl/>
        <w:suppressLineNumbers w:val="0"/>
        <w:kinsoku w:val="0"/>
        <w:wordWrap w:val="0"/>
        <w:overflowPunct w:val="0"/>
        <w:topLinePunct w:val="0"/>
        <w:autoSpaceDE/>
        <w:autoSpaceDN/>
        <w:bidi w:val="0"/>
        <w:snapToGrid w:val="0"/>
        <w:spacing w:before="0" w:beforeAutospacing="0" w:after="0" w:afterAutospacing="0" w:line="540" w:lineRule="exact"/>
        <w:ind w:right="0" w:firstLine="5440" w:firstLineChars="1700"/>
        <w:jc w:val="both"/>
        <w:textAlignment w:val="auto"/>
        <w:rPr>
          <w:rFonts w:hint="eastAsia" w:ascii="仿宋" w:hAnsi="仿宋" w:eastAsia="仿宋" w:cs="仿宋"/>
          <w:b w:val="0"/>
          <w:bCs w:val="0"/>
          <w:color w:val="auto"/>
          <w:kern w:val="2"/>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
        </w:rPr>
        <w:t>岳阳市生态环境局</w:t>
      </w:r>
    </w:p>
    <w:p w14:paraId="08070D48">
      <w:pPr>
        <w:keepNext w:val="0"/>
        <w:keepLines w:val="0"/>
        <w:pageBreakBefore w:val="0"/>
        <w:widowControl w:val="0"/>
        <w:suppressLineNumbers w:val="0"/>
        <w:kinsoku w:val="0"/>
        <w:wordWrap w:val="0"/>
        <w:overflowPunct w:val="0"/>
        <w:topLinePunct w:val="0"/>
        <w:autoSpaceDE/>
        <w:autoSpaceDN/>
        <w:bidi w:val="0"/>
        <w:spacing w:before="0" w:beforeAutospacing="0" w:after="0" w:afterAutospacing="0" w:line="540" w:lineRule="exact"/>
        <w:ind w:left="0" w:right="0"/>
        <w:jc w:val="both"/>
        <w:textAlignment w:val="auto"/>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kern w:val="2"/>
          <w:sz w:val="32"/>
          <w:szCs w:val="32"/>
          <w:highlight w:val="none"/>
          <w:u w:val="none" w:color="auto"/>
          <w:lang w:val="en-US" w:eastAsia="zh-CN" w:bidi="ar"/>
        </w:rPr>
        <w:t xml:space="preserve">                                  2024年7月16日</w:t>
      </w:r>
    </w:p>
    <w:p w14:paraId="7C2D5ED9">
      <w:pPr>
        <w:keepNext w:val="0"/>
        <w:keepLines w:val="0"/>
        <w:pageBreakBefore w:val="0"/>
        <w:widowControl/>
        <w:suppressLineNumbers w:val="0"/>
        <w:kinsoku w:val="0"/>
        <w:wordWrap w:val="0"/>
        <w:overflowPunct w:val="0"/>
        <w:topLinePunct w:val="0"/>
        <w:autoSpaceDE/>
        <w:autoSpaceDN/>
        <w:bidi w:val="0"/>
        <w:spacing w:before="312" w:beforeLines="100" w:beforeAutospacing="0" w:after="0" w:afterAutospacing="0" w:line="540" w:lineRule="exact"/>
        <w:ind w:left="0" w:right="0"/>
        <w:jc w:val="right"/>
        <w:textAlignment w:val="auto"/>
        <w:rPr>
          <w:rFonts w:hint="eastAsia" w:ascii="仿宋" w:hAnsi="仿宋" w:eastAsia="仿宋" w:cs="仿宋"/>
          <w:b w:val="0"/>
          <w:bCs w:val="0"/>
          <w:color w:val="auto"/>
          <w:spacing w:val="-20"/>
          <w:kern w:val="0"/>
          <w:sz w:val="32"/>
          <w:szCs w:val="32"/>
          <w:highlight w:val="none"/>
          <w:u w:val="none" w:color="auto"/>
          <w:lang w:val="en-US" w:eastAsia="zh-CN" w:bidi="ar"/>
        </w:rPr>
      </w:pPr>
    </w:p>
    <w:sectPr>
      <w:footerReference r:id="rId3" w:type="default"/>
      <w:pgSz w:w="11906" w:h="16838"/>
      <w:pgMar w:top="1304" w:right="1474" w:bottom="1247"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ST Song">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C50B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DD52D">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0DD52D">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3EB03"/>
    <w:multiLevelType w:val="singleLevel"/>
    <w:tmpl w:val="A373EB0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jg1ODhjOWQ3OWY3OTI4MjNmY2I5ODNhZmUzNWYifQ=="/>
  </w:docVars>
  <w:rsids>
    <w:rsidRoot w:val="00000000"/>
    <w:rsid w:val="005039AE"/>
    <w:rsid w:val="00D57384"/>
    <w:rsid w:val="01C630F0"/>
    <w:rsid w:val="020236B3"/>
    <w:rsid w:val="02E47347"/>
    <w:rsid w:val="03343EB4"/>
    <w:rsid w:val="04DD2C88"/>
    <w:rsid w:val="06B53514"/>
    <w:rsid w:val="07E879EE"/>
    <w:rsid w:val="0B3B6F20"/>
    <w:rsid w:val="0C2A1C5D"/>
    <w:rsid w:val="0E222A0F"/>
    <w:rsid w:val="0FFB2011"/>
    <w:rsid w:val="10AA6129"/>
    <w:rsid w:val="114805A5"/>
    <w:rsid w:val="11F33019"/>
    <w:rsid w:val="12566287"/>
    <w:rsid w:val="15AA656E"/>
    <w:rsid w:val="15AF1495"/>
    <w:rsid w:val="169D549A"/>
    <w:rsid w:val="18B27F3E"/>
    <w:rsid w:val="18CB677D"/>
    <w:rsid w:val="196860AE"/>
    <w:rsid w:val="19A26186"/>
    <w:rsid w:val="1BD3043A"/>
    <w:rsid w:val="1C8930F6"/>
    <w:rsid w:val="1CDE66A8"/>
    <w:rsid w:val="1E05485B"/>
    <w:rsid w:val="1E22173B"/>
    <w:rsid w:val="1F9E2816"/>
    <w:rsid w:val="202B71FA"/>
    <w:rsid w:val="20593A6A"/>
    <w:rsid w:val="20A74C21"/>
    <w:rsid w:val="21336C34"/>
    <w:rsid w:val="249F581A"/>
    <w:rsid w:val="25CE46DD"/>
    <w:rsid w:val="26117AE7"/>
    <w:rsid w:val="26673750"/>
    <w:rsid w:val="2767391D"/>
    <w:rsid w:val="28052EE7"/>
    <w:rsid w:val="282E3CEA"/>
    <w:rsid w:val="2AD65872"/>
    <w:rsid w:val="2BF15EE5"/>
    <w:rsid w:val="2E044454"/>
    <w:rsid w:val="2F653D5F"/>
    <w:rsid w:val="2F99513F"/>
    <w:rsid w:val="2FB86F68"/>
    <w:rsid w:val="309A0123"/>
    <w:rsid w:val="3121625B"/>
    <w:rsid w:val="31DC3098"/>
    <w:rsid w:val="32DC32D2"/>
    <w:rsid w:val="33442319"/>
    <w:rsid w:val="36EB4D11"/>
    <w:rsid w:val="394F5704"/>
    <w:rsid w:val="3E101BC8"/>
    <w:rsid w:val="3ECB7674"/>
    <w:rsid w:val="404A1044"/>
    <w:rsid w:val="41587A00"/>
    <w:rsid w:val="41C017A9"/>
    <w:rsid w:val="43FE7BD7"/>
    <w:rsid w:val="44316F05"/>
    <w:rsid w:val="44D254FC"/>
    <w:rsid w:val="44EF24B6"/>
    <w:rsid w:val="457051B2"/>
    <w:rsid w:val="4D056EBC"/>
    <w:rsid w:val="50C66479"/>
    <w:rsid w:val="52E53585"/>
    <w:rsid w:val="53BE54F3"/>
    <w:rsid w:val="53C91D1E"/>
    <w:rsid w:val="545C1D7C"/>
    <w:rsid w:val="547C5E21"/>
    <w:rsid w:val="54DA695C"/>
    <w:rsid w:val="57C76782"/>
    <w:rsid w:val="5AF7049C"/>
    <w:rsid w:val="5B7E15EC"/>
    <w:rsid w:val="5C766531"/>
    <w:rsid w:val="5DBF7DF5"/>
    <w:rsid w:val="5E880BAF"/>
    <w:rsid w:val="5F0B14B3"/>
    <w:rsid w:val="5F2E3757"/>
    <w:rsid w:val="5FFB0633"/>
    <w:rsid w:val="6065438E"/>
    <w:rsid w:val="609F6D02"/>
    <w:rsid w:val="613D23D3"/>
    <w:rsid w:val="61C15914"/>
    <w:rsid w:val="63493D3D"/>
    <w:rsid w:val="63577E08"/>
    <w:rsid w:val="637E5ADD"/>
    <w:rsid w:val="63B84AF5"/>
    <w:rsid w:val="64CD6EC5"/>
    <w:rsid w:val="650005BA"/>
    <w:rsid w:val="662875A1"/>
    <w:rsid w:val="67031A9D"/>
    <w:rsid w:val="67C11603"/>
    <w:rsid w:val="68257FC0"/>
    <w:rsid w:val="6873723D"/>
    <w:rsid w:val="68860414"/>
    <w:rsid w:val="68A610C0"/>
    <w:rsid w:val="68BF5CF0"/>
    <w:rsid w:val="68D92CCD"/>
    <w:rsid w:val="68F43BB9"/>
    <w:rsid w:val="6A2B7DCF"/>
    <w:rsid w:val="6ADD0FD4"/>
    <w:rsid w:val="6ADE00C7"/>
    <w:rsid w:val="6C315378"/>
    <w:rsid w:val="6CE66C1F"/>
    <w:rsid w:val="6D364AA2"/>
    <w:rsid w:val="6E95615F"/>
    <w:rsid w:val="6FD77D91"/>
    <w:rsid w:val="71E14565"/>
    <w:rsid w:val="73953730"/>
    <w:rsid w:val="73984F4C"/>
    <w:rsid w:val="73C230E1"/>
    <w:rsid w:val="75D32437"/>
    <w:rsid w:val="76040E1E"/>
    <w:rsid w:val="764141B6"/>
    <w:rsid w:val="765661D4"/>
    <w:rsid w:val="781F4CEB"/>
    <w:rsid w:val="782544BF"/>
    <w:rsid w:val="78302B99"/>
    <w:rsid w:val="78BA1272"/>
    <w:rsid w:val="79D85059"/>
    <w:rsid w:val="79E17841"/>
    <w:rsid w:val="79FA08A9"/>
    <w:rsid w:val="7C51473F"/>
    <w:rsid w:val="7CBC5BAF"/>
    <w:rsid w:val="7DF13E64"/>
    <w:rsid w:val="7EA83A6D"/>
    <w:rsid w:val="7F2A6A9E"/>
    <w:rsid w:val="7F911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2"/>
    <w:qFormat/>
    <w:uiPriority w:val="0"/>
    <w:pPr>
      <w:spacing w:after="120" w:afterLines="0" w:afterAutospacing="0"/>
    </w:pPr>
  </w:style>
  <w:style w:type="paragraph" w:customStyle="1" w:styleId="3">
    <w:name w:val="xl27"/>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ind w:left="420" w:leftChars="200"/>
      <w:jc w:val="center"/>
    </w:pPr>
    <w:rPr>
      <w:rFonts w:ascii="新宋体-18030" w:hAnsi="新宋体-18030" w:eastAsia="新宋体-18030" w:cs="新宋体-18030"/>
      <w:kern w:val="0"/>
      <w:sz w:val="21"/>
      <w:szCs w:val="24"/>
      <w:lang w:val="en-US" w:eastAsia="zh-CN" w:bidi="ar-SA"/>
    </w:rPr>
  </w:style>
  <w:style w:type="paragraph" w:styleId="4">
    <w:name w:val="Plain Text"/>
    <w:qFormat/>
    <w:uiPriority w:val="0"/>
    <w:pPr>
      <w:widowControl w:val="0"/>
      <w:jc w:val="both"/>
    </w:pPr>
    <w:rPr>
      <w:rFonts w:ascii="宋体" w:hAnsi="Courier New" w:eastAsia="宋体" w:cs="Times New Roman"/>
      <w:kern w:val="2"/>
      <w:sz w:val="18"/>
      <w:szCs w:val="20"/>
      <w:lang w:val="en-US" w:eastAsia="zh-CN" w:bidi="ar-SA"/>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Calibri" w:hAnsi="Calibri" w:eastAsia="宋体" w:cs="Times New Roman"/>
      <w:b/>
      <w:bCs/>
      <w:caps/>
      <w:kern w:val="2"/>
      <w:sz w:val="20"/>
      <w:szCs w:val="20"/>
      <w:lang w:val="en-US" w:eastAsia="zh-CN" w:bidi="ar"/>
    </w:rPr>
  </w:style>
  <w:style w:type="paragraph" w:customStyle="1" w:styleId="10">
    <w:name w:val="Default"/>
    <w:next w:val="1"/>
    <w:qFormat/>
    <w:uiPriority w:val="0"/>
    <w:pPr>
      <w:widowControl w:val="0"/>
      <w:autoSpaceDE w:val="0"/>
      <w:autoSpaceDN w:val="0"/>
      <w:adjustRightInd w:val="0"/>
      <w:jc w:val="both"/>
    </w:pPr>
    <w:rPr>
      <w:rFonts w:ascii="ST Song" w:hAnsi="Courier New" w:eastAsia="ST Song" w:cs="Times New Roman"/>
      <w:color w:val="000000"/>
      <w:kern w:val="2"/>
      <w:sz w:val="24"/>
      <w:szCs w:val="24"/>
      <w:lang w:val="en-US" w:eastAsia="zh-CN" w:bidi="ar-SA"/>
    </w:rPr>
  </w:style>
  <w:style w:type="paragraph" w:customStyle="1" w:styleId="11">
    <w:name w:val="0"/>
    <w:basedOn w:val="1"/>
    <w:qFormat/>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 w:type="character" w:customStyle="1" w:styleId="12">
    <w:name w:val="正文文本 字符"/>
    <w:basedOn w:val="9"/>
    <w:link w:val="2"/>
    <w:qFormat/>
    <w:uiPriority w:val="0"/>
    <w:rPr>
      <w:kern w:val="2"/>
      <w:sz w:val="21"/>
    </w:rPr>
  </w:style>
  <w:style w:type="character" w:customStyle="1" w:styleId="13">
    <w:name w:val="页脚 字符"/>
    <w:basedOn w:val="9"/>
    <w:link w:val="5"/>
    <w:qFormat/>
    <w:uiPriority w:val="0"/>
    <w:rPr>
      <w:kern w:val="2"/>
      <w:sz w:val="18"/>
    </w:rPr>
  </w:style>
  <w:style w:type="paragraph" w:customStyle="1" w:styleId="14">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15">
    <w:name w:val="正文1"/>
    <w:basedOn w:val="1"/>
    <w:next w:val="1"/>
    <w:qFormat/>
    <w:uiPriority w:val="0"/>
    <w:pPr>
      <w:keepNext w:val="0"/>
      <w:keepLines w:val="0"/>
      <w:widowControl w:val="0"/>
      <w:suppressLineNumbers w:val="0"/>
      <w:spacing w:before="0" w:beforeAutospacing="0" w:after="0" w:afterAutospacing="0" w:line="360" w:lineRule="auto"/>
      <w:ind w:left="0" w:right="0" w:firstLine="723" w:firstLineChars="200"/>
      <w:jc w:val="both"/>
    </w:pPr>
    <w:rPr>
      <w:rFonts w:hint="default" w:ascii="Calibri" w:hAnsi="Calibri" w:eastAsia="宋体" w:cs="Times New Roman"/>
      <w:kern w:val="0"/>
      <w:sz w:val="24"/>
      <w:szCs w:val="20"/>
      <w:lang w:val="en-US" w:eastAsia="zh-CN" w:bidi="ar"/>
    </w:rPr>
  </w:style>
  <w:style w:type="paragraph" w:customStyle="1" w:styleId="16">
    <w:name w:val="hj-正文"/>
    <w:basedOn w:val="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0"/>
      <w:sz w:val="24"/>
      <w:szCs w:val="20"/>
      <w:lang w:val="en-US" w:eastAsia="zh-CN" w:bidi="ar"/>
    </w:rPr>
  </w:style>
  <w:style w:type="paragraph" w:customStyle="1" w:styleId="17">
    <w:name w:val="纯文本1"/>
    <w:next w:val="1"/>
    <w:qFormat/>
    <w:uiPriority w:val="0"/>
    <w:pPr>
      <w:widowControl w:val="0"/>
      <w:adjustRightInd w:val="0"/>
      <w:jc w:val="both"/>
    </w:pPr>
    <w:rPr>
      <w:rFonts w:ascii="宋体" w:hAnsi="Courier New" w:eastAsia="宋体" w:cs="Times New Roman"/>
      <w:kern w:val="2"/>
      <w:sz w:val="21"/>
      <w:szCs w:val="24"/>
      <w:lang w:val="en-US" w:eastAsia="zh-CN" w:bidi="ar-SA"/>
    </w:rPr>
  </w:style>
  <w:style w:type="table" w:customStyle="1" w:styleId="18">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2206</Words>
  <Characters>2404</Characters>
  <Lines>0</Lines>
  <Paragraphs>0</Paragraphs>
  <TotalTime>3</TotalTime>
  <ScaleCrop>false</ScaleCrop>
  <LinksUpToDate>false</LinksUpToDate>
  <CharactersWithSpaces>2490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2023-03-02T09:22:00Z</dcterms:created>
  <dc:creator>LENOVO</dc:creator>
  <cp:lastModifiedBy>尹丰平</cp:lastModifiedBy>
  <cp:lastPrinted>2024-07-01T07:26:00Z</cp:lastPrinted>
  <dcterms:modified xsi:type="dcterms:W3CDTF">2024-07-16T01:37:50Z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D2EC3B809E1C4359B6F2E3D3722A9448_13</vt:lpwstr>
  </property>
</Properties>
</file>