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岳阳市殡葬执法支队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岳阳市殡葬执法支队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岳阳市殡葬执法支队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（一）部门（单位）基本情况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本单位是民政局二级机构，财政全额拨款参公事业单位。人员编制</w:t>
      </w:r>
      <w:r>
        <w:rPr>
          <w:rFonts w:ascii="仿宋_GB2312" w:hAnsi="仿宋_GB2312" w:eastAsia="仿宋_GB2312" w:cs="仿宋_GB2312"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人，实有人数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</w:t>
      </w:r>
      <w:r>
        <w:rPr>
          <w:rFonts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内设三个职能股室：办公室、一大队、二大队。</w:t>
      </w:r>
    </w:p>
    <w:p>
      <w:pPr>
        <w:spacing w:line="560" w:lineRule="exact"/>
        <w:ind w:firstLine="640" w:firstLineChars="2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（二）</w:t>
      </w:r>
      <w:r>
        <w:rPr>
          <w:rFonts w:eastAsia="楷体_GB2312"/>
          <w:sz w:val="32"/>
          <w:szCs w:val="32"/>
        </w:rPr>
        <w:t>部门（单位）年度整体支出绩效目标，市级专项资金绩效目标、其他项目支出（除市级专项资金以外）绩效目标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部门总目标：细化预算编制工作，认真做好预算编制；加强财务管理，严格财务审核；抓好“三公经费”控制管理，确保综合改革及综治维稳等各项工作任务圆满完成。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预决算公开：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2023年，按照上级要求，我单位在政府网站进行了预决算公开。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资产管理：进一步加强资产管理，制定了《资产管理使用制度》，明确了具体责任人，严格报批、销审手续，做好资产登记工作，无资产流失现象。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三公经费控制情况：贯彻落实上级有关精神，严格控制“三公经费”支出，取得了良好效果。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内部管理制度建设：健全单位财务管理制度、成立财务联审会签制度，加强对资金、物资的合理使用和管理；建立内部监督检查制度，强化内部制度执行的监督管理。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市级专项资金绩效目标完成情况：2023年，殡葬惠民专项资金全部发放到位，工作任务圆满完成。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整体支出总额为603.53万元，基本支出为342.95万元，占本年支出的56.82%；主要用于：工资福利支出269.98万元，占本年支出44.73%；商品服务支出为149.8万元，占本年支出24.82%；对个人和家庭的补助支出为183.74万元，占本年支出的30.44%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度，市级殡葬惠民奖补专项资金用于发放自2022年11月16日至2023年6月30日文明、集中治丧奖补，分配安排和使用管理情况如下：文明治丧113例，发放奖励资金34.9万元，集中治丧51例，发放奖补资金15.3万元。奖补资金共计50.2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2023年度市级运转类项目资金支分配安排和使用管理情况：运转类项目资金包括：工会经费补助、伙食补助、物业服务补贴、综合绩效奖和平安岳阳建设奖等保民生的资金，共计185.65万元。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2023年度市级特定目标类项目专项资金分配安排和使用管理情况：殡葬执法专项经费24.72万元，用于日常殡葬执法工作开支。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2023年度，我单位分配,19.72万元福利彩票公益金，用于龙头山公墓维护改造。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.中心城区执法巡查已成常态化工作，接警处置率达100%。全年累计巡查近百次，遵守殡葬法规，接受先进殡葬方式的群体正在扩大，违规殡葬行为逐步减少。殡葬活动扰民情况逐步减少，移风易俗正在成为风尚。广大市民满意度逐年提高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.对全市经营性公墓每年进行一次执法检查，对违规超标公墓责令整改并依法处理。乱埋乱葬行为减少，实行生态安葬人数不断增加。殡葬服务设施、生态设施建设实现了在殡葬服务单位全覆盖。文明祭扫率逐年提高，传统型公墓正逐步向生态安葬转型。使得土地可持续利用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3.殡葬执法专项经费24.72万元，主要用于殡葬执法、巡查，殡葬改革宣传。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4.对殡葬服务单位违规建设、经营行为进行处理，执法效果好，群众反映佳。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5.对全市殡葬执法工作进行督查，指导查处重大违法殡葬案件。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6.开展殡葬执法和落实惠民殡葬培训各一次。执法监督到位，惠民奖补资金发放规范。2023年度全年共发放自2022年11月16日至2023年6月30日惠民殡葬奖补资金50.2万元，其中文明治丧奖补113人次，资金34.9万元，集中治丧奖补51人次，资金15.3万元。接受先进生态安葬理念的人越来越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因部门整体支出的预算资金安排和使用上仍有不可预见性，还要加强预算管理。随着移风易俗、生态安葬理念的深入人心，专项资金迫切需要加大投入。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加强各部门协作、社会参与机制，建立监督机制，加大奖惩力度，加强财务队伍建设和业务指导，培养项目和部门的绩效管理队伍，建立绩效评价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的长效机制。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在民政局门户网站公开。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775E4"/>
    <w:multiLevelType w:val="singleLevel"/>
    <w:tmpl w:val="920775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E710A65"/>
    <w:multiLevelType w:val="singleLevel"/>
    <w:tmpl w:val="9E710A6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78F131"/>
    <w:multiLevelType w:val="singleLevel"/>
    <w:tmpl w:val="FF78F1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157FA41"/>
    <w:multiLevelType w:val="singleLevel"/>
    <w:tmpl w:val="1157FA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2024-07-29T08:22:42Z</dcterms:created>
  <dc:creator>Administrator</dc:creator>
  <cp:lastModifiedBy>太平军-赛</cp:lastModifiedBy>
  <dcterms:modified xsi:type="dcterms:W3CDTF">2024-07-29T08:23:45Z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0F8054A487E244679D41957CDB8CD88D</vt:lpwstr>
  </property>
</Properties>
</file>