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7B17E">
      <w:pPr>
        <w:keepNext w:val="0"/>
        <w:keepLines w:val="0"/>
        <w:pageBreakBefore w:val="0"/>
        <w:widowControl/>
        <w:suppressLineNumbers w:val="0"/>
        <w:kinsoku w:val="0"/>
        <w:wordWrap w:val="0"/>
        <w:overflowPunct w:val="0"/>
        <w:topLinePunct w:val="0"/>
        <w:autoSpaceDE/>
        <w:autoSpaceDN/>
        <w:bidi w:val="0"/>
        <w:spacing w:before="312" w:beforeLines="100" w:beforeAutospacing="0" w:after="0" w:afterAutospacing="0" w:line="240" w:lineRule="auto"/>
        <w:ind w:left="0" w:right="0"/>
        <w:jc w:val="center"/>
        <w:rPr>
          <w:rFonts w:hint="eastAsia" w:ascii="仿宋" w:hAnsi="仿宋" w:eastAsia="仿宋" w:cs="仿宋"/>
          <w:b w:val="0"/>
          <w:bCs w:val="0"/>
          <w:color w:val="auto"/>
          <w:spacing w:val="-20"/>
          <w:sz w:val="32"/>
          <w:szCs w:val="32"/>
          <w:highlight w:val="none"/>
          <w:u w:val="none" w:color="auto"/>
          <w:lang w:val="en-US" w:eastAsia="zh-CN"/>
        </w:rPr>
      </w:pPr>
      <w:r>
        <w:rPr>
          <w:rFonts w:hint="eastAsia" w:ascii="仿宋" w:hAnsi="仿宋" w:eastAsia="仿宋" w:cs="仿宋"/>
          <w:b w:val="0"/>
          <w:bCs w:val="0"/>
          <w:color w:val="auto"/>
          <w:spacing w:val="-20"/>
          <w:sz w:val="32"/>
          <w:szCs w:val="32"/>
          <w:highlight w:val="none"/>
          <w:u w:val="none" w:color="auto"/>
          <w:lang w:val="en-US" w:eastAsia="zh-CN"/>
        </w:rPr>
        <w:t xml:space="preserve">                                               </w:t>
      </w:r>
    </w:p>
    <w:p w14:paraId="6A5D555A">
      <w:pPr>
        <w:keepNext w:val="0"/>
        <w:keepLines w:val="0"/>
        <w:pageBreakBefore w:val="0"/>
        <w:widowControl/>
        <w:suppressLineNumbers w:val="0"/>
        <w:kinsoku w:val="0"/>
        <w:wordWrap w:val="0"/>
        <w:overflowPunct w:val="0"/>
        <w:topLinePunct w:val="0"/>
        <w:autoSpaceDE/>
        <w:autoSpaceDN/>
        <w:bidi w:val="0"/>
        <w:spacing w:before="312" w:beforeLines="100" w:beforeAutospacing="0" w:after="0" w:afterAutospacing="0" w:line="240" w:lineRule="auto"/>
        <w:ind w:left="0" w:right="0"/>
        <w:jc w:val="center"/>
        <w:rPr>
          <w:rFonts w:hint="eastAsia" w:ascii="仿宋" w:hAnsi="仿宋" w:eastAsia="仿宋" w:cs="仿宋"/>
          <w:b w:val="0"/>
          <w:bCs w:val="0"/>
          <w:color w:val="auto"/>
          <w:spacing w:val="-20"/>
          <w:sz w:val="32"/>
          <w:szCs w:val="32"/>
          <w:highlight w:val="none"/>
          <w:u w:val="none" w:color="auto"/>
          <w:lang w:val="en-US" w:eastAsia="zh-CN"/>
        </w:rPr>
      </w:pPr>
    </w:p>
    <w:p w14:paraId="12933C77">
      <w:pPr>
        <w:keepNext w:val="0"/>
        <w:keepLines w:val="0"/>
        <w:pageBreakBefore w:val="0"/>
        <w:widowControl/>
        <w:suppressLineNumbers w:val="0"/>
        <w:kinsoku w:val="0"/>
        <w:wordWrap w:val="0"/>
        <w:overflowPunct w:val="0"/>
        <w:topLinePunct w:val="0"/>
        <w:autoSpaceDE/>
        <w:autoSpaceDN/>
        <w:bidi w:val="0"/>
        <w:adjustRightInd/>
        <w:snapToGrid/>
        <w:spacing w:before="312" w:beforeLines="100" w:beforeAutospacing="0" w:after="0" w:afterAutospacing="0" w:line="240" w:lineRule="auto"/>
        <w:ind w:left="0" w:right="420" w:rightChars="200"/>
        <w:jc w:val="right"/>
        <w:textAlignment w:val="auto"/>
        <w:rPr>
          <w:rFonts w:hint="eastAsia" w:ascii="仿宋" w:hAnsi="仿宋" w:eastAsia="仿宋" w:cs="仿宋"/>
          <w:b w:val="0"/>
          <w:bCs w:val="0"/>
          <w:color w:val="auto"/>
          <w:spacing w:val="-20"/>
          <w:kern w:val="2"/>
          <w:sz w:val="30"/>
          <w:szCs w:val="30"/>
          <w:highlight w:val="none"/>
          <w:u w:val="none" w:color="auto"/>
          <w:lang w:val="en-US" w:eastAsia="zh-CN" w:bidi="ar"/>
        </w:rPr>
      </w:pPr>
      <w:r>
        <w:rPr>
          <w:rFonts w:hint="eastAsia" w:ascii="仿宋" w:hAnsi="仿宋" w:eastAsia="仿宋" w:cs="仿宋"/>
          <w:b w:val="0"/>
          <w:bCs w:val="0"/>
          <w:color w:val="auto"/>
          <w:spacing w:val="-20"/>
          <w:kern w:val="0"/>
          <w:sz w:val="30"/>
          <w:szCs w:val="30"/>
          <w:highlight w:val="none"/>
          <w:u w:val="none" w:color="auto"/>
          <w:lang w:val="en-US" w:eastAsia="zh-CN" w:bidi="ar"/>
        </w:rPr>
        <w:t>岳环评〔2024〕39号</w:t>
      </w:r>
      <w:bookmarkStart w:id="1" w:name="_GoBack"/>
      <w:bookmarkEnd w:id="1"/>
    </w:p>
    <w:p w14:paraId="65FF14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
          <w:bCs/>
          <w:color w:val="auto"/>
          <w:spacing w:val="-20"/>
          <w:w w:val="90"/>
          <w:kern w:val="0"/>
          <w:sz w:val="44"/>
          <w:szCs w:val="44"/>
          <w:highlight w:val="none"/>
          <w:u w:val="none" w:color="auto"/>
          <w:lang w:val="en-US" w:eastAsia="zh-CN" w:bidi="ar"/>
        </w:rPr>
      </w:pPr>
      <w:r>
        <w:rPr>
          <w:rFonts w:hint="eastAsia" w:ascii="仿宋" w:hAnsi="仿宋" w:eastAsia="仿宋" w:cs="仿宋"/>
          <w:b/>
          <w:bCs/>
          <w:color w:val="auto"/>
          <w:spacing w:val="-20"/>
          <w:w w:val="90"/>
          <w:kern w:val="0"/>
          <w:sz w:val="44"/>
          <w:szCs w:val="44"/>
          <w:highlight w:val="none"/>
          <w:u w:val="none" w:color="auto"/>
          <w:lang w:val="en-US" w:eastAsia="zh-CN" w:bidi="ar"/>
        </w:rPr>
        <w:t>关于</w:t>
      </w:r>
      <w:r>
        <w:rPr>
          <w:rFonts w:hint="eastAsia" w:ascii="仿宋" w:hAnsi="仿宋" w:eastAsia="仿宋" w:cs="仿宋"/>
          <w:b/>
          <w:bCs/>
          <w:color w:val="auto"/>
          <w:kern w:val="0"/>
          <w:sz w:val="44"/>
          <w:szCs w:val="44"/>
          <w:u w:val="none" w:color="auto"/>
          <w:lang w:val="en-US" w:eastAsia="zh-CN" w:bidi="ar"/>
        </w:rPr>
        <w:t>湖南立凯新材料有限公司立凯PVC装饰板材（线材）生产项目</w:t>
      </w:r>
      <w:r>
        <w:rPr>
          <w:rFonts w:hint="eastAsia" w:ascii="仿宋" w:hAnsi="仿宋" w:eastAsia="仿宋" w:cs="仿宋"/>
          <w:b/>
          <w:bCs/>
          <w:color w:val="auto"/>
          <w:spacing w:val="-20"/>
          <w:w w:val="90"/>
          <w:kern w:val="0"/>
          <w:sz w:val="44"/>
          <w:szCs w:val="44"/>
          <w:highlight w:val="none"/>
          <w:u w:val="none" w:color="auto"/>
          <w:lang w:val="en-US" w:eastAsia="zh-CN" w:bidi="ar"/>
        </w:rPr>
        <w:t>环境影响报告书的批复</w:t>
      </w:r>
    </w:p>
    <w:p w14:paraId="1E82985A">
      <w:pPr>
        <w:keepNext w:val="0"/>
        <w:keepLines w:val="0"/>
        <w:pageBreakBefore w:val="0"/>
        <w:widowControl/>
        <w:suppressLineNumbers w:val="0"/>
        <w:tabs>
          <w:tab w:val="right" w:leader="dot" w:pos="9736"/>
        </w:tabs>
        <w:kinsoku w:val="0"/>
        <w:wordWrap w:val="0"/>
        <w:overflowPunct w:val="0"/>
        <w:topLinePunct w:val="0"/>
        <w:autoSpaceDE/>
        <w:autoSpaceDN/>
        <w:bidi w:val="0"/>
        <w:adjustRightInd/>
        <w:snapToGrid/>
        <w:spacing w:before="120" w:beforeAutospacing="0" w:after="0" w:afterAutospacing="0" w:line="560" w:lineRule="exact"/>
        <w:ind w:left="0" w:right="0"/>
        <w:jc w:val="left"/>
        <w:textAlignment w:val="auto"/>
        <w:rPr>
          <w:rFonts w:hint="eastAsia" w:ascii="仿宋" w:hAnsi="仿宋" w:eastAsia="仿宋" w:cs="仿宋"/>
          <w:b w:val="0"/>
          <w:bCs w:val="0"/>
          <w:caps/>
          <w:color w:val="auto"/>
          <w:kern w:val="2"/>
          <w:sz w:val="32"/>
          <w:szCs w:val="32"/>
          <w:highlight w:val="none"/>
          <w:u w:val="none" w:color="auto"/>
          <w:lang w:val="en-US" w:eastAsia="zh-CN" w:bidi="ar"/>
        </w:rPr>
      </w:pPr>
      <w:r>
        <w:rPr>
          <w:rFonts w:hint="eastAsia" w:ascii="仿宋" w:hAnsi="仿宋" w:eastAsia="仿宋" w:cs="仿宋"/>
          <w:b w:val="0"/>
          <w:bCs w:val="0"/>
          <w:caps/>
          <w:color w:val="auto"/>
          <w:kern w:val="2"/>
          <w:sz w:val="32"/>
          <w:szCs w:val="32"/>
          <w:u w:val="none" w:color="auto"/>
          <w:lang w:val="en-US" w:eastAsia="zh-CN" w:bidi="ar"/>
        </w:rPr>
        <w:t>湖南立凯新材料有限公司</w:t>
      </w:r>
      <w:r>
        <w:rPr>
          <w:rFonts w:hint="eastAsia" w:ascii="仿宋" w:hAnsi="仿宋" w:eastAsia="仿宋" w:cs="仿宋"/>
          <w:b w:val="0"/>
          <w:bCs w:val="0"/>
          <w:caps/>
          <w:color w:val="auto"/>
          <w:kern w:val="2"/>
          <w:sz w:val="32"/>
          <w:szCs w:val="32"/>
          <w:highlight w:val="none"/>
          <w:u w:val="none" w:color="auto"/>
          <w:lang w:val="en-US" w:eastAsia="zh-CN" w:bidi="ar"/>
        </w:rPr>
        <w:t>：</w:t>
      </w:r>
    </w:p>
    <w:p w14:paraId="77C1D2E9">
      <w:pPr>
        <w:keepNext w:val="0"/>
        <w:keepLines w:val="0"/>
        <w:pageBreakBefore w:val="0"/>
        <w:widowControl/>
        <w:suppressLineNumbers w:val="0"/>
        <w:kinsoku/>
        <w:wordWrap w:val="0"/>
        <w:overflowPunct/>
        <w:topLinePunct/>
        <w:autoSpaceDE/>
        <w:autoSpaceDN/>
        <w:bidi w:val="0"/>
        <w:spacing w:before="0" w:beforeAutospacing="0" w:after="0" w:afterAutospacing="0" w:line="560" w:lineRule="exact"/>
        <w:ind w:left="0" w:right="0" w:firstLine="640" w:firstLineChars="200"/>
        <w:jc w:val="left"/>
        <w:rPr>
          <w:rFonts w:hint="eastAsia" w:ascii="仿宋" w:hAnsi="仿宋" w:eastAsia="仿宋" w:cs="仿宋"/>
          <w:b w:val="0"/>
          <w:bCs w:val="0"/>
          <w:color w:val="auto"/>
          <w:kern w:val="0"/>
          <w:sz w:val="32"/>
          <w:szCs w:val="32"/>
          <w:highlight w:val="none"/>
          <w:u w:val="none" w:color="auto"/>
          <w:lang w:val="en-US" w:eastAsia="zh-CN" w:bidi="ar"/>
        </w:rPr>
      </w:pPr>
      <w:r>
        <w:rPr>
          <w:rFonts w:hint="eastAsia" w:ascii="仿宋" w:hAnsi="仿宋" w:eastAsia="仿宋" w:cs="仿宋"/>
          <w:b w:val="0"/>
          <w:bCs w:val="0"/>
          <w:color w:val="auto"/>
          <w:kern w:val="0"/>
          <w:sz w:val="32"/>
          <w:szCs w:val="32"/>
          <w:highlight w:val="none"/>
          <w:u w:val="none" w:color="auto"/>
          <w:lang w:val="en-US" w:eastAsia="zh-CN" w:bidi="ar"/>
        </w:rPr>
        <w:t>你公司《</w:t>
      </w:r>
      <w:r>
        <w:rPr>
          <w:rFonts w:hint="eastAsia" w:ascii="仿宋" w:hAnsi="仿宋" w:eastAsia="仿宋" w:cs="仿宋"/>
          <w:b w:val="0"/>
          <w:bCs w:val="0"/>
          <w:color w:val="auto"/>
          <w:kern w:val="0"/>
          <w:sz w:val="32"/>
          <w:szCs w:val="32"/>
          <w:u w:val="none" w:color="auto"/>
          <w:lang w:val="en-US" w:eastAsia="zh-CN" w:bidi="ar"/>
        </w:rPr>
        <w:t>湖南立凯新材料有限公司立凯PVC装饰板材（线材）生产项目</w:t>
      </w:r>
      <w:r>
        <w:rPr>
          <w:rFonts w:hint="eastAsia" w:ascii="仿宋" w:hAnsi="仿宋" w:eastAsia="仿宋" w:cs="仿宋"/>
          <w:b w:val="0"/>
          <w:bCs w:val="0"/>
          <w:color w:val="auto"/>
          <w:kern w:val="0"/>
          <w:sz w:val="32"/>
          <w:szCs w:val="32"/>
          <w:highlight w:val="none"/>
          <w:u w:val="none" w:color="auto"/>
          <w:lang w:val="en-US" w:eastAsia="zh-CN" w:bidi="ar"/>
        </w:rPr>
        <w:t>环境影响报告书报批申请书》、岳阳市生态环境事务中心《</w:t>
      </w:r>
      <w:r>
        <w:rPr>
          <w:rFonts w:hint="eastAsia" w:ascii="仿宋" w:hAnsi="仿宋" w:eastAsia="仿宋" w:cs="仿宋"/>
          <w:b w:val="0"/>
          <w:bCs w:val="0"/>
          <w:color w:val="auto"/>
          <w:w w:val="90"/>
          <w:kern w:val="2"/>
          <w:sz w:val="32"/>
          <w:szCs w:val="32"/>
          <w:highlight w:val="none"/>
          <w:u w:val="none" w:color="auto"/>
          <w:lang w:val="en-US" w:eastAsia="zh-CN" w:bidi="ar-SA"/>
        </w:rPr>
        <w:t>湖南立凯新材料有限公司立凯 PVC 装饰板材(线材)生产环境影响报告书技术评估报告</w:t>
      </w:r>
      <w:r>
        <w:rPr>
          <w:rFonts w:hint="eastAsia" w:ascii="仿宋" w:hAnsi="仿宋" w:eastAsia="仿宋" w:cs="仿宋"/>
          <w:b w:val="0"/>
          <w:bCs w:val="0"/>
          <w:color w:val="auto"/>
          <w:kern w:val="0"/>
          <w:sz w:val="32"/>
          <w:szCs w:val="32"/>
          <w:highlight w:val="none"/>
          <w:u w:val="none" w:color="auto"/>
          <w:lang w:val="en-US" w:eastAsia="zh-CN" w:bidi="ar"/>
        </w:rPr>
        <w:t>》（岳环事评估〔2024〕41号）、岳阳市生态环境局汨罗分局预审意见及有关附件收悉。经研究，批复如下：</w:t>
      </w:r>
    </w:p>
    <w:p w14:paraId="0641B253">
      <w:pPr>
        <w:keepNext w:val="0"/>
        <w:keepLines w:val="0"/>
        <w:pageBreakBefore w:val="0"/>
        <w:autoSpaceDE/>
        <w:autoSpaceDN/>
        <w:bidi w:val="0"/>
        <w:spacing w:line="560" w:lineRule="exact"/>
        <w:ind w:firstLine="576" w:firstLineChars="200"/>
        <w:jc w:val="left"/>
        <w:rPr>
          <w:rFonts w:hint="eastAsia" w:ascii="仿宋" w:hAnsi="仿宋" w:eastAsia="仿宋" w:cs="仿宋"/>
          <w:b w:val="0"/>
          <w:bCs w:val="0"/>
          <w:color w:val="auto"/>
          <w:sz w:val="32"/>
          <w:szCs w:val="32"/>
          <w:highlight w:val="none"/>
          <w:u w:val="none" w:color="auto"/>
          <w:lang w:val="en-US"/>
        </w:rPr>
      </w:pPr>
      <w:r>
        <w:rPr>
          <w:rFonts w:hint="eastAsia" w:ascii="仿宋" w:hAnsi="仿宋" w:eastAsia="仿宋" w:cs="仿宋"/>
          <w:b w:val="0"/>
          <w:bCs w:val="0"/>
          <w:color w:val="auto"/>
          <w:w w:val="90"/>
          <w:kern w:val="2"/>
          <w:sz w:val="32"/>
          <w:szCs w:val="32"/>
          <w:highlight w:val="none"/>
          <w:u w:val="none" w:color="auto"/>
          <w:lang w:val="en-US" w:eastAsia="zh-CN" w:bidi="ar-SA"/>
        </w:rPr>
        <w:t>一、</w:t>
      </w:r>
      <w:r>
        <w:rPr>
          <w:rFonts w:hint="eastAsia" w:ascii="仿宋" w:hAnsi="仿宋" w:eastAsia="仿宋" w:cs="仿宋"/>
          <w:b w:val="0"/>
          <w:bCs w:val="0"/>
          <w:color w:val="auto"/>
          <w:sz w:val="32"/>
          <w:szCs w:val="32"/>
          <w:u w:val="none" w:color="auto"/>
        </w:rPr>
        <w:t>湖南立凯新材料有限公司</w:t>
      </w:r>
      <w:r>
        <w:rPr>
          <w:rFonts w:hint="eastAsia" w:ascii="仿宋" w:hAnsi="仿宋" w:eastAsia="仿宋" w:cs="仿宋"/>
          <w:b w:val="0"/>
          <w:bCs w:val="0"/>
          <w:color w:val="auto"/>
          <w:kern w:val="2"/>
          <w:sz w:val="32"/>
          <w:szCs w:val="32"/>
          <w:highlight w:val="none"/>
          <w:u w:val="none" w:color="auto"/>
          <w:lang w:val="en-US" w:eastAsia="zh-CN" w:bidi="ar-SA"/>
        </w:rPr>
        <w:t>位于</w:t>
      </w:r>
      <w:r>
        <w:rPr>
          <w:rFonts w:hint="eastAsia" w:ascii="仿宋" w:hAnsi="仿宋" w:eastAsia="仿宋" w:cs="仿宋"/>
          <w:b w:val="0"/>
          <w:bCs w:val="0"/>
          <w:color w:val="auto"/>
          <w:sz w:val="32"/>
          <w:szCs w:val="32"/>
          <w:u w:val="none" w:color="auto"/>
        </w:rPr>
        <w:t>湖南省岳阳市汨罗高新技术产业开发区新市片区（东经113.145402、北纬28.765216）</w:t>
      </w:r>
      <w:r>
        <w:rPr>
          <w:rFonts w:hint="eastAsia" w:ascii="仿宋" w:hAnsi="仿宋" w:eastAsia="仿宋" w:cs="仿宋"/>
          <w:b w:val="0"/>
          <w:bCs w:val="0"/>
          <w:color w:val="auto"/>
          <w:sz w:val="32"/>
          <w:szCs w:val="32"/>
          <w:u w:val="none" w:color="auto"/>
          <w:lang w:eastAsia="zh-CN"/>
        </w:rPr>
        <w:t>，</w:t>
      </w:r>
      <w:r>
        <w:rPr>
          <w:rFonts w:hint="eastAsia" w:ascii="仿宋" w:hAnsi="仿宋" w:eastAsia="仿宋" w:cs="仿宋"/>
          <w:b w:val="0"/>
          <w:bCs w:val="0"/>
          <w:color w:val="auto"/>
          <w:sz w:val="32"/>
          <w:szCs w:val="32"/>
          <w:u w:val="none" w:color="auto"/>
          <w:lang w:val="en-US" w:eastAsia="zh-CN"/>
        </w:rPr>
        <w:t>拟</w:t>
      </w:r>
      <w:r>
        <w:rPr>
          <w:rFonts w:hint="eastAsia" w:ascii="仿宋" w:hAnsi="仿宋" w:eastAsia="仿宋" w:cs="仿宋"/>
          <w:b w:val="0"/>
          <w:bCs w:val="0"/>
          <w:color w:val="auto"/>
          <w:kern w:val="2"/>
          <w:sz w:val="32"/>
          <w:szCs w:val="32"/>
          <w:u w:val="none" w:color="auto"/>
          <w:lang w:bidi="ar-SA"/>
        </w:rPr>
        <w:t>投资2000万元，</w:t>
      </w:r>
      <w:r>
        <w:rPr>
          <w:rFonts w:hint="eastAsia" w:ascii="仿宋" w:hAnsi="仿宋" w:eastAsia="仿宋" w:cs="仿宋"/>
          <w:b w:val="0"/>
          <w:bCs w:val="0"/>
          <w:color w:val="auto"/>
          <w:kern w:val="2"/>
          <w:sz w:val="32"/>
          <w:szCs w:val="32"/>
          <w:u w:val="none" w:color="auto"/>
          <w:lang w:eastAsia="zh-CN" w:bidi="ar-SA"/>
        </w:rPr>
        <w:t>（</w:t>
      </w:r>
      <w:r>
        <w:rPr>
          <w:rFonts w:hint="eastAsia" w:ascii="仿宋" w:hAnsi="仿宋" w:eastAsia="仿宋" w:cs="仿宋"/>
          <w:b w:val="0"/>
          <w:bCs w:val="0"/>
          <w:color w:val="auto"/>
          <w:kern w:val="2"/>
          <w:sz w:val="32"/>
          <w:szCs w:val="32"/>
          <w:u w:val="none" w:color="auto"/>
          <w:lang w:bidi="ar-SA"/>
        </w:rPr>
        <w:t>其中环保投资53万元，占项目总投资的2.65%</w:t>
      </w:r>
      <w:r>
        <w:rPr>
          <w:rFonts w:hint="eastAsia" w:ascii="仿宋" w:hAnsi="仿宋" w:eastAsia="仿宋" w:cs="仿宋"/>
          <w:b w:val="0"/>
          <w:bCs w:val="0"/>
          <w:color w:val="auto"/>
          <w:kern w:val="2"/>
          <w:sz w:val="32"/>
          <w:szCs w:val="32"/>
          <w:u w:val="none" w:color="auto"/>
          <w:lang w:eastAsia="zh-CN" w:bidi="ar-SA"/>
        </w:rPr>
        <w:t>）</w:t>
      </w:r>
      <w:r>
        <w:rPr>
          <w:rFonts w:hint="eastAsia" w:ascii="仿宋" w:hAnsi="仿宋" w:eastAsia="仿宋" w:cs="仿宋"/>
          <w:b w:val="0"/>
          <w:bCs w:val="0"/>
          <w:color w:val="auto"/>
          <w:kern w:val="2"/>
          <w:sz w:val="32"/>
          <w:szCs w:val="32"/>
          <w:u w:val="none" w:color="auto"/>
          <w:lang w:val="en-US" w:eastAsia="zh-CN" w:bidi="ar-SA"/>
        </w:rPr>
        <w:t>建设</w:t>
      </w:r>
      <w:r>
        <w:rPr>
          <w:rFonts w:hint="eastAsia" w:ascii="仿宋" w:hAnsi="仿宋" w:eastAsia="仿宋" w:cs="仿宋"/>
          <w:b w:val="0"/>
          <w:bCs w:val="0"/>
          <w:color w:val="auto"/>
          <w:sz w:val="32"/>
          <w:szCs w:val="32"/>
          <w:u w:val="none" w:color="auto"/>
        </w:rPr>
        <w:t>生产规模为8064吨/年</w:t>
      </w:r>
      <w:r>
        <w:rPr>
          <w:rFonts w:hint="eastAsia" w:ascii="仿宋" w:hAnsi="仿宋" w:eastAsia="仿宋" w:cs="仿宋"/>
          <w:b w:val="0"/>
          <w:bCs w:val="0"/>
          <w:color w:val="auto"/>
          <w:sz w:val="32"/>
          <w:szCs w:val="32"/>
          <w:u w:val="none" w:color="auto"/>
          <w:lang w:val="en-US" w:eastAsia="zh-CN"/>
        </w:rPr>
        <w:t>的</w:t>
      </w:r>
      <w:r>
        <w:rPr>
          <w:rFonts w:hint="eastAsia" w:ascii="仿宋" w:hAnsi="仿宋" w:eastAsia="仿宋" w:cs="仿宋"/>
          <w:b w:val="0"/>
          <w:bCs w:val="0"/>
          <w:color w:val="auto"/>
          <w:sz w:val="32"/>
          <w:szCs w:val="32"/>
          <w:u w:val="none" w:color="auto"/>
        </w:rPr>
        <w:t>PVC装饰板材（线材）生产项目</w:t>
      </w:r>
      <w:r>
        <w:rPr>
          <w:rFonts w:hint="eastAsia" w:ascii="仿宋" w:hAnsi="仿宋" w:eastAsia="仿宋" w:cs="仿宋"/>
          <w:b w:val="0"/>
          <w:bCs w:val="0"/>
          <w:color w:val="auto"/>
          <w:sz w:val="32"/>
          <w:szCs w:val="32"/>
          <w:u w:val="none" w:color="auto"/>
          <w:lang w:eastAsia="zh-CN"/>
        </w:rPr>
        <w:t>，</w:t>
      </w:r>
      <w:r>
        <w:rPr>
          <w:rFonts w:hint="eastAsia" w:ascii="仿宋" w:hAnsi="仿宋" w:eastAsia="仿宋" w:cs="仿宋"/>
          <w:b w:val="0"/>
          <w:bCs w:val="0"/>
          <w:color w:val="auto"/>
          <w:kern w:val="2"/>
          <w:sz w:val="32"/>
          <w:szCs w:val="32"/>
          <w:highlight w:val="none"/>
          <w:u w:val="none" w:color="auto"/>
          <w:lang w:val="en-US" w:eastAsia="zh-CN" w:bidi="ar-SA"/>
        </w:rPr>
        <w:t>本项目占地面积为5000m</w:t>
      </w:r>
      <w:r>
        <w:rPr>
          <w:rFonts w:hint="eastAsia" w:ascii="仿宋" w:hAnsi="仿宋" w:eastAsia="仿宋" w:cs="仿宋"/>
          <w:b w:val="0"/>
          <w:bCs w:val="0"/>
          <w:color w:val="auto"/>
          <w:kern w:val="2"/>
          <w:sz w:val="32"/>
          <w:szCs w:val="32"/>
          <w:highlight w:val="none"/>
          <w:u w:val="none" w:color="auto"/>
          <w:vertAlign w:val="superscript"/>
          <w:lang w:val="en-US" w:eastAsia="zh-CN" w:bidi="ar-SA"/>
        </w:rPr>
        <w:t>2</w:t>
      </w:r>
      <w:r>
        <w:rPr>
          <w:rFonts w:hint="eastAsia" w:ascii="仿宋" w:hAnsi="仿宋" w:eastAsia="仿宋" w:cs="仿宋"/>
          <w:b w:val="0"/>
          <w:bCs w:val="0"/>
          <w:color w:val="auto"/>
          <w:kern w:val="2"/>
          <w:sz w:val="32"/>
          <w:szCs w:val="32"/>
          <w:highlight w:val="none"/>
          <w:u w:val="none" w:color="auto"/>
          <w:lang w:val="en-US" w:eastAsia="zh-CN" w:bidi="ar-SA"/>
        </w:rPr>
        <w:t>。</w:t>
      </w:r>
      <w:r>
        <w:rPr>
          <w:rFonts w:hint="eastAsia" w:ascii="仿宋" w:hAnsi="仿宋" w:eastAsia="仿宋" w:cs="仿宋"/>
          <w:b w:val="0"/>
          <w:bCs w:val="0"/>
          <w:color w:val="auto"/>
          <w:kern w:val="0"/>
          <w:sz w:val="32"/>
          <w:szCs w:val="32"/>
          <w:highlight w:val="none"/>
          <w:u w:val="none" w:color="auto"/>
          <w:lang w:val="en-US" w:eastAsia="zh-CN" w:bidi="ar-SA"/>
        </w:rPr>
        <w:t>主要建设内容：</w:t>
      </w:r>
      <w:r>
        <w:rPr>
          <w:rFonts w:hint="eastAsia" w:ascii="仿宋" w:hAnsi="仿宋" w:eastAsia="仿宋" w:cs="仿宋"/>
          <w:b w:val="0"/>
          <w:bCs w:val="0"/>
          <w:color w:val="auto"/>
          <w:sz w:val="32"/>
          <w:szCs w:val="32"/>
          <w:highlight w:val="none"/>
          <w:u w:val="none" w:color="auto"/>
          <w:lang w:val="en-US" w:eastAsia="zh-CN"/>
        </w:rPr>
        <w:t>包括</w:t>
      </w:r>
      <w:r>
        <w:rPr>
          <w:rFonts w:hint="eastAsia" w:ascii="仿宋" w:hAnsi="仿宋" w:eastAsia="仿宋" w:cs="仿宋"/>
          <w:b w:val="0"/>
          <w:bCs w:val="0"/>
          <w:color w:val="auto"/>
          <w:sz w:val="32"/>
          <w:szCs w:val="32"/>
          <w:u w:val="none" w:color="auto"/>
        </w:rPr>
        <w:t>10条PVC板材挤出生产线</w:t>
      </w:r>
      <w:r>
        <w:rPr>
          <w:rFonts w:hint="eastAsia" w:ascii="仿宋" w:hAnsi="仿宋" w:eastAsia="仿宋" w:cs="仿宋"/>
          <w:b w:val="0"/>
          <w:bCs w:val="0"/>
          <w:color w:val="auto"/>
          <w:sz w:val="32"/>
          <w:szCs w:val="32"/>
          <w:u w:val="none" w:color="auto"/>
          <w:lang w:eastAsia="zh-CN"/>
        </w:rPr>
        <w:t>、</w:t>
      </w:r>
      <w:r>
        <w:rPr>
          <w:rFonts w:hint="eastAsia" w:ascii="仿宋" w:hAnsi="仿宋" w:eastAsia="仿宋" w:cs="仿宋"/>
          <w:b w:val="0"/>
          <w:bCs w:val="0"/>
          <w:color w:val="auto"/>
          <w:sz w:val="32"/>
          <w:szCs w:val="32"/>
          <w:u w:val="none" w:color="auto"/>
        </w:rPr>
        <w:t>磨粉混料车间</w:t>
      </w:r>
      <w:r>
        <w:rPr>
          <w:rFonts w:hint="eastAsia" w:ascii="仿宋" w:hAnsi="仿宋" w:eastAsia="仿宋" w:cs="仿宋"/>
          <w:b w:val="0"/>
          <w:bCs w:val="0"/>
          <w:color w:val="auto"/>
          <w:sz w:val="32"/>
          <w:szCs w:val="32"/>
          <w:u w:val="none" w:color="auto"/>
          <w:lang w:eastAsia="zh-CN"/>
        </w:rPr>
        <w:t>、</w:t>
      </w:r>
      <w:r>
        <w:rPr>
          <w:rFonts w:hint="eastAsia" w:ascii="仿宋" w:hAnsi="仿宋" w:eastAsia="仿宋" w:cs="仿宋"/>
          <w:b w:val="0"/>
          <w:bCs w:val="0"/>
          <w:color w:val="auto"/>
          <w:sz w:val="32"/>
          <w:szCs w:val="32"/>
          <w:u w:val="none" w:color="auto"/>
          <w:lang w:val="en-US" w:eastAsia="zh-CN"/>
        </w:rPr>
        <w:t>储运工程、辅助工程及环保工程，公用工程及</w:t>
      </w:r>
      <w:r>
        <w:rPr>
          <w:rFonts w:hint="eastAsia" w:ascii="仿宋" w:hAnsi="仿宋" w:eastAsia="仿宋" w:cs="仿宋"/>
          <w:b w:val="0"/>
          <w:bCs w:val="0"/>
          <w:color w:val="auto"/>
          <w:sz w:val="32"/>
          <w:szCs w:val="32"/>
          <w:u w:val="none" w:color="auto"/>
        </w:rPr>
        <w:t>废水治理设施</w:t>
      </w:r>
      <w:r>
        <w:rPr>
          <w:rFonts w:hint="eastAsia" w:ascii="仿宋" w:hAnsi="仿宋" w:eastAsia="仿宋" w:cs="仿宋"/>
          <w:b w:val="0"/>
          <w:bCs w:val="0"/>
          <w:color w:val="auto"/>
          <w:sz w:val="32"/>
          <w:szCs w:val="32"/>
          <w:u w:val="none" w:color="auto"/>
          <w:lang w:val="en-US" w:eastAsia="zh-CN"/>
        </w:rPr>
        <w:t>依托</w:t>
      </w:r>
      <w:r>
        <w:rPr>
          <w:rFonts w:hint="eastAsia" w:ascii="仿宋" w:hAnsi="仿宋" w:eastAsia="仿宋" w:cs="仿宋"/>
          <w:b w:val="0"/>
          <w:bCs w:val="0"/>
          <w:color w:val="auto"/>
          <w:sz w:val="32"/>
          <w:szCs w:val="32"/>
          <w:u w:val="none" w:color="auto"/>
        </w:rPr>
        <w:t>海鑫公司现有</w:t>
      </w:r>
      <w:r>
        <w:rPr>
          <w:rFonts w:hint="eastAsia" w:ascii="仿宋" w:hAnsi="仿宋" w:eastAsia="仿宋" w:cs="仿宋"/>
          <w:b w:val="0"/>
          <w:bCs w:val="0"/>
          <w:color w:val="auto"/>
          <w:sz w:val="32"/>
          <w:szCs w:val="32"/>
          <w:highlight w:val="none"/>
          <w:u w:val="none" w:color="auto"/>
          <w:lang w:val="en-US" w:eastAsia="zh-CN"/>
        </w:rPr>
        <w:t>。</w:t>
      </w:r>
      <w:r>
        <w:rPr>
          <w:rFonts w:hint="eastAsia" w:ascii="仿宋" w:hAnsi="仿宋" w:eastAsia="仿宋" w:cs="仿宋"/>
          <w:b w:val="0"/>
          <w:bCs w:val="0"/>
          <w:color w:val="auto"/>
          <w:kern w:val="2"/>
          <w:sz w:val="32"/>
          <w:szCs w:val="32"/>
          <w:highlight w:val="none"/>
          <w:u w:val="none" w:color="auto"/>
          <w:lang w:val="en-US" w:eastAsia="zh-CN" w:bidi="ar-SA"/>
        </w:rPr>
        <w:t>项目</w:t>
      </w:r>
      <w:r>
        <w:rPr>
          <w:rFonts w:hint="eastAsia" w:ascii="仿宋" w:hAnsi="仿宋" w:eastAsia="仿宋" w:cs="仿宋"/>
          <w:b w:val="0"/>
          <w:bCs w:val="0"/>
          <w:color w:val="auto"/>
          <w:sz w:val="32"/>
          <w:szCs w:val="32"/>
          <w:u w:val="none" w:color="auto"/>
        </w:rPr>
        <w:t>以PVC再生颗粒、PVC树脂粉、钙粉</w:t>
      </w:r>
      <w:r>
        <w:rPr>
          <w:rFonts w:hint="eastAsia" w:ascii="仿宋" w:hAnsi="仿宋" w:eastAsia="仿宋" w:cs="仿宋"/>
          <w:b w:val="0"/>
          <w:bCs w:val="0"/>
          <w:color w:val="auto"/>
          <w:sz w:val="32"/>
          <w:szCs w:val="32"/>
          <w:u w:val="none" w:color="auto"/>
          <w:lang w:eastAsia="zh-CN"/>
        </w:rPr>
        <w:t>、</w:t>
      </w:r>
      <w:r>
        <w:rPr>
          <w:rFonts w:hint="eastAsia" w:ascii="仿宋" w:hAnsi="仿宋" w:eastAsia="仿宋" w:cs="仿宋"/>
          <w:b w:val="0"/>
          <w:bCs w:val="0"/>
          <w:color w:val="auto"/>
          <w:sz w:val="32"/>
          <w:szCs w:val="32"/>
          <w:u w:val="none" w:color="auto"/>
        </w:rPr>
        <w:t>色粉、稳定剂等为</w:t>
      </w:r>
      <w:r>
        <w:rPr>
          <w:rFonts w:hint="eastAsia" w:ascii="仿宋" w:hAnsi="仿宋" w:eastAsia="仿宋" w:cs="仿宋"/>
          <w:b w:val="0"/>
          <w:bCs w:val="0"/>
          <w:color w:val="auto"/>
          <w:sz w:val="32"/>
          <w:szCs w:val="32"/>
          <w:u w:val="none" w:color="auto"/>
          <w:lang w:val="en-US" w:eastAsia="zh-CN"/>
        </w:rPr>
        <w:t>原</w:t>
      </w:r>
      <w:r>
        <w:rPr>
          <w:rFonts w:hint="eastAsia" w:ascii="仿宋" w:hAnsi="仿宋" w:eastAsia="仿宋" w:cs="仿宋"/>
          <w:b w:val="0"/>
          <w:bCs w:val="0"/>
          <w:color w:val="auto"/>
          <w:sz w:val="32"/>
          <w:szCs w:val="32"/>
          <w:u w:val="none" w:color="auto"/>
        </w:rPr>
        <w:t>辅料，经磨粉、投料、混料、挤出、冷却成型、切割、粘胶、覆膜、检验等工序生产PVC装饰板材8064吨/年</w:t>
      </w:r>
      <w:r>
        <w:rPr>
          <w:rFonts w:hint="eastAsia" w:ascii="仿宋" w:hAnsi="仿宋" w:eastAsia="仿宋" w:cs="仿宋"/>
          <w:b w:val="0"/>
          <w:bCs w:val="0"/>
          <w:color w:val="auto"/>
          <w:kern w:val="0"/>
          <w:sz w:val="32"/>
          <w:szCs w:val="32"/>
          <w:highlight w:val="none"/>
          <w:u w:val="none" w:color="auto"/>
          <w:lang w:val="en-US" w:eastAsia="zh-CN" w:bidi="ar-SA"/>
        </w:rPr>
        <w:t>。</w:t>
      </w:r>
      <w:r>
        <w:rPr>
          <w:rFonts w:hint="eastAsia" w:ascii="仿宋" w:hAnsi="仿宋" w:eastAsia="仿宋" w:cs="仿宋"/>
          <w:b w:val="0"/>
          <w:bCs w:val="0"/>
          <w:color w:val="auto"/>
          <w:kern w:val="2"/>
          <w:sz w:val="32"/>
          <w:szCs w:val="32"/>
          <w:highlight w:val="none"/>
          <w:u w:val="none" w:color="auto"/>
          <w:lang w:val="en-US" w:eastAsia="zh-CN" w:bidi="ar"/>
        </w:rPr>
        <w:t>根据</w:t>
      </w:r>
      <w:r>
        <w:rPr>
          <w:rFonts w:hint="eastAsia" w:ascii="仿宋" w:hAnsi="仿宋" w:eastAsia="仿宋" w:cs="仿宋"/>
          <w:b w:val="0"/>
          <w:bCs w:val="0"/>
          <w:color w:val="auto"/>
          <w:sz w:val="32"/>
          <w:szCs w:val="32"/>
          <w:u w:val="none" w:color="auto"/>
        </w:rPr>
        <w:t>湖南隆宇环保科技有限公司</w:t>
      </w:r>
      <w:r>
        <w:rPr>
          <w:rFonts w:hint="eastAsia" w:ascii="仿宋" w:hAnsi="仿宋" w:eastAsia="仿宋" w:cs="仿宋"/>
          <w:b w:val="0"/>
          <w:bCs w:val="0"/>
          <w:color w:val="auto"/>
          <w:kern w:val="2"/>
          <w:sz w:val="32"/>
          <w:szCs w:val="32"/>
          <w:highlight w:val="none"/>
          <w:u w:val="none" w:color="auto"/>
          <w:lang w:val="en-US" w:eastAsia="zh-CN" w:bidi="ar"/>
        </w:rPr>
        <w:t>编制的《</w:t>
      </w:r>
      <w:r>
        <w:rPr>
          <w:rFonts w:hint="eastAsia" w:ascii="仿宋" w:hAnsi="仿宋" w:eastAsia="仿宋" w:cs="仿宋"/>
          <w:b w:val="0"/>
          <w:bCs w:val="0"/>
          <w:color w:val="auto"/>
          <w:sz w:val="32"/>
          <w:szCs w:val="32"/>
          <w:u w:val="none" w:color="auto"/>
        </w:rPr>
        <w:t>湖南立凯新材料有限公司立凯PVC装饰板材（线材）生产项目环境影响报告书</w:t>
      </w:r>
      <w:r>
        <w:rPr>
          <w:rFonts w:hint="eastAsia" w:ascii="仿宋" w:hAnsi="仿宋" w:eastAsia="仿宋" w:cs="仿宋"/>
          <w:b w:val="0"/>
          <w:bCs w:val="0"/>
          <w:color w:val="auto"/>
          <w:kern w:val="2"/>
          <w:sz w:val="32"/>
          <w:szCs w:val="32"/>
          <w:highlight w:val="none"/>
          <w:u w:val="none" w:color="auto"/>
          <w:lang w:val="en-US" w:eastAsia="zh-CN" w:bidi="ar"/>
        </w:rPr>
        <w:t>》（报批稿）基本内容、结论和专家评审意见及岳阳市生态环境局汩罗分局预审意见，从环境保护角度考虑，我局原则同意你公司环境影响报告书中所列建设项目的环境影响评价结论和环境保护对策措施。</w:t>
      </w:r>
    </w:p>
    <w:p w14:paraId="0A85D5B6">
      <w:pPr>
        <w:keepNext w:val="0"/>
        <w:keepLines w:val="0"/>
        <w:pageBreakBefore w:val="0"/>
        <w:widowControl w:val="0"/>
        <w:numPr>
          <w:ilvl w:val="0"/>
          <w:numId w:val="2"/>
        </w:numPr>
        <w:suppressLineNumbers w:val="0"/>
        <w:kinsoku/>
        <w:wordWrap w:val="0"/>
        <w:overflowPunct/>
        <w:topLinePunct/>
        <w:autoSpaceDE/>
        <w:autoSpaceDN/>
        <w:bidi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b w:val="0"/>
          <w:bCs w:val="0"/>
          <w:color w:val="auto"/>
          <w:kern w:val="2"/>
          <w:sz w:val="32"/>
          <w:szCs w:val="32"/>
          <w:highlight w:val="none"/>
          <w:u w:val="none" w:color="auto"/>
          <w:lang w:val="en-US" w:eastAsia="zh-CN" w:bidi="ar"/>
        </w:rPr>
      </w:pPr>
      <w:r>
        <w:rPr>
          <w:rFonts w:hint="eastAsia" w:ascii="仿宋" w:hAnsi="仿宋" w:eastAsia="仿宋" w:cs="仿宋"/>
          <w:b w:val="0"/>
          <w:bCs w:val="0"/>
          <w:color w:val="auto"/>
          <w:kern w:val="2"/>
          <w:sz w:val="32"/>
          <w:szCs w:val="32"/>
          <w:highlight w:val="none"/>
          <w:u w:val="none" w:color="auto"/>
          <w:lang w:val="en-US" w:eastAsia="zh-CN" w:bidi="ar"/>
        </w:rPr>
        <w:t>认真落实专家及环境影响报告书中提出的各项污染防治措施，并重点落实以下要求：</w:t>
      </w:r>
    </w:p>
    <w:p w14:paraId="3B1E0AA8">
      <w:pPr>
        <w:keepNext w:val="0"/>
        <w:keepLines w:val="0"/>
        <w:pageBreakBefore w:val="0"/>
        <w:widowControl/>
        <w:numPr>
          <w:ilvl w:val="3"/>
          <w:numId w:val="0"/>
        </w:numPr>
        <w:tabs>
          <w:tab w:val="left" w:pos="1260"/>
          <w:tab w:val="left" w:pos="1680"/>
        </w:tabs>
        <w:autoSpaceDE/>
        <w:autoSpaceDN/>
        <w:bidi w:val="0"/>
        <w:spacing w:before="0" w:beforeLines="0" w:after="0" w:afterLines="0" w:line="560" w:lineRule="exact"/>
        <w:jc w:val="both"/>
        <w:outlineLvl w:val="5"/>
        <w:rPr>
          <w:rFonts w:hint="eastAsia" w:ascii="仿宋" w:hAnsi="仿宋" w:eastAsia="仿宋" w:cs="仿宋"/>
          <w:b w:val="0"/>
          <w:bCs w:val="0"/>
          <w:color w:val="auto"/>
          <w:kern w:val="0"/>
          <w:sz w:val="32"/>
          <w:szCs w:val="32"/>
          <w:highlight w:val="none"/>
          <w:u w:val="none" w:color="auto"/>
          <w:lang w:val="en-US" w:eastAsia="zh-CN" w:bidi="ar-SA"/>
        </w:rPr>
      </w:pPr>
      <w:r>
        <w:rPr>
          <w:rFonts w:hint="eastAsia" w:ascii="仿宋" w:hAnsi="仿宋" w:eastAsia="仿宋" w:cs="仿宋"/>
          <w:b w:val="0"/>
          <w:bCs w:val="0"/>
          <w:color w:val="auto"/>
          <w:kern w:val="0"/>
          <w:sz w:val="32"/>
          <w:szCs w:val="32"/>
          <w:highlight w:val="none"/>
          <w:u w:val="none" w:color="auto"/>
          <w:lang w:val="en-US" w:eastAsia="zh-CN" w:bidi="ar-SA"/>
        </w:rPr>
        <w:t xml:space="preserve">     1、切实做好施工期环境保护工作，落实施工期间各项污染防治措施，减小施工期间施工噪声、废气、废水及固体废物等对周边环境产生的不利影响。</w:t>
      </w:r>
    </w:p>
    <w:p w14:paraId="3B1BDD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color w:val="auto"/>
          <w:kern w:val="2"/>
          <w:sz w:val="32"/>
          <w:szCs w:val="32"/>
          <w:highlight w:val="none"/>
          <w:u w:val="none" w:color="auto"/>
          <w:lang w:val="en-US" w:eastAsia="zh-CN" w:bidi="ar-SA"/>
        </w:rPr>
      </w:pPr>
      <w:r>
        <w:rPr>
          <w:rFonts w:hint="eastAsia" w:ascii="仿宋" w:hAnsi="仿宋" w:eastAsia="仿宋" w:cs="仿宋"/>
          <w:b w:val="0"/>
          <w:bCs w:val="0"/>
          <w:color w:val="auto"/>
          <w:kern w:val="2"/>
          <w:sz w:val="32"/>
          <w:szCs w:val="32"/>
          <w:highlight w:val="none"/>
          <w:u w:val="none" w:color="auto"/>
          <w:lang w:val="en-US" w:eastAsia="zh-CN" w:bidi="ar"/>
        </w:rPr>
        <w:t>2、加强大气污染防治。本项目</w:t>
      </w:r>
      <w:r>
        <w:rPr>
          <w:rFonts w:hint="eastAsia" w:ascii="仿宋" w:hAnsi="仿宋" w:eastAsia="仿宋" w:cs="仿宋"/>
          <w:color w:val="auto"/>
          <w:kern w:val="0"/>
          <w:sz w:val="32"/>
          <w:szCs w:val="32"/>
          <w:u w:val="none" w:color="auto"/>
          <w:lang w:val="en-US" w:eastAsia="zh-CN" w:bidi="ar"/>
        </w:rPr>
        <w:t>磨粉、破碎、投料混和产生的颗粒物</w:t>
      </w:r>
      <w:r>
        <w:rPr>
          <w:rFonts w:hint="eastAsia" w:ascii="仿宋" w:hAnsi="仿宋" w:eastAsia="仿宋" w:cs="仿宋"/>
          <w:b w:val="0"/>
          <w:bCs w:val="0"/>
          <w:color w:val="auto"/>
          <w:kern w:val="2"/>
          <w:sz w:val="32"/>
          <w:szCs w:val="32"/>
          <w:highlight w:val="none"/>
          <w:u w:val="none" w:color="auto"/>
          <w:lang w:val="en-US" w:eastAsia="zh-CN" w:bidi="ar"/>
        </w:rPr>
        <w:t>经收集处理后，通过15m高1#排气筒达标排放；</w:t>
      </w:r>
      <w:r>
        <w:rPr>
          <w:rFonts w:hint="eastAsia" w:ascii="仿宋" w:hAnsi="仿宋" w:eastAsia="仿宋" w:cs="仿宋"/>
          <w:color w:val="auto"/>
          <w:kern w:val="0"/>
          <w:sz w:val="32"/>
          <w:szCs w:val="32"/>
          <w:u w:val="none" w:color="auto"/>
          <w:lang w:val="en-US" w:eastAsia="zh-CN" w:bidi="ar"/>
        </w:rPr>
        <w:t>熔融挤出、粘接产生的颗粒物、非甲烷总烃、氯化氢、氯乙烯、</w:t>
      </w:r>
      <w:r>
        <w:rPr>
          <w:rFonts w:hint="eastAsia" w:ascii="仿宋" w:hAnsi="仿宋" w:eastAsia="仿宋" w:cs="仿宋"/>
          <w:color w:val="auto"/>
          <w:kern w:val="0"/>
          <w:sz w:val="32"/>
          <w:szCs w:val="32"/>
          <w:highlight w:val="none"/>
          <w:u w:val="none" w:color="auto"/>
          <w:lang w:val="en-US" w:eastAsia="zh-CN" w:bidi="ar"/>
        </w:rPr>
        <w:t>臭气浓度</w:t>
      </w:r>
      <w:r>
        <w:rPr>
          <w:rFonts w:hint="eastAsia" w:ascii="仿宋" w:hAnsi="仿宋" w:eastAsia="仿宋" w:cs="仿宋"/>
          <w:b w:val="0"/>
          <w:bCs w:val="0"/>
          <w:color w:val="auto"/>
          <w:kern w:val="2"/>
          <w:sz w:val="32"/>
          <w:szCs w:val="32"/>
          <w:highlight w:val="none"/>
          <w:u w:val="none" w:color="auto"/>
          <w:lang w:val="en-US" w:eastAsia="zh-CN" w:bidi="ar"/>
        </w:rPr>
        <w:t>经收集处理后通过15m高2#排气筒达标排放。</w:t>
      </w:r>
      <w:r>
        <w:rPr>
          <w:rFonts w:hint="eastAsia" w:ascii="仿宋" w:hAnsi="仿宋" w:eastAsia="仿宋" w:cs="仿宋"/>
          <w:color w:val="auto"/>
          <w:kern w:val="0"/>
          <w:sz w:val="32"/>
          <w:szCs w:val="32"/>
          <w:highlight w:val="none"/>
          <w:u w:val="none" w:color="auto"/>
          <w:lang w:val="en-US" w:eastAsia="zh-CN" w:bidi="ar"/>
        </w:rPr>
        <w:t>颗粒物、非甲</w:t>
      </w:r>
      <w:r>
        <w:rPr>
          <w:rFonts w:hint="eastAsia" w:ascii="仿宋" w:hAnsi="仿宋" w:eastAsia="仿宋" w:cs="仿宋"/>
          <w:color w:val="auto"/>
          <w:kern w:val="0"/>
          <w:sz w:val="32"/>
          <w:szCs w:val="32"/>
          <w:u w:val="none" w:color="auto"/>
          <w:lang w:val="en-US" w:eastAsia="zh-CN" w:bidi="ar"/>
        </w:rPr>
        <w:t>烷总烃、氯化氢、氯乙烯</w:t>
      </w:r>
      <w:r>
        <w:rPr>
          <w:rFonts w:hint="eastAsia" w:ascii="仿宋" w:hAnsi="仿宋" w:eastAsia="仿宋" w:cs="仿宋"/>
          <w:b w:val="0"/>
          <w:bCs w:val="0"/>
          <w:color w:val="auto"/>
          <w:kern w:val="2"/>
          <w:sz w:val="32"/>
          <w:szCs w:val="32"/>
          <w:highlight w:val="none"/>
          <w:u w:val="none" w:color="auto"/>
          <w:lang w:val="en-US" w:eastAsia="zh-CN" w:bidi="ar-SA"/>
        </w:rPr>
        <w:t>执行《大气污染物综合排放标准》（GB16297-1996）表2中的二级标准；臭气浓度执行《恶臭污染物排放标准》（GB14554-93）表2标准。</w:t>
      </w:r>
    </w:p>
    <w:p w14:paraId="559AE07C">
      <w:pPr>
        <w:keepNext w:val="0"/>
        <w:keepLines w:val="0"/>
        <w:pageBreakBefore w:val="0"/>
        <w:autoSpaceDE/>
        <w:autoSpaceDN/>
        <w:bidi w:val="0"/>
        <w:snapToGrid w:val="0"/>
        <w:spacing w:line="560" w:lineRule="exact"/>
        <w:ind w:firstLine="640" w:firstLineChars="200"/>
        <w:rPr>
          <w:rFonts w:hint="eastAsia" w:ascii="仿宋" w:hAnsi="仿宋" w:eastAsia="仿宋" w:cs="仿宋"/>
          <w:b w:val="0"/>
          <w:bCs w:val="0"/>
          <w:color w:val="auto"/>
          <w:sz w:val="32"/>
          <w:szCs w:val="32"/>
          <w:highlight w:val="none"/>
          <w:u w:val="none" w:color="auto"/>
          <w:lang w:eastAsia="zh-CN"/>
        </w:rPr>
      </w:pPr>
      <w:r>
        <w:rPr>
          <w:rFonts w:hint="eastAsia" w:ascii="仿宋" w:hAnsi="仿宋" w:eastAsia="仿宋" w:cs="仿宋"/>
          <w:color w:val="auto"/>
          <w:sz w:val="32"/>
          <w:szCs w:val="32"/>
          <w:u w:val="none" w:color="auto"/>
        </w:rPr>
        <w:t>原辅料非取用状态时加盖、封口、保持密闭</w:t>
      </w:r>
      <w:r>
        <w:rPr>
          <w:rFonts w:hint="eastAsia" w:ascii="仿宋" w:hAnsi="仿宋" w:eastAsia="仿宋" w:cs="仿宋"/>
          <w:color w:val="auto"/>
          <w:sz w:val="32"/>
          <w:szCs w:val="32"/>
          <w:u w:val="none" w:color="auto"/>
          <w:lang w:eastAsia="zh-CN"/>
        </w:rPr>
        <w:t>，</w:t>
      </w:r>
      <w:r>
        <w:rPr>
          <w:rFonts w:hint="eastAsia" w:ascii="仿宋" w:hAnsi="仿宋" w:eastAsia="仿宋" w:cs="仿宋"/>
          <w:b w:val="0"/>
          <w:bCs w:val="0"/>
          <w:color w:val="auto"/>
          <w:sz w:val="32"/>
          <w:szCs w:val="32"/>
          <w:highlight w:val="none"/>
          <w:u w:val="none" w:color="auto"/>
          <w:lang w:val="en-US" w:eastAsia="zh-CN"/>
        </w:rPr>
        <w:t>加强车间通风及废气收集，</w:t>
      </w:r>
      <w:r>
        <w:rPr>
          <w:rFonts w:hint="eastAsia" w:ascii="仿宋" w:hAnsi="仿宋" w:eastAsia="仿宋" w:cs="仿宋"/>
          <w:b w:val="0"/>
          <w:bCs w:val="0"/>
          <w:color w:val="auto"/>
          <w:kern w:val="2"/>
          <w:sz w:val="32"/>
          <w:szCs w:val="32"/>
          <w:highlight w:val="none"/>
          <w:u w:val="none" w:color="auto"/>
          <w:lang w:val="en-US" w:eastAsia="zh-CN" w:bidi="ar"/>
        </w:rPr>
        <w:t>强化车间管理及日常监管；定期对设备、管道、阀门等进行维护和管理，杜绝生产过程中的跑、冒、滴、漏，最大限度减少生产过程中的废气无组织排放,确保</w:t>
      </w:r>
      <w:r>
        <w:rPr>
          <w:rFonts w:hint="eastAsia" w:ascii="仿宋" w:hAnsi="仿宋" w:eastAsia="仿宋" w:cs="仿宋"/>
          <w:b w:val="0"/>
          <w:bCs w:val="0"/>
          <w:color w:val="auto"/>
          <w:sz w:val="32"/>
          <w:szCs w:val="32"/>
          <w:highlight w:val="none"/>
          <w:u w:val="none" w:color="auto"/>
        </w:rPr>
        <w:t>厂区内挥发性有机物（以非甲烷总烃计）</w:t>
      </w:r>
      <w:r>
        <w:rPr>
          <w:rFonts w:hint="eastAsia" w:ascii="仿宋" w:hAnsi="仿宋" w:eastAsia="仿宋" w:cs="仿宋"/>
          <w:b w:val="0"/>
          <w:bCs w:val="0"/>
          <w:color w:val="auto"/>
          <w:sz w:val="32"/>
          <w:szCs w:val="32"/>
          <w:highlight w:val="none"/>
          <w:u w:val="none" w:color="auto"/>
          <w:lang w:val="en-US" w:eastAsia="zh-CN"/>
        </w:rPr>
        <w:t>满足《挥发性有机物无组织排放控制标准》（GB37822-2019）表 A.1 厂区内非甲烷总烃无组织排放限值；</w:t>
      </w:r>
      <w:r>
        <w:rPr>
          <w:rFonts w:hint="eastAsia" w:ascii="仿宋" w:hAnsi="仿宋" w:eastAsia="仿宋" w:cs="仿宋"/>
          <w:color w:val="auto"/>
          <w:sz w:val="32"/>
          <w:szCs w:val="32"/>
          <w:u w:val="none" w:color="auto"/>
        </w:rPr>
        <w:t>颗粒物</w:t>
      </w:r>
      <w:r>
        <w:rPr>
          <w:rFonts w:hint="eastAsia" w:ascii="仿宋" w:hAnsi="仿宋" w:eastAsia="仿宋" w:cs="仿宋"/>
          <w:color w:val="auto"/>
          <w:sz w:val="32"/>
          <w:szCs w:val="32"/>
          <w:u w:val="none" w:color="auto"/>
          <w:lang w:eastAsia="zh-CN"/>
        </w:rPr>
        <w:t>、</w:t>
      </w:r>
      <w:r>
        <w:rPr>
          <w:rFonts w:hint="eastAsia" w:ascii="仿宋" w:hAnsi="仿宋" w:eastAsia="仿宋" w:cs="仿宋"/>
          <w:color w:val="auto"/>
          <w:sz w:val="32"/>
          <w:szCs w:val="32"/>
          <w:u w:val="none" w:color="auto"/>
        </w:rPr>
        <w:t>非甲烷总烃、氯化氢、氯乙烯</w:t>
      </w:r>
      <w:r>
        <w:rPr>
          <w:rFonts w:hint="eastAsia" w:ascii="仿宋" w:hAnsi="仿宋" w:eastAsia="仿宋" w:cs="仿宋"/>
          <w:b w:val="0"/>
          <w:bCs w:val="0"/>
          <w:color w:val="auto"/>
          <w:kern w:val="2"/>
          <w:sz w:val="32"/>
          <w:szCs w:val="32"/>
          <w:highlight w:val="none"/>
          <w:u w:val="none" w:color="auto"/>
          <w:lang w:bidi="ar-SA"/>
        </w:rPr>
        <w:t>执行《大气污染物综合排放标准》（GB16297-1996）无组织排放监控浓度限值</w:t>
      </w:r>
      <w:r>
        <w:rPr>
          <w:rFonts w:hint="eastAsia" w:ascii="仿宋" w:hAnsi="仿宋" w:eastAsia="仿宋" w:cs="仿宋"/>
          <w:b w:val="0"/>
          <w:bCs w:val="0"/>
          <w:color w:val="auto"/>
          <w:kern w:val="2"/>
          <w:sz w:val="32"/>
          <w:szCs w:val="32"/>
          <w:highlight w:val="none"/>
          <w:u w:val="none" w:color="auto"/>
          <w:lang w:val="en-US" w:eastAsia="zh-CN" w:bidi="ar-SA"/>
        </w:rPr>
        <w:t>；</w:t>
      </w:r>
      <w:r>
        <w:rPr>
          <w:rFonts w:hint="eastAsia" w:ascii="仿宋" w:hAnsi="仿宋" w:eastAsia="仿宋" w:cs="仿宋"/>
          <w:b w:val="0"/>
          <w:bCs w:val="0"/>
          <w:color w:val="auto"/>
          <w:kern w:val="2"/>
          <w:sz w:val="32"/>
          <w:szCs w:val="32"/>
          <w:highlight w:val="none"/>
          <w:u w:val="none" w:color="auto"/>
          <w:lang w:bidi="ar-SA"/>
        </w:rPr>
        <w:t>臭气浓度执行《恶臭污染物排放标准》（GB14554-93）表1恶臭污染物厂界标准值二级新扩改建标准</w:t>
      </w:r>
      <w:r>
        <w:rPr>
          <w:rFonts w:hint="eastAsia" w:ascii="仿宋" w:hAnsi="仿宋" w:eastAsia="仿宋" w:cs="仿宋"/>
          <w:b w:val="0"/>
          <w:bCs w:val="0"/>
          <w:color w:val="auto"/>
          <w:kern w:val="2"/>
          <w:sz w:val="32"/>
          <w:szCs w:val="32"/>
          <w:highlight w:val="none"/>
          <w:u w:val="none" w:color="auto"/>
          <w:lang w:eastAsia="zh-CN" w:bidi="ar-SA"/>
        </w:rPr>
        <w:t>。</w:t>
      </w:r>
    </w:p>
    <w:p w14:paraId="57AFB09F">
      <w:pPr>
        <w:keepNext w:val="0"/>
        <w:keepLines w:val="0"/>
        <w:pageBreakBefore w:val="0"/>
        <w:widowControl/>
        <w:suppressLineNumbers w:val="0"/>
        <w:kinsoku/>
        <w:wordWrap w:val="0"/>
        <w:overflowPunct/>
        <w:topLinePunct/>
        <w:autoSpaceDE/>
        <w:autoSpaceDN/>
        <w:bidi w:val="0"/>
        <w:spacing w:before="0" w:beforeAutospacing="0" w:after="0" w:afterAutospacing="0" w:line="560" w:lineRule="exact"/>
        <w:ind w:left="0" w:right="0" w:firstLine="640" w:firstLineChars="200"/>
        <w:jc w:val="left"/>
        <w:textAlignment w:val="center"/>
        <w:rPr>
          <w:rFonts w:hint="eastAsia" w:ascii="仿宋" w:hAnsi="仿宋" w:eastAsia="仿宋" w:cs="仿宋"/>
          <w:b w:val="0"/>
          <w:bCs w:val="0"/>
          <w:color w:val="auto"/>
          <w:sz w:val="32"/>
          <w:szCs w:val="32"/>
          <w:highlight w:val="none"/>
          <w:u w:val="none" w:color="auto"/>
          <w:lang w:val="en-US" w:eastAsia="zh-CN"/>
        </w:rPr>
      </w:pPr>
      <w:r>
        <w:rPr>
          <w:rFonts w:hint="eastAsia" w:ascii="仿宋" w:hAnsi="仿宋" w:eastAsia="仿宋" w:cs="仿宋"/>
          <w:b w:val="0"/>
          <w:bCs w:val="0"/>
          <w:color w:val="auto"/>
          <w:kern w:val="2"/>
          <w:sz w:val="32"/>
          <w:szCs w:val="32"/>
          <w:highlight w:val="none"/>
          <w:u w:val="none" w:color="auto"/>
          <w:lang w:val="en-US" w:eastAsia="zh-CN" w:bidi="ar"/>
        </w:rPr>
        <w:t>3、加强水污染防治。严格按照“雨污分流、污污分流”的原则规范建设厂区雨水及污水收集设施。</w:t>
      </w:r>
      <w:r>
        <w:rPr>
          <w:rFonts w:hint="eastAsia" w:ascii="仿宋" w:hAnsi="仿宋" w:eastAsia="仿宋" w:cs="仿宋"/>
          <w:b w:val="0"/>
          <w:bCs w:val="0"/>
          <w:color w:val="auto"/>
          <w:sz w:val="32"/>
          <w:szCs w:val="32"/>
          <w:highlight w:val="none"/>
          <w:u w:val="none" w:color="auto"/>
        </w:rPr>
        <w:t>生活污水经</w:t>
      </w:r>
      <w:r>
        <w:rPr>
          <w:rFonts w:hint="eastAsia" w:ascii="仿宋" w:hAnsi="仿宋" w:eastAsia="仿宋" w:cs="仿宋"/>
          <w:color w:val="auto"/>
          <w:sz w:val="32"/>
          <w:szCs w:val="32"/>
          <w:highlight w:val="none"/>
          <w:u w:val="none" w:color="auto"/>
        </w:rPr>
        <w:t>海鑫公司</w:t>
      </w:r>
      <w:r>
        <w:rPr>
          <w:rFonts w:hint="eastAsia" w:ascii="仿宋" w:hAnsi="仿宋" w:eastAsia="仿宋" w:cs="仿宋"/>
          <w:b w:val="0"/>
          <w:bCs w:val="0"/>
          <w:color w:val="auto"/>
          <w:sz w:val="32"/>
          <w:szCs w:val="32"/>
          <w:highlight w:val="none"/>
          <w:u w:val="none" w:color="auto"/>
          <w:lang w:eastAsia="zh-CN"/>
        </w:rPr>
        <w:t>隔油</w:t>
      </w:r>
      <w:r>
        <w:rPr>
          <w:rFonts w:hint="eastAsia" w:ascii="仿宋" w:hAnsi="仿宋" w:eastAsia="仿宋" w:cs="仿宋"/>
          <w:b w:val="0"/>
          <w:bCs w:val="0"/>
          <w:color w:val="auto"/>
          <w:sz w:val="32"/>
          <w:szCs w:val="32"/>
          <w:highlight w:val="none"/>
          <w:u w:val="none" w:color="auto"/>
          <w:lang w:val="en-US" w:eastAsia="zh-CN"/>
        </w:rPr>
        <w:t>池、</w:t>
      </w:r>
      <w:r>
        <w:rPr>
          <w:rFonts w:hint="eastAsia" w:ascii="仿宋" w:hAnsi="仿宋" w:eastAsia="仿宋" w:cs="仿宋"/>
          <w:b w:val="0"/>
          <w:bCs w:val="0"/>
          <w:color w:val="auto"/>
          <w:sz w:val="32"/>
          <w:szCs w:val="32"/>
          <w:highlight w:val="none"/>
          <w:u w:val="none" w:color="auto"/>
          <w:lang w:eastAsia="zh-CN"/>
        </w:rPr>
        <w:t>化粪池</w:t>
      </w:r>
      <w:r>
        <w:rPr>
          <w:rFonts w:hint="eastAsia" w:ascii="仿宋" w:hAnsi="仿宋" w:eastAsia="仿宋" w:cs="仿宋"/>
          <w:b w:val="0"/>
          <w:bCs w:val="0"/>
          <w:color w:val="auto"/>
          <w:sz w:val="32"/>
          <w:szCs w:val="32"/>
          <w:highlight w:val="none"/>
          <w:u w:val="none" w:color="auto"/>
        </w:rPr>
        <w:t>处理后满足《污水综合排放标准》（GB8978-1996）中三级标准及汨罗市城市污水处理厂进水水质标准两者中的较严值后，排入汨罗市城市污水处理厂，处理达到《城镇污水处理厂污染物排放标准》（GB18918-2002）一级A标准后经李家河排入汨罗江</w:t>
      </w:r>
      <w:r>
        <w:rPr>
          <w:rFonts w:hint="eastAsia" w:ascii="仿宋" w:hAnsi="仿宋" w:eastAsia="仿宋" w:cs="仿宋"/>
          <w:b w:val="0"/>
          <w:bCs w:val="0"/>
          <w:color w:val="auto"/>
          <w:sz w:val="32"/>
          <w:szCs w:val="32"/>
          <w:highlight w:val="none"/>
          <w:u w:val="none" w:color="auto"/>
          <w:lang w:val="en-US" w:eastAsia="zh-CN"/>
        </w:rPr>
        <w:t>；</w:t>
      </w:r>
      <w:r>
        <w:rPr>
          <w:rFonts w:hint="eastAsia" w:ascii="仿宋" w:hAnsi="仿宋" w:eastAsia="仿宋" w:cs="仿宋"/>
          <w:color w:val="auto"/>
          <w:sz w:val="32"/>
          <w:szCs w:val="32"/>
          <w:u w:val="none" w:color="auto"/>
        </w:rPr>
        <w:t>冷却水循环使用</w:t>
      </w:r>
      <w:r>
        <w:rPr>
          <w:rFonts w:hint="eastAsia" w:ascii="仿宋" w:hAnsi="仿宋" w:eastAsia="仿宋" w:cs="仿宋"/>
          <w:color w:val="auto"/>
          <w:sz w:val="32"/>
          <w:szCs w:val="32"/>
          <w:u w:val="none" w:color="auto"/>
          <w:lang w:eastAsia="zh-CN"/>
        </w:rPr>
        <w:t>，</w:t>
      </w:r>
      <w:r>
        <w:rPr>
          <w:rFonts w:hint="eastAsia" w:ascii="仿宋" w:hAnsi="仿宋" w:eastAsia="仿宋" w:cs="仿宋"/>
          <w:color w:val="auto"/>
          <w:sz w:val="32"/>
          <w:szCs w:val="32"/>
          <w:u w:val="none" w:color="auto"/>
          <w:lang w:val="en-US" w:eastAsia="zh-CN"/>
        </w:rPr>
        <w:t>不外排；</w:t>
      </w:r>
      <w:r>
        <w:rPr>
          <w:rFonts w:hint="eastAsia" w:ascii="仿宋" w:hAnsi="仿宋" w:eastAsia="仿宋" w:cs="仿宋"/>
          <w:b w:val="0"/>
          <w:bCs w:val="0"/>
          <w:color w:val="auto"/>
          <w:sz w:val="32"/>
          <w:szCs w:val="32"/>
          <w:highlight w:val="none"/>
          <w:u w:val="none" w:color="auto"/>
          <w:lang w:val="en-US" w:eastAsia="zh-CN"/>
        </w:rPr>
        <w:t>项目无生产废水产生及排放</w:t>
      </w:r>
      <w:r>
        <w:rPr>
          <w:rFonts w:hint="eastAsia" w:ascii="仿宋" w:hAnsi="仿宋" w:eastAsia="仿宋" w:cs="仿宋"/>
          <w:b w:val="0"/>
          <w:bCs w:val="0"/>
          <w:color w:val="auto"/>
          <w:sz w:val="32"/>
          <w:szCs w:val="32"/>
          <w:highlight w:val="none"/>
          <w:u w:val="none" w:color="auto"/>
        </w:rPr>
        <w:t>。</w:t>
      </w:r>
    </w:p>
    <w:p w14:paraId="3C9BE2B1">
      <w:pPr>
        <w:keepNext w:val="0"/>
        <w:keepLines w:val="0"/>
        <w:pageBreakBefore w:val="0"/>
        <w:widowControl w:val="0"/>
        <w:suppressLineNumbers w:val="0"/>
        <w:kinsoku/>
        <w:wordWrap w:val="0"/>
        <w:overflowPunct/>
        <w:topLinePunct/>
        <w:autoSpaceDE/>
        <w:autoSpaceDN/>
        <w:bidi w:val="0"/>
        <w:spacing w:before="0" w:beforeAutospacing="0" w:after="0" w:afterAutospacing="0" w:line="560" w:lineRule="exact"/>
        <w:ind w:right="0" w:firstLine="640" w:firstLineChars="200"/>
        <w:jc w:val="both"/>
        <w:rPr>
          <w:rFonts w:hint="eastAsia" w:ascii="仿宋" w:hAnsi="仿宋" w:eastAsia="仿宋" w:cs="仿宋"/>
          <w:b w:val="0"/>
          <w:bCs w:val="0"/>
          <w:color w:val="auto"/>
          <w:sz w:val="32"/>
          <w:szCs w:val="32"/>
          <w:highlight w:val="none"/>
          <w:u w:val="none" w:color="auto"/>
          <w:lang w:val="en-US"/>
        </w:rPr>
      </w:pPr>
      <w:r>
        <w:rPr>
          <w:rFonts w:hint="eastAsia" w:ascii="仿宋" w:hAnsi="仿宋" w:eastAsia="仿宋" w:cs="仿宋"/>
          <w:b w:val="0"/>
          <w:bCs w:val="0"/>
          <w:color w:val="auto"/>
          <w:kern w:val="2"/>
          <w:sz w:val="32"/>
          <w:szCs w:val="32"/>
          <w:highlight w:val="none"/>
          <w:u w:val="none" w:color="auto"/>
          <w:lang w:val="en-US" w:eastAsia="zh-CN" w:bidi="ar"/>
        </w:rPr>
        <w:t>按照“源头控制、分区防治、污染监控、应急响应”相结合的原则落实报告书提出的地下水污染防治措施。做好</w:t>
      </w:r>
      <w:r>
        <w:rPr>
          <w:rFonts w:hint="eastAsia" w:ascii="仿宋" w:hAnsi="仿宋" w:eastAsia="仿宋" w:cs="仿宋"/>
          <w:b w:val="0"/>
          <w:bCs w:val="0"/>
          <w:color w:val="auto"/>
          <w:sz w:val="32"/>
          <w:szCs w:val="32"/>
          <w:highlight w:val="none"/>
          <w:u w:val="none" w:color="auto"/>
          <w:lang w:eastAsia="zh-CN"/>
        </w:rPr>
        <w:t>危废暂存间</w:t>
      </w:r>
      <w:r>
        <w:rPr>
          <w:rFonts w:hint="eastAsia" w:ascii="仿宋" w:hAnsi="仿宋" w:eastAsia="仿宋" w:cs="仿宋"/>
          <w:b w:val="0"/>
          <w:bCs w:val="0"/>
          <w:color w:val="auto"/>
          <w:sz w:val="32"/>
          <w:szCs w:val="32"/>
          <w:highlight w:val="none"/>
          <w:u w:val="none" w:color="auto"/>
          <w:lang w:val="en-US" w:eastAsia="zh-CN" w:bidi="ar"/>
        </w:rPr>
        <w:t>及</w:t>
      </w:r>
      <w:r>
        <w:rPr>
          <w:rFonts w:hint="eastAsia" w:ascii="仿宋" w:hAnsi="仿宋" w:eastAsia="仿宋" w:cs="仿宋"/>
          <w:b w:val="0"/>
          <w:bCs w:val="0"/>
          <w:color w:val="auto"/>
          <w:sz w:val="32"/>
          <w:szCs w:val="32"/>
          <w:highlight w:val="none"/>
          <w:u w:val="none" w:color="auto"/>
        </w:rPr>
        <w:t>一般防渗区</w:t>
      </w:r>
      <w:r>
        <w:rPr>
          <w:rFonts w:hint="eastAsia" w:ascii="仿宋" w:hAnsi="仿宋" w:eastAsia="仿宋" w:cs="仿宋"/>
          <w:b w:val="0"/>
          <w:bCs w:val="0"/>
          <w:color w:val="auto"/>
          <w:sz w:val="32"/>
          <w:szCs w:val="32"/>
          <w:highlight w:val="none"/>
          <w:u w:val="none" w:color="auto"/>
          <w:lang w:val="en-US" w:eastAsia="zh-CN" w:bidi="ar"/>
        </w:rPr>
        <w:t>的</w:t>
      </w:r>
      <w:r>
        <w:rPr>
          <w:rFonts w:hint="eastAsia" w:ascii="仿宋" w:hAnsi="仿宋" w:eastAsia="仿宋" w:cs="仿宋"/>
          <w:b w:val="0"/>
          <w:bCs w:val="0"/>
          <w:color w:val="auto"/>
          <w:kern w:val="2"/>
          <w:sz w:val="32"/>
          <w:szCs w:val="32"/>
          <w:highlight w:val="none"/>
          <w:u w:val="none" w:color="auto"/>
          <w:lang w:val="en-US" w:eastAsia="zh-CN" w:bidi="ar"/>
        </w:rPr>
        <w:t>防渗工作和</w:t>
      </w:r>
      <w:r>
        <w:rPr>
          <w:rFonts w:hint="eastAsia" w:ascii="仿宋" w:hAnsi="仿宋" w:eastAsia="仿宋" w:cs="仿宋"/>
          <w:color w:val="auto"/>
          <w:sz w:val="32"/>
          <w:szCs w:val="32"/>
          <w:u w:val="none" w:color="auto"/>
          <w:lang w:val="en-US" w:eastAsia="zh-CN"/>
        </w:rPr>
        <w:t>办公区、产品堆放区</w:t>
      </w:r>
      <w:r>
        <w:rPr>
          <w:rFonts w:hint="eastAsia" w:ascii="仿宋" w:hAnsi="仿宋" w:eastAsia="仿宋" w:cs="仿宋"/>
          <w:b w:val="0"/>
          <w:bCs w:val="0"/>
          <w:color w:val="auto"/>
          <w:kern w:val="2"/>
          <w:sz w:val="32"/>
          <w:szCs w:val="32"/>
          <w:highlight w:val="none"/>
          <w:u w:val="none" w:color="auto"/>
          <w:lang w:val="en-US" w:eastAsia="zh-CN" w:bidi="ar"/>
        </w:rPr>
        <w:t>的地面硬化，避免由于防渗层破损造成污染物下渗污染地下水。根据《环境影响评价技术导则 地下水环境》(HJ610-2016)要求，跟踪监测地下水水质情况，确保地下水环境安全。</w:t>
      </w:r>
    </w:p>
    <w:p w14:paraId="3607A253">
      <w:pPr>
        <w:keepNext w:val="0"/>
        <w:keepLines w:val="0"/>
        <w:pageBreakBefore w:val="0"/>
        <w:widowControl w:val="0"/>
        <w:suppressLineNumbers w:val="0"/>
        <w:autoSpaceDE/>
        <w:autoSpaceDN/>
        <w:bidi w:val="0"/>
        <w:spacing w:before="0" w:beforeAutospacing="0" w:after="0" w:afterAutospacing="0" w:line="560" w:lineRule="exact"/>
        <w:ind w:left="0" w:right="0" w:firstLine="640" w:firstLineChars="200"/>
        <w:jc w:val="both"/>
        <w:rPr>
          <w:rFonts w:hint="eastAsia" w:ascii="仿宋" w:hAnsi="仿宋" w:eastAsia="仿宋" w:cs="仿宋"/>
          <w:b w:val="0"/>
          <w:bCs w:val="0"/>
          <w:color w:val="auto"/>
          <w:kern w:val="2"/>
          <w:sz w:val="32"/>
          <w:szCs w:val="32"/>
          <w:highlight w:val="none"/>
          <w:u w:val="none" w:color="auto"/>
          <w:lang w:val="en-US" w:eastAsia="zh-CN" w:bidi="ar-SA"/>
        </w:rPr>
      </w:pPr>
      <w:r>
        <w:rPr>
          <w:rFonts w:hint="eastAsia" w:ascii="仿宋" w:hAnsi="仿宋" w:eastAsia="仿宋" w:cs="仿宋"/>
          <w:b w:val="0"/>
          <w:bCs w:val="0"/>
          <w:color w:val="auto"/>
          <w:kern w:val="2"/>
          <w:sz w:val="32"/>
          <w:szCs w:val="32"/>
          <w:highlight w:val="none"/>
          <w:u w:val="none" w:color="auto"/>
          <w:lang w:val="en-US" w:eastAsia="zh-CN" w:bidi="ar"/>
        </w:rPr>
        <w:t>4、加强噪声污染防治。通过</w:t>
      </w:r>
      <w:r>
        <w:rPr>
          <w:rFonts w:hint="eastAsia" w:ascii="仿宋" w:hAnsi="仿宋" w:eastAsia="仿宋" w:cs="仿宋"/>
          <w:b w:val="0"/>
          <w:bCs w:val="0"/>
          <w:color w:val="auto"/>
          <w:kern w:val="0"/>
          <w:sz w:val="32"/>
          <w:szCs w:val="32"/>
          <w:highlight w:val="none"/>
          <w:u w:val="none" w:color="auto"/>
          <w:lang w:val="en-US" w:eastAsia="zh-CN" w:bidi="ar"/>
        </w:rPr>
        <w:t>选用高效低噪设备</w:t>
      </w:r>
      <w:r>
        <w:rPr>
          <w:rFonts w:hint="eastAsia" w:ascii="仿宋" w:hAnsi="仿宋" w:eastAsia="仿宋" w:cs="仿宋"/>
          <w:b w:val="0"/>
          <w:bCs w:val="0"/>
          <w:color w:val="auto"/>
          <w:kern w:val="2"/>
          <w:sz w:val="32"/>
          <w:szCs w:val="32"/>
          <w:highlight w:val="none"/>
          <w:u w:val="none" w:color="auto"/>
          <w:lang w:val="en-US" w:eastAsia="zh-CN" w:bidi="ar"/>
        </w:rPr>
        <w:t>，合理布局，</w:t>
      </w:r>
      <w:r>
        <w:rPr>
          <w:rFonts w:hint="eastAsia" w:ascii="仿宋" w:hAnsi="仿宋" w:eastAsia="仿宋" w:cs="仿宋"/>
          <w:b w:val="0"/>
          <w:bCs w:val="0"/>
          <w:color w:val="auto"/>
          <w:kern w:val="0"/>
          <w:sz w:val="32"/>
          <w:szCs w:val="32"/>
          <w:highlight w:val="none"/>
          <w:u w:val="none" w:color="auto"/>
          <w:lang w:val="en-US" w:eastAsia="zh-CN" w:bidi="ar"/>
        </w:rPr>
        <w:t>设备安装减振设施，加强设备维护等降噪措施</w:t>
      </w:r>
      <w:r>
        <w:rPr>
          <w:rFonts w:hint="eastAsia" w:ascii="仿宋" w:hAnsi="仿宋" w:eastAsia="仿宋" w:cs="仿宋"/>
          <w:b w:val="0"/>
          <w:bCs w:val="0"/>
          <w:color w:val="auto"/>
          <w:kern w:val="2"/>
          <w:sz w:val="32"/>
          <w:szCs w:val="32"/>
          <w:highlight w:val="none"/>
          <w:u w:val="none" w:color="auto"/>
          <w:lang w:val="en-US" w:eastAsia="zh-CN" w:bidi="ar"/>
        </w:rPr>
        <w:t>，确保</w:t>
      </w:r>
      <w:r>
        <w:rPr>
          <w:rFonts w:hint="eastAsia" w:ascii="仿宋" w:hAnsi="仿宋" w:eastAsia="仿宋" w:cs="仿宋"/>
          <w:b w:val="0"/>
          <w:bCs w:val="0"/>
          <w:color w:val="auto"/>
          <w:kern w:val="2"/>
          <w:sz w:val="32"/>
          <w:szCs w:val="32"/>
          <w:highlight w:val="none"/>
          <w:u w:val="none" w:color="auto"/>
          <w:lang w:val="en-US" w:eastAsia="zh-CN" w:bidi="ar-SA"/>
        </w:rPr>
        <w:t>厂界噪声达到《工业企业厂界环境噪声排放标准》（GB12348－2008）3类标准。</w:t>
      </w:r>
    </w:p>
    <w:p w14:paraId="72A39CEB">
      <w:pPr>
        <w:keepNext w:val="0"/>
        <w:keepLines w:val="0"/>
        <w:pageBreakBefore w:val="0"/>
        <w:widowControl w:val="0"/>
        <w:suppressLineNumbers w:val="0"/>
        <w:kinsoku/>
        <w:overflowPunct/>
        <w:autoSpaceDE/>
        <w:autoSpaceDN/>
        <w:bidi w:val="0"/>
        <w:spacing w:before="0" w:beforeAutospacing="0" w:after="0" w:afterAutospacing="0" w:line="560" w:lineRule="exact"/>
        <w:ind w:left="0" w:right="0" w:firstLine="640" w:firstLineChars="200"/>
        <w:jc w:val="both"/>
        <w:rPr>
          <w:rFonts w:hint="eastAsia" w:ascii="仿宋" w:hAnsi="仿宋" w:eastAsia="仿宋" w:cs="仿宋"/>
          <w:b w:val="0"/>
          <w:bCs w:val="0"/>
          <w:color w:val="auto"/>
          <w:kern w:val="0"/>
          <w:sz w:val="32"/>
          <w:szCs w:val="32"/>
          <w:highlight w:val="none"/>
          <w:u w:val="none" w:color="auto"/>
          <w:lang w:val="en-US" w:eastAsia="zh-CN" w:bidi="ar"/>
        </w:rPr>
      </w:pPr>
      <w:r>
        <w:rPr>
          <w:rFonts w:hint="eastAsia" w:ascii="仿宋" w:hAnsi="仿宋" w:eastAsia="仿宋" w:cs="仿宋"/>
          <w:b w:val="0"/>
          <w:bCs w:val="0"/>
          <w:color w:val="auto"/>
          <w:kern w:val="0"/>
          <w:sz w:val="32"/>
          <w:szCs w:val="32"/>
          <w:highlight w:val="none"/>
          <w:u w:val="none" w:color="auto"/>
          <w:lang w:val="en-US" w:eastAsia="zh-CN" w:bidi="ar"/>
        </w:rPr>
        <w:t>5、</w:t>
      </w:r>
      <w:r>
        <w:rPr>
          <w:rFonts w:hint="eastAsia" w:ascii="仿宋" w:hAnsi="仿宋" w:eastAsia="仿宋" w:cs="仿宋"/>
          <w:b w:val="0"/>
          <w:bCs w:val="0"/>
          <w:color w:val="auto"/>
          <w:kern w:val="2"/>
          <w:sz w:val="32"/>
          <w:szCs w:val="32"/>
          <w:highlight w:val="none"/>
          <w:u w:val="none" w:color="auto"/>
          <w:lang w:val="en-US" w:eastAsia="zh-CN" w:bidi="ar"/>
        </w:rPr>
        <w:t>加强</w:t>
      </w:r>
      <w:r>
        <w:rPr>
          <w:rFonts w:hint="eastAsia" w:ascii="仿宋" w:hAnsi="仿宋" w:eastAsia="仿宋" w:cs="仿宋"/>
          <w:b w:val="0"/>
          <w:bCs w:val="0"/>
          <w:color w:val="auto"/>
          <w:kern w:val="0"/>
          <w:sz w:val="32"/>
          <w:szCs w:val="32"/>
          <w:highlight w:val="none"/>
          <w:u w:val="none" w:color="auto"/>
          <w:lang w:val="en-US" w:eastAsia="zh-CN" w:bidi="ar"/>
        </w:rPr>
        <w:t>固体废物管理工作。按“无害化、减量化、资源化”原则，做好固体分类收集和综合利用，并建立固体废物产生、储存、处置管理台账，落实危险废物转移联单制度。一般固体废物严格按</w:t>
      </w:r>
      <w:bookmarkStart w:id="0" w:name="_Hlk59022914"/>
      <w:r>
        <w:rPr>
          <w:rFonts w:hint="eastAsia" w:ascii="仿宋" w:hAnsi="仿宋" w:eastAsia="仿宋" w:cs="仿宋"/>
          <w:b w:val="0"/>
          <w:bCs w:val="0"/>
          <w:color w:val="auto"/>
          <w:kern w:val="0"/>
          <w:sz w:val="32"/>
          <w:szCs w:val="32"/>
          <w:highlight w:val="none"/>
          <w:u w:val="none" w:color="auto"/>
          <w:lang w:val="en-US" w:eastAsia="zh-CN" w:bidi="ar"/>
        </w:rPr>
        <w:t>《一般工业固体废物贮存和填埋污染控制标准》（GB18599-2020）</w:t>
      </w:r>
      <w:bookmarkEnd w:id="0"/>
      <w:r>
        <w:rPr>
          <w:rFonts w:hint="eastAsia" w:ascii="仿宋" w:hAnsi="仿宋" w:eastAsia="仿宋" w:cs="仿宋"/>
          <w:b w:val="0"/>
          <w:bCs w:val="0"/>
          <w:color w:val="auto"/>
          <w:kern w:val="0"/>
          <w:sz w:val="32"/>
          <w:szCs w:val="32"/>
          <w:highlight w:val="none"/>
          <w:u w:val="none" w:color="auto"/>
          <w:lang w:val="en-US" w:eastAsia="zh-CN" w:bidi="ar"/>
        </w:rPr>
        <w:t>要求集中收集后，</w:t>
      </w:r>
      <w:r>
        <w:rPr>
          <w:rFonts w:hint="eastAsia" w:ascii="仿宋" w:hAnsi="仿宋" w:eastAsia="仿宋" w:cs="仿宋"/>
          <w:color w:val="auto"/>
          <w:kern w:val="0"/>
          <w:sz w:val="32"/>
          <w:szCs w:val="32"/>
          <w:u w:val="none" w:color="auto"/>
          <w:lang w:val="en-US" w:eastAsia="zh-CN" w:bidi="ar"/>
        </w:rPr>
        <w:t>回用于生产交</w:t>
      </w:r>
      <w:r>
        <w:rPr>
          <w:rFonts w:hint="eastAsia" w:ascii="仿宋" w:hAnsi="仿宋" w:eastAsia="仿宋" w:cs="仿宋"/>
          <w:b w:val="0"/>
          <w:bCs w:val="0"/>
          <w:color w:val="auto"/>
          <w:kern w:val="2"/>
          <w:sz w:val="32"/>
          <w:szCs w:val="32"/>
          <w:highlight w:val="none"/>
          <w:u w:val="none" w:color="auto"/>
          <w:lang w:val="en-US" w:eastAsia="zh-CN" w:bidi="ar"/>
        </w:rPr>
        <w:t>和交</w:t>
      </w:r>
      <w:r>
        <w:rPr>
          <w:rFonts w:hint="eastAsia" w:ascii="仿宋" w:hAnsi="仿宋" w:eastAsia="仿宋" w:cs="仿宋"/>
          <w:color w:val="auto"/>
          <w:kern w:val="0"/>
          <w:sz w:val="32"/>
          <w:szCs w:val="32"/>
          <w:u w:val="none" w:color="auto"/>
          <w:lang w:val="en-US" w:eastAsia="zh-CN" w:bidi="ar"/>
        </w:rPr>
        <w:t>由物资回收单位处置</w:t>
      </w:r>
      <w:r>
        <w:rPr>
          <w:rFonts w:hint="eastAsia" w:ascii="仿宋" w:hAnsi="仿宋" w:eastAsia="仿宋" w:cs="仿宋"/>
          <w:b w:val="0"/>
          <w:bCs w:val="0"/>
          <w:color w:val="auto"/>
          <w:kern w:val="0"/>
          <w:sz w:val="32"/>
          <w:szCs w:val="32"/>
          <w:highlight w:val="none"/>
          <w:u w:val="none" w:color="auto"/>
          <w:lang w:val="en-US" w:eastAsia="zh-CN" w:bidi="ar"/>
        </w:rPr>
        <w:t>；危险废物严格按</w:t>
      </w:r>
      <w:r>
        <w:rPr>
          <w:rFonts w:hint="eastAsia" w:ascii="仿宋" w:hAnsi="仿宋" w:eastAsia="仿宋" w:cs="仿宋"/>
          <w:b w:val="0"/>
          <w:bCs w:val="0"/>
          <w:color w:val="auto"/>
          <w:kern w:val="0"/>
          <w:sz w:val="32"/>
          <w:szCs w:val="32"/>
          <w:highlight w:val="none"/>
          <w:u w:val="none" w:color="auto"/>
          <w:lang w:val="en-US" w:eastAsia="zh-CN" w:bidi="ar-SA"/>
        </w:rPr>
        <w:t>《危险废物贮存污染控制标准》（GB18597-2023）</w:t>
      </w:r>
      <w:r>
        <w:rPr>
          <w:rFonts w:hint="eastAsia" w:ascii="仿宋" w:hAnsi="仿宋" w:eastAsia="仿宋" w:cs="仿宋"/>
          <w:b w:val="0"/>
          <w:bCs w:val="0"/>
          <w:color w:val="auto"/>
          <w:kern w:val="0"/>
          <w:sz w:val="32"/>
          <w:szCs w:val="32"/>
          <w:highlight w:val="none"/>
          <w:u w:val="none" w:color="auto"/>
          <w:lang w:val="en-US" w:eastAsia="zh-CN" w:bidi="ar"/>
        </w:rPr>
        <w:t>要求暂存，委托有资质的单位处置并</w:t>
      </w:r>
      <w:r>
        <w:rPr>
          <w:rFonts w:hint="eastAsia" w:ascii="仿宋" w:hAnsi="仿宋" w:eastAsia="仿宋" w:cs="仿宋"/>
          <w:b w:val="0"/>
          <w:bCs w:val="0"/>
          <w:color w:val="auto"/>
          <w:kern w:val="0"/>
          <w:sz w:val="32"/>
          <w:szCs w:val="32"/>
          <w:highlight w:val="none"/>
          <w:u w:val="none" w:color="auto"/>
          <w:lang w:val="en-US" w:eastAsia="zh-CN" w:bidi="ar-SA"/>
        </w:rPr>
        <w:t>执行《危险废物收集贮存运输技术规范》（HJ 2025-2012）相关标准</w:t>
      </w:r>
      <w:r>
        <w:rPr>
          <w:rFonts w:hint="eastAsia" w:ascii="仿宋" w:hAnsi="仿宋" w:eastAsia="仿宋" w:cs="仿宋"/>
          <w:b w:val="0"/>
          <w:bCs w:val="0"/>
          <w:color w:val="auto"/>
          <w:kern w:val="0"/>
          <w:sz w:val="32"/>
          <w:szCs w:val="32"/>
          <w:highlight w:val="none"/>
          <w:u w:val="none" w:color="auto"/>
          <w:lang w:val="en-US" w:eastAsia="zh-CN" w:bidi="ar"/>
        </w:rPr>
        <w:t>；生活垃圾交</w:t>
      </w:r>
      <w:r>
        <w:rPr>
          <w:rFonts w:hint="eastAsia" w:ascii="仿宋" w:hAnsi="仿宋" w:eastAsia="仿宋" w:cs="仿宋"/>
          <w:b w:val="0"/>
          <w:bCs w:val="0"/>
          <w:color w:val="auto"/>
          <w:kern w:val="2"/>
          <w:sz w:val="32"/>
          <w:szCs w:val="32"/>
          <w:highlight w:val="none"/>
          <w:u w:val="none" w:color="auto"/>
          <w:lang w:val="en-US" w:eastAsia="zh-CN" w:bidi="ar"/>
        </w:rPr>
        <w:t>由环卫部门收集处理</w:t>
      </w:r>
      <w:r>
        <w:rPr>
          <w:rFonts w:hint="eastAsia" w:ascii="仿宋" w:hAnsi="仿宋" w:eastAsia="仿宋" w:cs="仿宋"/>
          <w:b w:val="0"/>
          <w:bCs w:val="0"/>
          <w:color w:val="auto"/>
          <w:kern w:val="0"/>
          <w:sz w:val="32"/>
          <w:szCs w:val="32"/>
          <w:highlight w:val="none"/>
          <w:u w:val="none" w:color="auto"/>
          <w:lang w:val="en-US" w:eastAsia="zh-CN" w:bidi="ar"/>
        </w:rPr>
        <w:t>。</w:t>
      </w:r>
    </w:p>
    <w:p w14:paraId="59A956DC">
      <w:pPr>
        <w:keepNext w:val="0"/>
        <w:keepLines w:val="0"/>
        <w:pageBreakBefore w:val="0"/>
        <w:widowControl w:val="0"/>
        <w:suppressLineNumbers w:val="0"/>
        <w:kinsoku/>
        <w:wordWrap w:val="0"/>
        <w:overflowPunct/>
        <w:topLinePunct/>
        <w:autoSpaceDE/>
        <w:autoSpaceDN/>
        <w:bidi w:val="0"/>
        <w:spacing w:before="0" w:beforeAutospacing="0" w:after="0" w:afterAutospacing="0" w:line="560" w:lineRule="exact"/>
        <w:ind w:left="0" w:right="0" w:firstLine="640"/>
        <w:jc w:val="both"/>
        <w:rPr>
          <w:rFonts w:hint="eastAsia" w:ascii="仿宋" w:hAnsi="仿宋" w:eastAsia="仿宋" w:cs="仿宋"/>
          <w:b w:val="0"/>
          <w:bCs w:val="0"/>
          <w:color w:val="auto"/>
          <w:kern w:val="2"/>
          <w:sz w:val="32"/>
          <w:szCs w:val="32"/>
          <w:highlight w:val="none"/>
          <w:u w:val="none" w:color="auto"/>
          <w:lang w:val="en-US" w:eastAsia="zh-CN" w:bidi="ar"/>
        </w:rPr>
      </w:pPr>
      <w:r>
        <w:rPr>
          <w:rFonts w:hint="eastAsia" w:ascii="仿宋" w:hAnsi="仿宋" w:eastAsia="仿宋" w:cs="仿宋"/>
          <w:b w:val="0"/>
          <w:bCs w:val="0"/>
          <w:color w:val="auto"/>
          <w:kern w:val="2"/>
          <w:sz w:val="32"/>
          <w:szCs w:val="32"/>
          <w:highlight w:val="none"/>
          <w:u w:val="none" w:color="auto"/>
          <w:lang w:val="en-US" w:eastAsia="zh-CN" w:bidi="ar"/>
        </w:rPr>
        <w:t>6、加强环境风险防范。严格落实报告书提出的各项环境风险防范措施，</w:t>
      </w:r>
      <w:r>
        <w:rPr>
          <w:rFonts w:hint="eastAsia" w:ascii="仿宋" w:hAnsi="仿宋" w:eastAsia="仿宋" w:cs="仿宋"/>
          <w:b w:val="0"/>
          <w:bCs w:val="0"/>
          <w:color w:val="auto"/>
          <w:kern w:val="0"/>
          <w:sz w:val="32"/>
          <w:szCs w:val="32"/>
          <w:highlight w:val="none"/>
          <w:u w:val="none" w:color="auto"/>
          <w:lang w:bidi="ar"/>
        </w:rPr>
        <w:t>按</w:t>
      </w:r>
      <w:r>
        <w:rPr>
          <w:rFonts w:hint="eastAsia" w:ascii="仿宋" w:hAnsi="仿宋" w:eastAsia="仿宋" w:cs="仿宋"/>
          <w:b w:val="0"/>
          <w:bCs w:val="0"/>
          <w:color w:val="auto"/>
          <w:kern w:val="0"/>
          <w:sz w:val="32"/>
          <w:szCs w:val="32"/>
          <w:highlight w:val="none"/>
          <w:u w:val="none" w:color="auto"/>
          <w:lang w:val="en-US" w:eastAsia="zh-CN" w:bidi="ar"/>
        </w:rPr>
        <w:t>相关</w:t>
      </w:r>
      <w:r>
        <w:rPr>
          <w:rFonts w:hint="eastAsia" w:ascii="仿宋" w:hAnsi="仿宋" w:eastAsia="仿宋" w:cs="仿宋"/>
          <w:b w:val="0"/>
          <w:bCs w:val="0"/>
          <w:color w:val="auto"/>
          <w:kern w:val="0"/>
          <w:sz w:val="32"/>
          <w:szCs w:val="32"/>
          <w:highlight w:val="none"/>
          <w:u w:val="none" w:color="auto"/>
          <w:lang w:bidi="ar"/>
        </w:rPr>
        <w:t>要求进行企业突发环境事件应急预案的编制和备案</w:t>
      </w:r>
      <w:r>
        <w:rPr>
          <w:rFonts w:hint="eastAsia" w:ascii="仿宋" w:hAnsi="仿宋" w:eastAsia="仿宋" w:cs="仿宋"/>
          <w:b w:val="0"/>
          <w:bCs w:val="0"/>
          <w:color w:val="auto"/>
          <w:kern w:val="2"/>
          <w:sz w:val="32"/>
          <w:szCs w:val="32"/>
          <w:highlight w:val="none"/>
          <w:u w:val="none" w:color="auto"/>
          <w:lang w:val="en-US" w:eastAsia="zh-CN" w:bidi="ar"/>
        </w:rPr>
        <w:t>。</w:t>
      </w:r>
    </w:p>
    <w:p w14:paraId="784CC07F">
      <w:pPr>
        <w:keepNext w:val="0"/>
        <w:keepLines w:val="0"/>
        <w:pageBreakBefore w:val="0"/>
        <w:widowControl w:val="0"/>
        <w:suppressLineNumbers w:val="0"/>
        <w:kinsoku/>
        <w:wordWrap w:val="0"/>
        <w:overflowPunct/>
        <w:topLinePunct/>
        <w:autoSpaceDE/>
        <w:autoSpaceDN/>
        <w:bidi w:val="0"/>
        <w:spacing w:before="0" w:beforeAutospacing="0" w:after="0" w:afterAutospacing="0" w:line="560" w:lineRule="exact"/>
        <w:ind w:left="0" w:right="0" w:firstLine="640"/>
        <w:jc w:val="both"/>
        <w:rPr>
          <w:rFonts w:hint="eastAsia" w:ascii="仿宋" w:hAnsi="仿宋" w:eastAsia="仿宋" w:cs="仿宋"/>
          <w:b w:val="0"/>
          <w:bCs w:val="0"/>
          <w:color w:val="auto"/>
          <w:sz w:val="32"/>
          <w:szCs w:val="32"/>
          <w:highlight w:val="none"/>
          <w:u w:val="none" w:color="auto"/>
          <w:lang w:val="en-US"/>
        </w:rPr>
      </w:pPr>
      <w:r>
        <w:rPr>
          <w:rFonts w:hint="eastAsia" w:ascii="仿宋" w:hAnsi="仿宋" w:eastAsia="仿宋" w:cs="仿宋"/>
          <w:b w:val="0"/>
          <w:bCs w:val="0"/>
          <w:color w:val="auto"/>
          <w:kern w:val="2"/>
          <w:sz w:val="32"/>
          <w:szCs w:val="32"/>
          <w:highlight w:val="none"/>
          <w:u w:val="none" w:color="auto"/>
          <w:lang w:val="en-US" w:eastAsia="zh-CN" w:bidi="ar"/>
        </w:rPr>
        <w:t>7、加强环境管理。设立</w:t>
      </w:r>
      <w:r>
        <w:rPr>
          <w:rFonts w:hint="eastAsia" w:ascii="仿宋" w:hAnsi="仿宋" w:eastAsia="仿宋" w:cs="仿宋"/>
          <w:b w:val="0"/>
          <w:bCs w:val="0"/>
          <w:color w:val="auto"/>
          <w:sz w:val="32"/>
          <w:szCs w:val="32"/>
          <w:highlight w:val="none"/>
          <w:u w:val="none" w:color="auto"/>
          <w:lang w:val="en-US" w:eastAsia="zh-CN"/>
        </w:rPr>
        <w:t>环境管理机构</w:t>
      </w:r>
      <w:r>
        <w:rPr>
          <w:rFonts w:hint="eastAsia" w:ascii="仿宋" w:hAnsi="仿宋" w:eastAsia="仿宋" w:cs="仿宋"/>
          <w:b w:val="0"/>
          <w:bCs w:val="0"/>
          <w:color w:val="auto"/>
          <w:kern w:val="2"/>
          <w:sz w:val="32"/>
          <w:szCs w:val="32"/>
          <w:highlight w:val="none"/>
          <w:u w:val="none" w:color="auto"/>
          <w:lang w:val="en-US" w:eastAsia="zh-CN" w:bidi="ar"/>
        </w:rPr>
        <w:t>及环保人员，建立健全污染防治设施运行管理台帐，确保各项污染防治设施的正常运行，各类污染物稳定达标排放。</w:t>
      </w:r>
    </w:p>
    <w:p w14:paraId="7110EC48">
      <w:pPr>
        <w:keepNext w:val="0"/>
        <w:keepLines w:val="0"/>
        <w:pageBreakBefore w:val="0"/>
        <w:widowControl w:val="0"/>
        <w:suppressLineNumbers w:val="0"/>
        <w:autoSpaceDE/>
        <w:autoSpaceDN/>
        <w:bidi w:val="0"/>
        <w:spacing w:before="0" w:beforeAutospacing="0" w:after="0" w:afterAutospacing="0" w:line="560" w:lineRule="exact"/>
        <w:ind w:left="0" w:right="0" w:firstLine="640" w:firstLineChars="200"/>
        <w:jc w:val="both"/>
        <w:rPr>
          <w:rFonts w:hint="eastAsia" w:ascii="仿宋" w:hAnsi="仿宋" w:eastAsia="仿宋" w:cs="仿宋"/>
          <w:b w:val="0"/>
          <w:bCs w:val="0"/>
          <w:color w:val="auto"/>
          <w:kern w:val="0"/>
          <w:sz w:val="32"/>
          <w:szCs w:val="32"/>
          <w:highlight w:val="none"/>
          <w:u w:val="none" w:color="auto"/>
          <w:lang w:val="en-US" w:eastAsia="zh-CN" w:bidi="ar-SA"/>
        </w:rPr>
      </w:pPr>
      <w:r>
        <w:rPr>
          <w:rFonts w:hint="eastAsia" w:ascii="仿宋" w:hAnsi="仿宋" w:eastAsia="仿宋" w:cs="仿宋"/>
          <w:b w:val="0"/>
          <w:bCs w:val="0"/>
          <w:color w:val="auto"/>
          <w:kern w:val="2"/>
          <w:sz w:val="32"/>
          <w:szCs w:val="32"/>
          <w:highlight w:val="none"/>
          <w:u w:val="none" w:color="auto"/>
          <w:lang w:val="en-US" w:eastAsia="zh-CN" w:bidi="ar"/>
        </w:rPr>
        <w:t>8、你公司核定的总量指标为</w:t>
      </w:r>
      <w:r>
        <w:rPr>
          <w:rFonts w:hint="eastAsia" w:ascii="仿宋" w:hAnsi="仿宋" w:eastAsia="仿宋" w:cs="仿宋"/>
          <w:b w:val="0"/>
          <w:bCs w:val="0"/>
          <w:color w:val="auto"/>
          <w:kern w:val="28"/>
          <w:sz w:val="32"/>
          <w:szCs w:val="32"/>
          <w:highlight w:val="none"/>
          <w:u w:val="none" w:color="auto"/>
          <w:lang w:val="en-US" w:eastAsia="zh-CN" w:bidi="ar-SA"/>
        </w:rPr>
        <w:t>VOCs：4.4t/a；</w:t>
      </w:r>
      <w:r>
        <w:rPr>
          <w:rFonts w:hint="eastAsia" w:ascii="仿宋" w:hAnsi="仿宋" w:eastAsia="仿宋" w:cs="仿宋"/>
          <w:color w:val="auto"/>
          <w:kern w:val="28"/>
          <w:sz w:val="32"/>
          <w:szCs w:val="32"/>
          <w:u w:val="none" w:color="auto"/>
          <w:lang w:val="en-US" w:eastAsia="zh-CN" w:bidi="ar-SA"/>
        </w:rPr>
        <w:t>COD：0.1t/a、氨氮：0.01t/a，</w:t>
      </w:r>
      <w:r>
        <w:rPr>
          <w:rFonts w:hint="eastAsia" w:ascii="仿宋" w:hAnsi="仿宋" w:eastAsia="仿宋" w:cs="仿宋"/>
          <w:b w:val="0"/>
          <w:bCs w:val="0"/>
          <w:color w:val="auto"/>
          <w:kern w:val="0"/>
          <w:sz w:val="32"/>
          <w:szCs w:val="32"/>
          <w:highlight w:val="none"/>
          <w:u w:val="none" w:color="auto"/>
          <w:lang w:val="en-US" w:eastAsia="zh-CN" w:bidi="ar"/>
        </w:rPr>
        <w:t>本项目废水仅为生活污水,无需另行单独申请污染物总量控制指标</w:t>
      </w:r>
      <w:r>
        <w:rPr>
          <w:rFonts w:hint="eastAsia" w:ascii="仿宋" w:hAnsi="仿宋" w:eastAsia="仿宋" w:cs="仿宋"/>
          <w:b w:val="0"/>
          <w:bCs w:val="0"/>
          <w:color w:val="auto"/>
          <w:kern w:val="28"/>
          <w:sz w:val="32"/>
          <w:szCs w:val="32"/>
          <w:highlight w:val="none"/>
          <w:u w:val="none" w:color="auto"/>
          <w:lang w:val="en-US" w:eastAsia="zh-CN" w:bidi="ar"/>
        </w:rPr>
        <w:t>。</w:t>
      </w:r>
    </w:p>
    <w:p w14:paraId="40470EFE">
      <w:pPr>
        <w:keepNext w:val="0"/>
        <w:keepLines w:val="0"/>
        <w:pageBreakBefore w:val="0"/>
        <w:autoSpaceDE/>
        <w:autoSpaceDN/>
        <w:bidi w:val="0"/>
        <w:adjustRightInd w:val="0"/>
        <w:spacing w:line="560" w:lineRule="exact"/>
        <w:ind w:firstLine="640" w:firstLineChars="200"/>
        <w:jc w:val="left"/>
        <w:rPr>
          <w:rFonts w:hint="eastAsia" w:ascii="仿宋" w:hAnsi="仿宋" w:eastAsia="仿宋" w:cs="仿宋"/>
          <w:b w:val="0"/>
          <w:bCs w:val="0"/>
          <w:color w:val="auto"/>
          <w:sz w:val="32"/>
          <w:szCs w:val="32"/>
          <w:u w:val="none" w:color="auto"/>
          <w:lang w:eastAsia="zh-CN"/>
        </w:rPr>
      </w:pPr>
      <w:r>
        <w:rPr>
          <w:rFonts w:hint="eastAsia" w:ascii="仿宋" w:hAnsi="仿宋" w:eastAsia="仿宋" w:cs="仿宋"/>
          <w:b w:val="0"/>
          <w:bCs w:val="0"/>
          <w:color w:val="auto"/>
          <w:kern w:val="2"/>
          <w:sz w:val="32"/>
          <w:szCs w:val="32"/>
          <w:highlight w:val="none"/>
          <w:u w:val="none" w:color="auto"/>
          <w:lang w:val="en-US" w:eastAsia="zh-CN" w:bidi="ar"/>
        </w:rPr>
        <w:t>三、你公司应在收到本批复后15个工作日内，将批复及批准的环评报告文本送至岳阳市生态环境局汨罗分局、</w:t>
      </w:r>
      <w:r>
        <w:rPr>
          <w:rFonts w:hint="eastAsia" w:ascii="仿宋" w:hAnsi="仿宋" w:eastAsia="仿宋" w:cs="仿宋"/>
          <w:b w:val="0"/>
          <w:bCs w:val="0"/>
          <w:color w:val="auto"/>
          <w:sz w:val="32"/>
          <w:szCs w:val="32"/>
          <w:u w:val="none" w:color="auto"/>
        </w:rPr>
        <w:t>湖南隆宇环保科技有限公司</w:t>
      </w:r>
      <w:r>
        <w:rPr>
          <w:rFonts w:hint="eastAsia" w:ascii="仿宋" w:hAnsi="仿宋" w:eastAsia="仿宋" w:cs="仿宋"/>
          <w:b w:val="0"/>
          <w:bCs w:val="0"/>
          <w:color w:val="auto"/>
          <w:sz w:val="32"/>
          <w:szCs w:val="32"/>
          <w:u w:val="none" w:color="auto"/>
          <w:lang w:eastAsia="zh-CN"/>
        </w:rPr>
        <w:t>。</w:t>
      </w:r>
    </w:p>
    <w:p w14:paraId="27C627F9">
      <w:pPr>
        <w:keepNext w:val="0"/>
        <w:keepLines w:val="0"/>
        <w:pageBreakBefore w:val="0"/>
        <w:widowControl w:val="0"/>
        <w:suppressLineNumbers w:val="0"/>
        <w:kinsoku/>
        <w:wordWrap w:val="0"/>
        <w:overflowPunct/>
        <w:topLinePunct/>
        <w:autoSpaceDE/>
        <w:autoSpaceDN/>
        <w:bidi w:val="0"/>
        <w:spacing w:before="0" w:beforeAutospacing="0" w:after="0" w:afterAutospacing="0" w:line="560" w:lineRule="exact"/>
        <w:ind w:left="0" w:right="0" w:firstLine="640" w:firstLineChars="200"/>
        <w:jc w:val="both"/>
        <w:rPr>
          <w:rFonts w:hint="eastAsia" w:ascii="仿宋" w:hAnsi="仿宋" w:eastAsia="仿宋" w:cs="仿宋"/>
          <w:b w:val="0"/>
          <w:bCs w:val="0"/>
          <w:color w:val="auto"/>
          <w:sz w:val="32"/>
          <w:szCs w:val="32"/>
          <w:highlight w:val="none"/>
          <w:u w:val="none" w:color="auto"/>
          <w:lang w:val="en-US"/>
        </w:rPr>
      </w:pPr>
      <w:r>
        <w:rPr>
          <w:rFonts w:hint="eastAsia" w:ascii="仿宋" w:hAnsi="仿宋" w:eastAsia="仿宋" w:cs="仿宋"/>
          <w:b w:val="0"/>
          <w:bCs w:val="0"/>
          <w:color w:val="auto"/>
          <w:kern w:val="2"/>
          <w:sz w:val="32"/>
          <w:szCs w:val="32"/>
          <w:highlight w:val="none"/>
          <w:u w:val="none" w:color="auto"/>
          <w:lang w:val="en-US" w:eastAsia="zh-CN" w:bidi="ar"/>
        </w:rPr>
        <w:t>四、请岳阳市生态环境局汨罗分局负责项目建设期和运营期的日常环境监管。</w:t>
      </w:r>
    </w:p>
    <w:p w14:paraId="63E865EB">
      <w:pPr>
        <w:keepNext w:val="0"/>
        <w:keepLines w:val="0"/>
        <w:pageBreakBefore w:val="0"/>
        <w:widowControl/>
        <w:suppressLineNumbers w:val="0"/>
        <w:kinsoku w:val="0"/>
        <w:wordWrap w:val="0"/>
        <w:overflowPunct w:val="0"/>
        <w:topLinePunct w:val="0"/>
        <w:autoSpaceDE/>
        <w:autoSpaceDN/>
        <w:bidi w:val="0"/>
        <w:snapToGrid w:val="0"/>
        <w:spacing w:before="0" w:beforeAutospacing="0" w:after="0" w:afterAutospacing="0" w:line="560" w:lineRule="exact"/>
        <w:ind w:left="1" w:right="0" w:firstLine="5440" w:firstLineChars="1700"/>
        <w:jc w:val="both"/>
        <w:rPr>
          <w:rFonts w:hint="eastAsia" w:ascii="仿宋" w:hAnsi="仿宋" w:eastAsia="仿宋" w:cs="仿宋"/>
          <w:b w:val="0"/>
          <w:bCs w:val="0"/>
          <w:color w:val="auto"/>
          <w:kern w:val="2"/>
          <w:sz w:val="32"/>
          <w:szCs w:val="32"/>
          <w:highlight w:val="none"/>
          <w:u w:val="none" w:color="auto"/>
          <w:lang w:val="en-US" w:eastAsia="zh-CN" w:bidi="ar"/>
        </w:rPr>
      </w:pPr>
    </w:p>
    <w:p w14:paraId="6B9676D6">
      <w:pPr>
        <w:keepNext w:val="0"/>
        <w:keepLines w:val="0"/>
        <w:pageBreakBefore w:val="0"/>
        <w:widowControl/>
        <w:suppressLineNumbers w:val="0"/>
        <w:kinsoku w:val="0"/>
        <w:wordWrap w:val="0"/>
        <w:overflowPunct w:val="0"/>
        <w:topLinePunct w:val="0"/>
        <w:autoSpaceDE/>
        <w:autoSpaceDN/>
        <w:bidi w:val="0"/>
        <w:snapToGrid w:val="0"/>
        <w:spacing w:before="0" w:beforeAutospacing="0" w:after="0" w:afterAutospacing="0" w:line="560" w:lineRule="exact"/>
        <w:ind w:left="1" w:right="0" w:firstLine="5440" w:firstLineChars="1700"/>
        <w:jc w:val="both"/>
        <w:rPr>
          <w:rFonts w:hint="eastAsia" w:ascii="仿宋" w:hAnsi="仿宋" w:eastAsia="仿宋" w:cs="仿宋"/>
          <w:b w:val="0"/>
          <w:bCs w:val="0"/>
          <w:color w:val="auto"/>
          <w:kern w:val="2"/>
          <w:sz w:val="32"/>
          <w:szCs w:val="32"/>
          <w:highlight w:val="none"/>
          <w:u w:val="none" w:color="auto"/>
          <w:lang w:val="en-US" w:eastAsia="zh-CN" w:bidi="ar"/>
        </w:rPr>
      </w:pPr>
    </w:p>
    <w:p w14:paraId="5DE12D48">
      <w:pPr>
        <w:keepNext w:val="0"/>
        <w:keepLines w:val="0"/>
        <w:pageBreakBefore w:val="0"/>
        <w:widowControl/>
        <w:suppressLineNumbers w:val="0"/>
        <w:kinsoku w:val="0"/>
        <w:wordWrap w:val="0"/>
        <w:overflowPunct w:val="0"/>
        <w:topLinePunct w:val="0"/>
        <w:autoSpaceDE/>
        <w:autoSpaceDN/>
        <w:bidi w:val="0"/>
        <w:snapToGrid w:val="0"/>
        <w:spacing w:before="0" w:beforeAutospacing="0" w:after="0" w:afterAutospacing="0" w:line="560" w:lineRule="exact"/>
        <w:ind w:left="1" w:right="0" w:firstLine="5440" w:firstLineChars="1700"/>
        <w:jc w:val="both"/>
        <w:rPr>
          <w:rFonts w:hint="eastAsia" w:ascii="仿宋" w:hAnsi="仿宋" w:eastAsia="仿宋" w:cs="仿宋"/>
          <w:b w:val="0"/>
          <w:bCs w:val="0"/>
          <w:color w:val="auto"/>
          <w:kern w:val="2"/>
          <w:sz w:val="32"/>
          <w:szCs w:val="32"/>
          <w:highlight w:val="none"/>
          <w:u w:val="none" w:color="auto"/>
          <w:lang w:val="en-US" w:eastAsia="zh-CN" w:bidi="ar"/>
        </w:rPr>
      </w:pPr>
      <w:r>
        <w:rPr>
          <w:rFonts w:hint="eastAsia" w:ascii="仿宋" w:hAnsi="仿宋" w:eastAsia="仿宋" w:cs="仿宋"/>
          <w:b w:val="0"/>
          <w:bCs w:val="0"/>
          <w:color w:val="auto"/>
          <w:kern w:val="2"/>
          <w:sz w:val="32"/>
          <w:szCs w:val="32"/>
          <w:highlight w:val="none"/>
          <w:u w:val="none" w:color="auto"/>
          <w:lang w:val="en-US" w:eastAsia="zh-CN" w:bidi="ar"/>
        </w:rPr>
        <w:t>岳阳市生态环境局</w:t>
      </w:r>
    </w:p>
    <w:p w14:paraId="37CAAA50">
      <w:pPr>
        <w:keepNext w:val="0"/>
        <w:keepLines w:val="0"/>
        <w:pageBreakBefore w:val="0"/>
        <w:widowControl w:val="0"/>
        <w:suppressLineNumbers w:val="0"/>
        <w:kinsoku w:val="0"/>
        <w:wordWrap w:val="0"/>
        <w:overflowPunct w:val="0"/>
        <w:topLinePunct w:val="0"/>
        <w:autoSpaceDE/>
        <w:autoSpaceDN/>
        <w:bidi w:val="0"/>
        <w:spacing w:before="0" w:beforeAutospacing="0" w:after="0" w:afterAutospacing="0" w:line="560" w:lineRule="exact"/>
        <w:ind w:left="0" w:right="0"/>
        <w:jc w:val="both"/>
        <w:rPr>
          <w:rFonts w:hint="eastAsia" w:ascii="仿宋" w:hAnsi="仿宋" w:eastAsia="仿宋" w:cs="仿宋"/>
          <w:b w:val="0"/>
          <w:bCs w:val="0"/>
          <w:color w:val="auto"/>
          <w:sz w:val="32"/>
          <w:szCs w:val="32"/>
          <w:highlight w:val="none"/>
          <w:u w:val="none" w:color="auto"/>
          <w:lang w:val="en-US"/>
        </w:rPr>
      </w:pPr>
      <w:r>
        <w:rPr>
          <w:rFonts w:hint="eastAsia" w:ascii="仿宋" w:hAnsi="仿宋" w:eastAsia="仿宋" w:cs="仿宋"/>
          <w:b w:val="0"/>
          <w:bCs w:val="0"/>
          <w:color w:val="auto"/>
          <w:kern w:val="2"/>
          <w:sz w:val="32"/>
          <w:szCs w:val="32"/>
          <w:highlight w:val="none"/>
          <w:u w:val="none" w:color="auto"/>
          <w:lang w:val="en-US" w:eastAsia="zh-CN" w:bidi="ar"/>
        </w:rPr>
        <w:t xml:space="preserve">                                  2024年8月5日</w:t>
      </w:r>
    </w:p>
    <w:p w14:paraId="19991E55">
      <w:pPr>
        <w:keepNext w:val="0"/>
        <w:keepLines w:val="0"/>
        <w:pageBreakBefore w:val="0"/>
        <w:widowControl w:val="0"/>
        <w:suppressLineNumbers w:val="0"/>
        <w:kinsoku w:val="0"/>
        <w:wordWrap w:val="0"/>
        <w:overflowPunct w:val="0"/>
        <w:topLinePunct w:val="0"/>
        <w:autoSpaceDE/>
        <w:autoSpaceDN/>
        <w:bidi w:val="0"/>
        <w:spacing w:before="0" w:beforeAutospacing="0" w:after="0" w:afterAutospacing="0" w:line="240" w:lineRule="auto"/>
        <w:ind w:left="0" w:right="0"/>
        <w:jc w:val="both"/>
        <w:rPr>
          <w:rFonts w:hint="eastAsia" w:ascii="仿宋" w:hAnsi="仿宋" w:eastAsia="仿宋" w:cs="仿宋"/>
          <w:b w:val="0"/>
          <w:bCs w:val="0"/>
          <w:color w:val="auto"/>
          <w:sz w:val="32"/>
          <w:szCs w:val="32"/>
          <w:highlight w:val="none"/>
          <w:u w:val="none" w:color="auto"/>
          <w:lang w:val="en-US"/>
        </w:rPr>
      </w:pPr>
    </w:p>
    <w:p w14:paraId="405806E5">
      <w:pPr>
        <w:keepNext w:val="0"/>
        <w:keepLines w:val="0"/>
        <w:pageBreakBefore w:val="0"/>
        <w:kinsoku w:val="0"/>
        <w:wordWrap w:val="0"/>
        <w:overflowPunct w:val="0"/>
        <w:topLinePunct w:val="0"/>
        <w:autoSpaceDE/>
        <w:autoSpaceDN/>
        <w:bidi w:val="0"/>
        <w:spacing w:line="240" w:lineRule="auto"/>
        <w:rPr>
          <w:rFonts w:hint="eastAsia" w:ascii="仿宋" w:hAnsi="仿宋" w:eastAsia="仿宋" w:cs="仿宋"/>
          <w:b w:val="0"/>
          <w:bCs w:val="0"/>
          <w:color w:val="auto"/>
          <w:sz w:val="32"/>
          <w:szCs w:val="32"/>
          <w:highlight w:val="none"/>
          <w:u w:val="none" w:color="auto"/>
        </w:rPr>
      </w:pPr>
    </w:p>
    <w:p w14:paraId="29D72E58">
      <w:pPr>
        <w:rPr>
          <w:rFonts w:hint="eastAsia" w:ascii="仿宋" w:hAnsi="仿宋" w:eastAsia="仿宋" w:cs="仿宋"/>
          <w:color w:val="000000"/>
          <w:szCs w:val="22"/>
          <w:lang w:val="en-US" w:eastAsia="zh-CN"/>
        </w:rPr>
      </w:pPr>
    </w:p>
    <w:p w14:paraId="60DE6F84">
      <w:pPr>
        <w:keepNext w:val="0"/>
        <w:keepLines w:val="0"/>
        <w:pageBreakBefore w:val="0"/>
        <w:kinsoku w:val="0"/>
        <w:wordWrap w:val="0"/>
        <w:overflowPunct w:val="0"/>
        <w:topLinePunct w:val="0"/>
        <w:autoSpaceDE/>
        <w:autoSpaceDN/>
        <w:bidi w:val="0"/>
        <w:spacing w:line="240" w:lineRule="auto"/>
        <w:rPr>
          <w:rFonts w:hint="eastAsia" w:ascii="仿宋" w:hAnsi="仿宋" w:eastAsia="仿宋" w:cs="仿宋"/>
          <w:b w:val="0"/>
          <w:bCs w:val="0"/>
          <w:color w:val="auto"/>
          <w:sz w:val="32"/>
          <w:szCs w:val="32"/>
          <w:highlight w:val="none"/>
          <w:u w:val="none" w:color="auto"/>
        </w:rPr>
      </w:pPr>
    </w:p>
    <w:sectPr>
      <w:footerReference r:id="rId3" w:type="default"/>
      <w:pgSz w:w="11906" w:h="16838"/>
      <w:pgMar w:top="1304" w:right="1474" w:bottom="1247" w:left="1531"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039D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ABD98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BABD985">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21"/>
      <w:lvlText w:val="%3."/>
      <w:lvlJc w:val="right"/>
      <w:pPr>
        <w:tabs>
          <w:tab w:val="left" w:pos="1260"/>
        </w:tabs>
        <w:ind w:left="1260" w:hanging="420"/>
      </w:pPr>
    </w:lvl>
    <w:lvl w:ilvl="3" w:tentative="0">
      <w:start w:val="1"/>
      <w:numFmt w:val="decimal"/>
      <w:pStyle w:val="20"/>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1AFA61C"/>
    <w:multiLevelType w:val="singleLevel"/>
    <w:tmpl w:val="11AFA61C"/>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kMjg1ODhjOWQ3OWY3OTI4MjNmY2I5ODNhZmUzNWYifQ=="/>
  </w:docVars>
  <w:rsids>
    <w:rsidRoot w:val="00000000"/>
    <w:rsid w:val="005039AE"/>
    <w:rsid w:val="00D57384"/>
    <w:rsid w:val="055A7363"/>
    <w:rsid w:val="0B3B6F20"/>
    <w:rsid w:val="0C501361"/>
    <w:rsid w:val="0DBC505E"/>
    <w:rsid w:val="0FC93A62"/>
    <w:rsid w:val="11F33019"/>
    <w:rsid w:val="13955CCA"/>
    <w:rsid w:val="13F86FA6"/>
    <w:rsid w:val="15AA656E"/>
    <w:rsid w:val="18B27F3E"/>
    <w:rsid w:val="196860AE"/>
    <w:rsid w:val="19A26186"/>
    <w:rsid w:val="1A781F9E"/>
    <w:rsid w:val="1BD3043A"/>
    <w:rsid w:val="1CAC73BA"/>
    <w:rsid w:val="1E22173B"/>
    <w:rsid w:val="21336C34"/>
    <w:rsid w:val="23244DE0"/>
    <w:rsid w:val="23433DD6"/>
    <w:rsid w:val="26117AE7"/>
    <w:rsid w:val="26673750"/>
    <w:rsid w:val="28052EE7"/>
    <w:rsid w:val="2AD65872"/>
    <w:rsid w:val="2B6568DD"/>
    <w:rsid w:val="2BB13721"/>
    <w:rsid w:val="2BF15EE5"/>
    <w:rsid w:val="2C8C6E57"/>
    <w:rsid w:val="2F99513F"/>
    <w:rsid w:val="309A0123"/>
    <w:rsid w:val="31DC3098"/>
    <w:rsid w:val="32DC32D2"/>
    <w:rsid w:val="33442319"/>
    <w:rsid w:val="38F54FC3"/>
    <w:rsid w:val="3C081F9C"/>
    <w:rsid w:val="3FAA239C"/>
    <w:rsid w:val="404A1044"/>
    <w:rsid w:val="4081341A"/>
    <w:rsid w:val="41587A00"/>
    <w:rsid w:val="41C017A9"/>
    <w:rsid w:val="43C61FF0"/>
    <w:rsid w:val="43FE7BD7"/>
    <w:rsid w:val="44D254FC"/>
    <w:rsid w:val="457051B2"/>
    <w:rsid w:val="48DD1BB7"/>
    <w:rsid w:val="4DF5403B"/>
    <w:rsid w:val="4E0B4C6B"/>
    <w:rsid w:val="51552F41"/>
    <w:rsid w:val="52E53585"/>
    <w:rsid w:val="53C91D1E"/>
    <w:rsid w:val="53F11286"/>
    <w:rsid w:val="545C1D7C"/>
    <w:rsid w:val="54667296"/>
    <w:rsid w:val="552F2087"/>
    <w:rsid w:val="5795270C"/>
    <w:rsid w:val="57A677AB"/>
    <w:rsid w:val="57C76782"/>
    <w:rsid w:val="5966335F"/>
    <w:rsid w:val="5CDD29D0"/>
    <w:rsid w:val="5E880BAF"/>
    <w:rsid w:val="62C9668B"/>
    <w:rsid w:val="662875A1"/>
    <w:rsid w:val="679B2FA7"/>
    <w:rsid w:val="67C11603"/>
    <w:rsid w:val="67CC23BC"/>
    <w:rsid w:val="68BF5CF0"/>
    <w:rsid w:val="68D92CCD"/>
    <w:rsid w:val="698971FC"/>
    <w:rsid w:val="6A2B7DCF"/>
    <w:rsid w:val="6BE61923"/>
    <w:rsid w:val="6C4E3A18"/>
    <w:rsid w:val="71E14565"/>
    <w:rsid w:val="740D36D3"/>
    <w:rsid w:val="78302B99"/>
    <w:rsid w:val="79D85059"/>
    <w:rsid w:val="79FA08A9"/>
    <w:rsid w:val="7AEA2B3E"/>
    <w:rsid w:val="7C51473F"/>
    <w:rsid w:val="7E9B4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able of authorities"/>
    <w:next w:val="1"/>
    <w:qFormat/>
    <w:uiPriority w:val="0"/>
    <w:pPr>
      <w:widowControl w:val="0"/>
      <w:spacing w:line="360" w:lineRule="auto"/>
      <w:ind w:left="420" w:leftChars="200" w:firstLine="720" w:firstLineChars="200"/>
      <w:jc w:val="both"/>
    </w:pPr>
    <w:rPr>
      <w:rFonts w:ascii="Times New Roman" w:hAnsi="Times New Roman" w:eastAsia="宋体" w:cs="Times New Roman"/>
      <w:kern w:val="2"/>
      <w:sz w:val="21"/>
      <w:szCs w:val="21"/>
      <w:lang w:val="en-US" w:eastAsia="zh-CN" w:bidi="ar-SA"/>
    </w:rPr>
  </w:style>
  <w:style w:type="paragraph" w:styleId="3">
    <w:name w:val="Body Text"/>
    <w:basedOn w:val="1"/>
    <w:next w:val="4"/>
    <w:link w:val="14"/>
    <w:qFormat/>
    <w:uiPriority w:val="0"/>
    <w:pPr>
      <w:spacing w:after="120" w:afterLines="0" w:afterAutospacing="0"/>
    </w:pPr>
  </w:style>
  <w:style w:type="paragraph" w:customStyle="1" w:styleId="4">
    <w:name w:val="xl27"/>
    <w:next w:val="5"/>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360" w:lineRule="auto"/>
      <w:ind w:left="420" w:leftChars="200" w:firstLine="720" w:firstLineChars="200"/>
      <w:jc w:val="center"/>
    </w:pPr>
    <w:rPr>
      <w:rFonts w:ascii="新宋体-18030" w:hAnsi="新宋体-18030" w:eastAsia="新宋体-18030" w:cs="新宋体-18030"/>
      <w:kern w:val="0"/>
      <w:sz w:val="21"/>
      <w:szCs w:val="21"/>
      <w:lang w:val="en-US" w:eastAsia="zh-CN" w:bidi="ar-SA"/>
    </w:rPr>
  </w:style>
  <w:style w:type="paragraph" w:styleId="5">
    <w:name w:val="Body Text Indent 2"/>
    <w:next w:val="1"/>
    <w:qFormat/>
    <w:uiPriority w:val="0"/>
    <w:pPr>
      <w:widowControl w:val="0"/>
      <w:spacing w:after="120" w:line="480" w:lineRule="auto"/>
      <w:ind w:left="420" w:leftChars="200" w:firstLine="0" w:firstLineChars="0"/>
      <w:jc w:val="both"/>
    </w:pPr>
    <w:rPr>
      <w:rFonts w:ascii="Times New Roman" w:hAnsi="Times New Roman" w:eastAsia="宋体" w:cs="Times New Roman"/>
      <w:kern w:val="2"/>
      <w:sz w:val="21"/>
      <w:szCs w:val="21"/>
      <w:lang w:val="en-US" w:eastAsia="zh-CN" w:bidi="ar-SA"/>
    </w:rPr>
  </w:style>
  <w:style w:type="paragraph" w:styleId="6">
    <w:name w:val="footer"/>
    <w:basedOn w:val="1"/>
    <w:link w:val="15"/>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keepNext w:val="0"/>
      <w:keepLines w:val="0"/>
      <w:widowControl w:val="0"/>
      <w:suppressLineNumbers w:val="0"/>
      <w:spacing w:before="120" w:beforeAutospacing="0" w:after="120" w:afterAutospacing="0"/>
      <w:ind w:left="0" w:right="0"/>
      <w:jc w:val="left"/>
    </w:pPr>
    <w:rPr>
      <w:rFonts w:hint="default" w:ascii="Calibri" w:hAnsi="Calibri" w:eastAsia="宋体" w:cs="Times New Roman"/>
      <w:b/>
      <w:bCs/>
      <w:caps/>
      <w:kern w:val="2"/>
      <w:sz w:val="20"/>
      <w:szCs w:val="20"/>
      <w:lang w:val="en-US" w:eastAsia="zh-CN" w:bidi="ar"/>
    </w:rPr>
  </w:style>
  <w:style w:type="paragraph" w:customStyle="1" w:styleId="11">
    <w:name w:val="四级条标题"/>
    <w:next w:val="12"/>
    <w:qFormat/>
    <w:uiPriority w:val="0"/>
    <w:pPr>
      <w:widowControl/>
      <w:numPr>
        <w:ilvl w:val="3"/>
        <w:numId w:val="0"/>
      </w:numPr>
      <w:tabs>
        <w:tab w:val="left" w:pos="1260"/>
        <w:tab w:val="left" w:pos="1680"/>
      </w:tabs>
      <w:spacing w:before="0" w:beforeLines="0" w:after="0" w:afterLines="0"/>
      <w:jc w:val="both"/>
      <w:outlineLvl w:val="5"/>
    </w:pPr>
    <w:rPr>
      <w:rFonts w:ascii="黑体" w:hAnsi="Times New Roman" w:eastAsia="黑体" w:cs="Times New Roman"/>
      <w:kern w:val="0"/>
      <w:sz w:val="21"/>
      <w:szCs w:val="20"/>
      <w:lang w:val="en-US" w:eastAsia="zh-CN" w:bidi="ar-SA"/>
    </w:rPr>
  </w:style>
  <w:style w:type="paragraph" w:customStyle="1" w:styleId="12">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13">
    <w:name w:val="0"/>
    <w:basedOn w:val="1"/>
    <w:qFormat/>
    <w:uiPriority w:val="0"/>
    <w:pPr>
      <w:keepNext w:val="0"/>
      <w:keepLines w:val="0"/>
      <w:widowControl/>
      <w:suppressLineNumbers w:val="0"/>
      <w:snapToGrid w:val="0"/>
      <w:spacing w:before="0" w:beforeAutospacing="0" w:after="0" w:afterAutospacing="0" w:line="365" w:lineRule="atLeast"/>
      <w:ind w:left="1" w:right="0"/>
      <w:jc w:val="both"/>
    </w:pPr>
    <w:rPr>
      <w:rFonts w:hint="default" w:ascii="Times New Roman" w:hAnsi="Times New Roman" w:eastAsia="宋体" w:cs="Times New Roman"/>
      <w:kern w:val="0"/>
      <w:sz w:val="20"/>
      <w:szCs w:val="20"/>
      <w:lang w:val="en-US" w:eastAsia="zh-CN" w:bidi="ar"/>
    </w:rPr>
  </w:style>
  <w:style w:type="character" w:customStyle="1" w:styleId="14">
    <w:name w:val="正文文本 字符"/>
    <w:basedOn w:val="10"/>
    <w:link w:val="3"/>
    <w:qFormat/>
    <w:uiPriority w:val="0"/>
    <w:rPr>
      <w:kern w:val="2"/>
      <w:sz w:val="21"/>
    </w:rPr>
  </w:style>
  <w:style w:type="character" w:customStyle="1" w:styleId="15">
    <w:name w:val="页脚 字符"/>
    <w:basedOn w:val="10"/>
    <w:link w:val="6"/>
    <w:qFormat/>
    <w:uiPriority w:val="0"/>
    <w:rPr>
      <w:kern w:val="2"/>
      <w:sz w:val="18"/>
    </w:rPr>
  </w:style>
  <w:style w:type="paragraph" w:customStyle="1" w:styleId="16">
    <w:name w:val="p0"/>
    <w:basedOn w:val="1"/>
    <w:qFormat/>
    <w:uiPriority w:val="0"/>
    <w:pPr>
      <w:keepNext w:val="0"/>
      <w:keepLines w:val="0"/>
      <w:widowControl/>
      <w:suppressLineNumbers w:val="0"/>
      <w:spacing w:before="0" w:beforeAutospacing="0" w:after="0" w:afterAutospacing="0"/>
      <w:ind w:left="0" w:right="0"/>
      <w:jc w:val="both"/>
    </w:pPr>
    <w:rPr>
      <w:rFonts w:hint="default" w:ascii="Calibri" w:hAnsi="Calibri" w:eastAsia="宋体" w:cs="Calibri"/>
      <w:kern w:val="0"/>
      <w:sz w:val="21"/>
      <w:szCs w:val="21"/>
      <w:lang w:val="en-US" w:eastAsia="zh-CN" w:bidi="ar"/>
    </w:rPr>
  </w:style>
  <w:style w:type="paragraph" w:customStyle="1" w:styleId="17">
    <w:name w:val="正文1"/>
    <w:basedOn w:val="1"/>
    <w:next w:val="1"/>
    <w:qFormat/>
    <w:uiPriority w:val="0"/>
    <w:pPr>
      <w:keepNext w:val="0"/>
      <w:keepLines w:val="0"/>
      <w:widowControl w:val="0"/>
      <w:suppressLineNumbers w:val="0"/>
      <w:spacing w:before="0" w:beforeAutospacing="0" w:after="0" w:afterAutospacing="0" w:line="360" w:lineRule="auto"/>
      <w:ind w:left="0" w:right="0" w:firstLine="723" w:firstLineChars="200"/>
      <w:jc w:val="both"/>
    </w:pPr>
    <w:rPr>
      <w:rFonts w:hint="default" w:ascii="Calibri" w:hAnsi="Calibri" w:eastAsia="宋体" w:cs="Times New Roman"/>
      <w:kern w:val="0"/>
      <w:sz w:val="24"/>
      <w:szCs w:val="20"/>
      <w:lang w:val="en-US" w:eastAsia="zh-CN" w:bidi="ar"/>
    </w:rPr>
  </w:style>
  <w:style w:type="paragraph" w:customStyle="1" w:styleId="18">
    <w:name w:val="hj-正文"/>
    <w:basedOn w:val="1"/>
    <w:qFormat/>
    <w:uiPriority w:val="0"/>
    <w:pPr>
      <w:keepNext w:val="0"/>
      <w:keepLines w:val="0"/>
      <w:widowControl w:val="0"/>
      <w:suppressLineNumbers w:val="0"/>
      <w:spacing w:before="0" w:beforeAutospacing="0" w:after="0" w:afterAutospacing="0" w:line="360" w:lineRule="auto"/>
      <w:ind w:left="0" w:right="0" w:firstLine="480" w:firstLineChars="200"/>
      <w:jc w:val="both"/>
    </w:pPr>
    <w:rPr>
      <w:rFonts w:hint="default" w:ascii="Times New Roman" w:hAnsi="Times New Roman" w:eastAsia="宋体" w:cs="Times New Roman"/>
      <w:kern w:val="0"/>
      <w:sz w:val="24"/>
      <w:szCs w:val="20"/>
      <w:lang w:val="en-US" w:eastAsia="zh-CN" w:bidi="ar"/>
    </w:rPr>
  </w:style>
  <w:style w:type="paragraph" w:customStyle="1" w:styleId="19">
    <w:name w:val="三级条标题"/>
    <w:next w:val="12"/>
    <w:qFormat/>
    <w:uiPriority w:val="0"/>
    <w:pPr>
      <w:numPr>
        <w:ilvl w:val="3"/>
        <w:numId w:val="0"/>
      </w:numPr>
      <w:tabs>
        <w:tab w:val="left" w:pos="1260"/>
        <w:tab w:val="left" w:pos="1680"/>
      </w:tabs>
      <w:spacing w:before="0" w:beforeLines="0" w:after="0" w:afterLines="0"/>
      <w:jc w:val="both"/>
      <w:outlineLvl w:val="4"/>
    </w:pPr>
    <w:rPr>
      <w:rFonts w:ascii="黑体" w:hAnsi="Times New Roman" w:eastAsia="黑体" w:cs="Times New Roman"/>
      <w:sz w:val="21"/>
      <w:szCs w:val="22"/>
      <w:lang w:val="en-US" w:eastAsia="zh-CN" w:bidi="ar-SA"/>
    </w:rPr>
  </w:style>
  <w:style w:type="paragraph" w:customStyle="1" w:styleId="20">
    <w:name w:val="二级条标题"/>
    <w:next w:val="12"/>
    <w:qFormat/>
    <w:uiPriority w:val="0"/>
    <w:pPr>
      <w:numPr>
        <w:ilvl w:val="3"/>
        <w:numId w:val="1"/>
      </w:numPr>
      <w:tabs>
        <w:tab w:val="left" w:pos="1260"/>
      </w:tabs>
      <w:spacing w:before="0" w:beforeLines="0" w:after="0" w:afterLines="0"/>
      <w:jc w:val="both"/>
      <w:outlineLvl w:val="3"/>
    </w:pPr>
    <w:rPr>
      <w:rFonts w:ascii="黑体" w:hAnsi="Times New Roman" w:eastAsia="黑体" w:cs="Times New Roman"/>
      <w:sz w:val="21"/>
      <w:szCs w:val="22"/>
      <w:lang w:val="en-US" w:eastAsia="zh-CN" w:bidi="ar-SA"/>
    </w:rPr>
  </w:style>
  <w:style w:type="paragraph" w:customStyle="1" w:styleId="21">
    <w:name w:val="一级条标题"/>
    <w:next w:val="12"/>
    <w:qFormat/>
    <w:uiPriority w:val="0"/>
    <w:pPr>
      <w:numPr>
        <w:ilvl w:val="2"/>
        <w:numId w:val="1"/>
      </w:numPr>
      <w:spacing w:before="0" w:beforeLines="0" w:after="0" w:afterLines="0"/>
      <w:jc w:val="both"/>
      <w:outlineLvl w:val="2"/>
    </w:pPr>
    <w:rPr>
      <w:rFonts w:ascii="黑体" w:hAnsi="Times New Roman" w:eastAsia="黑体" w:cs="Times New Roman"/>
      <w:sz w:val="21"/>
      <w:szCs w:val="22"/>
      <w:lang w:val="en-US" w:eastAsia="zh-CN" w:bidi="ar-SA"/>
    </w:rPr>
  </w:style>
  <w:style w:type="paragraph" w:customStyle="1" w:styleId="22">
    <w:name w:val="章标题"/>
    <w:next w:val="12"/>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2026</Words>
  <Characters>2244</Characters>
  <Lines>0</Lines>
  <Paragraphs>0</Paragraphs>
  <TotalTime>97</TotalTime>
  <ScaleCrop>false</ScaleCrop>
  <LinksUpToDate>false</LinksUpToDate>
  <CharactersWithSpaces>2339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2023-03-02T09:22:00Z</dcterms:created>
  <dc:creator>LENOVO</dc:creator>
  <cp:lastModifiedBy>尹丰平</cp:lastModifiedBy>
  <cp:lastPrinted>2024-06-14T06:45:00Z</cp:lastPrinted>
  <dcterms:modified xsi:type="dcterms:W3CDTF">2024-08-02T10:05:43Z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4ABBD3CD0CEC4D88BC787EF92EB25DA0_13</vt:lpwstr>
  </property>
</Properties>
</file>