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9082A">
      <w:pPr>
        <w:keepNext w:val="0"/>
        <w:keepLines w:val="0"/>
        <w:pageBreakBefore w:val="0"/>
        <w:widowControl/>
        <w:suppressLineNumbers w:val="0"/>
        <w:kinsoku w:val="0"/>
        <w:wordWrap w:val="0"/>
        <w:overflowPunct w:val="0"/>
        <w:topLinePunct w:val="0"/>
        <w:autoSpaceDE/>
        <w:autoSpaceDN/>
        <w:bidi w:val="0"/>
        <w:spacing w:before="312" w:beforeLines="100" w:beforeAutospacing="0" w:after="0" w:afterAutospacing="0" w:line="500" w:lineRule="exact"/>
        <w:ind w:left="0" w:right="0"/>
        <w:jc w:val="right"/>
        <w:textAlignment w:val="auto"/>
        <w:rPr>
          <w:rFonts w:hint="eastAsia" w:ascii="仿宋" w:hAnsi="仿宋" w:eastAsia="仿宋" w:cs="仿宋"/>
          <w:b w:val="0"/>
          <w:bCs w:val="0"/>
          <w:color w:val="auto"/>
          <w:spacing w:val="-20"/>
          <w:kern w:val="0"/>
          <w:sz w:val="32"/>
          <w:szCs w:val="32"/>
          <w:highlight w:val="none"/>
          <w:u w:val="none" w:color="auto"/>
          <w:lang w:val="en-US" w:eastAsia="zh-CN" w:bidi="ar"/>
        </w:rPr>
      </w:pPr>
    </w:p>
    <w:p w14:paraId="4D5EC642">
      <w:pPr>
        <w:keepNext w:val="0"/>
        <w:keepLines w:val="0"/>
        <w:pageBreakBefore w:val="0"/>
        <w:widowControl/>
        <w:suppressLineNumbers w:val="0"/>
        <w:kinsoku w:val="0"/>
        <w:wordWrap w:val="0"/>
        <w:overflowPunct w:val="0"/>
        <w:topLinePunct w:val="0"/>
        <w:autoSpaceDE/>
        <w:autoSpaceDN/>
        <w:bidi w:val="0"/>
        <w:spacing w:before="312" w:beforeLines="100" w:beforeAutospacing="0" w:after="0" w:afterAutospacing="0" w:line="500" w:lineRule="exact"/>
        <w:ind w:left="0" w:right="0"/>
        <w:jc w:val="right"/>
        <w:textAlignment w:val="auto"/>
        <w:rPr>
          <w:rFonts w:hint="eastAsia" w:ascii="仿宋" w:hAnsi="仿宋" w:eastAsia="仿宋" w:cs="仿宋"/>
          <w:b w:val="0"/>
          <w:bCs w:val="0"/>
          <w:color w:val="auto"/>
          <w:spacing w:val="-20"/>
          <w:kern w:val="0"/>
          <w:sz w:val="32"/>
          <w:szCs w:val="32"/>
          <w:highlight w:val="none"/>
          <w:u w:val="none" w:color="auto"/>
          <w:lang w:val="en-US" w:eastAsia="zh-CN" w:bidi="ar"/>
        </w:rPr>
      </w:pPr>
    </w:p>
    <w:p w14:paraId="13902863">
      <w:pPr>
        <w:keepNext w:val="0"/>
        <w:keepLines w:val="0"/>
        <w:pageBreakBefore w:val="0"/>
        <w:widowControl/>
        <w:suppressLineNumbers w:val="0"/>
        <w:kinsoku w:val="0"/>
        <w:wordWrap w:val="0"/>
        <w:overflowPunct w:val="0"/>
        <w:topLinePunct w:val="0"/>
        <w:autoSpaceDE/>
        <w:autoSpaceDN/>
        <w:bidi w:val="0"/>
        <w:spacing w:before="312" w:beforeLines="100" w:beforeAutospacing="0" w:after="0" w:afterAutospacing="0" w:line="500" w:lineRule="exact"/>
        <w:ind w:left="0" w:right="0"/>
        <w:jc w:val="right"/>
        <w:textAlignment w:val="auto"/>
        <w:rPr>
          <w:rFonts w:hint="eastAsia" w:ascii="仿宋" w:hAnsi="仿宋" w:eastAsia="仿宋" w:cs="仿宋"/>
          <w:b w:val="0"/>
          <w:bCs w:val="0"/>
          <w:color w:val="auto"/>
          <w:spacing w:val="-20"/>
          <w:kern w:val="0"/>
          <w:sz w:val="32"/>
          <w:szCs w:val="32"/>
          <w:highlight w:val="none"/>
          <w:u w:val="none" w:color="auto"/>
          <w:lang w:val="en-US" w:eastAsia="zh-CN" w:bidi="ar"/>
        </w:rPr>
      </w:pPr>
    </w:p>
    <w:p w14:paraId="0540DC43">
      <w:pPr>
        <w:keepNext w:val="0"/>
        <w:keepLines w:val="0"/>
        <w:pageBreakBefore w:val="0"/>
        <w:widowControl/>
        <w:suppressLineNumbers w:val="0"/>
        <w:kinsoku w:val="0"/>
        <w:wordWrap w:val="0"/>
        <w:overflowPunct w:val="0"/>
        <w:topLinePunct w:val="0"/>
        <w:autoSpaceDE/>
        <w:autoSpaceDN/>
        <w:bidi w:val="0"/>
        <w:adjustRightInd/>
        <w:snapToGrid/>
        <w:spacing w:before="312" w:beforeLines="100" w:beforeAutospacing="0" w:after="0" w:afterAutospacing="0" w:line="500" w:lineRule="exact"/>
        <w:ind w:left="0" w:right="420" w:rightChars="200"/>
        <w:jc w:val="right"/>
        <w:textAlignment w:val="auto"/>
        <w:rPr>
          <w:rFonts w:hint="eastAsia" w:ascii="仿宋" w:hAnsi="仿宋" w:eastAsia="仿宋" w:cs="仿宋"/>
          <w:b w:val="0"/>
          <w:bCs w:val="0"/>
          <w:color w:val="auto"/>
          <w:spacing w:val="-20"/>
          <w:kern w:val="2"/>
          <w:sz w:val="30"/>
          <w:szCs w:val="30"/>
          <w:highlight w:val="none"/>
          <w:u w:val="none" w:color="auto"/>
          <w:lang w:val="en-US" w:eastAsia="zh-CN" w:bidi="ar"/>
        </w:rPr>
      </w:pPr>
      <w:r>
        <w:rPr>
          <w:rFonts w:hint="eastAsia" w:ascii="仿宋" w:hAnsi="仿宋" w:eastAsia="仿宋" w:cs="仿宋"/>
          <w:b w:val="0"/>
          <w:bCs w:val="0"/>
          <w:color w:val="auto"/>
          <w:spacing w:val="-20"/>
          <w:kern w:val="0"/>
          <w:sz w:val="30"/>
          <w:szCs w:val="30"/>
          <w:highlight w:val="none"/>
          <w:u w:val="none" w:color="auto"/>
          <w:lang w:val="en-US" w:eastAsia="zh-CN" w:bidi="ar"/>
        </w:rPr>
        <w:t>岳环评〔2024〕45 号</w:t>
      </w:r>
    </w:p>
    <w:p w14:paraId="474B85F5">
      <w:pPr>
        <w:keepNext w:val="0"/>
        <w:keepLines w:val="0"/>
        <w:pageBreakBefore w:val="0"/>
        <w:widowControl w:val="0"/>
        <w:kinsoku/>
        <w:wordWrap w:val="0"/>
        <w:overflowPunct/>
        <w:topLinePunct w:val="0"/>
        <w:autoSpaceDE/>
        <w:autoSpaceDN/>
        <w:bidi w:val="0"/>
        <w:adjustRightInd/>
        <w:snapToGrid/>
        <w:spacing w:after="313" w:afterLines="100" w:line="240" w:lineRule="auto"/>
        <w:ind w:left="0" w:leftChars="0" w:firstLine="0" w:firstLineChars="0"/>
        <w:jc w:val="center"/>
        <w:textAlignment w:val="auto"/>
        <w:outlineLvl w:val="9"/>
        <w:rPr>
          <w:rFonts w:hint="eastAsia" w:ascii="仿宋" w:hAnsi="仿宋" w:eastAsia="仿宋" w:cs="仿宋"/>
          <w:b w:val="0"/>
          <w:bCs w:val="0"/>
          <w:color w:val="auto"/>
          <w:spacing w:val="-20"/>
          <w:sz w:val="44"/>
          <w:szCs w:val="44"/>
          <w:highlight w:val="none"/>
          <w:u w:val="none" w:color="auto"/>
          <w:lang w:val="en-US"/>
        </w:rPr>
      </w:pPr>
      <w:r>
        <w:rPr>
          <w:rFonts w:hint="eastAsia" w:ascii="仿宋" w:hAnsi="仿宋" w:eastAsia="仿宋" w:cs="仿宋"/>
          <w:b w:val="0"/>
          <w:bCs w:val="0"/>
          <w:color w:val="auto"/>
          <w:spacing w:val="-20"/>
          <w:w w:val="98"/>
          <w:kern w:val="0"/>
          <w:sz w:val="44"/>
          <w:szCs w:val="44"/>
          <w:highlight w:val="none"/>
          <w:u w:val="none" w:color="auto"/>
          <w:lang w:val="en-US" w:eastAsia="zh-CN" w:bidi="ar"/>
        </w:rPr>
        <w:t>关于</w:t>
      </w:r>
      <w:bookmarkStart w:id="0" w:name="_Toc7424"/>
      <w:bookmarkStart w:id="1" w:name="_Toc25550"/>
      <w:bookmarkStart w:id="2" w:name="_Toc1600"/>
      <w:bookmarkStart w:id="3" w:name="_Toc23941"/>
      <w:bookmarkStart w:id="4" w:name="_Toc31607"/>
      <w:r>
        <w:rPr>
          <w:rFonts w:hint="eastAsia" w:ascii="仿宋" w:hAnsi="仿宋" w:eastAsia="仿宋" w:cs="仿宋"/>
          <w:b w:val="0"/>
          <w:bCs w:val="0"/>
          <w:color w:val="auto"/>
          <w:spacing w:val="-20"/>
          <w:sz w:val="44"/>
          <w:szCs w:val="44"/>
          <w:highlight w:val="none"/>
          <w:u w:val="none" w:color="auto"/>
        </w:rPr>
        <w:t>湖南金力泰新材料科技有限公司硅酸钠生产建设项目（年产92000t固态硅酸钠、23600t液态硅酸钠）环境影响报告书</w:t>
      </w:r>
      <w:bookmarkEnd w:id="0"/>
      <w:bookmarkEnd w:id="1"/>
      <w:bookmarkEnd w:id="2"/>
      <w:bookmarkEnd w:id="3"/>
      <w:bookmarkEnd w:id="4"/>
      <w:r>
        <w:rPr>
          <w:rFonts w:hint="eastAsia" w:ascii="仿宋" w:hAnsi="仿宋" w:eastAsia="仿宋" w:cs="仿宋"/>
          <w:b w:val="0"/>
          <w:bCs w:val="0"/>
          <w:color w:val="auto"/>
          <w:spacing w:val="-20"/>
          <w:w w:val="98"/>
          <w:kern w:val="0"/>
          <w:sz w:val="44"/>
          <w:szCs w:val="44"/>
          <w:highlight w:val="none"/>
          <w:u w:val="none" w:color="auto"/>
          <w:lang w:val="en-US" w:eastAsia="zh-CN" w:bidi="ar"/>
        </w:rPr>
        <w:t>的批复</w:t>
      </w:r>
    </w:p>
    <w:p w14:paraId="1C719C0C">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both"/>
        <w:textAlignment w:val="auto"/>
        <w:outlineLvl w:val="9"/>
        <w:rPr>
          <w:rFonts w:hint="eastAsia" w:ascii="仿宋" w:hAnsi="仿宋" w:eastAsia="仿宋" w:cs="仿宋"/>
          <w:b w:val="0"/>
          <w:bCs w:val="0"/>
          <w:caps/>
          <w:color w:val="auto"/>
          <w:kern w:val="2"/>
          <w:sz w:val="32"/>
          <w:szCs w:val="32"/>
          <w:highlight w:val="none"/>
          <w:u w:val="none" w:color="auto"/>
          <w:lang w:val="en-US" w:eastAsia="zh-CN" w:bidi="ar"/>
        </w:rPr>
      </w:pPr>
      <w:r>
        <w:rPr>
          <w:rFonts w:hint="eastAsia" w:ascii="仿宋" w:hAnsi="仿宋" w:eastAsia="仿宋" w:cs="仿宋"/>
          <w:b w:val="0"/>
          <w:bCs w:val="0"/>
          <w:color w:val="auto"/>
          <w:kern w:val="2"/>
          <w:sz w:val="32"/>
          <w:szCs w:val="32"/>
          <w:highlight w:val="none"/>
          <w:u w:val="none" w:color="auto"/>
          <w:lang w:val="en-US" w:eastAsia="zh-CN" w:bidi="ar-SA"/>
        </w:rPr>
        <w:t>湖南金力泰新材料科技有限公司</w:t>
      </w:r>
      <w:r>
        <w:rPr>
          <w:rFonts w:hint="eastAsia" w:ascii="仿宋" w:hAnsi="仿宋" w:eastAsia="仿宋" w:cs="仿宋"/>
          <w:b w:val="0"/>
          <w:bCs w:val="0"/>
          <w:caps/>
          <w:color w:val="auto"/>
          <w:kern w:val="2"/>
          <w:sz w:val="32"/>
          <w:szCs w:val="32"/>
          <w:highlight w:val="none"/>
          <w:u w:val="none" w:color="auto"/>
          <w:lang w:val="en-US" w:eastAsia="zh-CN" w:bidi="ar"/>
        </w:rPr>
        <w:t>：</w:t>
      </w:r>
    </w:p>
    <w:p w14:paraId="7ECD6E5E">
      <w:pPr>
        <w:keepNext w:val="0"/>
        <w:keepLines w:val="0"/>
        <w:pageBreakBefore w:val="0"/>
        <w:widowControl w:val="0"/>
        <w:kinsoku/>
        <w:wordWrap w:val="0"/>
        <w:overflowPunct/>
        <w:topLinePunct w:val="0"/>
        <w:autoSpaceDE/>
        <w:autoSpaceDN/>
        <w:bidi w:val="0"/>
        <w:adjustRightInd w:val="0"/>
        <w:snapToGrid w:val="0"/>
        <w:spacing w:line="480" w:lineRule="exact"/>
        <w:ind w:firstLine="640" w:firstLineChars="200"/>
        <w:jc w:val="both"/>
        <w:textAlignment w:val="auto"/>
        <w:rPr>
          <w:rFonts w:hint="eastAsia" w:ascii="仿宋" w:hAnsi="仿宋" w:eastAsia="仿宋" w:cs="仿宋"/>
          <w:b w:val="0"/>
          <w:bCs w:val="0"/>
          <w:color w:val="auto"/>
          <w:sz w:val="32"/>
          <w:szCs w:val="32"/>
          <w:highlight w:val="none"/>
          <w:u w:val="none" w:color="auto"/>
          <w:lang w:val="en-US"/>
        </w:rPr>
      </w:pPr>
      <w:r>
        <w:rPr>
          <w:rFonts w:hint="eastAsia" w:ascii="仿宋" w:hAnsi="仿宋" w:eastAsia="仿宋" w:cs="仿宋"/>
          <w:b w:val="0"/>
          <w:bCs w:val="0"/>
          <w:color w:val="auto"/>
          <w:sz w:val="32"/>
          <w:szCs w:val="32"/>
          <w:highlight w:val="none"/>
          <w:u w:val="none" w:color="auto"/>
          <w:lang w:eastAsia="zh-CN"/>
        </w:rPr>
        <w:t>你公司《</w:t>
      </w:r>
      <w:r>
        <w:rPr>
          <w:rFonts w:hint="eastAsia" w:ascii="仿宋" w:hAnsi="仿宋" w:eastAsia="仿宋" w:cs="仿宋"/>
          <w:b w:val="0"/>
          <w:bCs w:val="0"/>
          <w:color w:val="auto"/>
          <w:spacing w:val="0"/>
          <w:sz w:val="32"/>
          <w:szCs w:val="32"/>
          <w:highlight w:val="none"/>
          <w:u w:val="none" w:color="auto"/>
        </w:rPr>
        <w:t>湖南金力泰新材料科技有限公司硅酸钠生产建设项目（年产92000t固态硅酸钠、23600t液态硅酸钠）</w:t>
      </w:r>
      <w:r>
        <w:rPr>
          <w:rFonts w:hint="eastAsia" w:ascii="仿宋" w:hAnsi="仿宋" w:eastAsia="仿宋" w:cs="仿宋"/>
          <w:b w:val="0"/>
          <w:bCs w:val="0"/>
          <w:color w:val="auto"/>
          <w:spacing w:val="6"/>
          <w:sz w:val="32"/>
          <w:szCs w:val="32"/>
          <w:highlight w:val="none"/>
          <w:u w:val="none" w:color="auto"/>
        </w:rPr>
        <w:t>环境影响报告书</w:t>
      </w:r>
      <w:r>
        <w:rPr>
          <w:rFonts w:hint="eastAsia" w:ascii="仿宋" w:hAnsi="仿宋" w:eastAsia="仿宋" w:cs="仿宋"/>
          <w:b w:val="0"/>
          <w:bCs w:val="0"/>
          <w:color w:val="auto"/>
          <w:sz w:val="32"/>
          <w:szCs w:val="32"/>
          <w:highlight w:val="none"/>
          <w:u w:val="none" w:color="auto"/>
          <w:lang w:eastAsia="zh-CN"/>
        </w:rPr>
        <w:t>报批申请书》、岳阳市生态环境事务中心《</w:t>
      </w:r>
      <w:r>
        <w:rPr>
          <w:rFonts w:hint="eastAsia" w:ascii="仿宋" w:hAnsi="仿宋" w:eastAsia="仿宋" w:cs="仿宋"/>
          <w:b w:val="0"/>
          <w:bCs w:val="0"/>
          <w:color w:val="auto"/>
          <w:spacing w:val="0"/>
          <w:sz w:val="32"/>
          <w:szCs w:val="32"/>
          <w:highlight w:val="none"/>
          <w:u w:val="none" w:color="auto"/>
        </w:rPr>
        <w:t>湖南金力泰新材料科技有限公司硅酸钠生产建设项目（年产92000t固态硅酸钠、23600t液态硅酸钠</w:t>
      </w:r>
      <w:r>
        <w:rPr>
          <w:rFonts w:hint="eastAsia" w:ascii="仿宋" w:hAnsi="仿宋" w:eastAsia="仿宋" w:cs="仿宋"/>
          <w:b w:val="0"/>
          <w:bCs w:val="0"/>
          <w:color w:val="auto"/>
          <w:spacing w:val="0"/>
          <w:sz w:val="32"/>
          <w:szCs w:val="32"/>
          <w:highlight w:val="none"/>
          <w:u w:val="none" w:color="auto"/>
          <w:lang w:eastAsia="zh-CN"/>
        </w:rPr>
        <w:t>）</w:t>
      </w:r>
      <w:r>
        <w:rPr>
          <w:rFonts w:hint="eastAsia" w:ascii="仿宋" w:hAnsi="仿宋" w:eastAsia="仿宋" w:cs="仿宋"/>
          <w:b w:val="0"/>
          <w:bCs w:val="0"/>
          <w:color w:val="auto"/>
          <w:spacing w:val="0"/>
          <w:sz w:val="32"/>
          <w:szCs w:val="32"/>
          <w:highlight w:val="none"/>
          <w:u w:val="none" w:color="auto"/>
          <w:lang w:val="en-US" w:eastAsia="zh-CN"/>
        </w:rPr>
        <w:t>环境影响报告书</w:t>
      </w:r>
      <w:r>
        <w:rPr>
          <w:rFonts w:hint="eastAsia" w:ascii="仿宋" w:hAnsi="仿宋" w:eastAsia="仿宋" w:cs="仿宋"/>
          <w:b w:val="0"/>
          <w:bCs w:val="0"/>
          <w:color w:val="auto"/>
          <w:sz w:val="32"/>
          <w:szCs w:val="32"/>
          <w:highlight w:val="none"/>
          <w:u w:val="none" w:color="auto"/>
        </w:rPr>
        <w:t>技术评估报告</w:t>
      </w:r>
      <w:r>
        <w:rPr>
          <w:rFonts w:hint="eastAsia" w:ascii="仿宋" w:hAnsi="仿宋" w:eastAsia="仿宋" w:cs="仿宋"/>
          <w:b w:val="0"/>
          <w:bCs w:val="0"/>
          <w:color w:val="auto"/>
          <w:sz w:val="32"/>
          <w:szCs w:val="32"/>
          <w:highlight w:val="none"/>
          <w:u w:val="none" w:color="auto"/>
          <w:lang w:eastAsia="zh-CN"/>
        </w:rPr>
        <w:t>》（岳环事评估〔</w:t>
      </w:r>
      <w:r>
        <w:rPr>
          <w:rFonts w:hint="eastAsia" w:ascii="仿宋" w:hAnsi="仿宋" w:eastAsia="仿宋" w:cs="仿宋"/>
          <w:b w:val="0"/>
          <w:bCs w:val="0"/>
          <w:color w:val="auto"/>
          <w:sz w:val="32"/>
          <w:szCs w:val="32"/>
          <w:highlight w:val="none"/>
          <w:u w:val="none" w:color="auto"/>
          <w:lang w:val="en-US"/>
        </w:rPr>
        <w:t>202</w:t>
      </w:r>
      <w:r>
        <w:rPr>
          <w:rFonts w:hint="eastAsia" w:ascii="仿宋" w:hAnsi="仿宋" w:eastAsia="仿宋" w:cs="仿宋"/>
          <w:b w:val="0"/>
          <w:bCs w:val="0"/>
          <w:color w:val="auto"/>
          <w:sz w:val="32"/>
          <w:szCs w:val="32"/>
          <w:highlight w:val="none"/>
          <w:u w:val="none" w:color="auto"/>
          <w:lang w:val="en-US" w:eastAsia="zh-CN"/>
        </w:rPr>
        <w:t>4</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40</w:t>
      </w:r>
      <w:r>
        <w:rPr>
          <w:rFonts w:hint="eastAsia" w:ascii="仿宋" w:hAnsi="仿宋" w:eastAsia="仿宋" w:cs="仿宋"/>
          <w:b w:val="0"/>
          <w:bCs w:val="0"/>
          <w:color w:val="auto"/>
          <w:sz w:val="32"/>
          <w:szCs w:val="32"/>
          <w:highlight w:val="none"/>
          <w:u w:val="none" w:color="auto"/>
          <w:lang w:eastAsia="zh-CN"/>
        </w:rPr>
        <w:t>号）、岳阳市生态环境局</w:t>
      </w:r>
      <w:r>
        <w:rPr>
          <w:rFonts w:hint="eastAsia" w:ascii="仿宋" w:hAnsi="仿宋" w:eastAsia="仿宋" w:cs="仿宋"/>
          <w:b w:val="0"/>
          <w:bCs w:val="0"/>
          <w:color w:val="auto"/>
          <w:sz w:val="32"/>
          <w:szCs w:val="32"/>
          <w:highlight w:val="none"/>
          <w:u w:val="none" w:color="auto"/>
          <w:lang w:val="en-US" w:eastAsia="zh-CN"/>
        </w:rPr>
        <w:t>岳阳县</w:t>
      </w:r>
      <w:r>
        <w:rPr>
          <w:rFonts w:hint="eastAsia" w:ascii="仿宋" w:hAnsi="仿宋" w:eastAsia="仿宋" w:cs="仿宋"/>
          <w:b w:val="0"/>
          <w:bCs w:val="0"/>
          <w:color w:val="auto"/>
          <w:sz w:val="32"/>
          <w:szCs w:val="32"/>
          <w:highlight w:val="none"/>
          <w:u w:val="none" w:color="auto"/>
          <w:lang w:eastAsia="zh-CN"/>
        </w:rPr>
        <w:t>分局预审意见及有关附件收悉。经研究，批复如下：</w:t>
      </w:r>
    </w:p>
    <w:p w14:paraId="56357A2D">
      <w:pPr>
        <w:keepNext w:val="0"/>
        <w:keepLines w:val="0"/>
        <w:pageBreakBefore w:val="0"/>
        <w:wordWrap w:val="0"/>
        <w:autoSpaceDE/>
        <w:autoSpaceDN/>
        <w:bidi w:val="0"/>
        <w:spacing w:line="480" w:lineRule="exact"/>
        <w:ind w:firstLine="640" w:firstLineChars="200"/>
        <w:textAlignment w:val="auto"/>
        <w:rPr>
          <w:rFonts w:hint="eastAsia" w:ascii="仿宋" w:hAnsi="仿宋" w:eastAsia="仿宋" w:cs="仿宋"/>
          <w:b w:val="0"/>
          <w:bCs w:val="0"/>
          <w:color w:val="auto"/>
          <w:sz w:val="32"/>
          <w:szCs w:val="32"/>
          <w:highlight w:val="none"/>
          <w:u w:val="none" w:color="auto"/>
          <w:lang w:val="en-US" w:eastAsia="zh-CN"/>
        </w:rPr>
        <w:sectPr>
          <w:pgSz w:w="11906" w:h="16838"/>
          <w:pgMar w:top="1304" w:right="1474" w:bottom="1247" w:left="1531" w:header="851" w:footer="992" w:gutter="0"/>
          <w:pgNumType w:start="2"/>
          <w:cols w:space="0" w:num="1"/>
          <w:rtlGutter w:val="0"/>
          <w:docGrid w:type="lines" w:linePitch="312" w:charSpace="0"/>
        </w:sectPr>
      </w:pPr>
      <w:r>
        <w:rPr>
          <w:rFonts w:hint="eastAsia" w:ascii="仿宋" w:hAnsi="仿宋" w:eastAsia="仿宋" w:cs="仿宋"/>
          <w:b w:val="0"/>
          <w:bCs w:val="0"/>
          <w:color w:val="auto"/>
          <w:sz w:val="32"/>
          <w:szCs w:val="32"/>
          <w:highlight w:val="none"/>
          <w:u w:val="none" w:color="auto"/>
          <w:lang w:val="en-US" w:eastAsia="zh-CN"/>
        </w:rPr>
        <w:t>一、湖南金力泰新材料科技有限公司位于</w:t>
      </w:r>
      <w:r>
        <w:rPr>
          <w:rFonts w:hint="eastAsia" w:ascii="仿宋" w:hAnsi="仿宋" w:eastAsia="仿宋" w:cs="仿宋"/>
          <w:b w:val="0"/>
          <w:bCs w:val="0"/>
          <w:color w:val="auto"/>
          <w:sz w:val="32"/>
          <w:szCs w:val="32"/>
          <w:highlight w:val="none"/>
          <w:u w:val="none" w:color="auto"/>
        </w:rPr>
        <w:t>岳阳高新技术产业园洪山洞片区</w:t>
      </w:r>
      <w:r>
        <w:rPr>
          <w:rFonts w:hint="eastAsia" w:ascii="仿宋" w:hAnsi="仿宋" w:eastAsia="仿宋" w:cs="仿宋"/>
          <w:b w:val="0"/>
          <w:bCs w:val="0"/>
          <w:color w:val="auto"/>
          <w:sz w:val="32"/>
          <w:szCs w:val="32"/>
          <w:highlight w:val="none"/>
          <w:u w:val="none" w:color="auto"/>
          <w:lang w:val="en-US" w:eastAsia="zh-CN"/>
        </w:rPr>
        <w:t>内（北侧为纬五路，西侧为经二路</w:t>
      </w:r>
      <w:r>
        <w:rPr>
          <w:rFonts w:hint="eastAsia" w:ascii="仿宋" w:hAnsi="仿宋" w:eastAsia="仿宋" w:cs="仿宋"/>
          <w:b w:val="0"/>
          <w:bCs w:val="0"/>
          <w:color w:val="000000"/>
          <w:sz w:val="32"/>
          <w:szCs w:val="32"/>
          <w:highlight w:val="none"/>
          <w:u w:val="none" w:color="auto"/>
          <w:lang w:val="en-US" w:eastAsia="zh-CN"/>
        </w:rPr>
        <w:t>，东侧为</w:t>
      </w:r>
      <w:r>
        <w:rPr>
          <w:rFonts w:hint="eastAsia" w:ascii="仿宋" w:hAnsi="仿宋" w:eastAsia="仿宋" w:cs="仿宋"/>
          <w:b w:val="0"/>
          <w:bCs w:val="0"/>
          <w:color w:val="auto"/>
          <w:sz w:val="32"/>
          <w:szCs w:val="32"/>
          <w:highlight w:val="none"/>
          <w:u w:val="none" w:color="auto"/>
          <w:lang w:val="en-US" w:eastAsia="zh-CN"/>
        </w:rPr>
        <w:t>经三路</w:t>
      </w:r>
      <w:r>
        <w:rPr>
          <w:rFonts w:hint="eastAsia" w:ascii="仿宋" w:hAnsi="仿宋" w:eastAsia="仿宋" w:cs="仿宋"/>
          <w:b w:val="0"/>
          <w:bCs w:val="0"/>
          <w:color w:val="000000"/>
          <w:sz w:val="32"/>
          <w:szCs w:val="32"/>
          <w:highlight w:val="none"/>
          <w:u w:val="none" w:color="auto"/>
          <w:lang w:val="en-US" w:eastAsia="zh-CN"/>
        </w:rPr>
        <w:t>）</w:t>
      </w:r>
      <w:r>
        <w:rPr>
          <w:rFonts w:hint="eastAsia" w:ascii="仿宋" w:hAnsi="仿宋" w:eastAsia="仿宋" w:cs="仿宋"/>
          <w:b w:val="0"/>
          <w:bCs w:val="0"/>
          <w:color w:val="auto"/>
          <w:sz w:val="32"/>
          <w:szCs w:val="32"/>
          <w:highlight w:val="none"/>
          <w:u w:val="none" w:color="auto"/>
          <w:lang w:val="en-US" w:eastAsia="zh-CN"/>
        </w:rPr>
        <w:t>，拟</w:t>
      </w:r>
      <w:r>
        <w:rPr>
          <w:rFonts w:hint="eastAsia" w:ascii="仿宋" w:hAnsi="仿宋" w:eastAsia="仿宋" w:cs="仿宋"/>
          <w:b w:val="0"/>
          <w:bCs w:val="0"/>
          <w:color w:val="auto"/>
          <w:kern w:val="2"/>
          <w:sz w:val="32"/>
          <w:szCs w:val="32"/>
          <w:highlight w:val="none"/>
          <w:u w:val="none" w:color="auto"/>
          <w:lang w:bidi="ar-SA"/>
        </w:rPr>
        <w:t>投资约</w:t>
      </w:r>
      <w:r>
        <w:rPr>
          <w:rFonts w:hint="eastAsia" w:ascii="仿宋" w:hAnsi="仿宋" w:eastAsia="仿宋" w:cs="仿宋"/>
          <w:b w:val="0"/>
          <w:bCs w:val="0"/>
          <w:color w:val="auto"/>
          <w:kern w:val="2"/>
          <w:sz w:val="32"/>
          <w:szCs w:val="32"/>
          <w:highlight w:val="none"/>
          <w:u w:val="none" w:color="auto"/>
          <w:lang w:val="en-US" w:eastAsia="zh-CN" w:bidi="ar-SA"/>
        </w:rPr>
        <w:t>86000</w:t>
      </w:r>
      <w:r>
        <w:rPr>
          <w:rFonts w:hint="eastAsia" w:ascii="仿宋" w:hAnsi="仿宋" w:eastAsia="仿宋" w:cs="仿宋"/>
          <w:b w:val="0"/>
          <w:bCs w:val="0"/>
          <w:color w:val="auto"/>
          <w:kern w:val="2"/>
          <w:sz w:val="32"/>
          <w:szCs w:val="32"/>
          <w:highlight w:val="none"/>
          <w:u w:val="none" w:color="auto"/>
          <w:lang w:bidi="ar-SA"/>
        </w:rPr>
        <w:t>万元</w:t>
      </w:r>
      <w:r>
        <w:rPr>
          <w:rFonts w:hint="eastAsia" w:ascii="仿宋" w:hAnsi="仿宋" w:eastAsia="仿宋" w:cs="仿宋"/>
          <w:b w:val="0"/>
          <w:bCs w:val="0"/>
          <w:color w:val="auto"/>
          <w:kern w:val="2"/>
          <w:sz w:val="32"/>
          <w:szCs w:val="32"/>
          <w:highlight w:val="none"/>
          <w:u w:val="none" w:color="auto"/>
          <w:lang w:eastAsia="zh-CN" w:bidi="ar-SA"/>
        </w:rPr>
        <w:t>（</w:t>
      </w:r>
      <w:r>
        <w:rPr>
          <w:rFonts w:hint="eastAsia" w:ascii="仿宋" w:hAnsi="仿宋" w:eastAsia="仿宋" w:cs="仿宋"/>
          <w:b w:val="0"/>
          <w:bCs w:val="0"/>
          <w:color w:val="auto"/>
          <w:kern w:val="2"/>
          <w:sz w:val="32"/>
          <w:szCs w:val="32"/>
          <w:highlight w:val="none"/>
          <w:u w:val="none" w:color="auto"/>
          <w:lang w:bidi="ar-SA"/>
        </w:rPr>
        <w:t>其中环保投资</w:t>
      </w:r>
      <w:r>
        <w:rPr>
          <w:rFonts w:hint="eastAsia" w:ascii="仿宋" w:hAnsi="仿宋" w:eastAsia="仿宋" w:cs="仿宋"/>
          <w:b w:val="0"/>
          <w:bCs w:val="0"/>
          <w:color w:val="auto"/>
          <w:kern w:val="2"/>
          <w:sz w:val="32"/>
          <w:szCs w:val="32"/>
          <w:highlight w:val="none"/>
          <w:u w:val="none" w:color="auto"/>
          <w:lang w:val="en-US" w:eastAsia="zh-CN" w:bidi="ar-SA"/>
        </w:rPr>
        <w:t>1000</w:t>
      </w:r>
      <w:r>
        <w:rPr>
          <w:rFonts w:hint="eastAsia" w:ascii="仿宋" w:hAnsi="仿宋" w:eastAsia="仿宋" w:cs="仿宋"/>
          <w:b w:val="0"/>
          <w:bCs w:val="0"/>
          <w:color w:val="auto"/>
          <w:kern w:val="2"/>
          <w:sz w:val="32"/>
          <w:szCs w:val="32"/>
          <w:highlight w:val="none"/>
          <w:u w:val="none" w:color="auto"/>
          <w:lang w:bidi="ar-SA"/>
        </w:rPr>
        <w:t>万元，占总投资</w:t>
      </w:r>
      <w:r>
        <w:rPr>
          <w:rFonts w:hint="eastAsia" w:ascii="仿宋" w:hAnsi="仿宋" w:eastAsia="仿宋" w:cs="仿宋"/>
          <w:b w:val="0"/>
          <w:bCs w:val="0"/>
          <w:color w:val="auto"/>
          <w:kern w:val="2"/>
          <w:sz w:val="32"/>
          <w:szCs w:val="32"/>
          <w:highlight w:val="none"/>
          <w:u w:val="none" w:color="auto"/>
          <w:lang w:val="en-US" w:eastAsia="zh-CN" w:bidi="ar-SA"/>
        </w:rPr>
        <w:t>1.2</w:t>
      </w:r>
      <w:r>
        <w:rPr>
          <w:rFonts w:hint="eastAsia" w:ascii="仿宋" w:hAnsi="仿宋" w:eastAsia="仿宋" w:cs="仿宋"/>
          <w:b w:val="0"/>
          <w:bCs w:val="0"/>
          <w:color w:val="auto"/>
          <w:kern w:val="2"/>
          <w:sz w:val="32"/>
          <w:szCs w:val="32"/>
          <w:highlight w:val="none"/>
          <w:u w:val="none" w:color="auto"/>
          <w:lang w:bidi="ar-SA"/>
        </w:rPr>
        <w:t>%</w:t>
      </w:r>
      <w:r>
        <w:rPr>
          <w:rFonts w:hint="eastAsia" w:ascii="仿宋" w:hAnsi="仿宋" w:eastAsia="仿宋" w:cs="仿宋"/>
          <w:b w:val="0"/>
          <w:bCs w:val="0"/>
          <w:color w:val="auto"/>
          <w:kern w:val="2"/>
          <w:sz w:val="32"/>
          <w:szCs w:val="32"/>
          <w:highlight w:val="none"/>
          <w:u w:val="none" w:color="auto"/>
          <w:lang w:eastAsia="zh-CN" w:bidi="ar-SA"/>
        </w:rPr>
        <w:t>）</w:t>
      </w:r>
      <w:r>
        <w:rPr>
          <w:rFonts w:hint="eastAsia" w:ascii="仿宋" w:hAnsi="仿宋" w:eastAsia="仿宋" w:cs="仿宋"/>
          <w:b w:val="0"/>
          <w:bCs w:val="0"/>
          <w:color w:val="auto"/>
          <w:sz w:val="32"/>
          <w:szCs w:val="32"/>
          <w:highlight w:val="none"/>
          <w:u w:val="none" w:color="auto"/>
          <w:lang w:val="en-US" w:eastAsia="zh-CN"/>
        </w:rPr>
        <w:t>建设年产92000t固态硅酸钠、23600t液态硅酸钠项目。</w:t>
      </w:r>
      <w:r>
        <w:rPr>
          <w:rFonts w:hint="eastAsia" w:ascii="仿宋" w:hAnsi="仿宋" w:eastAsia="仿宋" w:cs="仿宋"/>
          <w:b w:val="0"/>
          <w:bCs w:val="0"/>
          <w:color w:val="auto"/>
          <w:sz w:val="32"/>
          <w:szCs w:val="32"/>
          <w:highlight w:val="none"/>
          <w:u w:val="none" w:color="auto"/>
          <w:lang w:eastAsia="zh-CN"/>
        </w:rPr>
        <w:t>本项目</w:t>
      </w:r>
      <w:r>
        <w:rPr>
          <w:rFonts w:hint="eastAsia" w:ascii="仿宋" w:hAnsi="仿宋" w:eastAsia="仿宋" w:cs="仿宋"/>
          <w:b w:val="0"/>
          <w:bCs w:val="0"/>
          <w:color w:val="auto"/>
          <w:sz w:val="32"/>
          <w:szCs w:val="32"/>
          <w:highlight w:val="none"/>
          <w:u w:val="none" w:color="auto"/>
        </w:rPr>
        <w:t>占地面积约</w:t>
      </w:r>
      <w:r>
        <w:rPr>
          <w:rFonts w:hint="eastAsia" w:ascii="仿宋" w:hAnsi="仿宋" w:eastAsia="仿宋" w:cs="仿宋"/>
          <w:b w:val="0"/>
          <w:bCs w:val="0"/>
          <w:color w:val="auto"/>
          <w:sz w:val="32"/>
          <w:szCs w:val="32"/>
          <w:highlight w:val="none"/>
          <w:u w:val="none" w:color="auto"/>
          <w:lang w:val="en-US" w:eastAsia="zh-CN"/>
        </w:rPr>
        <w:t>25566.67</w:t>
      </w:r>
      <w:r>
        <w:rPr>
          <w:rFonts w:hint="eastAsia" w:ascii="仿宋" w:hAnsi="仿宋" w:eastAsia="仿宋" w:cs="仿宋"/>
          <w:b w:val="0"/>
          <w:bCs w:val="0"/>
          <w:color w:val="auto"/>
          <w:sz w:val="32"/>
          <w:szCs w:val="32"/>
          <w:highlight w:val="none"/>
          <w:u w:val="none" w:color="auto"/>
        </w:rPr>
        <w:t>m</w:t>
      </w:r>
      <w:r>
        <w:rPr>
          <w:rFonts w:hint="eastAsia" w:ascii="仿宋" w:hAnsi="仿宋" w:eastAsia="仿宋" w:cs="仿宋"/>
          <w:b w:val="0"/>
          <w:bCs w:val="0"/>
          <w:color w:val="auto"/>
          <w:sz w:val="32"/>
          <w:szCs w:val="32"/>
          <w:highlight w:val="none"/>
          <w:u w:val="none" w:color="auto"/>
          <w:vertAlign w:val="superscript"/>
        </w:rPr>
        <w:t>2</w:t>
      </w:r>
      <w:r>
        <w:rPr>
          <w:rFonts w:hint="eastAsia" w:ascii="仿宋" w:hAnsi="仿宋" w:eastAsia="仿宋" w:cs="仿宋"/>
          <w:b w:val="0"/>
          <w:bCs w:val="0"/>
          <w:color w:val="auto"/>
          <w:sz w:val="32"/>
          <w:szCs w:val="32"/>
          <w:highlight w:val="none"/>
          <w:u w:val="none" w:color="auto"/>
        </w:rPr>
        <w:t>，总建筑面积</w:t>
      </w:r>
      <w:r>
        <w:rPr>
          <w:rFonts w:hint="eastAsia" w:ascii="仿宋" w:hAnsi="仿宋" w:eastAsia="仿宋" w:cs="仿宋"/>
          <w:b w:val="0"/>
          <w:bCs w:val="0"/>
          <w:color w:val="auto"/>
          <w:sz w:val="32"/>
          <w:szCs w:val="32"/>
          <w:highlight w:val="none"/>
          <w:u w:val="none" w:color="auto"/>
          <w:lang w:val="en-US" w:eastAsia="zh-CN"/>
        </w:rPr>
        <w:t>32000</w:t>
      </w:r>
      <w:r>
        <w:rPr>
          <w:rFonts w:hint="eastAsia" w:ascii="仿宋" w:hAnsi="仿宋" w:eastAsia="仿宋" w:cs="仿宋"/>
          <w:b w:val="0"/>
          <w:bCs w:val="0"/>
          <w:color w:val="auto"/>
          <w:sz w:val="32"/>
          <w:szCs w:val="32"/>
          <w:highlight w:val="none"/>
          <w:u w:val="none" w:color="auto"/>
        </w:rPr>
        <w:t>m</w:t>
      </w:r>
      <w:r>
        <w:rPr>
          <w:rFonts w:hint="eastAsia" w:ascii="仿宋" w:hAnsi="仿宋" w:eastAsia="仿宋" w:cs="仿宋"/>
          <w:b w:val="0"/>
          <w:bCs w:val="0"/>
          <w:color w:val="auto"/>
          <w:sz w:val="32"/>
          <w:szCs w:val="32"/>
          <w:highlight w:val="none"/>
          <w:u w:val="none" w:color="auto"/>
          <w:vertAlign w:val="superscript"/>
        </w:rPr>
        <w:t>2</w:t>
      </w:r>
      <w:r>
        <w:rPr>
          <w:rFonts w:hint="eastAsia" w:ascii="仿宋" w:hAnsi="仿宋" w:eastAsia="仿宋" w:cs="仿宋"/>
          <w:b w:val="0"/>
          <w:bCs w:val="0"/>
          <w:color w:val="auto"/>
          <w:sz w:val="32"/>
          <w:szCs w:val="32"/>
          <w:highlight w:val="none"/>
          <w:u w:val="none" w:color="auto"/>
          <w:lang w:val="en-US" w:eastAsia="zh-CN"/>
        </w:rPr>
        <w:t>，主要工程内容：新建生产车间一(用于布置两条固态硅酸钠干法（纯碱法）</w:t>
      </w:r>
      <w:r>
        <w:rPr>
          <w:rFonts w:hint="eastAsia" w:ascii="仿宋" w:hAnsi="仿宋" w:eastAsia="仿宋" w:cs="仿宋"/>
          <w:b w:val="0"/>
          <w:bCs w:val="0"/>
          <w:color w:val="auto"/>
          <w:sz w:val="32"/>
          <w:szCs w:val="32"/>
          <w:highlight w:val="none"/>
          <w:u w:val="none" w:color="auto"/>
        </w:rPr>
        <w:t>生产</w:t>
      </w:r>
      <w:r>
        <w:rPr>
          <w:rFonts w:hint="eastAsia" w:ascii="仿宋" w:hAnsi="仿宋" w:eastAsia="仿宋" w:cs="仿宋"/>
          <w:b w:val="0"/>
          <w:bCs w:val="0"/>
          <w:color w:val="auto"/>
          <w:sz w:val="32"/>
          <w:szCs w:val="32"/>
          <w:highlight w:val="none"/>
          <w:u w:val="none" w:color="auto"/>
          <w:lang w:val="en-US" w:eastAsia="zh-CN"/>
        </w:rPr>
        <w:t>线)</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窑炉车间、生产车间二(用于布置一条液态硅酸钠（湿法）</w:t>
      </w:r>
      <w:r>
        <w:rPr>
          <w:rFonts w:hint="eastAsia" w:ascii="仿宋" w:hAnsi="仿宋" w:eastAsia="仿宋" w:cs="仿宋"/>
          <w:b w:val="0"/>
          <w:bCs w:val="0"/>
          <w:color w:val="auto"/>
          <w:sz w:val="32"/>
          <w:szCs w:val="32"/>
          <w:highlight w:val="none"/>
          <w:u w:val="none" w:color="auto"/>
        </w:rPr>
        <w:t>生产</w:t>
      </w:r>
      <w:r>
        <w:rPr>
          <w:rFonts w:hint="eastAsia" w:ascii="仿宋" w:hAnsi="仿宋" w:eastAsia="仿宋" w:cs="仿宋"/>
          <w:b w:val="0"/>
          <w:bCs w:val="0"/>
          <w:color w:val="auto"/>
          <w:sz w:val="32"/>
          <w:szCs w:val="32"/>
          <w:highlight w:val="none"/>
          <w:u w:val="none" w:color="auto"/>
          <w:lang w:val="en-US" w:eastAsia="zh-CN"/>
        </w:rPr>
        <w:t>线)、辅助工程、储运工程及环保工程，公用工程依托现有。</w:t>
      </w:r>
      <w:r>
        <w:rPr>
          <w:rFonts w:hint="eastAsia" w:ascii="仿宋" w:hAnsi="仿宋" w:eastAsia="仿宋" w:cs="仿宋"/>
          <w:b w:val="0"/>
          <w:bCs w:val="0"/>
          <w:color w:val="auto"/>
          <w:kern w:val="2"/>
          <w:sz w:val="32"/>
          <w:szCs w:val="32"/>
          <w:highlight w:val="none"/>
          <w:u w:val="none" w:color="auto"/>
          <w:lang w:val="en-US" w:eastAsia="zh-CN" w:bidi="ar"/>
        </w:rPr>
        <w:t>主要生产工艺：1、</w:t>
      </w:r>
      <w:r>
        <w:rPr>
          <w:rFonts w:hint="eastAsia" w:ascii="仿宋" w:hAnsi="仿宋" w:eastAsia="仿宋" w:cs="仿宋"/>
          <w:b w:val="0"/>
          <w:bCs w:val="0"/>
          <w:color w:val="auto"/>
          <w:sz w:val="32"/>
          <w:szCs w:val="32"/>
          <w:highlight w:val="none"/>
          <w:u w:val="none" w:color="auto"/>
          <w:lang w:val="en-US" w:eastAsia="zh-CN"/>
        </w:rPr>
        <w:t>以石英砂、纯碱等为原辅材料，经混料、熔制、成型等工序生产</w:t>
      </w:r>
      <w:r>
        <w:rPr>
          <w:rFonts w:hint="eastAsia" w:ascii="仿宋" w:hAnsi="仿宋" w:eastAsia="仿宋" w:cs="仿宋"/>
          <w:b w:val="0"/>
          <w:bCs w:val="0"/>
          <w:sz w:val="32"/>
          <w:szCs w:val="32"/>
          <w:highlight w:val="none"/>
          <w:u w:val="none" w:color="auto"/>
          <w:lang w:val="en-US" w:eastAsia="zh-CN"/>
        </w:rPr>
        <w:t>9.2万t/a固态硅酸钠；2、</w:t>
      </w:r>
      <w:r>
        <w:rPr>
          <w:rFonts w:hint="eastAsia" w:ascii="仿宋" w:hAnsi="仿宋" w:eastAsia="仿宋" w:cs="仿宋"/>
          <w:b w:val="0"/>
          <w:bCs w:val="0"/>
          <w:color w:val="auto"/>
          <w:sz w:val="32"/>
          <w:szCs w:val="32"/>
          <w:highlight w:val="none"/>
          <w:u w:val="none" w:color="auto"/>
          <w:lang w:val="en-US" w:eastAsia="zh-CN"/>
        </w:rPr>
        <w:t>以干法生产的</w:t>
      </w:r>
    </w:p>
    <w:p w14:paraId="49E5A8A3">
      <w:pPr>
        <w:keepNext w:val="0"/>
        <w:keepLines w:val="0"/>
        <w:pageBreakBefore w:val="0"/>
        <w:wordWrap w:val="0"/>
        <w:autoSpaceDE/>
        <w:autoSpaceDN/>
        <w:bidi w:val="0"/>
        <w:spacing w:line="480" w:lineRule="exact"/>
        <w:textAlignment w:val="auto"/>
        <w:rPr>
          <w:rFonts w:hint="eastAsia" w:ascii="仿宋" w:hAnsi="仿宋" w:eastAsia="仿宋" w:cs="仿宋"/>
          <w:b w:val="0"/>
          <w:bCs w:val="0"/>
          <w:color w:val="auto"/>
          <w:sz w:val="32"/>
          <w:szCs w:val="32"/>
          <w:highlight w:val="none"/>
          <w:u w:val="none" w:color="auto"/>
          <w:lang w:val="en-US"/>
        </w:rPr>
      </w:pPr>
      <w:r>
        <w:rPr>
          <w:rFonts w:hint="eastAsia" w:ascii="仿宋" w:hAnsi="仿宋" w:eastAsia="仿宋" w:cs="仿宋"/>
          <w:b w:val="0"/>
          <w:bCs w:val="0"/>
          <w:color w:val="auto"/>
          <w:sz w:val="32"/>
          <w:szCs w:val="32"/>
          <w:highlight w:val="none"/>
          <w:u w:val="none" w:color="auto"/>
          <w:lang w:val="en-US" w:eastAsia="zh-CN"/>
        </w:rPr>
        <w:t>固态硅酸钠、水为原材料，经提升、加热调配、放料等工序生产2</w:t>
      </w:r>
      <w:r>
        <w:rPr>
          <w:rFonts w:hint="eastAsia" w:ascii="仿宋" w:hAnsi="仿宋" w:eastAsia="仿宋" w:cs="仿宋"/>
          <w:b w:val="0"/>
          <w:bCs w:val="0"/>
          <w:sz w:val="32"/>
          <w:szCs w:val="32"/>
          <w:highlight w:val="none"/>
          <w:u w:val="none" w:color="auto"/>
          <w:lang w:val="en-US" w:eastAsia="zh-CN"/>
        </w:rPr>
        <w:t>万t/a液态硅酸钠；以液碱、石英砂</w:t>
      </w:r>
      <w:r>
        <w:rPr>
          <w:rFonts w:hint="eastAsia" w:ascii="仿宋" w:hAnsi="仿宋" w:eastAsia="仿宋" w:cs="仿宋"/>
          <w:b w:val="0"/>
          <w:bCs w:val="0"/>
          <w:color w:val="auto"/>
          <w:sz w:val="32"/>
          <w:szCs w:val="32"/>
          <w:highlight w:val="none"/>
          <w:u w:val="none" w:color="auto"/>
          <w:lang w:val="en-US" w:eastAsia="zh-CN"/>
        </w:rPr>
        <w:t>等为原辅材料，经混合、反应、压滤工序生产0.36</w:t>
      </w:r>
      <w:r>
        <w:rPr>
          <w:rFonts w:hint="eastAsia" w:ascii="仿宋" w:hAnsi="仿宋" w:eastAsia="仿宋" w:cs="仿宋"/>
          <w:b w:val="0"/>
          <w:bCs w:val="0"/>
          <w:sz w:val="32"/>
          <w:szCs w:val="32"/>
          <w:highlight w:val="none"/>
          <w:u w:val="none" w:color="auto"/>
          <w:lang w:val="en-US" w:eastAsia="zh-CN"/>
        </w:rPr>
        <w:t>万t/a液态硅酸钠</w:t>
      </w:r>
      <w:r>
        <w:rPr>
          <w:rFonts w:hint="eastAsia" w:ascii="仿宋" w:hAnsi="仿宋" w:eastAsia="仿宋" w:cs="仿宋"/>
          <w:b w:val="0"/>
          <w:bCs w:val="0"/>
          <w:color w:val="auto"/>
          <w:sz w:val="32"/>
          <w:szCs w:val="32"/>
          <w:highlight w:val="none"/>
          <w:u w:val="none" w:color="auto"/>
          <w:lang w:val="en-US" w:eastAsia="zh-CN"/>
        </w:rPr>
        <w:t>；合计产能为2.36万t/a液态硅酸钠。</w:t>
      </w:r>
      <w:r>
        <w:rPr>
          <w:rFonts w:hint="eastAsia" w:ascii="仿宋" w:hAnsi="仿宋" w:eastAsia="仿宋" w:cs="仿宋"/>
          <w:b w:val="0"/>
          <w:bCs w:val="0"/>
          <w:color w:val="auto"/>
          <w:kern w:val="2"/>
          <w:sz w:val="32"/>
          <w:szCs w:val="32"/>
          <w:highlight w:val="none"/>
          <w:u w:val="none" w:color="auto"/>
          <w:lang w:val="en-US" w:eastAsia="zh-CN" w:bidi="ar"/>
        </w:rPr>
        <w:t>根据</w:t>
      </w:r>
      <w:r>
        <w:rPr>
          <w:rFonts w:hint="eastAsia" w:ascii="仿宋" w:hAnsi="仿宋" w:eastAsia="仿宋" w:cs="仿宋"/>
          <w:b w:val="0"/>
          <w:bCs w:val="0"/>
          <w:color w:val="auto"/>
          <w:sz w:val="32"/>
          <w:szCs w:val="32"/>
          <w:highlight w:val="none"/>
          <w:u w:val="none" w:color="auto"/>
          <w:lang w:val="en-US" w:eastAsia="zh-CN"/>
        </w:rPr>
        <w:t>湖南省通羿环保科技有限公司</w:t>
      </w:r>
      <w:r>
        <w:rPr>
          <w:rFonts w:hint="eastAsia" w:ascii="仿宋" w:hAnsi="仿宋" w:eastAsia="仿宋" w:cs="仿宋"/>
          <w:b w:val="0"/>
          <w:bCs w:val="0"/>
          <w:color w:val="auto"/>
          <w:kern w:val="2"/>
          <w:sz w:val="32"/>
          <w:szCs w:val="32"/>
          <w:highlight w:val="none"/>
          <w:u w:val="none" w:color="auto"/>
          <w:lang w:val="en-US" w:eastAsia="zh-CN" w:bidi="ar"/>
        </w:rPr>
        <w:t>编制的《</w:t>
      </w:r>
      <w:r>
        <w:rPr>
          <w:rFonts w:hint="eastAsia" w:ascii="仿宋" w:hAnsi="仿宋" w:eastAsia="仿宋" w:cs="仿宋"/>
          <w:b w:val="0"/>
          <w:bCs w:val="0"/>
          <w:color w:val="auto"/>
          <w:spacing w:val="0"/>
          <w:sz w:val="32"/>
          <w:szCs w:val="32"/>
          <w:highlight w:val="none"/>
          <w:u w:val="none" w:color="auto"/>
        </w:rPr>
        <w:t>湖南金力泰新材料科技有限公司硅酸钠生产建设项目（年产92000t固态硅酸钠、23600t液态硅酸钠）</w:t>
      </w:r>
      <w:r>
        <w:rPr>
          <w:rFonts w:hint="eastAsia" w:ascii="仿宋" w:hAnsi="仿宋" w:eastAsia="仿宋" w:cs="仿宋"/>
          <w:b w:val="0"/>
          <w:bCs w:val="0"/>
          <w:color w:val="auto"/>
          <w:sz w:val="32"/>
          <w:szCs w:val="32"/>
          <w:highlight w:val="none"/>
          <w:u w:val="none" w:color="auto"/>
        </w:rPr>
        <w:t>环境影响报告书</w:t>
      </w:r>
      <w:r>
        <w:rPr>
          <w:rFonts w:hint="eastAsia" w:ascii="仿宋" w:hAnsi="仿宋" w:eastAsia="仿宋" w:cs="仿宋"/>
          <w:b w:val="0"/>
          <w:bCs w:val="0"/>
          <w:color w:val="auto"/>
          <w:kern w:val="2"/>
          <w:sz w:val="32"/>
          <w:szCs w:val="32"/>
          <w:highlight w:val="none"/>
          <w:u w:val="none" w:color="auto"/>
          <w:lang w:val="en-US" w:eastAsia="zh-CN" w:bidi="ar"/>
        </w:rPr>
        <w:t>》（报批稿）基本内容、结论和专家评审意见及岳阳市生态环境局岳阳县分局预审意见，从环境保护角度考虑，我局原则同意你公司环境影响报告书中所列建设项目的环境影响评价结论和环境保护对策措施。</w:t>
      </w:r>
    </w:p>
    <w:p w14:paraId="2761EB2E">
      <w:pPr>
        <w:keepNext w:val="0"/>
        <w:keepLines w:val="0"/>
        <w:pageBreakBefore w:val="0"/>
        <w:widowControl w:val="0"/>
        <w:numPr>
          <w:ilvl w:val="0"/>
          <w:numId w:val="1"/>
        </w:numPr>
        <w:suppressLineNumbers w:val="0"/>
        <w:kinsoku/>
        <w:wordWrap w:val="0"/>
        <w:overflowPunct/>
        <w:topLinePunct/>
        <w:autoSpaceDE/>
        <w:autoSpaceDN/>
        <w:bidi w:val="0"/>
        <w:adjustRightInd w:val="0"/>
        <w:snapToGrid w:val="0"/>
        <w:spacing w:before="0" w:beforeAutospacing="0" w:after="0" w:afterAutospacing="0" w:line="480" w:lineRule="exact"/>
        <w:ind w:left="0" w:right="0" w:firstLine="640" w:firstLineChars="200"/>
        <w:jc w:val="both"/>
        <w:textAlignment w:val="auto"/>
        <w:rPr>
          <w:rFonts w:hint="eastAsia" w:ascii="仿宋" w:hAnsi="仿宋" w:eastAsia="仿宋" w:cs="仿宋"/>
          <w:b w:val="0"/>
          <w:bCs w:val="0"/>
          <w:color w:val="auto"/>
          <w:sz w:val="32"/>
          <w:szCs w:val="32"/>
          <w:highlight w:val="none"/>
          <w:u w:val="none" w:color="auto"/>
          <w:lang w:val="en-US" w:eastAsia="zh-CN"/>
        </w:rPr>
      </w:pPr>
      <w:r>
        <w:rPr>
          <w:rFonts w:hint="eastAsia" w:ascii="仿宋" w:hAnsi="仿宋" w:eastAsia="仿宋" w:cs="仿宋"/>
          <w:b w:val="0"/>
          <w:bCs w:val="0"/>
          <w:color w:val="auto"/>
          <w:kern w:val="2"/>
          <w:sz w:val="32"/>
          <w:szCs w:val="32"/>
          <w:highlight w:val="none"/>
          <w:u w:val="none" w:color="auto"/>
          <w:lang w:val="en-US" w:eastAsia="zh-CN" w:bidi="ar"/>
        </w:rPr>
        <w:t>认真落实专家及环境影响报告书中提出的各项污染防治措施，并应着重注意以下问题：</w:t>
      </w:r>
    </w:p>
    <w:p w14:paraId="34E66D47">
      <w:pPr>
        <w:keepNext w:val="0"/>
        <w:keepLines w:val="0"/>
        <w:pageBreakBefore w:val="0"/>
        <w:widowControl/>
        <w:numPr>
          <w:ilvl w:val="3"/>
          <w:numId w:val="0"/>
        </w:numPr>
        <w:tabs>
          <w:tab w:val="left" w:pos="1260"/>
          <w:tab w:val="left" w:pos="1680"/>
        </w:tabs>
        <w:wordWrap w:val="0"/>
        <w:autoSpaceDE/>
        <w:autoSpaceDN/>
        <w:bidi w:val="0"/>
        <w:spacing w:before="0" w:beforeLines="0" w:after="0" w:afterLines="0" w:line="480" w:lineRule="exact"/>
        <w:ind w:firstLine="640" w:firstLineChars="200"/>
        <w:jc w:val="both"/>
        <w:textAlignment w:val="auto"/>
        <w:outlineLvl w:val="5"/>
        <w:rPr>
          <w:rFonts w:hint="eastAsia" w:ascii="仿宋" w:hAnsi="仿宋" w:eastAsia="仿宋" w:cs="仿宋"/>
          <w:b w:val="0"/>
          <w:bCs w:val="0"/>
          <w:color w:val="auto"/>
          <w:kern w:val="0"/>
          <w:sz w:val="32"/>
          <w:szCs w:val="32"/>
          <w:highlight w:val="none"/>
          <w:u w:val="none" w:color="auto"/>
          <w:lang w:val="en-US" w:eastAsia="zh-CN" w:bidi="ar-SA"/>
        </w:rPr>
      </w:pPr>
      <w:r>
        <w:rPr>
          <w:rFonts w:hint="eastAsia" w:ascii="仿宋" w:hAnsi="仿宋" w:eastAsia="仿宋" w:cs="仿宋"/>
          <w:b w:val="0"/>
          <w:bCs w:val="0"/>
          <w:color w:val="auto"/>
          <w:sz w:val="32"/>
          <w:szCs w:val="32"/>
          <w:highlight w:val="none"/>
          <w:u w:val="none" w:color="auto"/>
          <w:lang w:val="en-US" w:eastAsia="zh-CN"/>
        </w:rPr>
        <w:t>1</w:t>
      </w:r>
      <w:r>
        <w:rPr>
          <w:rFonts w:hint="eastAsia" w:ascii="仿宋" w:hAnsi="仿宋" w:eastAsia="仿宋" w:cs="仿宋"/>
          <w:b w:val="0"/>
          <w:bCs w:val="0"/>
          <w:color w:val="auto"/>
          <w:kern w:val="0"/>
          <w:sz w:val="32"/>
          <w:szCs w:val="32"/>
          <w:highlight w:val="none"/>
          <w:u w:val="none" w:color="auto"/>
          <w:lang w:val="en-US" w:eastAsia="zh-CN" w:bidi="ar-SA"/>
        </w:rPr>
        <w:t>、切实做好施工期环境保护工作，减少水土流失。落实施工期间各项污染防治措施，减小施工期间施工噪声、废气、废水及固体废物等对周边环境产生的不利影响。</w:t>
      </w:r>
    </w:p>
    <w:p w14:paraId="0A819D34">
      <w:pPr>
        <w:keepNext w:val="0"/>
        <w:keepLines w:val="0"/>
        <w:pageBreakBefore w:val="0"/>
        <w:widowControl/>
        <w:suppressLineNumbers w:val="0"/>
        <w:autoSpaceDE/>
        <w:autoSpaceDN/>
        <w:bidi w:val="0"/>
        <w:spacing w:line="480" w:lineRule="exact"/>
        <w:ind w:firstLine="640" w:firstLineChars="200"/>
        <w:jc w:val="left"/>
        <w:textAlignment w:val="auto"/>
        <w:rPr>
          <w:rFonts w:hint="eastAsia" w:ascii="仿宋" w:hAnsi="仿宋" w:eastAsia="仿宋" w:cs="仿宋"/>
          <w:bCs/>
          <w:color w:val="auto"/>
          <w:sz w:val="32"/>
          <w:szCs w:val="32"/>
          <w:highlight w:val="none"/>
          <w:u w:val="none" w:color="auto"/>
          <w:lang w:val="en-US" w:eastAsia="zh-CN"/>
        </w:rPr>
      </w:pPr>
      <w:r>
        <w:rPr>
          <w:rFonts w:hint="eastAsia" w:ascii="仿宋" w:hAnsi="仿宋" w:eastAsia="仿宋" w:cs="仿宋"/>
          <w:b w:val="0"/>
          <w:bCs w:val="0"/>
          <w:color w:val="auto"/>
          <w:kern w:val="2"/>
          <w:sz w:val="32"/>
          <w:szCs w:val="32"/>
          <w:highlight w:val="none"/>
          <w:u w:val="none" w:color="auto"/>
          <w:lang w:val="en-US" w:eastAsia="zh-CN" w:bidi="ar"/>
        </w:rPr>
        <w:t>2、加强营运期大气污染防治。</w:t>
      </w:r>
      <w:r>
        <w:rPr>
          <w:rFonts w:hint="eastAsia" w:ascii="仿宋" w:hAnsi="仿宋" w:eastAsia="仿宋" w:cs="仿宋"/>
          <w:b w:val="0"/>
          <w:bCs w:val="0"/>
          <w:color w:val="auto"/>
          <w:sz w:val="32"/>
          <w:szCs w:val="32"/>
          <w:highlight w:val="none"/>
          <w:u w:val="none" w:color="auto"/>
          <w:lang w:val="en-US" w:eastAsia="zh-CN"/>
        </w:rPr>
        <w:t>干法生产工艺混料产生的颗粒物经收集处理后，通过19m高排气筒（DA001）达标排放；熔制</w:t>
      </w:r>
      <w:r>
        <w:rPr>
          <w:rFonts w:hint="eastAsia" w:ascii="仿宋" w:hAnsi="仿宋" w:eastAsia="仿宋" w:cs="仿宋"/>
          <w:b w:val="0"/>
          <w:bCs w:val="0"/>
          <w:color w:val="auto"/>
          <w:kern w:val="0"/>
          <w:sz w:val="32"/>
          <w:szCs w:val="32"/>
          <w:highlight w:val="none"/>
          <w:u w:val="none" w:color="auto"/>
          <w:lang w:val="en-US" w:eastAsia="zh-CN"/>
        </w:rPr>
        <w:t>产生的窑炉烟气（</w:t>
      </w:r>
      <w:r>
        <w:rPr>
          <w:rFonts w:hint="eastAsia" w:ascii="仿宋" w:hAnsi="仿宋" w:eastAsia="仿宋" w:cs="仿宋"/>
          <w:b w:val="0"/>
          <w:bCs w:val="0"/>
          <w:color w:val="auto"/>
          <w:sz w:val="32"/>
          <w:szCs w:val="32"/>
          <w:highlight w:val="none"/>
          <w:u w:val="none" w:color="auto"/>
          <w:lang w:val="en-US" w:eastAsia="zh-CN"/>
        </w:rPr>
        <w:t>颗粒物、</w:t>
      </w:r>
      <w:r>
        <w:rPr>
          <w:rFonts w:hint="eastAsia" w:ascii="仿宋" w:hAnsi="仿宋" w:eastAsia="仿宋" w:cs="仿宋"/>
          <w:b w:val="0"/>
          <w:bCs w:val="0"/>
          <w:i w:val="0"/>
          <w:iCs w:val="0"/>
          <w:color w:val="auto"/>
          <w:kern w:val="2"/>
          <w:sz w:val="32"/>
          <w:szCs w:val="32"/>
          <w:highlight w:val="none"/>
          <w:u w:val="none" w:color="auto"/>
          <w:lang w:val="en-US" w:eastAsia="zh-CN" w:bidi="ar-SA"/>
        </w:rPr>
        <w:t>氮氧化物、二氧化硫）</w:t>
      </w:r>
      <w:r>
        <w:rPr>
          <w:rFonts w:hint="eastAsia" w:ascii="仿宋" w:hAnsi="仿宋" w:eastAsia="仿宋" w:cs="仿宋"/>
          <w:b w:val="0"/>
          <w:bCs w:val="0"/>
          <w:color w:val="auto"/>
          <w:kern w:val="0"/>
          <w:sz w:val="32"/>
          <w:szCs w:val="32"/>
          <w:highlight w:val="none"/>
          <w:u w:val="none" w:color="auto"/>
          <w:lang w:val="en-US" w:eastAsia="zh-CN"/>
        </w:rPr>
        <w:t>经与</w:t>
      </w:r>
      <w:r>
        <w:rPr>
          <w:rFonts w:hint="eastAsia" w:ascii="仿宋" w:hAnsi="仿宋" w:eastAsia="仿宋" w:cs="仿宋"/>
          <w:b w:val="0"/>
          <w:bCs w:val="0"/>
          <w:color w:val="000000"/>
          <w:kern w:val="0"/>
          <w:sz w:val="32"/>
          <w:szCs w:val="32"/>
          <w:highlight w:val="none"/>
          <w:u w:val="none" w:color="auto"/>
          <w:lang w:val="en-US" w:eastAsia="zh-CN" w:bidi="ar"/>
        </w:rPr>
        <w:t>脱硝处理过程中未完全反应的氨经</w:t>
      </w:r>
      <w:r>
        <w:rPr>
          <w:rFonts w:hint="eastAsia" w:ascii="仿宋" w:hAnsi="仿宋" w:eastAsia="仿宋" w:cs="仿宋"/>
          <w:b w:val="0"/>
          <w:bCs w:val="0"/>
          <w:color w:val="auto"/>
          <w:sz w:val="32"/>
          <w:szCs w:val="32"/>
          <w:highlight w:val="none"/>
          <w:u w:val="none" w:color="auto"/>
          <w:lang w:val="en-US" w:eastAsia="zh-CN"/>
        </w:rPr>
        <w:t>收集处理后，通过19m高排气筒（DA002）达标排放；</w:t>
      </w:r>
      <w:r>
        <w:rPr>
          <w:rFonts w:hint="eastAsia" w:ascii="仿宋" w:hAnsi="仿宋" w:eastAsia="仿宋" w:cs="仿宋"/>
          <w:b w:val="0"/>
          <w:bCs w:val="0"/>
          <w:color w:val="000000"/>
          <w:kern w:val="0"/>
          <w:sz w:val="32"/>
          <w:szCs w:val="32"/>
          <w:highlight w:val="none"/>
          <w:u w:val="none" w:color="auto"/>
          <w:lang w:val="en-US" w:eastAsia="zh-CN" w:bidi="ar"/>
        </w:rPr>
        <w:t>食堂油烟废气通过油烟净化器净化后至屋顶外排</w:t>
      </w:r>
      <w:r>
        <w:rPr>
          <w:rFonts w:hint="eastAsia" w:ascii="仿宋" w:hAnsi="仿宋" w:eastAsia="仿宋" w:cs="仿宋"/>
          <w:b w:val="0"/>
          <w:bCs w:val="0"/>
          <w:color w:val="auto"/>
          <w:sz w:val="32"/>
          <w:szCs w:val="32"/>
          <w:highlight w:val="none"/>
          <w:u w:val="none" w:color="auto"/>
          <w:lang w:val="en-US" w:eastAsia="zh-CN"/>
        </w:rPr>
        <w:t>。颗粒物、氮氧化物和二氧化硫执行</w:t>
      </w:r>
      <w:r>
        <w:rPr>
          <w:rFonts w:hint="eastAsia" w:ascii="仿宋" w:hAnsi="仿宋" w:eastAsia="仿宋" w:cs="仿宋"/>
          <w:b w:val="0"/>
          <w:bCs w:val="0"/>
          <w:color w:val="auto"/>
          <w:sz w:val="32"/>
          <w:szCs w:val="32"/>
          <w:highlight w:val="none"/>
          <w:u w:val="none" w:color="auto"/>
        </w:rPr>
        <w:t>《无机化学工业污染物排</w:t>
      </w:r>
      <w:r>
        <w:rPr>
          <w:rFonts w:hint="eastAsia" w:ascii="仿宋" w:hAnsi="仿宋" w:eastAsia="仿宋" w:cs="仿宋"/>
          <w:b w:val="0"/>
          <w:bCs w:val="0"/>
          <w:color w:val="auto"/>
          <w:sz w:val="32"/>
          <w:szCs w:val="32"/>
          <w:highlight w:val="none"/>
          <w:u w:val="none" w:color="auto"/>
          <w:lang w:eastAsia="zh-CN"/>
        </w:rPr>
        <w:t>放标</w:t>
      </w:r>
      <w:r>
        <w:rPr>
          <w:rFonts w:hint="eastAsia" w:ascii="仿宋" w:hAnsi="仿宋" w:eastAsia="仿宋" w:cs="仿宋"/>
          <w:b w:val="0"/>
          <w:bCs w:val="0"/>
          <w:color w:val="auto"/>
          <w:sz w:val="32"/>
          <w:szCs w:val="32"/>
          <w:highlight w:val="none"/>
          <w:u w:val="none" w:color="auto"/>
        </w:rPr>
        <w:t>准》</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rPr>
        <w:t>GB31573-2015</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rPr>
        <w:t>及其修改单</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rPr>
        <w:t>生态环境部公告2020年第71号</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中的表4大气污染物特别排放限值；</w:t>
      </w:r>
      <w:r>
        <w:rPr>
          <w:rFonts w:hint="eastAsia" w:ascii="仿宋" w:hAnsi="仿宋" w:eastAsia="仿宋" w:cs="仿宋"/>
          <w:bCs/>
          <w:color w:val="auto"/>
          <w:sz w:val="32"/>
          <w:szCs w:val="32"/>
          <w:highlight w:val="none"/>
          <w:u w:val="none" w:color="auto"/>
          <w:lang w:val="en-US" w:eastAsia="zh-CN"/>
        </w:rPr>
        <w:t>氨执行</w:t>
      </w:r>
      <w:r>
        <w:rPr>
          <w:rFonts w:hint="eastAsia" w:ascii="仿宋" w:hAnsi="仿宋" w:eastAsia="仿宋" w:cs="仿宋"/>
          <w:bCs/>
          <w:color w:val="auto"/>
          <w:sz w:val="32"/>
          <w:szCs w:val="32"/>
          <w:highlight w:val="none"/>
          <w:u w:val="none" w:color="auto"/>
        </w:rPr>
        <w:t>《无机化学工业污染物排</w:t>
      </w:r>
      <w:r>
        <w:rPr>
          <w:rFonts w:hint="eastAsia" w:ascii="仿宋" w:hAnsi="仿宋" w:eastAsia="仿宋" w:cs="仿宋"/>
          <w:bCs/>
          <w:color w:val="auto"/>
          <w:sz w:val="32"/>
          <w:szCs w:val="32"/>
          <w:highlight w:val="none"/>
          <w:u w:val="none" w:color="auto"/>
          <w:lang w:eastAsia="zh-CN"/>
        </w:rPr>
        <w:t>放标</w:t>
      </w:r>
      <w:r>
        <w:rPr>
          <w:rFonts w:hint="eastAsia" w:ascii="仿宋" w:hAnsi="仿宋" w:eastAsia="仿宋" w:cs="仿宋"/>
          <w:bCs/>
          <w:color w:val="auto"/>
          <w:sz w:val="32"/>
          <w:szCs w:val="32"/>
          <w:highlight w:val="none"/>
          <w:u w:val="none" w:color="auto"/>
        </w:rPr>
        <w:t>准》</w:t>
      </w:r>
      <w:r>
        <w:rPr>
          <w:rFonts w:hint="eastAsia" w:ascii="仿宋" w:hAnsi="仿宋" w:eastAsia="仿宋" w:cs="仿宋"/>
          <w:bCs/>
          <w:color w:val="auto"/>
          <w:sz w:val="32"/>
          <w:szCs w:val="32"/>
          <w:highlight w:val="none"/>
          <w:u w:val="none" w:color="auto"/>
          <w:lang w:eastAsia="zh-CN"/>
        </w:rPr>
        <w:t>（</w:t>
      </w:r>
      <w:r>
        <w:rPr>
          <w:rFonts w:hint="eastAsia" w:ascii="仿宋" w:hAnsi="仿宋" w:eastAsia="仿宋" w:cs="仿宋"/>
          <w:bCs/>
          <w:color w:val="auto"/>
          <w:sz w:val="32"/>
          <w:szCs w:val="32"/>
          <w:highlight w:val="none"/>
          <w:u w:val="none" w:color="auto"/>
        </w:rPr>
        <w:t>GB31573-2015</w:t>
      </w:r>
      <w:r>
        <w:rPr>
          <w:rFonts w:hint="eastAsia" w:ascii="仿宋" w:hAnsi="仿宋" w:eastAsia="仿宋" w:cs="仿宋"/>
          <w:bCs/>
          <w:color w:val="auto"/>
          <w:sz w:val="32"/>
          <w:szCs w:val="32"/>
          <w:highlight w:val="none"/>
          <w:u w:val="none" w:color="auto"/>
          <w:lang w:eastAsia="zh-CN"/>
        </w:rPr>
        <w:t>）</w:t>
      </w:r>
      <w:r>
        <w:rPr>
          <w:rFonts w:hint="eastAsia" w:ascii="仿宋" w:hAnsi="仿宋" w:eastAsia="仿宋" w:cs="仿宋"/>
          <w:bCs/>
          <w:color w:val="auto"/>
          <w:sz w:val="32"/>
          <w:szCs w:val="32"/>
          <w:highlight w:val="none"/>
          <w:u w:val="none" w:color="auto"/>
        </w:rPr>
        <w:t>及其修改单</w:t>
      </w:r>
      <w:r>
        <w:rPr>
          <w:rFonts w:hint="eastAsia" w:ascii="仿宋" w:hAnsi="仿宋" w:eastAsia="仿宋" w:cs="仿宋"/>
          <w:bCs/>
          <w:color w:val="auto"/>
          <w:sz w:val="32"/>
          <w:szCs w:val="32"/>
          <w:highlight w:val="none"/>
          <w:u w:val="none" w:color="auto"/>
          <w:lang w:eastAsia="zh-CN"/>
        </w:rPr>
        <w:t>（</w:t>
      </w:r>
      <w:r>
        <w:rPr>
          <w:rFonts w:hint="eastAsia" w:ascii="仿宋" w:hAnsi="仿宋" w:eastAsia="仿宋" w:cs="仿宋"/>
          <w:bCs/>
          <w:color w:val="auto"/>
          <w:sz w:val="32"/>
          <w:szCs w:val="32"/>
          <w:highlight w:val="none"/>
          <w:u w:val="none" w:color="auto"/>
        </w:rPr>
        <w:t>生态环境部公告2020年第71号</w:t>
      </w:r>
      <w:r>
        <w:rPr>
          <w:rFonts w:hint="eastAsia" w:ascii="仿宋" w:hAnsi="仿宋" w:eastAsia="仿宋" w:cs="仿宋"/>
          <w:bCs/>
          <w:color w:val="auto"/>
          <w:sz w:val="32"/>
          <w:szCs w:val="32"/>
          <w:highlight w:val="none"/>
          <w:u w:val="none" w:color="auto"/>
          <w:lang w:eastAsia="zh-CN"/>
        </w:rPr>
        <w:t>）</w:t>
      </w:r>
      <w:r>
        <w:rPr>
          <w:rFonts w:hint="eastAsia" w:ascii="仿宋" w:hAnsi="仿宋" w:eastAsia="仿宋" w:cs="仿宋"/>
          <w:bCs/>
          <w:color w:val="auto"/>
          <w:sz w:val="32"/>
          <w:szCs w:val="32"/>
          <w:highlight w:val="none"/>
          <w:u w:val="none" w:color="auto"/>
          <w:lang w:val="en-US" w:eastAsia="zh-CN"/>
        </w:rPr>
        <w:t>中的表3大气污染物排放限值。</w:t>
      </w:r>
    </w:p>
    <w:p w14:paraId="62A6E355">
      <w:pPr>
        <w:keepNext w:val="0"/>
        <w:keepLines w:val="0"/>
        <w:pageBreakBefore w:val="0"/>
        <w:widowControl/>
        <w:suppressLineNumbers w:val="0"/>
        <w:wordWrap w:val="0"/>
        <w:autoSpaceDE/>
        <w:autoSpaceDN/>
        <w:bidi w:val="0"/>
        <w:spacing w:line="480" w:lineRule="exact"/>
        <w:jc w:val="left"/>
        <w:textAlignment w:val="auto"/>
        <w:rPr>
          <w:rFonts w:hint="eastAsia" w:ascii="仿宋" w:hAnsi="仿宋" w:eastAsia="仿宋" w:cs="仿宋"/>
          <w:b w:val="0"/>
          <w:bCs w:val="0"/>
          <w:color w:val="auto"/>
          <w:sz w:val="32"/>
          <w:szCs w:val="32"/>
          <w:highlight w:val="none"/>
          <w:u w:val="none" w:color="auto"/>
          <w:lang w:val="en-US" w:eastAsia="zh-CN"/>
        </w:rPr>
      </w:pPr>
      <w:r>
        <w:rPr>
          <w:rFonts w:hint="eastAsia" w:ascii="仿宋" w:hAnsi="仿宋" w:eastAsia="仿宋" w:cs="仿宋"/>
          <w:b w:val="0"/>
          <w:bCs w:val="0"/>
          <w:color w:val="auto"/>
          <w:sz w:val="32"/>
          <w:szCs w:val="32"/>
          <w:highlight w:val="none"/>
          <w:u w:val="none" w:color="auto"/>
          <w:lang w:val="en-US" w:eastAsia="zh-CN"/>
        </w:rPr>
        <w:t>食堂油烟排放参照《饮食业油烟排放标准（试行）》（GB18483-2001）中最高允许排放浓度。</w:t>
      </w:r>
    </w:p>
    <w:p w14:paraId="5959E11B">
      <w:pPr>
        <w:keepNext w:val="0"/>
        <w:keepLines w:val="0"/>
        <w:pageBreakBefore w:val="0"/>
        <w:widowControl/>
        <w:suppressLineNumbers w:val="0"/>
        <w:wordWrap w:val="0"/>
        <w:autoSpaceDE/>
        <w:autoSpaceDN/>
        <w:bidi w:val="0"/>
        <w:spacing w:line="480" w:lineRule="exact"/>
        <w:ind w:firstLine="640" w:firstLineChars="200"/>
        <w:jc w:val="left"/>
        <w:textAlignment w:val="auto"/>
        <w:rPr>
          <w:rFonts w:hint="eastAsia" w:ascii="仿宋" w:hAnsi="仿宋" w:eastAsia="仿宋" w:cs="仿宋"/>
          <w:b w:val="0"/>
          <w:bCs w:val="0"/>
          <w:color w:val="0000FF"/>
          <w:sz w:val="32"/>
          <w:szCs w:val="32"/>
          <w:highlight w:val="none"/>
          <w:u w:val="none" w:color="auto"/>
          <w:lang w:eastAsia="zh-CN"/>
        </w:rPr>
      </w:pPr>
      <w:r>
        <w:rPr>
          <w:rFonts w:hint="eastAsia" w:ascii="仿宋" w:hAnsi="仿宋" w:eastAsia="仿宋" w:cs="仿宋"/>
          <w:b w:val="0"/>
          <w:bCs w:val="0"/>
          <w:color w:val="auto"/>
          <w:sz w:val="32"/>
          <w:szCs w:val="32"/>
          <w:highlight w:val="none"/>
          <w:u w:val="none" w:color="auto"/>
          <w:lang w:eastAsia="zh-CN"/>
        </w:rPr>
        <w:t>加强无组织废气污染防治。</w:t>
      </w:r>
      <w:r>
        <w:rPr>
          <w:rFonts w:hint="eastAsia" w:ascii="仿宋" w:hAnsi="仿宋" w:eastAsia="仿宋" w:cs="仿宋"/>
          <w:b w:val="0"/>
          <w:bCs w:val="0"/>
          <w:sz w:val="32"/>
          <w:szCs w:val="32"/>
          <w:highlight w:val="none"/>
          <w:u w:val="none" w:color="auto"/>
          <w:lang w:val="en-US" w:eastAsia="zh-CN"/>
        </w:rPr>
        <w:t>原料卸料工序采取在密闭仓库内进行；氨水储罐</w:t>
      </w:r>
      <w:r>
        <w:rPr>
          <w:rFonts w:hint="eastAsia" w:ascii="仿宋" w:hAnsi="仿宋" w:eastAsia="仿宋" w:cs="仿宋"/>
          <w:b w:val="0"/>
          <w:bCs w:val="0"/>
          <w:color w:val="auto"/>
          <w:sz w:val="32"/>
          <w:szCs w:val="32"/>
          <w:highlight w:val="none"/>
          <w:u w:val="none" w:color="auto"/>
        </w:rPr>
        <w:t>采用密闭式设计</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sz w:val="32"/>
          <w:szCs w:val="32"/>
          <w:highlight w:val="none"/>
          <w:u w:val="none" w:color="auto"/>
          <w:lang w:val="en-US" w:eastAsia="zh-CN"/>
        </w:rPr>
        <w:t>加强密闭及日常管理措施</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kern w:val="2"/>
          <w:sz w:val="32"/>
          <w:szCs w:val="32"/>
          <w:highlight w:val="none"/>
          <w:u w:val="none" w:color="auto"/>
          <w:lang w:val="en-US" w:eastAsia="zh-CN" w:bidi="ar"/>
        </w:rPr>
        <w:t>定期对设备、管道、阀门等进行维护和管理，杜绝生产过程中的跑、冒、滴、漏，最大限度减少生产过程中的废气无组织排放,确保厂界颗粒物满足</w:t>
      </w:r>
      <w:r>
        <w:rPr>
          <w:rFonts w:hint="eastAsia" w:ascii="仿宋" w:hAnsi="仿宋" w:eastAsia="仿宋" w:cs="仿宋"/>
          <w:b w:val="0"/>
          <w:bCs w:val="0"/>
          <w:color w:val="auto"/>
          <w:sz w:val="32"/>
          <w:szCs w:val="32"/>
          <w:highlight w:val="none"/>
          <w:u w:val="none" w:color="auto"/>
          <w:lang w:val="en-US" w:eastAsia="zh-CN"/>
        </w:rPr>
        <w:t>《大气污染物综合排放标准》（GB16297--1996）中表2无组织排放监控浓度限值要求</w:t>
      </w:r>
      <w:r>
        <w:rPr>
          <w:rFonts w:hint="eastAsia" w:ascii="仿宋" w:hAnsi="仿宋" w:eastAsia="仿宋" w:cs="仿宋"/>
          <w:b w:val="0"/>
          <w:bCs w:val="0"/>
          <w:color w:val="0000FF"/>
          <w:sz w:val="32"/>
          <w:szCs w:val="32"/>
          <w:highlight w:val="none"/>
          <w:u w:val="none" w:color="auto"/>
          <w:lang w:val="en-US" w:eastAsia="zh-CN"/>
        </w:rPr>
        <w:t>；</w:t>
      </w:r>
      <w:r>
        <w:rPr>
          <w:rFonts w:hint="eastAsia" w:ascii="仿宋" w:hAnsi="仿宋" w:eastAsia="仿宋" w:cs="仿宋"/>
          <w:b w:val="0"/>
          <w:bCs w:val="0"/>
          <w:color w:val="auto"/>
          <w:sz w:val="32"/>
          <w:szCs w:val="32"/>
          <w:highlight w:val="none"/>
          <w:u w:val="none" w:color="auto"/>
          <w:lang w:val="en-US" w:eastAsia="zh-CN"/>
        </w:rPr>
        <w:t>氨满足《无机化学工业污染物排放标准》（GB31573-2015）</w:t>
      </w:r>
      <w:r>
        <w:rPr>
          <w:rFonts w:hint="eastAsia" w:ascii="仿宋" w:hAnsi="仿宋" w:eastAsia="仿宋" w:cs="仿宋"/>
          <w:b w:val="0"/>
          <w:bCs w:val="0"/>
          <w:color w:val="auto"/>
          <w:sz w:val="32"/>
          <w:szCs w:val="32"/>
          <w:highlight w:val="none"/>
          <w:u w:val="none" w:color="auto"/>
        </w:rPr>
        <w:t>及其修改单</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rPr>
        <w:t>生态环境部公告2020年第71号</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表5企业边界大气污染物排放限值。</w:t>
      </w:r>
    </w:p>
    <w:p w14:paraId="1EF696C9">
      <w:pPr>
        <w:keepNext w:val="0"/>
        <w:keepLines w:val="0"/>
        <w:pageBreakBefore w:val="0"/>
        <w:widowControl w:val="0"/>
        <w:suppressLineNumbers w:val="0"/>
        <w:wordWrap w:val="0"/>
        <w:autoSpaceDE/>
        <w:autoSpaceDN/>
        <w:bidi w:val="0"/>
        <w:spacing w:before="0" w:beforeAutospacing="0" w:after="0" w:afterAutospacing="0" w:line="480" w:lineRule="exact"/>
        <w:ind w:left="0" w:right="0" w:firstLine="640" w:firstLineChars="200"/>
        <w:jc w:val="both"/>
        <w:textAlignment w:val="auto"/>
        <w:rPr>
          <w:rFonts w:hint="eastAsia" w:ascii="仿宋" w:hAnsi="仿宋" w:eastAsia="仿宋" w:cs="仿宋"/>
          <w:b w:val="0"/>
          <w:bCs w:val="0"/>
          <w:color w:val="auto"/>
          <w:kern w:val="2"/>
          <w:sz w:val="32"/>
          <w:szCs w:val="32"/>
          <w:highlight w:val="none"/>
          <w:u w:val="none" w:color="auto"/>
          <w:lang w:val="en-US" w:eastAsia="zh-CN" w:bidi="ar-SA"/>
        </w:rPr>
      </w:pPr>
      <w:r>
        <w:rPr>
          <w:rFonts w:hint="eastAsia" w:ascii="仿宋" w:hAnsi="仿宋" w:eastAsia="仿宋" w:cs="仿宋"/>
          <w:b w:val="0"/>
          <w:bCs w:val="0"/>
          <w:color w:val="auto"/>
          <w:kern w:val="2"/>
          <w:sz w:val="32"/>
          <w:szCs w:val="32"/>
          <w:highlight w:val="none"/>
          <w:u w:val="none" w:color="auto"/>
          <w:lang w:val="en-US" w:eastAsia="zh-CN" w:bidi="ar"/>
        </w:rPr>
        <w:t>3、加强营运期水污染防治。严格按照“雨污分流、清污分流、污污分流”的原则规范建设厂区雨水及污水收集设施。</w:t>
      </w:r>
      <w:r>
        <w:rPr>
          <w:rFonts w:hint="eastAsia" w:ascii="仿宋" w:hAnsi="仿宋" w:eastAsia="仿宋" w:cs="仿宋"/>
          <w:b w:val="0"/>
          <w:bCs w:val="0"/>
          <w:color w:val="auto"/>
          <w:kern w:val="0"/>
          <w:sz w:val="32"/>
          <w:szCs w:val="32"/>
          <w:highlight w:val="none"/>
          <w:u w:val="none" w:color="auto"/>
          <w:lang w:val="en-US" w:eastAsia="zh-CN" w:bidi="ar"/>
        </w:rPr>
        <w:t>本项目生活污水经化粪池处理后，满足《污水综合排放标准》（GB8978-1996）中表4三级标准以及</w:t>
      </w:r>
      <w:r>
        <w:rPr>
          <w:rFonts w:hint="eastAsia" w:ascii="仿宋" w:hAnsi="仿宋" w:eastAsia="仿宋" w:cs="仿宋"/>
          <w:b w:val="0"/>
          <w:bCs w:val="0"/>
          <w:kern w:val="0"/>
          <w:sz w:val="32"/>
          <w:szCs w:val="32"/>
          <w:highlight w:val="none"/>
          <w:u w:val="none" w:color="auto"/>
          <w:lang w:val="en-US" w:eastAsia="zh-CN" w:bidi="ar"/>
        </w:rPr>
        <w:t>岳阳县长湖乡污水处理厂进水水质标准后，经岳阳县长湖乡污水处理厂深度处理后外排</w:t>
      </w:r>
      <w:r>
        <w:rPr>
          <w:rFonts w:hint="eastAsia" w:ascii="仿宋" w:hAnsi="仿宋" w:eastAsia="仿宋" w:cs="仿宋"/>
          <w:b w:val="0"/>
          <w:bCs w:val="0"/>
          <w:color w:val="auto"/>
          <w:kern w:val="0"/>
          <w:sz w:val="32"/>
          <w:szCs w:val="32"/>
          <w:highlight w:val="none"/>
          <w:u w:val="none" w:color="auto"/>
          <w:lang w:val="en-US" w:eastAsia="zh-CN" w:bidi="ar"/>
        </w:rPr>
        <w:t>新墙河</w:t>
      </w:r>
      <w:r>
        <w:rPr>
          <w:rFonts w:hint="eastAsia" w:ascii="仿宋" w:hAnsi="仿宋" w:eastAsia="仿宋" w:cs="仿宋"/>
          <w:b w:val="0"/>
          <w:bCs w:val="0"/>
          <w:kern w:val="0"/>
          <w:sz w:val="32"/>
          <w:szCs w:val="32"/>
          <w:highlight w:val="none"/>
          <w:u w:val="none" w:color="auto"/>
          <w:lang w:val="en-US" w:eastAsia="zh-CN" w:bidi="ar"/>
        </w:rPr>
        <w:t>，尾水执行</w:t>
      </w:r>
      <w:r>
        <w:rPr>
          <w:rFonts w:hint="eastAsia" w:ascii="仿宋" w:hAnsi="仿宋" w:eastAsia="仿宋" w:cs="仿宋"/>
          <w:b w:val="0"/>
          <w:bCs w:val="0"/>
          <w:color w:val="auto"/>
          <w:kern w:val="0"/>
          <w:sz w:val="32"/>
          <w:szCs w:val="32"/>
          <w:highlight w:val="none"/>
          <w:u w:val="none" w:color="auto"/>
          <w:lang w:val="en-US" w:eastAsia="zh-CN" w:bidi="ar"/>
        </w:rPr>
        <w:t>《城镇污水处理厂污染物排放标准》(GB18918-2002)一级A标准</w:t>
      </w:r>
      <w:r>
        <w:rPr>
          <w:rFonts w:hint="eastAsia" w:ascii="仿宋" w:hAnsi="仿宋" w:eastAsia="仿宋" w:cs="仿宋"/>
          <w:b w:val="0"/>
          <w:bCs w:val="0"/>
          <w:kern w:val="0"/>
          <w:sz w:val="32"/>
          <w:szCs w:val="32"/>
          <w:highlight w:val="none"/>
          <w:u w:val="none" w:color="auto"/>
          <w:lang w:val="en-US" w:eastAsia="zh-CN" w:bidi="ar"/>
        </w:rPr>
        <w:t>；锅炉废水和地面冲洗废水近期经沉淀预处理后由相关专业单位运送至岳阳高新技术产业园污水处理厂进行深度处理，进水执行岳阳高新技术产业园污水处理厂进水水质标准和《无机化学工业污染物排放标准》 (GB 31573-2015）及其修改单（生态环境部公告2020年第71号）中表1和表2间接排放限值（BOD</w:t>
      </w:r>
      <w:r>
        <w:rPr>
          <w:rFonts w:hint="eastAsia" w:ascii="仿宋" w:hAnsi="仿宋" w:eastAsia="仿宋" w:cs="仿宋"/>
          <w:b w:val="0"/>
          <w:bCs w:val="0"/>
          <w:kern w:val="0"/>
          <w:sz w:val="32"/>
          <w:szCs w:val="32"/>
          <w:highlight w:val="none"/>
          <w:u w:val="none" w:color="auto"/>
          <w:vertAlign w:val="subscript"/>
          <w:lang w:val="en-US" w:eastAsia="zh-CN" w:bidi="ar"/>
        </w:rPr>
        <w:t>5</w:t>
      </w:r>
      <w:r>
        <w:rPr>
          <w:rFonts w:hint="eastAsia" w:ascii="仿宋" w:hAnsi="仿宋" w:eastAsia="仿宋" w:cs="仿宋"/>
          <w:b w:val="0"/>
          <w:bCs w:val="0"/>
          <w:kern w:val="0"/>
          <w:sz w:val="32"/>
          <w:szCs w:val="32"/>
          <w:highlight w:val="none"/>
          <w:u w:val="none" w:color="auto"/>
          <w:lang w:val="en-US" w:eastAsia="zh-CN" w:bidi="ar"/>
        </w:rPr>
        <w:t>、SS、动植物油执行表1；COD、氨氮执行表2），</w:t>
      </w:r>
      <w:r>
        <w:rPr>
          <w:rFonts w:hint="eastAsia" w:ascii="仿宋" w:hAnsi="仿宋" w:eastAsia="仿宋" w:cs="仿宋"/>
          <w:b w:val="0"/>
          <w:bCs w:val="0"/>
          <w:color w:val="auto"/>
          <w:kern w:val="0"/>
          <w:sz w:val="32"/>
          <w:szCs w:val="32"/>
          <w:highlight w:val="none"/>
          <w:u w:val="none" w:color="auto"/>
          <w:lang w:val="en-US" w:eastAsia="zh-CN" w:bidi="ar"/>
        </w:rPr>
        <w:t>尾水执行《湖南省城镇污水处理厂主要水污染物排放标准》(DB43T 1546-2018)一级标准、其余未包含指标满足《城镇污水处理厂污染物排放标准》(GB18918-2002)一级A标准后排入新墙河。</w:t>
      </w:r>
      <w:r>
        <w:rPr>
          <w:rFonts w:hint="eastAsia" w:ascii="仿宋" w:hAnsi="仿宋" w:eastAsia="仿宋" w:cs="仿宋"/>
          <w:b w:val="0"/>
          <w:bCs w:val="0"/>
          <w:kern w:val="0"/>
          <w:sz w:val="32"/>
          <w:szCs w:val="32"/>
          <w:highlight w:val="none"/>
          <w:u w:val="none" w:color="auto"/>
          <w:lang w:val="en-US" w:eastAsia="zh-CN" w:bidi="ar"/>
        </w:rPr>
        <w:t>远期待园区洪山洞片区工业污水处理厂建成后，锅炉废水和地面冲洗废水方可排入其工业污水处理厂进行深度处理。</w:t>
      </w:r>
      <w:r>
        <w:rPr>
          <w:rFonts w:hint="eastAsia" w:ascii="仿宋" w:hAnsi="仿宋" w:eastAsia="仿宋" w:cs="仿宋"/>
          <w:b w:val="0"/>
          <w:bCs w:val="0"/>
          <w:color w:val="auto"/>
          <w:kern w:val="2"/>
          <w:sz w:val="32"/>
          <w:szCs w:val="32"/>
          <w:highlight w:val="none"/>
          <w:u w:val="none" w:color="auto"/>
          <w:lang w:val="en-US" w:eastAsia="zh-CN" w:bidi="ar-SA"/>
        </w:rPr>
        <w:t>初期雨水</w:t>
      </w:r>
      <w:r>
        <w:rPr>
          <w:rFonts w:hint="eastAsia" w:ascii="仿宋" w:hAnsi="仿宋" w:eastAsia="仿宋" w:cs="仿宋"/>
          <w:b w:val="0"/>
          <w:bCs w:val="0"/>
          <w:color w:val="auto"/>
          <w:kern w:val="0"/>
          <w:sz w:val="32"/>
          <w:szCs w:val="32"/>
          <w:highlight w:val="none"/>
          <w:u w:val="none" w:color="auto"/>
          <w:lang w:val="en-US" w:eastAsia="zh-CN" w:bidi="ar"/>
        </w:rPr>
        <w:t>经沉淀后回用于厂区地面冲洗、道路除尘及绿化。</w:t>
      </w:r>
    </w:p>
    <w:p w14:paraId="5AFC4181">
      <w:pPr>
        <w:keepNext w:val="0"/>
        <w:keepLines w:val="0"/>
        <w:pageBreakBefore w:val="0"/>
        <w:widowControl w:val="0"/>
        <w:suppressLineNumbers w:val="0"/>
        <w:kinsoku/>
        <w:wordWrap w:val="0"/>
        <w:overflowPunct/>
        <w:topLinePunct/>
        <w:autoSpaceDE/>
        <w:autoSpaceDN/>
        <w:bidi w:val="0"/>
        <w:spacing w:before="0" w:beforeAutospacing="0" w:after="0" w:afterAutospacing="0" w:line="480" w:lineRule="exact"/>
        <w:ind w:left="0" w:right="0" w:firstLine="640" w:firstLineChars="200"/>
        <w:jc w:val="both"/>
        <w:textAlignment w:val="auto"/>
        <w:rPr>
          <w:rFonts w:hint="eastAsia" w:ascii="仿宋" w:hAnsi="仿宋" w:eastAsia="仿宋" w:cs="仿宋"/>
          <w:b w:val="0"/>
          <w:bCs w:val="0"/>
          <w:color w:val="auto"/>
          <w:sz w:val="32"/>
          <w:szCs w:val="32"/>
          <w:highlight w:val="none"/>
          <w:u w:val="none" w:color="auto"/>
          <w:lang w:val="en-US"/>
        </w:rPr>
      </w:pPr>
      <w:r>
        <w:rPr>
          <w:rFonts w:hint="eastAsia" w:ascii="仿宋" w:hAnsi="仿宋" w:eastAsia="仿宋" w:cs="仿宋"/>
          <w:b w:val="0"/>
          <w:bCs w:val="0"/>
          <w:color w:val="auto"/>
          <w:kern w:val="2"/>
          <w:sz w:val="32"/>
          <w:szCs w:val="32"/>
          <w:highlight w:val="none"/>
          <w:u w:val="none" w:color="auto"/>
          <w:lang w:val="en-US" w:eastAsia="zh-CN" w:bidi="ar"/>
        </w:rPr>
        <w:t>按照“源头控制、分区防治、污染监控、应急响应”相结合的原则落实报告书提出的地下水污染防治措施。做好</w:t>
      </w:r>
      <w:r>
        <w:rPr>
          <w:rFonts w:hint="eastAsia" w:ascii="仿宋" w:hAnsi="仿宋" w:eastAsia="仿宋" w:cs="仿宋"/>
          <w:b w:val="0"/>
          <w:bCs w:val="0"/>
          <w:color w:val="auto"/>
          <w:sz w:val="32"/>
          <w:szCs w:val="32"/>
          <w:highlight w:val="none"/>
          <w:u w:val="none" w:color="auto"/>
          <w:lang w:eastAsia="zh-CN"/>
        </w:rPr>
        <w:t>储罐区、</w:t>
      </w:r>
      <w:r>
        <w:rPr>
          <w:rFonts w:hint="eastAsia" w:ascii="仿宋" w:hAnsi="仿宋" w:eastAsia="仿宋" w:cs="仿宋"/>
          <w:b w:val="0"/>
          <w:bCs w:val="0"/>
          <w:color w:val="auto"/>
          <w:kern w:val="0"/>
          <w:sz w:val="32"/>
          <w:szCs w:val="32"/>
          <w:highlight w:val="none"/>
          <w:u w:val="none" w:color="auto"/>
          <w:lang w:val="en-US" w:eastAsia="zh-CN"/>
        </w:rPr>
        <w:t>危险废物暂存间等重点</w:t>
      </w:r>
      <w:r>
        <w:rPr>
          <w:rFonts w:hint="eastAsia" w:ascii="仿宋" w:hAnsi="仿宋" w:eastAsia="仿宋" w:cs="仿宋"/>
          <w:b w:val="0"/>
          <w:bCs w:val="0"/>
          <w:color w:val="auto"/>
          <w:sz w:val="32"/>
          <w:szCs w:val="32"/>
          <w:highlight w:val="none"/>
          <w:u w:val="none" w:color="auto"/>
        </w:rPr>
        <w:t>区域</w:t>
      </w:r>
      <w:r>
        <w:rPr>
          <w:rFonts w:hint="eastAsia" w:ascii="仿宋" w:hAnsi="仿宋" w:eastAsia="仿宋" w:cs="仿宋"/>
          <w:b w:val="0"/>
          <w:bCs w:val="0"/>
          <w:color w:val="auto"/>
          <w:sz w:val="32"/>
          <w:szCs w:val="32"/>
          <w:highlight w:val="none"/>
          <w:u w:val="none" w:color="auto"/>
          <w:lang w:val="en-US" w:eastAsia="zh-CN"/>
        </w:rPr>
        <w:t>和</w:t>
      </w:r>
      <w:r>
        <w:rPr>
          <w:rFonts w:hint="eastAsia" w:ascii="仿宋" w:hAnsi="仿宋" w:eastAsia="仿宋" w:cs="仿宋"/>
          <w:b w:val="0"/>
          <w:bCs w:val="0"/>
          <w:color w:val="auto"/>
          <w:kern w:val="0"/>
          <w:sz w:val="32"/>
          <w:szCs w:val="32"/>
          <w:highlight w:val="none"/>
          <w:u w:val="none" w:color="auto"/>
          <w:lang w:val="en-US" w:eastAsia="zh-CN"/>
        </w:rPr>
        <w:t>一般防渗区</w:t>
      </w:r>
      <w:r>
        <w:rPr>
          <w:rFonts w:hint="eastAsia" w:ascii="仿宋" w:hAnsi="仿宋" w:eastAsia="仿宋" w:cs="仿宋"/>
          <w:b w:val="0"/>
          <w:bCs w:val="0"/>
          <w:color w:val="auto"/>
          <w:sz w:val="32"/>
          <w:szCs w:val="32"/>
          <w:highlight w:val="none"/>
          <w:u w:val="none" w:color="auto"/>
          <w:lang w:val="en-US" w:eastAsia="zh-CN" w:bidi="ar"/>
        </w:rPr>
        <w:t>的</w:t>
      </w:r>
      <w:r>
        <w:rPr>
          <w:rFonts w:hint="eastAsia" w:ascii="仿宋" w:hAnsi="仿宋" w:eastAsia="仿宋" w:cs="仿宋"/>
          <w:b w:val="0"/>
          <w:bCs w:val="0"/>
          <w:color w:val="auto"/>
          <w:kern w:val="2"/>
          <w:sz w:val="32"/>
          <w:szCs w:val="32"/>
          <w:highlight w:val="none"/>
          <w:u w:val="none" w:color="auto"/>
          <w:lang w:val="en-US" w:eastAsia="zh-CN" w:bidi="ar"/>
        </w:rPr>
        <w:t>防渗工作及</w:t>
      </w:r>
      <w:r>
        <w:rPr>
          <w:rFonts w:hint="eastAsia" w:ascii="仿宋" w:hAnsi="仿宋" w:eastAsia="仿宋" w:cs="仿宋"/>
          <w:b w:val="0"/>
          <w:bCs w:val="0"/>
          <w:color w:val="auto"/>
          <w:kern w:val="0"/>
          <w:sz w:val="32"/>
          <w:szCs w:val="32"/>
          <w:highlight w:val="none"/>
          <w:u w:val="none" w:color="auto"/>
          <w:lang w:val="en-US" w:eastAsia="zh-CN" w:bidi="ar"/>
        </w:rPr>
        <w:t>办公区</w:t>
      </w:r>
      <w:r>
        <w:rPr>
          <w:rFonts w:hint="eastAsia" w:ascii="仿宋" w:hAnsi="仿宋" w:eastAsia="仿宋" w:cs="仿宋"/>
          <w:b w:val="0"/>
          <w:bCs w:val="0"/>
          <w:color w:val="auto"/>
          <w:kern w:val="2"/>
          <w:sz w:val="32"/>
          <w:szCs w:val="32"/>
          <w:highlight w:val="none"/>
          <w:u w:val="none" w:color="auto"/>
          <w:lang w:val="en-US" w:eastAsia="zh-CN" w:bidi="ar"/>
        </w:rPr>
        <w:t>的地面硬化，避免由于防渗层破损造成污染物下渗污染地下水。根据《环境影响评价技术导则 地下水环境》(HJ610-2016)要求，跟踪监测地下水水质情况，确保地下水环境安全。</w:t>
      </w:r>
    </w:p>
    <w:p w14:paraId="535850B5">
      <w:pPr>
        <w:keepNext w:val="0"/>
        <w:keepLines w:val="0"/>
        <w:pageBreakBefore w:val="0"/>
        <w:widowControl w:val="0"/>
        <w:suppressLineNumbers w:val="0"/>
        <w:wordWrap w:val="0"/>
        <w:autoSpaceDE/>
        <w:autoSpaceDN/>
        <w:bidi w:val="0"/>
        <w:spacing w:before="0" w:beforeAutospacing="0" w:after="0" w:afterAutospacing="0" w:line="480" w:lineRule="exact"/>
        <w:ind w:left="0" w:right="0" w:firstLine="640" w:firstLineChars="200"/>
        <w:jc w:val="both"/>
        <w:textAlignment w:val="auto"/>
        <w:rPr>
          <w:rFonts w:hint="eastAsia" w:ascii="仿宋" w:hAnsi="仿宋" w:eastAsia="仿宋" w:cs="仿宋"/>
          <w:b w:val="0"/>
          <w:bCs w:val="0"/>
          <w:color w:val="auto"/>
          <w:kern w:val="0"/>
          <w:sz w:val="32"/>
          <w:szCs w:val="32"/>
          <w:highlight w:val="none"/>
          <w:u w:val="none" w:color="auto"/>
          <w:lang w:val="en-US" w:eastAsia="zh-CN" w:bidi="ar"/>
        </w:rPr>
      </w:pPr>
      <w:r>
        <w:rPr>
          <w:rFonts w:hint="eastAsia" w:ascii="仿宋" w:hAnsi="仿宋" w:eastAsia="仿宋" w:cs="仿宋"/>
          <w:b w:val="0"/>
          <w:bCs w:val="0"/>
          <w:color w:val="auto"/>
          <w:kern w:val="2"/>
          <w:sz w:val="32"/>
          <w:szCs w:val="32"/>
          <w:highlight w:val="none"/>
          <w:u w:val="none" w:color="auto"/>
          <w:lang w:val="en-US" w:eastAsia="zh-CN" w:bidi="ar"/>
        </w:rPr>
        <w:t>4、加强营运期噪声污染防治。采用低噪声设备，合理布局，</w:t>
      </w:r>
      <w:r>
        <w:rPr>
          <w:rFonts w:hint="eastAsia" w:ascii="仿宋" w:hAnsi="仿宋" w:eastAsia="仿宋" w:cs="仿宋"/>
          <w:b w:val="0"/>
          <w:bCs w:val="0"/>
          <w:kern w:val="2"/>
          <w:sz w:val="32"/>
          <w:szCs w:val="32"/>
          <w:highlight w:val="none"/>
          <w:u w:val="none" w:color="auto"/>
          <w:lang w:val="en-US" w:eastAsia="zh-CN" w:bidi="ar-SA"/>
        </w:rPr>
        <w:t>生产设备采取隔</w:t>
      </w:r>
      <w:r>
        <w:rPr>
          <w:rFonts w:hint="eastAsia" w:ascii="仿宋" w:hAnsi="仿宋" w:eastAsia="仿宋" w:cs="仿宋"/>
          <w:b w:val="0"/>
          <w:bCs w:val="0"/>
          <w:color w:val="auto"/>
          <w:kern w:val="0"/>
          <w:sz w:val="32"/>
          <w:szCs w:val="32"/>
          <w:highlight w:val="none"/>
          <w:u w:val="none" w:color="auto"/>
          <w:lang w:val="en-US" w:eastAsia="zh-CN" w:bidi="ar"/>
        </w:rPr>
        <w:t>声、消声、吸声、减振等措施</w:t>
      </w:r>
      <w:r>
        <w:rPr>
          <w:rFonts w:hint="eastAsia" w:ascii="仿宋" w:hAnsi="仿宋" w:eastAsia="仿宋" w:cs="仿宋"/>
          <w:b w:val="0"/>
          <w:bCs w:val="0"/>
          <w:color w:val="auto"/>
          <w:kern w:val="2"/>
          <w:sz w:val="32"/>
          <w:szCs w:val="32"/>
          <w:highlight w:val="none"/>
          <w:u w:val="none" w:color="auto"/>
          <w:lang w:val="en-US" w:eastAsia="zh-CN" w:bidi="ar"/>
        </w:rPr>
        <w:t>；强化绿化，确保厂界噪声达到</w:t>
      </w:r>
      <w:r>
        <w:rPr>
          <w:rFonts w:hint="eastAsia" w:ascii="仿宋" w:hAnsi="仿宋" w:eastAsia="仿宋" w:cs="仿宋"/>
          <w:b w:val="0"/>
          <w:bCs w:val="0"/>
          <w:color w:val="000000"/>
          <w:kern w:val="0"/>
          <w:sz w:val="32"/>
          <w:szCs w:val="32"/>
          <w:highlight w:val="none"/>
          <w:u w:val="none" w:color="auto"/>
          <w:lang w:val="en-US" w:eastAsia="zh-CN" w:bidi="ar"/>
        </w:rPr>
        <w:t>《工业企业厂界环境噪声排放标准》（GB12348-2008）中 3 类区排放限值</w:t>
      </w:r>
      <w:r>
        <w:rPr>
          <w:rFonts w:hint="eastAsia" w:ascii="仿宋" w:hAnsi="仿宋" w:eastAsia="仿宋" w:cs="仿宋"/>
          <w:b w:val="0"/>
          <w:bCs w:val="0"/>
          <w:color w:val="auto"/>
          <w:kern w:val="2"/>
          <w:sz w:val="32"/>
          <w:szCs w:val="32"/>
          <w:highlight w:val="none"/>
          <w:u w:val="none" w:color="auto"/>
          <w:lang w:val="en-US" w:eastAsia="zh-CN" w:bidi="ar"/>
        </w:rPr>
        <w:t>。</w:t>
      </w:r>
    </w:p>
    <w:p w14:paraId="4DFD5DDD">
      <w:pPr>
        <w:keepNext w:val="0"/>
        <w:keepLines w:val="0"/>
        <w:pageBreakBefore w:val="0"/>
        <w:wordWrap w:val="0"/>
        <w:autoSpaceDE/>
        <w:autoSpaceDN/>
        <w:bidi w:val="0"/>
        <w:spacing w:line="480" w:lineRule="exact"/>
        <w:ind w:firstLine="640" w:firstLineChars="200"/>
        <w:textAlignment w:val="auto"/>
        <w:rPr>
          <w:rFonts w:hint="eastAsia" w:ascii="仿宋" w:hAnsi="仿宋" w:eastAsia="仿宋" w:cs="仿宋"/>
          <w:b w:val="0"/>
          <w:bCs w:val="0"/>
          <w:color w:val="auto"/>
          <w:sz w:val="32"/>
          <w:szCs w:val="32"/>
          <w:highlight w:val="none"/>
          <w:u w:val="none" w:color="auto"/>
          <w:lang w:val="en-US"/>
        </w:rPr>
      </w:pPr>
      <w:r>
        <w:rPr>
          <w:rFonts w:hint="eastAsia" w:ascii="仿宋" w:hAnsi="仿宋" w:eastAsia="仿宋" w:cs="仿宋"/>
          <w:b w:val="0"/>
          <w:bCs w:val="0"/>
          <w:color w:val="auto"/>
          <w:sz w:val="32"/>
          <w:szCs w:val="32"/>
          <w:highlight w:val="none"/>
          <w:u w:val="none" w:color="auto"/>
          <w:lang w:val="en-US" w:eastAsia="zh-CN"/>
        </w:rPr>
        <w:t>5</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kern w:val="2"/>
          <w:sz w:val="32"/>
          <w:szCs w:val="32"/>
          <w:highlight w:val="none"/>
          <w:u w:val="none" w:color="auto"/>
          <w:lang w:val="en-US" w:eastAsia="zh-CN" w:bidi="ar"/>
        </w:rPr>
        <w:t>加强营运期</w:t>
      </w:r>
      <w:r>
        <w:rPr>
          <w:rFonts w:hint="eastAsia" w:ascii="仿宋" w:hAnsi="仿宋" w:eastAsia="仿宋" w:cs="仿宋"/>
          <w:b w:val="0"/>
          <w:bCs w:val="0"/>
          <w:color w:val="auto"/>
          <w:sz w:val="32"/>
          <w:szCs w:val="32"/>
          <w:highlight w:val="none"/>
          <w:u w:val="none" w:color="auto"/>
          <w:lang w:eastAsia="zh-CN"/>
        </w:rPr>
        <w:t>固体废物管理工作。按“无害化、减量化、资源化”原则，做好固体分类收集和综合利用，并建立固体废物产生、储存、处置管理台账，落实危险废物转移联单制度。一般固体废物严格按《一般工业固体废物贮存和填埋污染控制标准》（GB 18599-2020）要求</w:t>
      </w:r>
      <w:r>
        <w:rPr>
          <w:rFonts w:hint="eastAsia" w:ascii="仿宋" w:hAnsi="仿宋" w:eastAsia="仿宋" w:cs="仿宋"/>
          <w:b w:val="0"/>
          <w:bCs w:val="0"/>
          <w:color w:val="auto"/>
          <w:sz w:val="32"/>
          <w:szCs w:val="32"/>
          <w:highlight w:val="none"/>
          <w:u w:val="none" w:color="auto"/>
          <w:lang w:val="en-US" w:eastAsia="zh-CN"/>
        </w:rPr>
        <w:t>回收利用、回用于生产和出售给第三方单位</w:t>
      </w:r>
      <w:r>
        <w:rPr>
          <w:rFonts w:hint="eastAsia" w:ascii="仿宋" w:hAnsi="仿宋" w:eastAsia="仿宋" w:cs="仿宋"/>
          <w:b w:val="0"/>
          <w:bCs w:val="0"/>
          <w:color w:val="auto"/>
          <w:sz w:val="32"/>
          <w:szCs w:val="32"/>
          <w:highlight w:val="none"/>
          <w:u w:val="none" w:color="auto"/>
          <w:lang w:eastAsia="zh-CN"/>
        </w:rPr>
        <w:t>；危险废物严格按</w:t>
      </w:r>
      <w:r>
        <w:rPr>
          <w:rFonts w:hint="eastAsia" w:ascii="仿宋" w:hAnsi="仿宋" w:eastAsia="仿宋" w:cs="仿宋"/>
          <w:b w:val="0"/>
          <w:bCs w:val="0"/>
          <w:color w:val="auto"/>
          <w:sz w:val="32"/>
          <w:szCs w:val="32"/>
          <w:highlight w:val="none"/>
          <w:u w:val="none" w:color="auto"/>
        </w:rPr>
        <w:t>《危险废物贮存污染控制标准》（GB 18597—2023）</w:t>
      </w:r>
      <w:r>
        <w:rPr>
          <w:rFonts w:hint="eastAsia" w:ascii="仿宋" w:hAnsi="仿宋" w:eastAsia="仿宋" w:cs="仿宋"/>
          <w:b w:val="0"/>
          <w:bCs w:val="0"/>
          <w:color w:val="auto"/>
          <w:sz w:val="32"/>
          <w:szCs w:val="32"/>
          <w:highlight w:val="none"/>
          <w:u w:val="none" w:color="auto"/>
          <w:lang w:eastAsia="zh-CN"/>
        </w:rPr>
        <w:t>要求暂存，委托有资质的单位处置；生活垃圾、</w:t>
      </w:r>
      <w:r>
        <w:rPr>
          <w:rFonts w:hint="eastAsia" w:ascii="仿宋" w:hAnsi="仿宋" w:eastAsia="仿宋" w:cs="仿宋"/>
          <w:b w:val="0"/>
          <w:bCs w:val="0"/>
          <w:color w:val="auto"/>
          <w:sz w:val="32"/>
          <w:szCs w:val="32"/>
          <w:highlight w:val="none"/>
          <w:u w:val="none" w:color="auto"/>
          <w:lang w:val="en-US" w:eastAsia="zh-CN"/>
        </w:rPr>
        <w:t>不能回收的废包装袋及</w:t>
      </w:r>
      <w:r>
        <w:rPr>
          <w:rFonts w:hint="eastAsia" w:ascii="仿宋" w:hAnsi="仿宋" w:eastAsia="仿宋" w:cs="仿宋"/>
          <w:b w:val="0"/>
          <w:bCs w:val="0"/>
          <w:sz w:val="32"/>
          <w:szCs w:val="32"/>
          <w:highlight w:val="none"/>
          <w:u w:val="none" w:color="auto"/>
          <w:lang w:val="en-US" w:eastAsia="zh-CN"/>
        </w:rPr>
        <w:t>沉淀池污泥</w:t>
      </w:r>
      <w:r>
        <w:rPr>
          <w:rFonts w:hint="eastAsia" w:ascii="仿宋" w:hAnsi="仿宋" w:eastAsia="仿宋" w:cs="仿宋"/>
          <w:b w:val="0"/>
          <w:bCs w:val="0"/>
          <w:color w:val="auto"/>
          <w:sz w:val="32"/>
          <w:szCs w:val="32"/>
          <w:highlight w:val="none"/>
          <w:u w:val="none" w:color="auto"/>
          <w:lang w:eastAsia="zh-CN"/>
        </w:rPr>
        <w:t>交</w:t>
      </w:r>
      <w:r>
        <w:rPr>
          <w:rFonts w:hint="eastAsia" w:ascii="仿宋" w:hAnsi="仿宋" w:eastAsia="仿宋" w:cs="仿宋"/>
          <w:b w:val="0"/>
          <w:bCs w:val="0"/>
          <w:color w:val="auto"/>
          <w:kern w:val="2"/>
          <w:sz w:val="32"/>
          <w:szCs w:val="32"/>
          <w:highlight w:val="none"/>
          <w:u w:val="none" w:color="auto"/>
          <w:lang w:val="en-US" w:eastAsia="zh-CN"/>
        </w:rPr>
        <w:t>由环卫部门收集处理</w:t>
      </w:r>
      <w:r>
        <w:rPr>
          <w:rFonts w:hint="eastAsia" w:ascii="仿宋" w:hAnsi="仿宋" w:eastAsia="仿宋" w:cs="仿宋"/>
          <w:b w:val="0"/>
          <w:bCs w:val="0"/>
          <w:color w:val="auto"/>
          <w:sz w:val="32"/>
          <w:szCs w:val="32"/>
          <w:highlight w:val="none"/>
          <w:u w:val="none" w:color="auto"/>
          <w:lang w:eastAsia="zh-CN"/>
        </w:rPr>
        <w:t>。</w:t>
      </w:r>
    </w:p>
    <w:p w14:paraId="6B14DD0F">
      <w:pPr>
        <w:keepNext w:val="0"/>
        <w:keepLines w:val="0"/>
        <w:pageBreakBefore w:val="0"/>
        <w:widowControl w:val="0"/>
        <w:suppressLineNumbers w:val="0"/>
        <w:kinsoku/>
        <w:wordWrap w:val="0"/>
        <w:overflowPunct/>
        <w:topLinePunct/>
        <w:autoSpaceDE/>
        <w:autoSpaceDN/>
        <w:bidi w:val="0"/>
        <w:spacing w:before="0" w:beforeAutospacing="0" w:after="0" w:afterAutospacing="0" w:line="480" w:lineRule="exact"/>
        <w:ind w:left="0" w:right="0" w:firstLine="640"/>
        <w:jc w:val="both"/>
        <w:textAlignment w:val="auto"/>
        <w:rPr>
          <w:rFonts w:hint="eastAsia" w:ascii="仿宋" w:hAnsi="仿宋" w:eastAsia="仿宋" w:cs="仿宋"/>
          <w:b w:val="0"/>
          <w:bCs w:val="0"/>
          <w:color w:val="auto"/>
          <w:kern w:val="2"/>
          <w:sz w:val="32"/>
          <w:szCs w:val="32"/>
          <w:highlight w:val="none"/>
          <w:u w:val="none" w:color="auto"/>
          <w:lang w:val="en-US" w:eastAsia="zh-CN" w:bidi="ar"/>
        </w:rPr>
      </w:pPr>
      <w:r>
        <w:rPr>
          <w:rFonts w:hint="eastAsia" w:ascii="仿宋" w:hAnsi="仿宋" w:eastAsia="仿宋" w:cs="仿宋"/>
          <w:b w:val="0"/>
          <w:bCs w:val="0"/>
          <w:color w:val="auto"/>
          <w:kern w:val="2"/>
          <w:sz w:val="32"/>
          <w:szCs w:val="32"/>
          <w:highlight w:val="none"/>
          <w:u w:val="none" w:color="auto"/>
          <w:lang w:val="en-US" w:eastAsia="zh-CN" w:bidi="ar"/>
        </w:rPr>
        <w:t>6、加强营运期环境风险防范。严格落实报告书提出的各项环境风险防范措施，</w:t>
      </w:r>
      <w:r>
        <w:rPr>
          <w:rFonts w:hint="eastAsia" w:ascii="仿宋" w:hAnsi="仿宋" w:eastAsia="仿宋" w:cs="仿宋"/>
          <w:b w:val="0"/>
          <w:bCs w:val="0"/>
          <w:color w:val="auto"/>
          <w:kern w:val="0"/>
          <w:sz w:val="32"/>
          <w:szCs w:val="32"/>
          <w:highlight w:val="none"/>
          <w:u w:val="none" w:color="auto"/>
          <w:lang w:bidi="ar"/>
        </w:rPr>
        <w:t>按</w:t>
      </w:r>
      <w:r>
        <w:rPr>
          <w:rFonts w:hint="eastAsia" w:ascii="仿宋" w:hAnsi="仿宋" w:eastAsia="仿宋" w:cs="仿宋"/>
          <w:b w:val="0"/>
          <w:bCs w:val="0"/>
          <w:color w:val="auto"/>
          <w:kern w:val="0"/>
          <w:sz w:val="32"/>
          <w:szCs w:val="32"/>
          <w:highlight w:val="none"/>
          <w:u w:val="none" w:color="auto"/>
          <w:lang w:val="en-US" w:eastAsia="zh-CN" w:bidi="ar"/>
        </w:rPr>
        <w:t>相关</w:t>
      </w:r>
      <w:r>
        <w:rPr>
          <w:rFonts w:hint="eastAsia" w:ascii="仿宋" w:hAnsi="仿宋" w:eastAsia="仿宋" w:cs="仿宋"/>
          <w:b w:val="0"/>
          <w:bCs w:val="0"/>
          <w:color w:val="auto"/>
          <w:kern w:val="0"/>
          <w:sz w:val="32"/>
          <w:szCs w:val="32"/>
          <w:highlight w:val="none"/>
          <w:u w:val="none" w:color="auto"/>
          <w:lang w:bidi="ar"/>
        </w:rPr>
        <w:t>要求进行企业突发环境事件应急预案的编制和备案</w:t>
      </w:r>
      <w:r>
        <w:rPr>
          <w:rFonts w:hint="eastAsia" w:ascii="仿宋" w:hAnsi="仿宋" w:eastAsia="仿宋" w:cs="仿宋"/>
          <w:b w:val="0"/>
          <w:bCs w:val="0"/>
          <w:color w:val="auto"/>
          <w:kern w:val="2"/>
          <w:sz w:val="32"/>
          <w:szCs w:val="32"/>
          <w:highlight w:val="none"/>
          <w:u w:val="none" w:color="auto"/>
          <w:lang w:val="en-US" w:eastAsia="zh-CN" w:bidi="ar"/>
        </w:rPr>
        <w:t>。</w:t>
      </w:r>
    </w:p>
    <w:p w14:paraId="1D7749DD">
      <w:pPr>
        <w:keepNext w:val="0"/>
        <w:keepLines w:val="0"/>
        <w:pageBreakBefore w:val="0"/>
        <w:widowControl w:val="0"/>
        <w:suppressLineNumbers w:val="0"/>
        <w:kinsoku/>
        <w:wordWrap w:val="0"/>
        <w:overflowPunct/>
        <w:topLinePunct/>
        <w:autoSpaceDE/>
        <w:autoSpaceDN/>
        <w:bidi w:val="0"/>
        <w:spacing w:before="0" w:beforeAutospacing="0" w:after="0" w:afterAutospacing="0" w:line="480" w:lineRule="exact"/>
        <w:ind w:left="0" w:right="0" w:firstLine="640"/>
        <w:jc w:val="both"/>
        <w:textAlignment w:val="auto"/>
        <w:rPr>
          <w:rFonts w:hint="eastAsia" w:ascii="仿宋" w:hAnsi="仿宋" w:eastAsia="仿宋" w:cs="仿宋"/>
          <w:b w:val="0"/>
          <w:bCs w:val="0"/>
          <w:color w:val="auto"/>
          <w:sz w:val="32"/>
          <w:szCs w:val="32"/>
          <w:highlight w:val="none"/>
          <w:u w:val="none" w:color="auto"/>
          <w:lang w:val="en-US" w:eastAsia="zh-CN"/>
        </w:rPr>
      </w:pPr>
      <w:r>
        <w:rPr>
          <w:rFonts w:hint="eastAsia" w:ascii="仿宋" w:hAnsi="仿宋" w:eastAsia="仿宋" w:cs="仿宋"/>
          <w:b w:val="0"/>
          <w:bCs w:val="0"/>
          <w:color w:val="auto"/>
          <w:kern w:val="2"/>
          <w:sz w:val="32"/>
          <w:szCs w:val="32"/>
          <w:highlight w:val="none"/>
          <w:u w:val="none" w:color="auto"/>
          <w:lang w:val="en-US" w:eastAsia="zh-CN" w:bidi="ar"/>
        </w:rPr>
        <w:t>7、加强营运期环境管理。设立</w:t>
      </w:r>
      <w:r>
        <w:rPr>
          <w:rFonts w:hint="eastAsia" w:ascii="仿宋" w:hAnsi="仿宋" w:eastAsia="仿宋" w:cs="仿宋"/>
          <w:b w:val="0"/>
          <w:bCs w:val="0"/>
          <w:color w:val="auto"/>
          <w:sz w:val="32"/>
          <w:szCs w:val="32"/>
          <w:highlight w:val="none"/>
          <w:u w:val="none" w:color="auto"/>
          <w:lang w:val="en-US" w:eastAsia="zh-CN"/>
        </w:rPr>
        <w:t>环境管理机构</w:t>
      </w:r>
      <w:r>
        <w:rPr>
          <w:rFonts w:hint="eastAsia" w:ascii="仿宋" w:hAnsi="仿宋" w:eastAsia="仿宋" w:cs="仿宋"/>
          <w:b w:val="0"/>
          <w:bCs w:val="0"/>
          <w:color w:val="auto"/>
          <w:kern w:val="2"/>
          <w:sz w:val="32"/>
          <w:szCs w:val="32"/>
          <w:highlight w:val="none"/>
          <w:u w:val="none" w:color="auto"/>
          <w:lang w:val="en-US" w:eastAsia="zh-CN" w:bidi="ar"/>
        </w:rPr>
        <w:t>及环保人员，建立健全污染防治设施运行管理台账，确保各项污染防治设施的正常运行，各类污染物稳定达标排放。</w:t>
      </w:r>
      <w:r>
        <w:rPr>
          <w:rFonts w:hint="eastAsia" w:ascii="仿宋" w:hAnsi="仿宋" w:eastAsia="仿宋" w:cs="仿宋"/>
          <w:b w:val="0"/>
          <w:bCs w:val="0"/>
          <w:color w:val="auto"/>
          <w:sz w:val="32"/>
          <w:szCs w:val="32"/>
          <w:highlight w:val="none"/>
          <w:u w:val="none" w:color="auto"/>
        </w:rPr>
        <w:t>定期</w:t>
      </w:r>
      <w:r>
        <w:rPr>
          <w:rFonts w:hint="eastAsia" w:ascii="仿宋" w:hAnsi="仿宋" w:eastAsia="仿宋" w:cs="仿宋"/>
          <w:b w:val="0"/>
          <w:bCs w:val="0"/>
          <w:color w:val="auto"/>
          <w:sz w:val="32"/>
          <w:szCs w:val="32"/>
          <w:highlight w:val="none"/>
          <w:u w:val="none" w:color="auto"/>
          <w:lang w:val="en-US" w:eastAsia="zh-CN"/>
        </w:rPr>
        <w:t>开</w:t>
      </w:r>
      <w:r>
        <w:rPr>
          <w:rFonts w:hint="eastAsia" w:ascii="仿宋" w:hAnsi="仿宋" w:eastAsia="仿宋" w:cs="仿宋"/>
          <w:b w:val="0"/>
          <w:bCs w:val="0"/>
          <w:color w:val="auto"/>
          <w:sz w:val="32"/>
          <w:szCs w:val="32"/>
          <w:highlight w:val="none"/>
          <w:u w:val="none" w:color="auto"/>
        </w:rPr>
        <w:t>展环境监测</w:t>
      </w:r>
      <w:r>
        <w:rPr>
          <w:rFonts w:hint="eastAsia" w:ascii="仿宋" w:hAnsi="仿宋" w:eastAsia="仿宋" w:cs="仿宋"/>
          <w:b w:val="0"/>
          <w:bCs w:val="0"/>
          <w:color w:val="auto"/>
          <w:sz w:val="32"/>
          <w:szCs w:val="32"/>
          <w:highlight w:val="none"/>
          <w:u w:val="none" w:color="auto"/>
          <w:lang w:eastAsia="zh-CN"/>
        </w:rPr>
        <w:t>。</w:t>
      </w:r>
    </w:p>
    <w:p w14:paraId="5798D78E">
      <w:pPr>
        <w:keepNext w:val="0"/>
        <w:keepLines w:val="0"/>
        <w:pageBreakBefore w:val="0"/>
        <w:widowControl w:val="0"/>
        <w:suppressLineNumbers w:val="0"/>
        <w:kinsoku/>
        <w:wordWrap w:val="0"/>
        <w:overflowPunct/>
        <w:autoSpaceDE/>
        <w:autoSpaceDN/>
        <w:bidi w:val="0"/>
        <w:spacing w:before="0" w:beforeAutospacing="0" w:after="0" w:afterAutospacing="0" w:line="480" w:lineRule="exact"/>
        <w:ind w:left="0" w:right="0" w:firstLine="640" w:firstLineChars="200"/>
        <w:jc w:val="both"/>
        <w:textAlignment w:val="auto"/>
        <w:rPr>
          <w:rFonts w:hint="eastAsia" w:ascii="仿宋" w:hAnsi="仿宋" w:eastAsia="仿宋" w:cs="仿宋"/>
          <w:b w:val="0"/>
          <w:bCs w:val="0"/>
          <w:color w:val="auto"/>
          <w:sz w:val="32"/>
          <w:szCs w:val="32"/>
          <w:highlight w:val="none"/>
          <w:u w:val="none" w:color="auto"/>
          <w:lang w:val="en-US" w:eastAsia="zh-CN"/>
        </w:rPr>
      </w:pPr>
      <w:r>
        <w:rPr>
          <w:rFonts w:hint="eastAsia" w:ascii="仿宋" w:hAnsi="仿宋" w:eastAsia="仿宋" w:cs="仿宋"/>
          <w:b w:val="0"/>
          <w:bCs w:val="0"/>
          <w:color w:val="auto"/>
          <w:kern w:val="2"/>
          <w:sz w:val="32"/>
          <w:szCs w:val="32"/>
          <w:highlight w:val="none"/>
          <w:u w:val="none" w:color="auto"/>
          <w:lang w:val="en-US" w:eastAsia="zh-CN" w:bidi="ar"/>
        </w:rPr>
        <w:t>8、你公</w:t>
      </w:r>
      <w:bookmarkStart w:id="5" w:name="_GoBack"/>
      <w:bookmarkEnd w:id="5"/>
      <w:r>
        <w:rPr>
          <w:rFonts w:hint="eastAsia" w:ascii="仿宋" w:hAnsi="仿宋" w:eastAsia="仿宋" w:cs="仿宋"/>
          <w:b w:val="0"/>
          <w:bCs w:val="0"/>
          <w:color w:val="auto"/>
          <w:kern w:val="2"/>
          <w:sz w:val="32"/>
          <w:szCs w:val="32"/>
          <w:highlight w:val="none"/>
          <w:u w:val="none" w:color="auto"/>
          <w:lang w:val="en-US" w:eastAsia="zh-CN" w:bidi="ar"/>
        </w:rPr>
        <w:t>司核定的总量指标为：</w:t>
      </w:r>
      <w:r>
        <w:rPr>
          <w:rFonts w:hint="eastAsia" w:ascii="仿宋" w:hAnsi="仿宋" w:eastAsia="仿宋" w:cs="仿宋"/>
          <w:b w:val="0"/>
          <w:bCs w:val="0"/>
          <w:color w:val="auto"/>
          <w:kern w:val="28"/>
          <w:sz w:val="32"/>
          <w:szCs w:val="32"/>
          <w:highlight w:val="none"/>
          <w:u w:val="none" w:color="auto"/>
          <w:lang w:val="en-US" w:eastAsia="zh-CN" w:bidi="ar"/>
        </w:rPr>
        <w:t>COD</w:t>
      </w:r>
      <w:r>
        <w:rPr>
          <w:rFonts w:hint="eastAsia" w:ascii="宋体" w:hAnsi="宋体" w:eastAsia="宋体" w:cs="宋体"/>
          <w:b w:val="0"/>
          <w:bCs w:val="0"/>
          <w:color w:val="auto"/>
          <w:kern w:val="28"/>
          <w:sz w:val="32"/>
          <w:szCs w:val="32"/>
          <w:highlight w:val="none"/>
          <w:u w:val="none" w:color="auto"/>
          <w:lang w:val="en-US" w:eastAsia="zh-CN" w:bidi="ar"/>
        </w:rPr>
        <w:t>≦</w:t>
      </w:r>
      <w:r>
        <w:rPr>
          <w:rFonts w:hint="eastAsia" w:ascii="仿宋" w:hAnsi="仿宋" w:eastAsia="仿宋" w:cs="仿宋"/>
          <w:b w:val="0"/>
          <w:bCs w:val="0"/>
          <w:color w:val="auto"/>
          <w:kern w:val="0"/>
          <w:sz w:val="32"/>
          <w:szCs w:val="32"/>
          <w:highlight w:val="none"/>
          <w:u w:val="none" w:color="auto"/>
          <w:lang w:val="en-US" w:eastAsia="zh-CN" w:bidi="ar"/>
        </w:rPr>
        <w:t>0.4t/a、NH</w:t>
      </w:r>
      <w:r>
        <w:rPr>
          <w:rFonts w:hint="eastAsia" w:ascii="仿宋" w:hAnsi="仿宋" w:eastAsia="仿宋" w:cs="仿宋"/>
          <w:b w:val="0"/>
          <w:bCs w:val="0"/>
          <w:color w:val="auto"/>
          <w:kern w:val="0"/>
          <w:sz w:val="32"/>
          <w:szCs w:val="32"/>
          <w:highlight w:val="none"/>
          <w:u w:val="none" w:color="auto"/>
          <w:vertAlign w:val="subscript"/>
          <w:lang w:val="en-US" w:eastAsia="zh-CN" w:bidi="ar"/>
        </w:rPr>
        <w:t>3</w:t>
      </w:r>
      <w:r>
        <w:rPr>
          <w:rFonts w:hint="eastAsia" w:ascii="仿宋" w:hAnsi="仿宋" w:eastAsia="仿宋" w:cs="仿宋"/>
          <w:b w:val="0"/>
          <w:bCs w:val="0"/>
          <w:color w:val="auto"/>
          <w:kern w:val="0"/>
          <w:sz w:val="32"/>
          <w:szCs w:val="32"/>
          <w:highlight w:val="none"/>
          <w:u w:val="none" w:color="auto"/>
          <w:lang w:val="en-US" w:eastAsia="zh-CN" w:bidi="ar"/>
        </w:rPr>
        <w:t>-N</w:t>
      </w:r>
      <w:r>
        <w:rPr>
          <w:rFonts w:hint="eastAsia" w:ascii="宋体" w:hAnsi="宋体" w:eastAsia="宋体" w:cs="宋体"/>
          <w:b w:val="0"/>
          <w:bCs w:val="0"/>
          <w:color w:val="auto"/>
          <w:kern w:val="28"/>
          <w:sz w:val="32"/>
          <w:szCs w:val="32"/>
          <w:highlight w:val="none"/>
          <w:u w:val="none" w:color="auto"/>
          <w:lang w:val="en-US" w:eastAsia="zh-CN" w:bidi="ar"/>
        </w:rPr>
        <w:t>≦</w:t>
      </w:r>
      <w:r>
        <w:rPr>
          <w:rFonts w:hint="eastAsia" w:ascii="仿宋" w:hAnsi="仿宋" w:eastAsia="仿宋" w:cs="仿宋"/>
          <w:b w:val="0"/>
          <w:bCs w:val="0"/>
          <w:color w:val="auto"/>
          <w:sz w:val="32"/>
          <w:szCs w:val="32"/>
          <w:highlight w:val="none"/>
          <w:u w:val="none" w:color="auto"/>
          <w:lang w:val="en-US" w:eastAsia="zh-CN"/>
        </w:rPr>
        <w:t>0.1</w:t>
      </w:r>
      <w:r>
        <w:rPr>
          <w:rFonts w:hint="eastAsia" w:ascii="仿宋" w:hAnsi="仿宋" w:eastAsia="仿宋" w:cs="仿宋"/>
          <w:b w:val="0"/>
          <w:bCs w:val="0"/>
          <w:color w:val="auto"/>
          <w:kern w:val="0"/>
          <w:sz w:val="32"/>
          <w:szCs w:val="32"/>
          <w:highlight w:val="none"/>
          <w:u w:val="none" w:color="auto"/>
          <w:lang w:val="en-US" w:eastAsia="zh-CN" w:bidi="ar"/>
        </w:rPr>
        <w:t>t/a、SO</w:t>
      </w:r>
      <w:r>
        <w:rPr>
          <w:rFonts w:hint="eastAsia" w:ascii="仿宋" w:hAnsi="仿宋" w:eastAsia="仿宋" w:cs="仿宋"/>
          <w:b w:val="0"/>
          <w:bCs w:val="0"/>
          <w:color w:val="auto"/>
          <w:kern w:val="0"/>
          <w:sz w:val="32"/>
          <w:szCs w:val="32"/>
          <w:highlight w:val="none"/>
          <w:u w:val="none" w:color="auto"/>
          <w:vertAlign w:val="subscript"/>
          <w:lang w:val="en-US" w:eastAsia="zh-CN" w:bidi="ar"/>
        </w:rPr>
        <w:t>2</w:t>
      </w:r>
      <w:r>
        <w:rPr>
          <w:rFonts w:hint="eastAsia" w:ascii="宋体" w:hAnsi="宋体" w:eastAsia="宋体" w:cs="宋体"/>
          <w:b w:val="0"/>
          <w:bCs w:val="0"/>
          <w:color w:val="auto"/>
          <w:kern w:val="28"/>
          <w:sz w:val="32"/>
          <w:szCs w:val="32"/>
          <w:highlight w:val="none"/>
          <w:u w:val="none" w:color="auto"/>
          <w:lang w:val="en-US" w:eastAsia="zh-CN" w:bidi="ar"/>
        </w:rPr>
        <w:t>≦</w:t>
      </w:r>
      <w:r>
        <w:rPr>
          <w:rFonts w:hint="eastAsia" w:ascii="仿宋" w:hAnsi="仿宋" w:eastAsia="仿宋" w:cs="仿宋"/>
          <w:b w:val="0"/>
          <w:bCs w:val="0"/>
          <w:color w:val="auto"/>
          <w:kern w:val="2"/>
          <w:sz w:val="32"/>
          <w:szCs w:val="32"/>
          <w:highlight w:val="none"/>
          <w:u w:val="none" w:color="auto"/>
          <w:lang w:val="en-US" w:eastAsia="zh-CN" w:bidi="ar-SA"/>
        </w:rPr>
        <w:t>1.2</w:t>
      </w:r>
      <w:r>
        <w:rPr>
          <w:rFonts w:hint="eastAsia" w:ascii="仿宋" w:hAnsi="仿宋" w:eastAsia="仿宋" w:cs="仿宋"/>
          <w:b w:val="0"/>
          <w:bCs w:val="0"/>
          <w:color w:val="auto"/>
          <w:kern w:val="0"/>
          <w:sz w:val="32"/>
          <w:szCs w:val="32"/>
          <w:highlight w:val="none"/>
          <w:u w:val="none" w:color="auto"/>
          <w:lang w:val="en-US" w:eastAsia="zh-CN" w:bidi="ar"/>
        </w:rPr>
        <w:t>t/a、NO</w:t>
      </w:r>
      <w:r>
        <w:rPr>
          <w:rFonts w:hint="eastAsia" w:ascii="仿宋" w:hAnsi="仿宋" w:eastAsia="仿宋" w:cs="仿宋"/>
          <w:b w:val="0"/>
          <w:bCs w:val="0"/>
          <w:color w:val="auto"/>
          <w:kern w:val="0"/>
          <w:sz w:val="32"/>
          <w:szCs w:val="32"/>
          <w:highlight w:val="none"/>
          <w:u w:val="none" w:color="auto"/>
          <w:vertAlign w:val="subscript"/>
          <w:lang w:val="en-US" w:eastAsia="zh-CN" w:bidi="ar"/>
        </w:rPr>
        <w:t>X</w:t>
      </w:r>
      <w:r>
        <w:rPr>
          <w:rFonts w:hint="eastAsia" w:ascii="宋体" w:hAnsi="宋体" w:eastAsia="宋体" w:cs="宋体"/>
          <w:b w:val="0"/>
          <w:bCs w:val="0"/>
          <w:color w:val="auto"/>
          <w:kern w:val="28"/>
          <w:sz w:val="32"/>
          <w:szCs w:val="32"/>
          <w:highlight w:val="none"/>
          <w:u w:val="none" w:color="auto"/>
          <w:lang w:val="en-US" w:eastAsia="zh-CN" w:bidi="ar"/>
        </w:rPr>
        <w:t>≦</w:t>
      </w:r>
      <w:r>
        <w:rPr>
          <w:rFonts w:hint="eastAsia" w:ascii="仿宋" w:hAnsi="仿宋" w:eastAsia="仿宋" w:cs="仿宋"/>
          <w:b w:val="0"/>
          <w:bCs w:val="0"/>
          <w:color w:val="auto"/>
          <w:kern w:val="0"/>
          <w:sz w:val="32"/>
          <w:szCs w:val="32"/>
          <w:highlight w:val="none"/>
          <w:u w:val="none" w:color="auto"/>
          <w:vertAlign w:val="subscript"/>
          <w:lang w:val="en-US" w:eastAsia="zh-CN" w:bidi="ar"/>
        </w:rPr>
        <w:t xml:space="preserve"> </w:t>
      </w:r>
      <w:r>
        <w:rPr>
          <w:rFonts w:hint="eastAsia" w:ascii="仿宋" w:hAnsi="仿宋" w:eastAsia="仿宋" w:cs="仿宋"/>
          <w:b w:val="0"/>
          <w:bCs w:val="0"/>
          <w:color w:val="auto"/>
          <w:kern w:val="2"/>
          <w:sz w:val="32"/>
          <w:szCs w:val="32"/>
          <w:highlight w:val="none"/>
          <w:u w:val="none" w:color="auto"/>
          <w:lang w:val="en-US" w:eastAsia="zh-CN" w:bidi="ar-SA"/>
        </w:rPr>
        <w:t>43</w:t>
      </w:r>
      <w:r>
        <w:rPr>
          <w:rFonts w:hint="eastAsia" w:ascii="仿宋" w:hAnsi="仿宋" w:eastAsia="仿宋" w:cs="仿宋"/>
          <w:b w:val="0"/>
          <w:bCs w:val="0"/>
          <w:color w:val="auto"/>
          <w:kern w:val="0"/>
          <w:sz w:val="32"/>
          <w:szCs w:val="32"/>
          <w:highlight w:val="none"/>
          <w:u w:val="none" w:color="auto"/>
          <w:lang w:val="en-US" w:eastAsia="zh-CN" w:bidi="ar"/>
        </w:rPr>
        <w:t>t/a。</w:t>
      </w:r>
      <w:r>
        <w:rPr>
          <w:rFonts w:hint="eastAsia" w:ascii="仿宋" w:hAnsi="仿宋" w:eastAsia="仿宋" w:cs="仿宋"/>
          <w:b w:val="0"/>
          <w:bCs w:val="0"/>
          <w:color w:val="auto"/>
          <w:kern w:val="28"/>
          <w:sz w:val="32"/>
          <w:szCs w:val="32"/>
          <w:highlight w:val="none"/>
          <w:u w:val="none" w:color="auto"/>
          <w:lang w:val="en-US" w:eastAsia="zh-CN" w:bidi="ar-SA"/>
        </w:rPr>
        <w:t xml:space="preserve"> </w:t>
      </w:r>
    </w:p>
    <w:p w14:paraId="25EC4328">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b w:val="0"/>
          <w:bCs w:val="0"/>
          <w:color w:val="auto"/>
          <w:sz w:val="32"/>
          <w:szCs w:val="32"/>
          <w:highlight w:val="none"/>
          <w:u w:val="none" w:color="auto"/>
          <w:lang w:val="en-US"/>
        </w:rPr>
      </w:pPr>
      <w:r>
        <w:rPr>
          <w:rFonts w:hint="eastAsia" w:ascii="仿宋" w:hAnsi="仿宋" w:eastAsia="仿宋" w:cs="仿宋"/>
          <w:b w:val="0"/>
          <w:bCs w:val="0"/>
          <w:color w:val="auto"/>
          <w:kern w:val="2"/>
          <w:sz w:val="32"/>
          <w:szCs w:val="32"/>
          <w:highlight w:val="none"/>
          <w:u w:val="none" w:color="auto"/>
          <w:lang w:val="en-US" w:eastAsia="zh-CN" w:bidi="ar"/>
        </w:rPr>
        <w:t>三、你公司应在收到本批复后15个工作日内，将批复及批准的环评报告文本送至岳阳市生态环境局岳阳县分局、</w:t>
      </w:r>
      <w:r>
        <w:rPr>
          <w:rFonts w:hint="eastAsia" w:ascii="仿宋" w:hAnsi="仿宋" w:eastAsia="仿宋" w:cs="仿宋"/>
          <w:b w:val="0"/>
          <w:bCs w:val="0"/>
          <w:color w:val="auto"/>
          <w:sz w:val="32"/>
          <w:szCs w:val="32"/>
          <w:highlight w:val="none"/>
          <w:u w:val="none" w:color="auto"/>
          <w:lang w:val="en-US" w:eastAsia="zh-CN"/>
        </w:rPr>
        <w:t>湖南省通羿环保科技有限公司</w:t>
      </w:r>
      <w:r>
        <w:rPr>
          <w:rFonts w:hint="eastAsia" w:ascii="仿宋" w:hAnsi="仿宋" w:eastAsia="仿宋" w:cs="仿宋"/>
          <w:b w:val="0"/>
          <w:bCs w:val="0"/>
          <w:color w:val="auto"/>
          <w:kern w:val="2"/>
          <w:sz w:val="32"/>
          <w:szCs w:val="32"/>
          <w:highlight w:val="none"/>
          <w:u w:val="none" w:color="auto"/>
          <w:lang w:val="en-US" w:eastAsia="zh-CN" w:bidi="ar"/>
        </w:rPr>
        <w:t>。</w:t>
      </w:r>
    </w:p>
    <w:p w14:paraId="08112AB1">
      <w:pPr>
        <w:keepNext w:val="0"/>
        <w:keepLines w:val="0"/>
        <w:pageBreakBefore w:val="0"/>
        <w:widowControl w:val="0"/>
        <w:suppressLineNumbers w:val="0"/>
        <w:kinsoku/>
        <w:wordWrap w:val="0"/>
        <w:overflowPunct/>
        <w:topLinePunct/>
        <w:autoSpaceDE/>
        <w:autoSpaceDN/>
        <w:bidi w:val="0"/>
        <w:spacing w:before="0" w:beforeAutospacing="0" w:after="0" w:afterAutospacing="0" w:line="480" w:lineRule="exact"/>
        <w:ind w:left="0" w:right="0" w:firstLine="640" w:firstLineChars="200"/>
        <w:jc w:val="both"/>
        <w:textAlignment w:val="auto"/>
        <w:rPr>
          <w:rFonts w:hint="eastAsia" w:ascii="仿宋" w:hAnsi="仿宋" w:eastAsia="仿宋" w:cs="仿宋"/>
          <w:b w:val="0"/>
          <w:bCs w:val="0"/>
          <w:color w:val="auto"/>
          <w:kern w:val="2"/>
          <w:sz w:val="32"/>
          <w:szCs w:val="32"/>
          <w:highlight w:val="none"/>
          <w:u w:val="none" w:color="auto"/>
          <w:lang w:val="en-US" w:eastAsia="zh-CN" w:bidi="ar"/>
        </w:rPr>
      </w:pPr>
      <w:r>
        <w:rPr>
          <w:rFonts w:hint="eastAsia" w:ascii="仿宋" w:hAnsi="仿宋" w:eastAsia="仿宋" w:cs="仿宋"/>
          <w:b w:val="0"/>
          <w:bCs w:val="0"/>
          <w:color w:val="auto"/>
          <w:kern w:val="2"/>
          <w:sz w:val="32"/>
          <w:szCs w:val="32"/>
          <w:highlight w:val="none"/>
          <w:u w:val="none" w:color="auto"/>
          <w:lang w:val="en-US" w:eastAsia="zh-CN" w:bidi="ar"/>
        </w:rPr>
        <w:t>四、请岳阳市生态环境局岳阳县分局负责项目建设期和运营期的日常环境监管。</w:t>
      </w:r>
    </w:p>
    <w:p w14:paraId="5C14DB62">
      <w:pPr>
        <w:keepNext w:val="0"/>
        <w:keepLines w:val="0"/>
        <w:pageBreakBefore w:val="0"/>
        <w:widowControl/>
        <w:suppressLineNumbers w:val="0"/>
        <w:kinsoku w:val="0"/>
        <w:wordWrap w:val="0"/>
        <w:overflowPunct w:val="0"/>
        <w:topLinePunct w:val="0"/>
        <w:autoSpaceDE/>
        <w:autoSpaceDN/>
        <w:bidi w:val="0"/>
        <w:snapToGrid w:val="0"/>
        <w:spacing w:before="0" w:beforeAutospacing="0" w:after="0" w:afterAutospacing="0" w:line="480" w:lineRule="exact"/>
        <w:ind w:right="0" w:firstLine="5440" w:firstLineChars="1700"/>
        <w:jc w:val="both"/>
        <w:textAlignment w:val="auto"/>
        <w:rPr>
          <w:rFonts w:hint="eastAsia" w:ascii="仿宋" w:hAnsi="仿宋" w:eastAsia="仿宋" w:cs="仿宋"/>
          <w:b w:val="0"/>
          <w:bCs w:val="0"/>
          <w:color w:val="auto"/>
          <w:kern w:val="2"/>
          <w:sz w:val="32"/>
          <w:szCs w:val="32"/>
          <w:highlight w:val="none"/>
          <w:u w:val="none" w:color="auto"/>
          <w:lang w:val="en-US" w:eastAsia="zh-CN" w:bidi="ar"/>
        </w:rPr>
      </w:pPr>
      <w:r>
        <w:rPr>
          <w:rFonts w:hint="eastAsia" w:ascii="仿宋" w:hAnsi="仿宋" w:eastAsia="仿宋" w:cs="仿宋"/>
          <w:b w:val="0"/>
          <w:bCs w:val="0"/>
          <w:color w:val="auto"/>
          <w:kern w:val="2"/>
          <w:sz w:val="32"/>
          <w:szCs w:val="32"/>
          <w:highlight w:val="none"/>
          <w:u w:val="none" w:color="auto"/>
          <w:lang w:val="en-US" w:eastAsia="zh-CN" w:bidi="ar"/>
        </w:rPr>
        <w:t>岳阳市生态环境局</w:t>
      </w:r>
    </w:p>
    <w:p w14:paraId="67A885A1">
      <w:pPr>
        <w:keepNext w:val="0"/>
        <w:keepLines w:val="0"/>
        <w:pageBreakBefore w:val="0"/>
        <w:widowControl w:val="0"/>
        <w:suppressLineNumbers w:val="0"/>
        <w:kinsoku w:val="0"/>
        <w:wordWrap w:val="0"/>
        <w:overflowPunct w:val="0"/>
        <w:topLinePunct w:val="0"/>
        <w:autoSpaceDE/>
        <w:autoSpaceDN/>
        <w:bidi w:val="0"/>
        <w:spacing w:before="0" w:beforeAutospacing="0" w:after="0" w:afterAutospacing="0" w:line="480" w:lineRule="exact"/>
        <w:ind w:left="0" w:right="0"/>
        <w:jc w:val="both"/>
        <w:textAlignment w:val="auto"/>
        <w:rPr>
          <w:rFonts w:hint="default" w:ascii="仿宋" w:hAnsi="仿宋" w:eastAsia="仿宋" w:cs="仿宋"/>
          <w:b w:val="0"/>
          <w:bCs w:val="0"/>
          <w:color w:val="auto"/>
          <w:spacing w:val="-20"/>
          <w:kern w:val="0"/>
          <w:sz w:val="32"/>
          <w:szCs w:val="32"/>
          <w:highlight w:val="none"/>
          <w:u w:val="none" w:color="auto"/>
          <w:lang w:val="en-US" w:eastAsia="zh-CN" w:bidi="ar"/>
        </w:rPr>
      </w:pPr>
      <w:r>
        <w:rPr>
          <w:rFonts w:hint="eastAsia" w:ascii="仿宋" w:hAnsi="仿宋" w:eastAsia="仿宋" w:cs="仿宋"/>
          <w:b w:val="0"/>
          <w:bCs w:val="0"/>
          <w:color w:val="auto"/>
          <w:kern w:val="2"/>
          <w:sz w:val="32"/>
          <w:szCs w:val="32"/>
          <w:highlight w:val="none"/>
          <w:u w:val="none" w:color="auto"/>
          <w:lang w:val="en-US" w:eastAsia="zh-CN" w:bidi="ar"/>
        </w:rPr>
        <w:t xml:space="preserve">                                  2024年8月19日</w:t>
      </w:r>
    </w:p>
    <w:p w14:paraId="3078EF0C">
      <w:pPr>
        <w:keepNext w:val="0"/>
        <w:keepLines w:val="0"/>
        <w:pageBreakBefore w:val="0"/>
        <w:widowControl w:val="0"/>
        <w:suppressLineNumbers w:val="0"/>
        <w:kinsoku w:val="0"/>
        <w:wordWrap w:val="0"/>
        <w:overflowPunct w:val="0"/>
        <w:topLinePunct w:val="0"/>
        <w:autoSpaceDE/>
        <w:autoSpaceDN/>
        <w:bidi w:val="0"/>
        <w:spacing w:before="0" w:beforeAutospacing="0" w:after="0" w:afterAutospacing="0" w:line="480" w:lineRule="exact"/>
        <w:ind w:left="0" w:right="0"/>
        <w:jc w:val="both"/>
        <w:textAlignment w:val="auto"/>
        <w:rPr>
          <w:rFonts w:hint="eastAsia" w:ascii="仿宋" w:hAnsi="仿宋" w:eastAsia="仿宋" w:cs="仿宋"/>
          <w:b w:val="0"/>
          <w:bCs w:val="0"/>
          <w:color w:val="auto"/>
          <w:sz w:val="32"/>
          <w:szCs w:val="32"/>
          <w:highlight w:val="none"/>
          <w:u w:val="none" w:color="auto"/>
        </w:rPr>
      </w:pPr>
    </w:p>
    <w:sectPr>
      <w:footerReference r:id="rId3" w:type="default"/>
      <w:pgSz w:w="11906" w:h="16838"/>
      <w:pgMar w:top="1304" w:right="1474" w:bottom="1247" w:left="1531" w:header="851" w:footer="992" w:gutter="0"/>
      <w:pgNumType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79B4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53ACB">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C53ACB">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3EB03"/>
    <w:multiLevelType w:val="singleLevel"/>
    <w:tmpl w:val="A373EB0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Mjg1ODhjOWQ3OWY3OTI4MjNmY2I5ODNhZmUzNWYifQ=="/>
  </w:docVars>
  <w:rsids>
    <w:rsidRoot w:val="00000000"/>
    <w:rsid w:val="005039AE"/>
    <w:rsid w:val="00D57384"/>
    <w:rsid w:val="04DD2C88"/>
    <w:rsid w:val="055F7AE3"/>
    <w:rsid w:val="095E1ED5"/>
    <w:rsid w:val="096B3256"/>
    <w:rsid w:val="0B3B6F20"/>
    <w:rsid w:val="0E75397A"/>
    <w:rsid w:val="0FFB2011"/>
    <w:rsid w:val="10AA6129"/>
    <w:rsid w:val="11F33019"/>
    <w:rsid w:val="12566287"/>
    <w:rsid w:val="159C2799"/>
    <w:rsid w:val="15AA656E"/>
    <w:rsid w:val="15B456CB"/>
    <w:rsid w:val="169D549A"/>
    <w:rsid w:val="18A65C94"/>
    <w:rsid w:val="18B27F3E"/>
    <w:rsid w:val="18CB677D"/>
    <w:rsid w:val="196860AE"/>
    <w:rsid w:val="19A26186"/>
    <w:rsid w:val="1BD3043A"/>
    <w:rsid w:val="1CAC2742"/>
    <w:rsid w:val="1CEF00ED"/>
    <w:rsid w:val="1D71327E"/>
    <w:rsid w:val="1E05485B"/>
    <w:rsid w:val="1E22173B"/>
    <w:rsid w:val="1E2F362A"/>
    <w:rsid w:val="1F9E2816"/>
    <w:rsid w:val="202B71FA"/>
    <w:rsid w:val="20A74C21"/>
    <w:rsid w:val="21336C34"/>
    <w:rsid w:val="21C52582"/>
    <w:rsid w:val="226118D9"/>
    <w:rsid w:val="249F581A"/>
    <w:rsid w:val="24DF3438"/>
    <w:rsid w:val="25CE46DD"/>
    <w:rsid w:val="26117AE7"/>
    <w:rsid w:val="26673750"/>
    <w:rsid w:val="2767391D"/>
    <w:rsid w:val="28052EE7"/>
    <w:rsid w:val="282E3CEA"/>
    <w:rsid w:val="28D70B46"/>
    <w:rsid w:val="2AC77288"/>
    <w:rsid w:val="2AD65872"/>
    <w:rsid w:val="2BF15EE5"/>
    <w:rsid w:val="2E044454"/>
    <w:rsid w:val="2EFE00DB"/>
    <w:rsid w:val="2F99513F"/>
    <w:rsid w:val="2FB86F68"/>
    <w:rsid w:val="309A0123"/>
    <w:rsid w:val="3121625B"/>
    <w:rsid w:val="31DC3098"/>
    <w:rsid w:val="329655CE"/>
    <w:rsid w:val="32DC32D2"/>
    <w:rsid w:val="32EC58C6"/>
    <w:rsid w:val="33442319"/>
    <w:rsid w:val="35A77DEC"/>
    <w:rsid w:val="394F5704"/>
    <w:rsid w:val="3C9317B9"/>
    <w:rsid w:val="3E101BC8"/>
    <w:rsid w:val="404A1044"/>
    <w:rsid w:val="40A1676B"/>
    <w:rsid w:val="41587A00"/>
    <w:rsid w:val="41C017A9"/>
    <w:rsid w:val="43432C09"/>
    <w:rsid w:val="43FE7BD7"/>
    <w:rsid w:val="441C376E"/>
    <w:rsid w:val="44316F05"/>
    <w:rsid w:val="44D254FC"/>
    <w:rsid w:val="44EF24B6"/>
    <w:rsid w:val="457051B2"/>
    <w:rsid w:val="469C16A2"/>
    <w:rsid w:val="4B4B2FA2"/>
    <w:rsid w:val="4D056EBC"/>
    <w:rsid w:val="50C66479"/>
    <w:rsid w:val="511304B6"/>
    <w:rsid w:val="52E53585"/>
    <w:rsid w:val="53C91D1E"/>
    <w:rsid w:val="545C1D7C"/>
    <w:rsid w:val="5581288A"/>
    <w:rsid w:val="56F90E84"/>
    <w:rsid w:val="57C76782"/>
    <w:rsid w:val="5AF7049C"/>
    <w:rsid w:val="5B7E15EC"/>
    <w:rsid w:val="5BDB07A5"/>
    <w:rsid w:val="5C766531"/>
    <w:rsid w:val="5DF00E00"/>
    <w:rsid w:val="5E880BAF"/>
    <w:rsid w:val="5F2E3757"/>
    <w:rsid w:val="5F7F7267"/>
    <w:rsid w:val="5FFB0633"/>
    <w:rsid w:val="6065438E"/>
    <w:rsid w:val="610B1586"/>
    <w:rsid w:val="613D23D3"/>
    <w:rsid w:val="61C15914"/>
    <w:rsid w:val="63577E08"/>
    <w:rsid w:val="64DB3A55"/>
    <w:rsid w:val="650005BA"/>
    <w:rsid w:val="660E6C4E"/>
    <w:rsid w:val="662875A1"/>
    <w:rsid w:val="67031A9D"/>
    <w:rsid w:val="67C11603"/>
    <w:rsid w:val="68257FC0"/>
    <w:rsid w:val="6873723D"/>
    <w:rsid w:val="68860414"/>
    <w:rsid w:val="68A610C0"/>
    <w:rsid w:val="68BF5CF0"/>
    <w:rsid w:val="68D92CCD"/>
    <w:rsid w:val="68F43BB9"/>
    <w:rsid w:val="6A2B7DCF"/>
    <w:rsid w:val="6ADD0FD4"/>
    <w:rsid w:val="6ADE00C7"/>
    <w:rsid w:val="6C9205D9"/>
    <w:rsid w:val="6CE66C1F"/>
    <w:rsid w:val="6D364AA2"/>
    <w:rsid w:val="6D991DD5"/>
    <w:rsid w:val="6E95615F"/>
    <w:rsid w:val="6FD77D91"/>
    <w:rsid w:val="70A7643D"/>
    <w:rsid w:val="71E14565"/>
    <w:rsid w:val="73C230E1"/>
    <w:rsid w:val="744A753D"/>
    <w:rsid w:val="764141B6"/>
    <w:rsid w:val="765661D4"/>
    <w:rsid w:val="77401016"/>
    <w:rsid w:val="77E204A3"/>
    <w:rsid w:val="78302B99"/>
    <w:rsid w:val="78BA1272"/>
    <w:rsid w:val="79D85059"/>
    <w:rsid w:val="79FA08A9"/>
    <w:rsid w:val="7A505630"/>
    <w:rsid w:val="7B2A5117"/>
    <w:rsid w:val="7B904BED"/>
    <w:rsid w:val="7C51473F"/>
    <w:rsid w:val="7C760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10"/>
    <w:qFormat/>
    <w:uiPriority w:val="0"/>
    <w:pPr>
      <w:spacing w:after="120" w:afterLines="0" w:afterAutospacing="0"/>
    </w:pPr>
  </w:style>
  <w:style w:type="paragraph" w:customStyle="1" w:styleId="3">
    <w:name w:val="xl27"/>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ind w:left="420" w:leftChars="200"/>
      <w:jc w:val="center"/>
    </w:pPr>
    <w:rPr>
      <w:rFonts w:ascii="新宋体-18030" w:hAnsi="新宋体-18030" w:eastAsia="新宋体-18030" w:cs="新宋体-18030"/>
      <w:kern w:val="0"/>
      <w:sz w:val="21"/>
      <w:szCs w:val="24"/>
      <w:lang w:val="en-US" w:eastAsia="zh-CN" w:bidi="ar-SA"/>
    </w:rPr>
  </w:style>
  <w:style w:type="paragraph" w:styleId="4">
    <w:name w:val="footer"/>
    <w:basedOn w:val="1"/>
    <w:link w:val="1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keepNext w:val="0"/>
      <w:keepLines w:val="0"/>
      <w:widowControl w:val="0"/>
      <w:suppressLineNumbers w:val="0"/>
      <w:spacing w:before="120" w:beforeAutospacing="0" w:after="120" w:afterAutospacing="0"/>
      <w:ind w:left="0" w:right="0"/>
      <w:jc w:val="left"/>
    </w:pPr>
    <w:rPr>
      <w:rFonts w:hint="default" w:ascii="Calibri" w:hAnsi="Calibri" w:eastAsia="宋体" w:cs="Times New Roman"/>
      <w:b/>
      <w:bCs/>
      <w:caps/>
      <w:kern w:val="2"/>
      <w:sz w:val="20"/>
      <w:szCs w:val="20"/>
      <w:lang w:val="en-US" w:eastAsia="zh-CN" w:bidi="ar"/>
    </w:rPr>
  </w:style>
  <w:style w:type="paragraph" w:customStyle="1" w:styleId="9">
    <w:name w:val="0"/>
    <w:basedOn w:val="1"/>
    <w:qFormat/>
    <w:uiPriority w:val="0"/>
    <w:pPr>
      <w:keepNext w:val="0"/>
      <w:keepLines w:val="0"/>
      <w:widowControl/>
      <w:suppressLineNumbers w:val="0"/>
      <w:snapToGrid w:val="0"/>
      <w:spacing w:before="0" w:beforeAutospacing="0" w:after="0" w:afterAutospacing="0" w:line="365" w:lineRule="atLeast"/>
      <w:ind w:left="1" w:right="0"/>
      <w:jc w:val="both"/>
    </w:pPr>
    <w:rPr>
      <w:rFonts w:hint="default" w:ascii="Times New Roman" w:hAnsi="Times New Roman" w:eastAsia="宋体" w:cs="Times New Roman"/>
      <w:kern w:val="0"/>
      <w:sz w:val="20"/>
      <w:szCs w:val="20"/>
      <w:lang w:val="en-US" w:eastAsia="zh-CN" w:bidi="ar"/>
    </w:rPr>
  </w:style>
  <w:style w:type="character" w:customStyle="1" w:styleId="10">
    <w:name w:val="正文文本 字符"/>
    <w:basedOn w:val="8"/>
    <w:link w:val="2"/>
    <w:qFormat/>
    <w:uiPriority w:val="0"/>
    <w:rPr>
      <w:kern w:val="2"/>
      <w:sz w:val="21"/>
    </w:rPr>
  </w:style>
  <w:style w:type="character" w:customStyle="1" w:styleId="11">
    <w:name w:val="页脚 字符"/>
    <w:basedOn w:val="8"/>
    <w:link w:val="4"/>
    <w:qFormat/>
    <w:uiPriority w:val="0"/>
    <w:rPr>
      <w:kern w:val="2"/>
      <w:sz w:val="18"/>
    </w:rPr>
  </w:style>
  <w:style w:type="paragraph" w:customStyle="1" w:styleId="12">
    <w:name w:val="p0"/>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 w:type="paragraph" w:customStyle="1" w:styleId="13">
    <w:name w:val="正文1"/>
    <w:basedOn w:val="1"/>
    <w:next w:val="1"/>
    <w:qFormat/>
    <w:uiPriority w:val="0"/>
    <w:pPr>
      <w:keepNext w:val="0"/>
      <w:keepLines w:val="0"/>
      <w:widowControl w:val="0"/>
      <w:suppressLineNumbers w:val="0"/>
      <w:spacing w:before="0" w:beforeAutospacing="0" w:after="0" w:afterAutospacing="0" w:line="360" w:lineRule="auto"/>
      <w:ind w:left="0" w:right="0" w:firstLine="723" w:firstLineChars="200"/>
      <w:jc w:val="both"/>
    </w:pPr>
    <w:rPr>
      <w:rFonts w:hint="default" w:ascii="Calibri" w:hAnsi="Calibri" w:eastAsia="宋体" w:cs="Times New Roman"/>
      <w:kern w:val="0"/>
      <w:sz w:val="24"/>
      <w:szCs w:val="20"/>
      <w:lang w:val="en-US" w:eastAsia="zh-CN" w:bidi="ar"/>
    </w:rPr>
  </w:style>
  <w:style w:type="paragraph" w:customStyle="1" w:styleId="14">
    <w:name w:val="hj-正文"/>
    <w:basedOn w:val="1"/>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default" w:ascii="Times New Roman" w:hAnsi="Times New Roman" w:eastAsia="宋体" w:cs="Times New Roman"/>
      <w:kern w:val="0"/>
      <w:sz w:val="24"/>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2570</Words>
  <Characters>2894</Characters>
  <Lines>0</Lines>
  <Paragraphs>0</Paragraphs>
  <TotalTime>27</TotalTime>
  <ScaleCrop>false</ScaleCrop>
  <LinksUpToDate>false</LinksUpToDate>
  <CharactersWithSpaces>2939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2023-03-02T09:22:00Z</dcterms:created>
  <dc:creator>LENOVO</dc:creator>
  <cp:lastModifiedBy>尹丰平</cp:lastModifiedBy>
  <cp:lastPrinted>2024-08-19T08:55:46Z</cp:lastPrinted>
  <dcterms:modified xsi:type="dcterms:W3CDTF">2024-08-19T08:57:57Z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D2EC3B809E1C4359B6F2E3D3722A9448_13</vt:lpwstr>
  </property>
</Properties>
</file>